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lang w:val="lt-LT"/>
        </w:rPr>
      </w:pPr>
      <w:r w:rsidRPr="000B544A">
        <w:rPr>
          <w:rFonts w:ascii="Times New Roman" w:hAnsi="Times New Roman"/>
          <w:sz w:val="32"/>
          <w:szCs w:val="32"/>
          <w:lang w:val="lt-LT"/>
        </w:rPr>
        <w:t>MYKOLO ROMERIO UNIVERSITETAS</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lang w:val="lt-LT"/>
        </w:rPr>
      </w:pPr>
      <w:r w:rsidRPr="000B544A">
        <w:rPr>
          <w:rFonts w:ascii="Times New Roman" w:hAnsi="Times New Roman"/>
          <w:sz w:val="28"/>
          <w:szCs w:val="28"/>
          <w:lang w:val="lt-LT"/>
        </w:rPr>
        <w:t>EKONOMIKOS IR FINANSŲ VALDYMO FAKULTETAS</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lang w:val="lt-LT"/>
        </w:rPr>
      </w:pPr>
      <w:r w:rsidRPr="000B544A">
        <w:rPr>
          <w:rFonts w:ascii="Times New Roman" w:hAnsi="Times New Roman"/>
          <w:lang w:val="lt-LT"/>
        </w:rPr>
        <w:t>BANKININKYSTĖS IR INVESTICIJŲ KATEDRA</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lang w:val="lt-LT"/>
        </w:rPr>
      </w:pPr>
      <w:r w:rsidRPr="000B544A">
        <w:rPr>
          <w:rFonts w:ascii="Times New Roman" w:hAnsi="Times New Roman"/>
          <w:sz w:val="32"/>
          <w:szCs w:val="32"/>
          <w:lang w:val="lt-LT"/>
        </w:rPr>
        <w:t>KAROLIS AMBRAZAITIS</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sz w:val="40"/>
          <w:szCs w:val="40"/>
          <w:lang w:val="lt-LT"/>
        </w:rPr>
      </w:pPr>
      <w:r w:rsidRPr="000B544A">
        <w:rPr>
          <w:rFonts w:ascii="Times New Roman" w:hAnsi="Times New Roman"/>
          <w:sz w:val="40"/>
          <w:szCs w:val="40"/>
          <w:lang w:val="lt-LT"/>
        </w:rPr>
        <w:t>TECHNINĖS ANALIZĖS TAIKYMAS</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sz w:val="28"/>
          <w:szCs w:val="28"/>
          <w:lang w:val="lt-LT"/>
        </w:rPr>
      </w:pPr>
      <w:r w:rsidRPr="000B544A">
        <w:rPr>
          <w:rFonts w:ascii="Times New Roman" w:hAnsi="Times New Roman"/>
          <w:sz w:val="40"/>
          <w:szCs w:val="40"/>
          <w:lang w:val="lt-LT"/>
        </w:rPr>
        <w:t>BALTIJOS ŠALIŲ AKCIJŲ RINKAI</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sz w:val="28"/>
          <w:szCs w:val="28"/>
          <w:lang w:val="lt-LT"/>
        </w:rPr>
      </w:pPr>
      <w:r w:rsidRPr="000B544A">
        <w:rPr>
          <w:rFonts w:ascii="Times New Roman" w:hAnsi="Times New Roman"/>
          <w:sz w:val="28"/>
          <w:szCs w:val="28"/>
          <w:lang w:val="lt-LT"/>
        </w:rPr>
        <w:t>Magistro baigiamasis darbas</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583F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583F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sz w:val="28"/>
          <w:szCs w:val="28"/>
          <w:lang w:val="lt-LT"/>
        </w:rPr>
        <w:tab/>
      </w:r>
      <w:r w:rsidRPr="000B544A">
        <w:rPr>
          <w:rFonts w:ascii="Times New Roman" w:hAnsi="Times New Roman"/>
          <w:sz w:val="28"/>
          <w:szCs w:val="28"/>
          <w:lang w:val="lt-LT"/>
        </w:rPr>
        <w:tab/>
      </w:r>
      <w:r w:rsidRPr="000B544A">
        <w:rPr>
          <w:rFonts w:ascii="Times New Roman" w:hAnsi="Times New Roman"/>
          <w:sz w:val="28"/>
          <w:szCs w:val="28"/>
          <w:lang w:val="lt-LT"/>
        </w:rPr>
        <w:tab/>
      </w:r>
      <w:r w:rsidRPr="000B544A">
        <w:rPr>
          <w:rFonts w:ascii="Times New Roman" w:hAnsi="Times New Roman"/>
          <w:sz w:val="28"/>
          <w:szCs w:val="28"/>
          <w:lang w:val="lt-LT"/>
        </w:rPr>
        <w:tab/>
      </w:r>
      <w:r w:rsidRPr="000B544A">
        <w:rPr>
          <w:rFonts w:ascii="Times New Roman" w:hAnsi="Times New Roman"/>
          <w:sz w:val="28"/>
          <w:szCs w:val="28"/>
          <w:lang w:val="lt-LT"/>
        </w:rPr>
        <w:tab/>
      </w:r>
      <w:r w:rsidRPr="000B544A">
        <w:rPr>
          <w:rFonts w:ascii="Times New Roman" w:hAnsi="Times New Roman"/>
          <w:sz w:val="28"/>
          <w:szCs w:val="28"/>
          <w:lang w:val="lt-LT"/>
        </w:rPr>
        <w:tab/>
      </w:r>
      <w:r w:rsidRPr="000B544A">
        <w:rPr>
          <w:rFonts w:ascii="Times New Roman" w:hAnsi="Times New Roman"/>
          <w:sz w:val="28"/>
          <w:szCs w:val="28"/>
          <w:lang w:val="lt-LT"/>
        </w:rPr>
        <w:tab/>
      </w:r>
      <w:r w:rsidRPr="000B544A">
        <w:rPr>
          <w:rFonts w:ascii="Times New Roman" w:hAnsi="Times New Roman"/>
          <w:sz w:val="28"/>
          <w:szCs w:val="28"/>
          <w:lang w:val="lt-LT"/>
        </w:rPr>
        <w:tab/>
      </w:r>
      <w:r w:rsidRPr="000B544A">
        <w:rPr>
          <w:rFonts w:ascii="Times New Roman" w:hAnsi="Times New Roman"/>
          <w:sz w:val="28"/>
          <w:szCs w:val="28"/>
          <w:lang w:val="lt-LT"/>
        </w:rPr>
        <w:tab/>
      </w:r>
      <w:r w:rsidRPr="000B544A">
        <w:rPr>
          <w:rFonts w:ascii="Times New Roman" w:hAnsi="Times New Roman"/>
          <w:sz w:val="28"/>
          <w:szCs w:val="28"/>
          <w:lang w:val="lt-LT"/>
        </w:rPr>
        <w:tab/>
      </w:r>
      <w:r w:rsidRPr="000B544A">
        <w:rPr>
          <w:rFonts w:ascii="Times New Roman" w:hAnsi="Times New Roman"/>
          <w:sz w:val="28"/>
          <w:szCs w:val="28"/>
          <w:lang w:val="lt-LT"/>
        </w:rPr>
        <w:tab/>
        <w:t>Vadovė</w:t>
      </w:r>
    </w:p>
    <w:p w:rsidR="00252F1D" w:rsidRPr="000B544A" w:rsidRDefault="00252F1D" w:rsidP="00583F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8"/>
          <w:szCs w:val="28"/>
          <w:lang w:val="lt-LT"/>
        </w:rPr>
        <w:tab/>
      </w:r>
      <w:r w:rsidRPr="000B544A">
        <w:rPr>
          <w:rFonts w:ascii="Times New Roman" w:hAnsi="Times New Roman"/>
          <w:sz w:val="28"/>
          <w:szCs w:val="28"/>
          <w:lang w:val="lt-LT"/>
        </w:rPr>
        <w:tab/>
      </w:r>
      <w:r w:rsidRPr="000B544A">
        <w:rPr>
          <w:rFonts w:ascii="Times New Roman" w:hAnsi="Times New Roman"/>
          <w:sz w:val="28"/>
          <w:szCs w:val="28"/>
          <w:lang w:val="lt-LT"/>
        </w:rPr>
        <w:tab/>
      </w:r>
      <w:r w:rsidRPr="000B544A">
        <w:rPr>
          <w:rFonts w:ascii="Times New Roman" w:hAnsi="Times New Roman"/>
          <w:sz w:val="28"/>
          <w:szCs w:val="28"/>
          <w:lang w:val="lt-LT"/>
        </w:rPr>
        <w:tab/>
      </w:r>
      <w:r w:rsidRPr="000B544A">
        <w:rPr>
          <w:rFonts w:ascii="Times New Roman" w:hAnsi="Times New Roman"/>
          <w:sz w:val="28"/>
          <w:szCs w:val="28"/>
          <w:lang w:val="lt-LT"/>
        </w:rPr>
        <w:tab/>
      </w:r>
      <w:r w:rsidRPr="000B544A">
        <w:rPr>
          <w:rFonts w:ascii="Times New Roman" w:hAnsi="Times New Roman"/>
          <w:sz w:val="28"/>
          <w:szCs w:val="28"/>
          <w:lang w:val="lt-LT"/>
        </w:rPr>
        <w:tab/>
      </w:r>
      <w:r w:rsidRPr="000B544A">
        <w:rPr>
          <w:rFonts w:ascii="Times New Roman" w:hAnsi="Times New Roman"/>
          <w:sz w:val="28"/>
          <w:szCs w:val="28"/>
          <w:lang w:val="lt-LT"/>
        </w:rPr>
        <w:tab/>
      </w:r>
      <w:r w:rsidRPr="000B544A">
        <w:rPr>
          <w:rFonts w:ascii="Times New Roman" w:hAnsi="Times New Roman"/>
          <w:sz w:val="28"/>
          <w:szCs w:val="28"/>
          <w:lang w:val="lt-LT"/>
        </w:rPr>
        <w:tab/>
      </w:r>
      <w:r w:rsidRPr="000B544A">
        <w:rPr>
          <w:rFonts w:ascii="Times New Roman" w:hAnsi="Times New Roman"/>
          <w:sz w:val="28"/>
          <w:szCs w:val="28"/>
          <w:lang w:val="lt-LT"/>
        </w:rPr>
        <w:tab/>
      </w:r>
      <w:r w:rsidRPr="000B544A">
        <w:rPr>
          <w:rFonts w:ascii="Times New Roman" w:hAnsi="Times New Roman"/>
          <w:sz w:val="28"/>
          <w:szCs w:val="28"/>
          <w:lang w:val="lt-LT"/>
        </w:rPr>
        <w:tab/>
      </w:r>
      <w:r w:rsidRPr="000B544A">
        <w:rPr>
          <w:rFonts w:ascii="Times New Roman" w:hAnsi="Times New Roman"/>
          <w:sz w:val="28"/>
          <w:szCs w:val="28"/>
          <w:lang w:val="lt-LT"/>
        </w:rPr>
        <w:tab/>
      </w:r>
      <w:r w:rsidRPr="000B544A">
        <w:rPr>
          <w:rFonts w:ascii="Times New Roman" w:hAnsi="Times New Roman"/>
          <w:sz w:val="28"/>
          <w:szCs w:val="28"/>
          <w:lang w:val="lt-LT"/>
        </w:rPr>
        <w:tab/>
      </w:r>
      <w:r w:rsidRPr="000B544A">
        <w:rPr>
          <w:rFonts w:ascii="Times New Roman" w:hAnsi="Times New Roman"/>
          <w:sz w:val="28"/>
          <w:szCs w:val="28"/>
          <w:lang w:val="lt-LT"/>
        </w:rPr>
        <w:tab/>
      </w:r>
      <w:r w:rsidRPr="000B544A">
        <w:rPr>
          <w:rFonts w:ascii="Times New Roman" w:hAnsi="Times New Roman"/>
          <w:sz w:val="28"/>
          <w:szCs w:val="28"/>
          <w:lang w:val="lt-LT"/>
        </w:rPr>
        <w:tab/>
        <w:t xml:space="preserve">dr. D. Teresienė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p>
    <w:p w:rsidR="000D6416" w:rsidRPr="000B544A" w:rsidRDefault="000D6416"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p>
    <w:p w:rsidR="000D6416" w:rsidRPr="000B544A" w:rsidRDefault="000D6416"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p>
    <w:p w:rsidR="000D6416" w:rsidRPr="000B544A" w:rsidRDefault="000D6416"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sz w:val="28"/>
          <w:szCs w:val="28"/>
          <w:lang w:val="lt-LT"/>
        </w:rPr>
      </w:pPr>
      <w:r w:rsidRPr="000B544A">
        <w:rPr>
          <w:rFonts w:ascii="Times New Roman" w:hAnsi="Times New Roman"/>
          <w:sz w:val="28"/>
          <w:szCs w:val="28"/>
          <w:lang w:val="lt-LT"/>
        </w:rPr>
        <w:t>VILNIUS, 2011</w:t>
      </w:r>
    </w:p>
    <w:p w:rsidR="00252F1D" w:rsidRPr="000B544A" w:rsidRDefault="00252F1D" w:rsidP="006566A3">
      <w:pPr>
        <w:pageBreakBefor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lang w:val="lt-LT"/>
        </w:rPr>
      </w:pPr>
      <w:r w:rsidRPr="000B544A">
        <w:rPr>
          <w:rFonts w:ascii="Times New Roman" w:hAnsi="Times New Roman"/>
          <w:sz w:val="32"/>
          <w:szCs w:val="32"/>
          <w:lang w:val="lt-LT"/>
        </w:rPr>
        <w:lastRenderedPageBreak/>
        <w:t>MYKOLO ROMERIO UNIVERSITETAS</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lang w:val="lt-LT"/>
        </w:rPr>
      </w:pPr>
      <w:r w:rsidRPr="000B544A">
        <w:rPr>
          <w:rFonts w:ascii="Times New Roman" w:hAnsi="Times New Roman"/>
          <w:sz w:val="28"/>
          <w:szCs w:val="28"/>
          <w:lang w:val="lt-LT"/>
        </w:rPr>
        <w:t>EKONOMIKOS IR FINANSŲ VALDYMO FAKULTETAS</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lang w:val="lt-LT"/>
        </w:rPr>
      </w:pPr>
      <w:r w:rsidRPr="000B544A">
        <w:rPr>
          <w:rFonts w:ascii="Times New Roman" w:hAnsi="Times New Roman"/>
          <w:lang w:val="lt-LT"/>
        </w:rPr>
        <w:t>BANKININKYSTĖS IR INVESTICIJŲ KATEDRA</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sz w:val="40"/>
          <w:szCs w:val="40"/>
          <w:lang w:val="lt-LT"/>
        </w:rPr>
      </w:pPr>
      <w:r w:rsidRPr="000B544A">
        <w:rPr>
          <w:rFonts w:ascii="Times New Roman" w:hAnsi="Times New Roman"/>
          <w:sz w:val="40"/>
          <w:szCs w:val="40"/>
          <w:lang w:val="lt-LT"/>
        </w:rPr>
        <w:t>TECHNINĖS ANALIZĖS TAIKYMAS</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sz w:val="28"/>
          <w:szCs w:val="28"/>
          <w:lang w:val="lt-LT"/>
        </w:rPr>
      </w:pPr>
      <w:r w:rsidRPr="000B544A">
        <w:rPr>
          <w:rFonts w:ascii="Times New Roman" w:hAnsi="Times New Roman"/>
          <w:sz w:val="40"/>
          <w:szCs w:val="40"/>
          <w:lang w:val="lt-LT"/>
        </w:rPr>
        <w:t>BALTIJOS ŠALIŲ AKCIJŲ RINKAI</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sz w:val="28"/>
          <w:szCs w:val="28"/>
          <w:lang w:val="lt-LT"/>
        </w:rPr>
      </w:pPr>
      <w:r w:rsidRPr="000B544A">
        <w:rPr>
          <w:rFonts w:ascii="Times New Roman" w:hAnsi="Times New Roman"/>
          <w:sz w:val="28"/>
          <w:szCs w:val="28"/>
          <w:lang w:val="lt-LT"/>
        </w:rPr>
        <w:t>Finansų rinkų magistro baigiamasis darbas</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sz w:val="28"/>
          <w:szCs w:val="28"/>
          <w:lang w:val="lt-LT"/>
        </w:rPr>
      </w:pPr>
      <w:r w:rsidRPr="000B544A">
        <w:rPr>
          <w:rFonts w:ascii="Times New Roman" w:hAnsi="Times New Roman"/>
          <w:sz w:val="28"/>
          <w:szCs w:val="28"/>
          <w:lang w:val="lt-LT"/>
        </w:rPr>
        <w:t xml:space="preserve">Studijų programa </w:t>
      </w:r>
      <w:r w:rsidR="00F85923" w:rsidRPr="000B544A">
        <w:rPr>
          <w:rFonts w:ascii="Times New Roman" w:hAnsi="Times New Roman"/>
          <w:sz w:val="28"/>
          <w:szCs w:val="28"/>
          <w:lang w:val="lt-LT"/>
        </w:rPr>
        <w:t>621L10009</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p>
    <w:p w:rsidR="00E2705D" w:rsidRPr="000B544A" w:rsidRDefault="00E2705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E2705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lang w:val="lt-LT"/>
        </w:rPr>
        <w:tab/>
      </w:r>
      <w:r w:rsidRPr="000B544A">
        <w:rPr>
          <w:rFonts w:ascii="Times New Roman" w:hAnsi="Times New Roman"/>
          <w:lang w:val="lt-LT"/>
        </w:rPr>
        <w:tab/>
      </w:r>
      <w:r w:rsidR="00252F1D" w:rsidRPr="000B544A">
        <w:rPr>
          <w:rFonts w:ascii="Times New Roman" w:hAnsi="Times New Roman"/>
          <w:lang w:val="lt-LT"/>
        </w:rPr>
        <w:tab/>
      </w:r>
      <w:r w:rsidR="00252F1D" w:rsidRPr="000B544A">
        <w:rPr>
          <w:rFonts w:ascii="Times New Roman" w:hAnsi="Times New Roman"/>
          <w:lang w:val="lt-LT"/>
        </w:rPr>
        <w:tab/>
      </w:r>
      <w:r w:rsidR="00252F1D" w:rsidRPr="000B544A">
        <w:rPr>
          <w:rFonts w:ascii="Times New Roman" w:hAnsi="Times New Roman"/>
          <w:lang w:val="lt-LT"/>
        </w:rPr>
        <w:tab/>
      </w:r>
      <w:r w:rsidR="00252F1D" w:rsidRPr="000B544A">
        <w:rPr>
          <w:rFonts w:ascii="Times New Roman" w:hAnsi="Times New Roman"/>
          <w:lang w:val="lt-LT"/>
        </w:rPr>
        <w:tab/>
      </w:r>
      <w:r w:rsidR="00252F1D" w:rsidRPr="000B544A">
        <w:rPr>
          <w:rFonts w:ascii="Times New Roman" w:hAnsi="Times New Roman"/>
          <w:lang w:val="lt-LT"/>
        </w:rPr>
        <w:tab/>
      </w:r>
      <w:r w:rsidR="00252F1D" w:rsidRPr="000B544A">
        <w:rPr>
          <w:rFonts w:ascii="Times New Roman" w:hAnsi="Times New Roman"/>
          <w:lang w:val="lt-LT"/>
        </w:rPr>
        <w:tab/>
      </w:r>
      <w:r w:rsidR="00252F1D" w:rsidRPr="000B544A">
        <w:rPr>
          <w:rFonts w:ascii="Times New Roman" w:hAnsi="Times New Roman"/>
          <w:lang w:val="lt-LT"/>
        </w:rPr>
        <w:tab/>
      </w:r>
      <w:r w:rsidR="00252F1D" w:rsidRPr="000B544A">
        <w:rPr>
          <w:rFonts w:ascii="Times New Roman" w:hAnsi="Times New Roman"/>
          <w:lang w:val="lt-LT"/>
        </w:rPr>
        <w:tab/>
        <w:t>Vadovė</w:t>
      </w:r>
    </w:p>
    <w:p w:rsidR="00252F1D" w:rsidRPr="000B544A" w:rsidRDefault="00E2705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00252F1D" w:rsidRPr="000B544A">
        <w:rPr>
          <w:rFonts w:ascii="Times New Roman" w:hAnsi="Times New Roman"/>
          <w:lang w:val="lt-LT"/>
        </w:rPr>
        <w:tab/>
      </w:r>
      <w:r w:rsidR="00252F1D" w:rsidRPr="000B544A">
        <w:rPr>
          <w:rFonts w:ascii="Times New Roman" w:hAnsi="Times New Roman"/>
          <w:lang w:val="lt-LT"/>
        </w:rPr>
        <w:tab/>
      </w:r>
      <w:r w:rsidR="00252F1D" w:rsidRPr="000B544A">
        <w:rPr>
          <w:rFonts w:ascii="Times New Roman" w:hAnsi="Times New Roman"/>
          <w:lang w:val="lt-LT"/>
        </w:rPr>
        <w:tab/>
      </w:r>
      <w:r w:rsidR="00252F1D" w:rsidRPr="000B544A">
        <w:rPr>
          <w:rFonts w:ascii="Times New Roman" w:hAnsi="Times New Roman"/>
          <w:lang w:val="lt-LT"/>
        </w:rPr>
        <w:tab/>
      </w:r>
      <w:r w:rsidR="00252F1D" w:rsidRPr="000B544A">
        <w:rPr>
          <w:rFonts w:ascii="Times New Roman" w:hAnsi="Times New Roman"/>
          <w:lang w:val="lt-LT"/>
        </w:rPr>
        <w:tab/>
        <w:t xml:space="preserve">dr. D. Teresienė </w:t>
      </w:r>
    </w:p>
    <w:p w:rsidR="00252F1D" w:rsidRPr="000B544A" w:rsidRDefault="00E2705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00252F1D" w:rsidRPr="000B544A">
        <w:rPr>
          <w:rFonts w:ascii="Times New Roman" w:hAnsi="Times New Roman"/>
          <w:lang w:val="lt-LT"/>
        </w:rPr>
        <w:tab/>
      </w:r>
      <w:r w:rsidR="00252F1D" w:rsidRPr="000B544A">
        <w:rPr>
          <w:rFonts w:ascii="Times New Roman" w:hAnsi="Times New Roman"/>
          <w:lang w:val="lt-LT"/>
        </w:rPr>
        <w:tab/>
      </w:r>
      <w:r w:rsidR="00252F1D" w:rsidRPr="000B544A">
        <w:rPr>
          <w:rFonts w:ascii="Times New Roman" w:hAnsi="Times New Roman"/>
          <w:lang w:val="lt-LT"/>
        </w:rPr>
        <w:tab/>
      </w:r>
      <w:r w:rsidR="00252F1D" w:rsidRPr="000B544A">
        <w:rPr>
          <w:rFonts w:ascii="Times New Roman" w:hAnsi="Times New Roman"/>
          <w:lang w:val="lt-LT"/>
        </w:rPr>
        <w:tab/>
      </w:r>
      <w:r w:rsidR="00252F1D" w:rsidRPr="000B544A">
        <w:rPr>
          <w:rFonts w:ascii="Times New Roman" w:hAnsi="Times New Roman"/>
          <w:lang w:val="lt-LT"/>
        </w:rPr>
        <w:tab/>
        <w:t xml:space="preserve">2011 12 </w:t>
      </w:r>
    </w:p>
    <w:p w:rsidR="00252F1D" w:rsidRPr="000B544A" w:rsidRDefault="00E2705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lang w:val="lt-LT"/>
        </w:rPr>
        <w:tab/>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p>
    <w:p w:rsidR="00E2705D" w:rsidRPr="000B544A" w:rsidRDefault="00E2705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p>
    <w:p w:rsidR="00E2705D" w:rsidRPr="000B544A" w:rsidRDefault="00E2705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lang w:val="lt-LT"/>
        </w:rPr>
        <w:t xml:space="preserve">Recenzentas   </w:t>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t xml:space="preserve">Atliko </w:t>
      </w:r>
    </w:p>
    <w:p w:rsidR="00252F1D" w:rsidRPr="000B544A" w:rsidRDefault="000D6416"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lang w:val="lt-LT"/>
        </w:rPr>
        <w:t>………………………………..</w:t>
      </w:r>
      <w:r w:rsidR="00252F1D" w:rsidRPr="000B544A">
        <w:rPr>
          <w:rFonts w:ascii="Times New Roman" w:hAnsi="Times New Roman"/>
          <w:lang w:val="lt-LT"/>
        </w:rPr>
        <w:tab/>
      </w:r>
      <w:r w:rsidR="00252F1D" w:rsidRPr="000B544A">
        <w:rPr>
          <w:rFonts w:ascii="Times New Roman" w:hAnsi="Times New Roman"/>
          <w:lang w:val="lt-LT"/>
        </w:rPr>
        <w:tab/>
      </w:r>
      <w:r w:rsidR="00252F1D" w:rsidRPr="000B544A">
        <w:rPr>
          <w:rFonts w:ascii="Times New Roman" w:hAnsi="Times New Roman"/>
          <w:lang w:val="lt-LT"/>
        </w:rPr>
        <w:tab/>
      </w:r>
      <w:r w:rsidR="00252F1D" w:rsidRPr="000B544A">
        <w:rPr>
          <w:rFonts w:ascii="Times New Roman" w:hAnsi="Times New Roman"/>
          <w:lang w:val="lt-LT"/>
        </w:rPr>
        <w:tab/>
      </w:r>
      <w:r w:rsidR="00252F1D" w:rsidRPr="000B544A">
        <w:rPr>
          <w:rFonts w:ascii="Times New Roman" w:hAnsi="Times New Roman"/>
          <w:lang w:val="lt-LT"/>
        </w:rPr>
        <w:tab/>
        <w:t xml:space="preserve">FRmns10-02 gr. stud.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lang w:val="lt-LT"/>
        </w:rPr>
        <w:t xml:space="preserve">2011 12     </w:t>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000D6416" w:rsidRPr="000B544A">
        <w:rPr>
          <w:rFonts w:ascii="Times New Roman" w:hAnsi="Times New Roman"/>
          <w:lang w:val="lt-LT"/>
        </w:rPr>
        <w:tab/>
      </w:r>
      <w:r w:rsidRPr="000B544A">
        <w:rPr>
          <w:rFonts w:ascii="Times New Roman" w:hAnsi="Times New Roman"/>
          <w:lang w:val="lt-LT"/>
        </w:rPr>
        <w:t xml:space="preserve">K. Ambrazaitis </w:t>
      </w:r>
    </w:p>
    <w:p w:rsidR="00252F1D" w:rsidRPr="000B544A" w:rsidRDefault="004A1B77"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lang w:val="lt-LT"/>
        </w:rPr>
        <w:t xml:space="preserve">     </w:t>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r>
      <w:r w:rsidRPr="000B544A">
        <w:rPr>
          <w:rFonts w:ascii="Times New Roman" w:hAnsi="Times New Roman"/>
          <w:lang w:val="lt-LT"/>
        </w:rPr>
        <w:tab/>
        <w:t>2011 12 15</w:t>
      </w:r>
      <w:r w:rsidR="00252F1D" w:rsidRPr="000B544A">
        <w:rPr>
          <w:rFonts w:ascii="Times New Roman" w:hAnsi="Times New Roman"/>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0D6416" w:rsidRPr="000B544A" w:rsidRDefault="000D6416"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0D6416" w:rsidRPr="000B544A" w:rsidRDefault="000D6416"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0D6416" w:rsidRPr="000B544A" w:rsidRDefault="000D6416"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0"/>
          <w:szCs w:val="20"/>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454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lang w:val="lt-LT"/>
        </w:rPr>
      </w:pPr>
      <w:r w:rsidRPr="000B544A">
        <w:rPr>
          <w:rFonts w:ascii="Times New Roman" w:hAnsi="Times New Roman"/>
          <w:sz w:val="20"/>
          <w:szCs w:val="20"/>
          <w:lang w:val="lt-LT"/>
        </w:rPr>
        <w:t xml:space="preserve"> </w:t>
      </w:r>
    </w:p>
    <w:p w:rsidR="00252F1D" w:rsidRPr="000B544A" w:rsidRDefault="00252F1D" w:rsidP="000D6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sz w:val="28"/>
          <w:szCs w:val="28"/>
          <w:lang w:val="lt-LT"/>
        </w:rPr>
      </w:pPr>
      <w:r w:rsidRPr="000B544A">
        <w:rPr>
          <w:rFonts w:ascii="Times New Roman" w:hAnsi="Times New Roman"/>
          <w:sz w:val="28"/>
          <w:szCs w:val="28"/>
          <w:lang w:val="lt-LT"/>
        </w:rPr>
        <w:t>VILNIUS, 2011</w:t>
      </w:r>
    </w:p>
    <w:p w:rsidR="00252F1D" w:rsidRPr="000B544A" w:rsidRDefault="00C4133A" w:rsidP="00530EA8">
      <w:pPr>
        <w:spacing w:after="0" w:line="360" w:lineRule="auto"/>
        <w:ind w:firstLine="567"/>
        <w:jc w:val="center"/>
        <w:rPr>
          <w:rFonts w:ascii="Times New Roman" w:hAnsi="Times New Roman"/>
          <w:sz w:val="28"/>
          <w:szCs w:val="28"/>
          <w:lang w:val="lt-LT"/>
        </w:rPr>
      </w:pPr>
      <w:r w:rsidRPr="000B544A">
        <w:rPr>
          <w:rFonts w:ascii="Times New Roman" w:hAnsi="Times New Roman"/>
          <w:sz w:val="28"/>
          <w:szCs w:val="28"/>
          <w:lang w:val="lt-LT"/>
        </w:rPr>
        <w:br w:type="page"/>
      </w:r>
      <w:r w:rsidR="00252F1D" w:rsidRPr="000B544A">
        <w:rPr>
          <w:rFonts w:ascii="Times New Roman" w:hAnsi="Times New Roman"/>
          <w:sz w:val="28"/>
          <w:szCs w:val="28"/>
          <w:lang w:val="lt-LT"/>
        </w:rPr>
        <w:lastRenderedPageBreak/>
        <w:t>TURINYS</w:t>
      </w:r>
    </w:p>
    <w:p w:rsidR="002A7EC2" w:rsidRDefault="00A56BC3">
      <w:pPr>
        <w:pStyle w:val="TOC1"/>
        <w:tabs>
          <w:tab w:val="right" w:leader="dot" w:pos="9905"/>
        </w:tabs>
        <w:rPr>
          <w:rFonts w:asciiTheme="minorHAnsi" w:eastAsiaTheme="minorEastAsia" w:hAnsiTheme="minorHAnsi" w:cstheme="minorBidi"/>
          <w:noProof/>
          <w:sz w:val="22"/>
          <w:szCs w:val="22"/>
        </w:rPr>
      </w:pPr>
      <w:r w:rsidRPr="000B544A">
        <w:rPr>
          <w:rFonts w:ascii="Times New Roman" w:hAnsi="Times New Roman"/>
          <w:lang w:val="lt-LT"/>
        </w:rPr>
        <w:fldChar w:fldCharType="begin"/>
      </w:r>
      <w:r w:rsidR="00252F1D" w:rsidRPr="000B544A">
        <w:rPr>
          <w:rFonts w:ascii="Times New Roman" w:hAnsi="Times New Roman"/>
          <w:lang w:val="lt-LT"/>
        </w:rPr>
        <w:instrText xml:space="preserve"> TOC \o "1-3" \h \z \u </w:instrText>
      </w:r>
      <w:r w:rsidRPr="000B544A">
        <w:rPr>
          <w:rFonts w:ascii="Times New Roman" w:hAnsi="Times New Roman"/>
          <w:lang w:val="lt-LT"/>
        </w:rPr>
        <w:fldChar w:fldCharType="separate"/>
      </w:r>
      <w:hyperlink w:anchor="_Toc312047631" w:history="1">
        <w:r w:rsidR="002A7EC2" w:rsidRPr="00FA0E18">
          <w:rPr>
            <w:rStyle w:val="Hyperlink"/>
            <w:rFonts w:ascii="Times New Roman" w:hAnsi="Times New Roman"/>
            <w:noProof/>
            <w:lang w:val="lt-LT"/>
          </w:rPr>
          <w:t>ĮVADAS</w:t>
        </w:r>
        <w:r w:rsidR="002A7EC2">
          <w:rPr>
            <w:noProof/>
            <w:webHidden/>
          </w:rPr>
          <w:tab/>
        </w:r>
        <w:r>
          <w:rPr>
            <w:noProof/>
            <w:webHidden/>
          </w:rPr>
          <w:fldChar w:fldCharType="begin"/>
        </w:r>
        <w:r w:rsidR="002A7EC2">
          <w:rPr>
            <w:noProof/>
            <w:webHidden/>
          </w:rPr>
          <w:instrText xml:space="preserve"> PAGEREF _Toc312047631 \h </w:instrText>
        </w:r>
        <w:r>
          <w:rPr>
            <w:noProof/>
            <w:webHidden/>
          </w:rPr>
        </w:r>
        <w:r>
          <w:rPr>
            <w:noProof/>
            <w:webHidden/>
          </w:rPr>
          <w:fldChar w:fldCharType="separate"/>
        </w:r>
        <w:r w:rsidR="002A7EC2">
          <w:rPr>
            <w:noProof/>
            <w:webHidden/>
          </w:rPr>
          <w:t>7</w:t>
        </w:r>
        <w:r>
          <w:rPr>
            <w:noProof/>
            <w:webHidden/>
          </w:rPr>
          <w:fldChar w:fldCharType="end"/>
        </w:r>
      </w:hyperlink>
    </w:p>
    <w:p w:rsidR="002A7EC2" w:rsidRDefault="00A56BC3">
      <w:pPr>
        <w:pStyle w:val="TOC1"/>
        <w:tabs>
          <w:tab w:val="right" w:leader="dot" w:pos="9905"/>
        </w:tabs>
        <w:rPr>
          <w:rFonts w:asciiTheme="minorHAnsi" w:eastAsiaTheme="minorEastAsia" w:hAnsiTheme="minorHAnsi" w:cstheme="minorBidi"/>
          <w:noProof/>
          <w:sz w:val="22"/>
          <w:szCs w:val="22"/>
        </w:rPr>
      </w:pPr>
      <w:hyperlink w:anchor="_Toc312047632" w:history="1">
        <w:r w:rsidR="002A7EC2" w:rsidRPr="00FA0E18">
          <w:rPr>
            <w:rStyle w:val="Hyperlink"/>
            <w:rFonts w:ascii="Times New Roman" w:hAnsi="Times New Roman"/>
            <w:noProof/>
            <w:lang w:val="lt-LT"/>
          </w:rPr>
          <w:t>1.TECHNINĖS ANALIZĖS, KAIP PROGNOZAVIMO METODO, SPECIFIKA</w:t>
        </w:r>
        <w:r w:rsidR="002A7EC2">
          <w:rPr>
            <w:noProof/>
            <w:webHidden/>
          </w:rPr>
          <w:tab/>
        </w:r>
        <w:r>
          <w:rPr>
            <w:noProof/>
            <w:webHidden/>
          </w:rPr>
          <w:fldChar w:fldCharType="begin"/>
        </w:r>
        <w:r w:rsidR="002A7EC2">
          <w:rPr>
            <w:noProof/>
            <w:webHidden/>
          </w:rPr>
          <w:instrText xml:space="preserve"> PAGEREF _Toc312047632 \h </w:instrText>
        </w:r>
        <w:r>
          <w:rPr>
            <w:noProof/>
            <w:webHidden/>
          </w:rPr>
        </w:r>
        <w:r>
          <w:rPr>
            <w:noProof/>
            <w:webHidden/>
          </w:rPr>
          <w:fldChar w:fldCharType="separate"/>
        </w:r>
        <w:r w:rsidR="002A7EC2">
          <w:rPr>
            <w:noProof/>
            <w:webHidden/>
          </w:rPr>
          <w:t>9</w:t>
        </w:r>
        <w:r>
          <w:rPr>
            <w:noProof/>
            <w:webHidden/>
          </w:rPr>
          <w:fldChar w:fldCharType="end"/>
        </w:r>
      </w:hyperlink>
    </w:p>
    <w:p w:rsidR="002A7EC2" w:rsidRDefault="00A56BC3">
      <w:pPr>
        <w:pStyle w:val="TOC2"/>
        <w:tabs>
          <w:tab w:val="right" w:leader="dot" w:pos="9905"/>
        </w:tabs>
        <w:rPr>
          <w:rFonts w:asciiTheme="minorHAnsi" w:eastAsiaTheme="minorEastAsia" w:hAnsiTheme="minorHAnsi" w:cstheme="minorBidi"/>
          <w:noProof/>
          <w:sz w:val="22"/>
          <w:szCs w:val="22"/>
        </w:rPr>
      </w:pPr>
      <w:hyperlink w:anchor="_Toc312047633" w:history="1">
        <w:r w:rsidR="002A7EC2" w:rsidRPr="00FA0E18">
          <w:rPr>
            <w:rStyle w:val="Hyperlink"/>
            <w:rFonts w:ascii="Times New Roman" w:hAnsi="Times New Roman"/>
            <w:noProof/>
            <w:lang w:val="lt-LT"/>
          </w:rPr>
          <w:t>1.1 Techninės analizės pagrindiniai aspektai</w:t>
        </w:r>
        <w:r w:rsidR="002A7EC2">
          <w:rPr>
            <w:noProof/>
            <w:webHidden/>
          </w:rPr>
          <w:tab/>
        </w:r>
        <w:r>
          <w:rPr>
            <w:noProof/>
            <w:webHidden/>
          </w:rPr>
          <w:fldChar w:fldCharType="begin"/>
        </w:r>
        <w:r w:rsidR="002A7EC2">
          <w:rPr>
            <w:noProof/>
            <w:webHidden/>
          </w:rPr>
          <w:instrText xml:space="preserve"> PAGEREF _Toc312047633 \h </w:instrText>
        </w:r>
        <w:r>
          <w:rPr>
            <w:noProof/>
            <w:webHidden/>
          </w:rPr>
        </w:r>
        <w:r>
          <w:rPr>
            <w:noProof/>
            <w:webHidden/>
          </w:rPr>
          <w:fldChar w:fldCharType="separate"/>
        </w:r>
        <w:r w:rsidR="002A7EC2">
          <w:rPr>
            <w:noProof/>
            <w:webHidden/>
          </w:rPr>
          <w:t>9</w:t>
        </w:r>
        <w:r>
          <w:rPr>
            <w:noProof/>
            <w:webHidden/>
          </w:rPr>
          <w:fldChar w:fldCharType="end"/>
        </w:r>
      </w:hyperlink>
    </w:p>
    <w:p w:rsidR="002A7EC2" w:rsidRDefault="00A56BC3">
      <w:pPr>
        <w:pStyle w:val="TOC2"/>
        <w:tabs>
          <w:tab w:val="right" w:leader="dot" w:pos="9905"/>
        </w:tabs>
        <w:rPr>
          <w:rFonts w:asciiTheme="minorHAnsi" w:eastAsiaTheme="minorEastAsia" w:hAnsiTheme="minorHAnsi" w:cstheme="minorBidi"/>
          <w:noProof/>
          <w:sz w:val="22"/>
          <w:szCs w:val="22"/>
        </w:rPr>
      </w:pPr>
      <w:hyperlink w:anchor="_Toc312047634" w:history="1">
        <w:r w:rsidR="002A7EC2" w:rsidRPr="00FA0E18">
          <w:rPr>
            <w:rStyle w:val="Hyperlink"/>
            <w:rFonts w:ascii="Times New Roman" w:hAnsi="Times New Roman"/>
            <w:noProof/>
            <w:lang w:val="lt-LT"/>
          </w:rPr>
          <w:t>1.2 Dow teorija kaip techninės analizės pradmuo</w:t>
        </w:r>
        <w:r w:rsidR="002A7EC2">
          <w:rPr>
            <w:noProof/>
            <w:webHidden/>
          </w:rPr>
          <w:tab/>
        </w:r>
        <w:r>
          <w:rPr>
            <w:noProof/>
            <w:webHidden/>
          </w:rPr>
          <w:fldChar w:fldCharType="begin"/>
        </w:r>
        <w:r w:rsidR="002A7EC2">
          <w:rPr>
            <w:noProof/>
            <w:webHidden/>
          </w:rPr>
          <w:instrText xml:space="preserve"> PAGEREF _Toc312047634 \h </w:instrText>
        </w:r>
        <w:r>
          <w:rPr>
            <w:noProof/>
            <w:webHidden/>
          </w:rPr>
        </w:r>
        <w:r>
          <w:rPr>
            <w:noProof/>
            <w:webHidden/>
          </w:rPr>
          <w:fldChar w:fldCharType="separate"/>
        </w:r>
        <w:r w:rsidR="002A7EC2">
          <w:rPr>
            <w:noProof/>
            <w:webHidden/>
          </w:rPr>
          <w:t>12</w:t>
        </w:r>
        <w:r>
          <w:rPr>
            <w:noProof/>
            <w:webHidden/>
          </w:rPr>
          <w:fldChar w:fldCharType="end"/>
        </w:r>
      </w:hyperlink>
    </w:p>
    <w:p w:rsidR="002A7EC2" w:rsidRDefault="00A56BC3">
      <w:pPr>
        <w:pStyle w:val="TOC2"/>
        <w:tabs>
          <w:tab w:val="right" w:leader="dot" w:pos="9905"/>
        </w:tabs>
        <w:rPr>
          <w:rFonts w:asciiTheme="minorHAnsi" w:eastAsiaTheme="minorEastAsia" w:hAnsiTheme="minorHAnsi" w:cstheme="minorBidi"/>
          <w:noProof/>
          <w:sz w:val="22"/>
          <w:szCs w:val="22"/>
        </w:rPr>
      </w:pPr>
      <w:hyperlink w:anchor="_Toc312047635" w:history="1">
        <w:r w:rsidR="002A7EC2" w:rsidRPr="00FA0E18">
          <w:rPr>
            <w:rStyle w:val="Hyperlink"/>
            <w:rFonts w:ascii="Times New Roman" w:hAnsi="Times New Roman"/>
            <w:noProof/>
            <w:lang w:val="lt-LT"/>
          </w:rPr>
          <w:t>1.3 Techninės analizės indikatorių klasifikacija</w:t>
        </w:r>
        <w:r w:rsidR="002A7EC2">
          <w:rPr>
            <w:noProof/>
            <w:webHidden/>
          </w:rPr>
          <w:tab/>
        </w:r>
        <w:r>
          <w:rPr>
            <w:noProof/>
            <w:webHidden/>
          </w:rPr>
          <w:fldChar w:fldCharType="begin"/>
        </w:r>
        <w:r w:rsidR="002A7EC2">
          <w:rPr>
            <w:noProof/>
            <w:webHidden/>
          </w:rPr>
          <w:instrText xml:space="preserve"> PAGEREF _Toc312047635 \h </w:instrText>
        </w:r>
        <w:r>
          <w:rPr>
            <w:noProof/>
            <w:webHidden/>
          </w:rPr>
        </w:r>
        <w:r>
          <w:rPr>
            <w:noProof/>
            <w:webHidden/>
          </w:rPr>
          <w:fldChar w:fldCharType="separate"/>
        </w:r>
        <w:r w:rsidR="002A7EC2">
          <w:rPr>
            <w:noProof/>
            <w:webHidden/>
          </w:rPr>
          <w:t>19</w:t>
        </w:r>
        <w:r>
          <w:rPr>
            <w:noProof/>
            <w:webHidden/>
          </w:rPr>
          <w:fldChar w:fldCharType="end"/>
        </w:r>
      </w:hyperlink>
    </w:p>
    <w:p w:rsidR="002A7EC2" w:rsidRDefault="00A56BC3">
      <w:pPr>
        <w:pStyle w:val="TOC2"/>
        <w:tabs>
          <w:tab w:val="right" w:leader="dot" w:pos="9905"/>
        </w:tabs>
        <w:rPr>
          <w:rFonts w:asciiTheme="minorHAnsi" w:eastAsiaTheme="minorEastAsia" w:hAnsiTheme="minorHAnsi" w:cstheme="minorBidi"/>
          <w:noProof/>
          <w:sz w:val="22"/>
          <w:szCs w:val="22"/>
        </w:rPr>
      </w:pPr>
      <w:hyperlink w:anchor="_Toc312047636" w:history="1">
        <w:r w:rsidR="002A7EC2" w:rsidRPr="00FA0E18">
          <w:rPr>
            <w:rStyle w:val="Hyperlink"/>
            <w:rFonts w:ascii="Times New Roman" w:hAnsi="Times New Roman"/>
            <w:noProof/>
            <w:lang w:val="lt-LT"/>
          </w:rPr>
          <w:t>1.4 Techninės analizės kritika</w:t>
        </w:r>
        <w:r w:rsidR="002A7EC2">
          <w:rPr>
            <w:noProof/>
            <w:webHidden/>
          </w:rPr>
          <w:tab/>
        </w:r>
        <w:r>
          <w:rPr>
            <w:noProof/>
            <w:webHidden/>
          </w:rPr>
          <w:fldChar w:fldCharType="begin"/>
        </w:r>
        <w:r w:rsidR="002A7EC2">
          <w:rPr>
            <w:noProof/>
            <w:webHidden/>
          </w:rPr>
          <w:instrText xml:space="preserve"> PAGEREF _Toc312047636 \h </w:instrText>
        </w:r>
        <w:r>
          <w:rPr>
            <w:noProof/>
            <w:webHidden/>
          </w:rPr>
        </w:r>
        <w:r>
          <w:rPr>
            <w:noProof/>
            <w:webHidden/>
          </w:rPr>
          <w:fldChar w:fldCharType="separate"/>
        </w:r>
        <w:r w:rsidR="002A7EC2">
          <w:rPr>
            <w:noProof/>
            <w:webHidden/>
          </w:rPr>
          <w:t>22</w:t>
        </w:r>
        <w:r>
          <w:rPr>
            <w:noProof/>
            <w:webHidden/>
          </w:rPr>
          <w:fldChar w:fldCharType="end"/>
        </w:r>
      </w:hyperlink>
    </w:p>
    <w:p w:rsidR="002A7EC2" w:rsidRDefault="00A56BC3">
      <w:pPr>
        <w:pStyle w:val="TOC1"/>
        <w:tabs>
          <w:tab w:val="right" w:leader="dot" w:pos="9905"/>
        </w:tabs>
        <w:rPr>
          <w:rFonts w:asciiTheme="minorHAnsi" w:eastAsiaTheme="minorEastAsia" w:hAnsiTheme="minorHAnsi" w:cstheme="minorBidi"/>
          <w:noProof/>
          <w:sz w:val="22"/>
          <w:szCs w:val="22"/>
        </w:rPr>
      </w:pPr>
      <w:hyperlink w:anchor="_Toc312047637" w:history="1">
        <w:r w:rsidR="002A7EC2" w:rsidRPr="00FA0E18">
          <w:rPr>
            <w:rStyle w:val="Hyperlink"/>
            <w:rFonts w:ascii="Times New Roman" w:hAnsi="Times New Roman"/>
            <w:noProof/>
            <w:lang w:val="lt-LT"/>
          </w:rPr>
          <w:t>2. TECHNINĖS ANALIZĖS INDIKATORIŲ PRITAIKYMAS BALTIJOS ŠALIŲ AKCIJŲ RINKAI</w:t>
        </w:r>
        <w:r w:rsidR="002A7EC2">
          <w:rPr>
            <w:noProof/>
            <w:webHidden/>
          </w:rPr>
          <w:tab/>
        </w:r>
        <w:r>
          <w:rPr>
            <w:noProof/>
            <w:webHidden/>
          </w:rPr>
          <w:fldChar w:fldCharType="begin"/>
        </w:r>
        <w:r w:rsidR="002A7EC2">
          <w:rPr>
            <w:noProof/>
            <w:webHidden/>
          </w:rPr>
          <w:instrText xml:space="preserve"> PAGEREF _Toc312047637 \h </w:instrText>
        </w:r>
        <w:r>
          <w:rPr>
            <w:noProof/>
            <w:webHidden/>
          </w:rPr>
        </w:r>
        <w:r>
          <w:rPr>
            <w:noProof/>
            <w:webHidden/>
          </w:rPr>
          <w:fldChar w:fldCharType="separate"/>
        </w:r>
        <w:r w:rsidR="002A7EC2">
          <w:rPr>
            <w:noProof/>
            <w:webHidden/>
          </w:rPr>
          <w:t>24</w:t>
        </w:r>
        <w:r>
          <w:rPr>
            <w:noProof/>
            <w:webHidden/>
          </w:rPr>
          <w:fldChar w:fldCharType="end"/>
        </w:r>
      </w:hyperlink>
    </w:p>
    <w:p w:rsidR="002A7EC2" w:rsidRDefault="00A56BC3">
      <w:pPr>
        <w:pStyle w:val="TOC2"/>
        <w:tabs>
          <w:tab w:val="right" w:leader="dot" w:pos="9905"/>
        </w:tabs>
        <w:rPr>
          <w:rFonts w:asciiTheme="minorHAnsi" w:eastAsiaTheme="minorEastAsia" w:hAnsiTheme="minorHAnsi" w:cstheme="minorBidi"/>
          <w:noProof/>
          <w:sz w:val="22"/>
          <w:szCs w:val="22"/>
        </w:rPr>
      </w:pPr>
      <w:hyperlink w:anchor="_Toc312047638" w:history="1">
        <w:r w:rsidR="002A7EC2" w:rsidRPr="00FA0E18">
          <w:rPr>
            <w:rStyle w:val="Hyperlink"/>
            <w:rFonts w:ascii="Times New Roman" w:hAnsi="Times New Roman"/>
            <w:noProof/>
            <w:lang w:val="lt-LT"/>
          </w:rPr>
          <w:t>2.1 Baltijos šalių akcijų rinkos pagrindiniai bruožai</w:t>
        </w:r>
        <w:r w:rsidR="002A7EC2">
          <w:rPr>
            <w:noProof/>
            <w:webHidden/>
          </w:rPr>
          <w:tab/>
        </w:r>
        <w:r>
          <w:rPr>
            <w:noProof/>
            <w:webHidden/>
          </w:rPr>
          <w:fldChar w:fldCharType="begin"/>
        </w:r>
        <w:r w:rsidR="002A7EC2">
          <w:rPr>
            <w:noProof/>
            <w:webHidden/>
          </w:rPr>
          <w:instrText xml:space="preserve"> PAGEREF _Toc312047638 \h </w:instrText>
        </w:r>
        <w:r>
          <w:rPr>
            <w:noProof/>
            <w:webHidden/>
          </w:rPr>
        </w:r>
        <w:r>
          <w:rPr>
            <w:noProof/>
            <w:webHidden/>
          </w:rPr>
          <w:fldChar w:fldCharType="separate"/>
        </w:r>
        <w:r w:rsidR="002A7EC2">
          <w:rPr>
            <w:noProof/>
            <w:webHidden/>
          </w:rPr>
          <w:t>24</w:t>
        </w:r>
        <w:r>
          <w:rPr>
            <w:noProof/>
            <w:webHidden/>
          </w:rPr>
          <w:fldChar w:fldCharType="end"/>
        </w:r>
      </w:hyperlink>
    </w:p>
    <w:p w:rsidR="002A7EC2" w:rsidRDefault="00A56BC3">
      <w:pPr>
        <w:pStyle w:val="TOC3"/>
        <w:rPr>
          <w:rFonts w:asciiTheme="minorHAnsi" w:eastAsiaTheme="minorEastAsia" w:hAnsiTheme="minorHAnsi" w:cstheme="minorBidi"/>
          <w:i w:val="0"/>
          <w:sz w:val="22"/>
          <w:szCs w:val="22"/>
          <w:lang w:val="en-US"/>
        </w:rPr>
      </w:pPr>
      <w:hyperlink w:anchor="_Toc312047639" w:history="1">
        <w:r w:rsidR="002A7EC2" w:rsidRPr="00FA0E18">
          <w:rPr>
            <w:rStyle w:val="Hyperlink"/>
            <w:rFonts w:ascii="Times New Roman" w:hAnsi="Times New Roman"/>
          </w:rPr>
          <w:t>2.1.1 Lietuvos akcijų rinkos istorija</w:t>
        </w:r>
        <w:r w:rsidR="002A7EC2">
          <w:rPr>
            <w:webHidden/>
          </w:rPr>
          <w:tab/>
        </w:r>
        <w:r>
          <w:rPr>
            <w:webHidden/>
          </w:rPr>
          <w:fldChar w:fldCharType="begin"/>
        </w:r>
        <w:r w:rsidR="002A7EC2">
          <w:rPr>
            <w:webHidden/>
          </w:rPr>
          <w:instrText xml:space="preserve"> PAGEREF _Toc312047639 \h </w:instrText>
        </w:r>
        <w:r>
          <w:rPr>
            <w:webHidden/>
          </w:rPr>
        </w:r>
        <w:r>
          <w:rPr>
            <w:webHidden/>
          </w:rPr>
          <w:fldChar w:fldCharType="separate"/>
        </w:r>
        <w:r w:rsidR="002A7EC2">
          <w:rPr>
            <w:webHidden/>
          </w:rPr>
          <w:t>24</w:t>
        </w:r>
        <w:r>
          <w:rPr>
            <w:webHidden/>
          </w:rPr>
          <w:fldChar w:fldCharType="end"/>
        </w:r>
      </w:hyperlink>
    </w:p>
    <w:p w:rsidR="002A7EC2" w:rsidRDefault="00A56BC3">
      <w:pPr>
        <w:pStyle w:val="TOC3"/>
        <w:rPr>
          <w:rFonts w:asciiTheme="minorHAnsi" w:eastAsiaTheme="minorEastAsia" w:hAnsiTheme="minorHAnsi" w:cstheme="minorBidi"/>
          <w:i w:val="0"/>
          <w:sz w:val="22"/>
          <w:szCs w:val="22"/>
          <w:lang w:val="en-US"/>
        </w:rPr>
      </w:pPr>
      <w:hyperlink w:anchor="_Toc312047640" w:history="1">
        <w:r w:rsidR="002A7EC2" w:rsidRPr="00FA0E18">
          <w:rPr>
            <w:rStyle w:val="Hyperlink"/>
            <w:rFonts w:ascii="Times New Roman" w:hAnsi="Times New Roman"/>
          </w:rPr>
          <w:t>2.1.2 Baltijos šalių biržos šiandien</w:t>
        </w:r>
        <w:r w:rsidR="002A7EC2">
          <w:rPr>
            <w:webHidden/>
          </w:rPr>
          <w:tab/>
        </w:r>
        <w:r>
          <w:rPr>
            <w:webHidden/>
          </w:rPr>
          <w:fldChar w:fldCharType="begin"/>
        </w:r>
        <w:r w:rsidR="002A7EC2">
          <w:rPr>
            <w:webHidden/>
          </w:rPr>
          <w:instrText xml:space="preserve"> PAGEREF _Toc312047640 \h </w:instrText>
        </w:r>
        <w:r>
          <w:rPr>
            <w:webHidden/>
          </w:rPr>
        </w:r>
        <w:r>
          <w:rPr>
            <w:webHidden/>
          </w:rPr>
          <w:fldChar w:fldCharType="separate"/>
        </w:r>
        <w:r w:rsidR="002A7EC2">
          <w:rPr>
            <w:webHidden/>
          </w:rPr>
          <w:t>28</w:t>
        </w:r>
        <w:r>
          <w:rPr>
            <w:webHidden/>
          </w:rPr>
          <w:fldChar w:fldCharType="end"/>
        </w:r>
      </w:hyperlink>
    </w:p>
    <w:p w:rsidR="002A7EC2" w:rsidRDefault="00A56BC3">
      <w:pPr>
        <w:pStyle w:val="TOC2"/>
        <w:tabs>
          <w:tab w:val="right" w:leader="dot" w:pos="9905"/>
        </w:tabs>
        <w:rPr>
          <w:rFonts w:asciiTheme="minorHAnsi" w:eastAsiaTheme="minorEastAsia" w:hAnsiTheme="minorHAnsi" w:cstheme="minorBidi"/>
          <w:noProof/>
          <w:sz w:val="22"/>
          <w:szCs w:val="22"/>
        </w:rPr>
      </w:pPr>
      <w:hyperlink w:anchor="_Toc312047641" w:history="1">
        <w:r w:rsidR="002A7EC2" w:rsidRPr="00FA0E18">
          <w:rPr>
            <w:rStyle w:val="Hyperlink"/>
            <w:rFonts w:ascii="Times New Roman" w:hAnsi="Times New Roman"/>
            <w:noProof/>
            <w:lang w:val="lt-LT"/>
          </w:rPr>
          <w:t>2.2 Techninės analizės indikatoriai ir jų taikymas</w:t>
        </w:r>
        <w:r w:rsidR="002A7EC2">
          <w:rPr>
            <w:noProof/>
            <w:webHidden/>
          </w:rPr>
          <w:tab/>
        </w:r>
        <w:r>
          <w:rPr>
            <w:noProof/>
            <w:webHidden/>
          </w:rPr>
          <w:fldChar w:fldCharType="begin"/>
        </w:r>
        <w:r w:rsidR="002A7EC2">
          <w:rPr>
            <w:noProof/>
            <w:webHidden/>
          </w:rPr>
          <w:instrText xml:space="preserve"> PAGEREF _Toc312047641 \h </w:instrText>
        </w:r>
        <w:r>
          <w:rPr>
            <w:noProof/>
            <w:webHidden/>
          </w:rPr>
        </w:r>
        <w:r>
          <w:rPr>
            <w:noProof/>
            <w:webHidden/>
          </w:rPr>
          <w:fldChar w:fldCharType="separate"/>
        </w:r>
        <w:r w:rsidR="002A7EC2">
          <w:rPr>
            <w:noProof/>
            <w:webHidden/>
          </w:rPr>
          <w:t>29</w:t>
        </w:r>
        <w:r>
          <w:rPr>
            <w:noProof/>
            <w:webHidden/>
          </w:rPr>
          <w:fldChar w:fldCharType="end"/>
        </w:r>
      </w:hyperlink>
    </w:p>
    <w:p w:rsidR="002A7EC2" w:rsidRDefault="00A56BC3">
      <w:pPr>
        <w:pStyle w:val="TOC3"/>
        <w:rPr>
          <w:rFonts w:asciiTheme="minorHAnsi" w:eastAsiaTheme="minorEastAsia" w:hAnsiTheme="minorHAnsi" w:cstheme="minorBidi"/>
          <w:i w:val="0"/>
          <w:sz w:val="22"/>
          <w:szCs w:val="22"/>
          <w:lang w:val="en-US"/>
        </w:rPr>
      </w:pPr>
      <w:hyperlink w:anchor="_Toc312047642" w:history="1">
        <w:r w:rsidR="002A7EC2" w:rsidRPr="00FA0E18">
          <w:rPr>
            <w:rStyle w:val="Hyperlink"/>
            <w:rFonts w:ascii="Times New Roman" w:hAnsi="Times New Roman"/>
          </w:rPr>
          <w:t>2.2.1 Bolingerio juostų indikatorius – kaina juda kanalu</w:t>
        </w:r>
        <w:r w:rsidR="002A7EC2">
          <w:rPr>
            <w:webHidden/>
          </w:rPr>
          <w:tab/>
        </w:r>
        <w:r>
          <w:rPr>
            <w:webHidden/>
          </w:rPr>
          <w:fldChar w:fldCharType="begin"/>
        </w:r>
        <w:r w:rsidR="002A7EC2">
          <w:rPr>
            <w:webHidden/>
          </w:rPr>
          <w:instrText xml:space="preserve"> PAGEREF _Toc312047642 \h </w:instrText>
        </w:r>
        <w:r>
          <w:rPr>
            <w:webHidden/>
          </w:rPr>
        </w:r>
        <w:r>
          <w:rPr>
            <w:webHidden/>
          </w:rPr>
          <w:fldChar w:fldCharType="separate"/>
        </w:r>
        <w:r w:rsidR="002A7EC2">
          <w:rPr>
            <w:webHidden/>
          </w:rPr>
          <w:t>31</w:t>
        </w:r>
        <w:r>
          <w:rPr>
            <w:webHidden/>
          </w:rPr>
          <w:fldChar w:fldCharType="end"/>
        </w:r>
      </w:hyperlink>
    </w:p>
    <w:p w:rsidR="002A7EC2" w:rsidRDefault="00A56BC3">
      <w:pPr>
        <w:pStyle w:val="TOC3"/>
        <w:rPr>
          <w:rFonts w:asciiTheme="minorHAnsi" w:eastAsiaTheme="minorEastAsia" w:hAnsiTheme="minorHAnsi" w:cstheme="minorBidi"/>
          <w:i w:val="0"/>
          <w:sz w:val="22"/>
          <w:szCs w:val="22"/>
          <w:lang w:val="en-US"/>
        </w:rPr>
      </w:pPr>
      <w:hyperlink w:anchor="_Toc312047643" w:history="1">
        <w:r w:rsidR="002A7EC2" w:rsidRPr="00FA0E18">
          <w:rPr>
            <w:rStyle w:val="Hyperlink"/>
            <w:rFonts w:ascii="Times New Roman" w:hAnsi="Times New Roman"/>
          </w:rPr>
          <w:t>2.2.2 MACD - slankiųjų vidurkių konvergencija-divergencija</w:t>
        </w:r>
        <w:r w:rsidR="002A7EC2">
          <w:rPr>
            <w:webHidden/>
          </w:rPr>
          <w:tab/>
        </w:r>
        <w:r>
          <w:rPr>
            <w:webHidden/>
          </w:rPr>
          <w:fldChar w:fldCharType="begin"/>
        </w:r>
        <w:r w:rsidR="002A7EC2">
          <w:rPr>
            <w:webHidden/>
          </w:rPr>
          <w:instrText xml:space="preserve"> PAGEREF _Toc312047643 \h </w:instrText>
        </w:r>
        <w:r>
          <w:rPr>
            <w:webHidden/>
          </w:rPr>
        </w:r>
        <w:r>
          <w:rPr>
            <w:webHidden/>
          </w:rPr>
          <w:fldChar w:fldCharType="separate"/>
        </w:r>
        <w:r w:rsidR="002A7EC2">
          <w:rPr>
            <w:webHidden/>
          </w:rPr>
          <w:t>33</w:t>
        </w:r>
        <w:r>
          <w:rPr>
            <w:webHidden/>
          </w:rPr>
          <w:fldChar w:fldCharType="end"/>
        </w:r>
      </w:hyperlink>
    </w:p>
    <w:p w:rsidR="002A7EC2" w:rsidRDefault="00A56BC3">
      <w:pPr>
        <w:pStyle w:val="TOC3"/>
        <w:rPr>
          <w:rFonts w:asciiTheme="minorHAnsi" w:eastAsiaTheme="minorEastAsia" w:hAnsiTheme="minorHAnsi" w:cstheme="minorBidi"/>
          <w:i w:val="0"/>
          <w:sz w:val="22"/>
          <w:szCs w:val="22"/>
          <w:lang w:val="en-US"/>
        </w:rPr>
      </w:pPr>
      <w:hyperlink w:anchor="_Toc312047644" w:history="1">
        <w:r w:rsidR="002A7EC2" w:rsidRPr="00FA0E18">
          <w:rPr>
            <w:rStyle w:val="Hyperlink"/>
            <w:rFonts w:ascii="Times New Roman" w:hAnsi="Times New Roman"/>
          </w:rPr>
          <w:t>2.2.3 RSI - lyginamosios jėgos indeksas, impulso paieška</w:t>
        </w:r>
        <w:r w:rsidR="002A7EC2">
          <w:rPr>
            <w:webHidden/>
          </w:rPr>
          <w:tab/>
        </w:r>
        <w:r>
          <w:rPr>
            <w:webHidden/>
          </w:rPr>
          <w:fldChar w:fldCharType="begin"/>
        </w:r>
        <w:r w:rsidR="002A7EC2">
          <w:rPr>
            <w:webHidden/>
          </w:rPr>
          <w:instrText xml:space="preserve"> PAGEREF _Toc312047644 \h </w:instrText>
        </w:r>
        <w:r>
          <w:rPr>
            <w:webHidden/>
          </w:rPr>
        </w:r>
        <w:r>
          <w:rPr>
            <w:webHidden/>
          </w:rPr>
          <w:fldChar w:fldCharType="separate"/>
        </w:r>
        <w:r w:rsidR="002A7EC2">
          <w:rPr>
            <w:webHidden/>
          </w:rPr>
          <w:t>35</w:t>
        </w:r>
        <w:r>
          <w:rPr>
            <w:webHidden/>
          </w:rPr>
          <w:fldChar w:fldCharType="end"/>
        </w:r>
      </w:hyperlink>
    </w:p>
    <w:p w:rsidR="002A7EC2" w:rsidRDefault="00A56BC3">
      <w:pPr>
        <w:pStyle w:val="TOC3"/>
        <w:rPr>
          <w:rFonts w:asciiTheme="minorHAnsi" w:eastAsiaTheme="minorEastAsia" w:hAnsiTheme="minorHAnsi" w:cstheme="minorBidi"/>
          <w:i w:val="0"/>
          <w:sz w:val="22"/>
          <w:szCs w:val="22"/>
          <w:lang w:val="en-US"/>
        </w:rPr>
      </w:pPr>
      <w:hyperlink w:anchor="_Toc312047645" w:history="1">
        <w:r w:rsidR="002A7EC2" w:rsidRPr="00FA0E18">
          <w:rPr>
            <w:rStyle w:val="Hyperlink"/>
            <w:rFonts w:ascii="Times New Roman" w:hAnsi="Times New Roman"/>
          </w:rPr>
          <w:t>2.2.4 Slankusis vidurkis – kainos palyginimas su jos vidurkiu</w:t>
        </w:r>
        <w:r w:rsidR="002A7EC2">
          <w:rPr>
            <w:webHidden/>
          </w:rPr>
          <w:tab/>
        </w:r>
        <w:r>
          <w:rPr>
            <w:webHidden/>
          </w:rPr>
          <w:fldChar w:fldCharType="begin"/>
        </w:r>
        <w:r w:rsidR="002A7EC2">
          <w:rPr>
            <w:webHidden/>
          </w:rPr>
          <w:instrText xml:space="preserve"> PAGEREF _Toc312047645 \h </w:instrText>
        </w:r>
        <w:r>
          <w:rPr>
            <w:webHidden/>
          </w:rPr>
        </w:r>
        <w:r>
          <w:rPr>
            <w:webHidden/>
          </w:rPr>
          <w:fldChar w:fldCharType="separate"/>
        </w:r>
        <w:r w:rsidR="002A7EC2">
          <w:rPr>
            <w:webHidden/>
          </w:rPr>
          <w:t>37</w:t>
        </w:r>
        <w:r>
          <w:rPr>
            <w:webHidden/>
          </w:rPr>
          <w:fldChar w:fldCharType="end"/>
        </w:r>
      </w:hyperlink>
    </w:p>
    <w:p w:rsidR="002A7EC2" w:rsidRDefault="00A56BC3">
      <w:pPr>
        <w:pStyle w:val="TOC3"/>
        <w:rPr>
          <w:rFonts w:asciiTheme="minorHAnsi" w:eastAsiaTheme="minorEastAsia" w:hAnsiTheme="minorHAnsi" w:cstheme="minorBidi"/>
          <w:i w:val="0"/>
          <w:sz w:val="22"/>
          <w:szCs w:val="22"/>
          <w:lang w:val="en-US"/>
        </w:rPr>
      </w:pPr>
      <w:hyperlink w:anchor="_Toc312047646" w:history="1">
        <w:r w:rsidR="002A7EC2" w:rsidRPr="00FA0E18">
          <w:rPr>
            <w:rStyle w:val="Hyperlink"/>
            <w:rFonts w:ascii="Times New Roman" w:hAnsi="Times New Roman"/>
          </w:rPr>
          <w:t>2.2.5 Pokyčio indikatorius – paskutinės kainos ir praeities kainos palyginimas</w:t>
        </w:r>
        <w:r w:rsidR="002A7EC2">
          <w:rPr>
            <w:webHidden/>
          </w:rPr>
          <w:tab/>
        </w:r>
        <w:r>
          <w:rPr>
            <w:webHidden/>
          </w:rPr>
          <w:fldChar w:fldCharType="begin"/>
        </w:r>
        <w:r w:rsidR="002A7EC2">
          <w:rPr>
            <w:webHidden/>
          </w:rPr>
          <w:instrText xml:space="preserve"> PAGEREF _Toc312047646 \h </w:instrText>
        </w:r>
        <w:r>
          <w:rPr>
            <w:webHidden/>
          </w:rPr>
        </w:r>
        <w:r>
          <w:rPr>
            <w:webHidden/>
          </w:rPr>
          <w:fldChar w:fldCharType="separate"/>
        </w:r>
        <w:r w:rsidR="002A7EC2">
          <w:rPr>
            <w:webHidden/>
          </w:rPr>
          <w:t>38</w:t>
        </w:r>
        <w:r>
          <w:rPr>
            <w:webHidden/>
          </w:rPr>
          <w:fldChar w:fldCharType="end"/>
        </w:r>
      </w:hyperlink>
    </w:p>
    <w:p w:rsidR="002A7EC2" w:rsidRDefault="00A56BC3">
      <w:pPr>
        <w:pStyle w:val="TOC3"/>
        <w:rPr>
          <w:rFonts w:asciiTheme="minorHAnsi" w:eastAsiaTheme="minorEastAsia" w:hAnsiTheme="minorHAnsi" w:cstheme="minorBidi"/>
          <w:i w:val="0"/>
          <w:sz w:val="22"/>
          <w:szCs w:val="22"/>
          <w:lang w:val="en-US"/>
        </w:rPr>
      </w:pPr>
      <w:hyperlink w:anchor="_Toc312047647" w:history="1">
        <w:r w:rsidR="002A7EC2" w:rsidRPr="00FA0E18">
          <w:rPr>
            <w:rStyle w:val="Hyperlink"/>
            <w:rFonts w:ascii="Times New Roman" w:hAnsi="Times New Roman"/>
          </w:rPr>
          <w:t>2.2.6 Pasikeitimo masto indikatorius – kainos kitimo greitis</w:t>
        </w:r>
        <w:r w:rsidR="002A7EC2">
          <w:rPr>
            <w:webHidden/>
          </w:rPr>
          <w:tab/>
        </w:r>
        <w:r>
          <w:rPr>
            <w:webHidden/>
          </w:rPr>
          <w:fldChar w:fldCharType="begin"/>
        </w:r>
        <w:r w:rsidR="002A7EC2">
          <w:rPr>
            <w:webHidden/>
          </w:rPr>
          <w:instrText xml:space="preserve"> PAGEREF _Toc312047647 \h </w:instrText>
        </w:r>
        <w:r>
          <w:rPr>
            <w:webHidden/>
          </w:rPr>
        </w:r>
        <w:r>
          <w:rPr>
            <w:webHidden/>
          </w:rPr>
          <w:fldChar w:fldCharType="separate"/>
        </w:r>
        <w:r w:rsidR="002A7EC2">
          <w:rPr>
            <w:webHidden/>
          </w:rPr>
          <w:t>39</w:t>
        </w:r>
        <w:r>
          <w:rPr>
            <w:webHidden/>
          </w:rPr>
          <w:fldChar w:fldCharType="end"/>
        </w:r>
      </w:hyperlink>
    </w:p>
    <w:p w:rsidR="002A7EC2" w:rsidRDefault="00A56BC3">
      <w:pPr>
        <w:pStyle w:val="TOC3"/>
        <w:rPr>
          <w:rFonts w:asciiTheme="minorHAnsi" w:eastAsiaTheme="minorEastAsia" w:hAnsiTheme="minorHAnsi" w:cstheme="minorBidi"/>
          <w:i w:val="0"/>
          <w:sz w:val="22"/>
          <w:szCs w:val="22"/>
          <w:lang w:val="en-US"/>
        </w:rPr>
      </w:pPr>
      <w:hyperlink w:anchor="_Toc312047648" w:history="1">
        <w:r w:rsidR="002A7EC2" w:rsidRPr="00FA0E18">
          <w:rPr>
            <w:rStyle w:val="Hyperlink"/>
            <w:rFonts w:ascii="Times New Roman" w:hAnsi="Times New Roman"/>
          </w:rPr>
          <w:t>2.2.7 Stochastinis osciliatorius – kainos vieta jos svyravimo amplitudėje</w:t>
        </w:r>
        <w:r w:rsidR="002A7EC2">
          <w:rPr>
            <w:webHidden/>
          </w:rPr>
          <w:tab/>
        </w:r>
        <w:r>
          <w:rPr>
            <w:webHidden/>
          </w:rPr>
          <w:fldChar w:fldCharType="begin"/>
        </w:r>
        <w:r w:rsidR="002A7EC2">
          <w:rPr>
            <w:webHidden/>
          </w:rPr>
          <w:instrText xml:space="preserve"> PAGEREF _Toc312047648 \h </w:instrText>
        </w:r>
        <w:r>
          <w:rPr>
            <w:webHidden/>
          </w:rPr>
        </w:r>
        <w:r>
          <w:rPr>
            <w:webHidden/>
          </w:rPr>
          <w:fldChar w:fldCharType="separate"/>
        </w:r>
        <w:r w:rsidR="002A7EC2">
          <w:rPr>
            <w:webHidden/>
          </w:rPr>
          <w:t>41</w:t>
        </w:r>
        <w:r>
          <w:rPr>
            <w:webHidden/>
          </w:rPr>
          <w:fldChar w:fldCharType="end"/>
        </w:r>
      </w:hyperlink>
    </w:p>
    <w:p w:rsidR="002A7EC2" w:rsidRDefault="00A56BC3">
      <w:pPr>
        <w:pStyle w:val="TOC3"/>
        <w:rPr>
          <w:rFonts w:asciiTheme="minorHAnsi" w:eastAsiaTheme="minorEastAsia" w:hAnsiTheme="minorHAnsi" w:cstheme="minorBidi"/>
          <w:i w:val="0"/>
          <w:sz w:val="22"/>
          <w:szCs w:val="22"/>
          <w:lang w:val="en-US"/>
        </w:rPr>
      </w:pPr>
      <w:hyperlink w:anchor="_Toc312047649" w:history="1">
        <w:r w:rsidR="002A7EC2" w:rsidRPr="00FA0E18">
          <w:rPr>
            <w:rStyle w:val="Hyperlink"/>
            <w:rFonts w:ascii="Times New Roman" w:hAnsi="Times New Roman"/>
          </w:rPr>
          <w:t>2.2.8 Viljamso procentinis R indikatorius – perpirktos ir perparduotos rinkos matas</w:t>
        </w:r>
        <w:r w:rsidR="002A7EC2">
          <w:rPr>
            <w:webHidden/>
          </w:rPr>
          <w:tab/>
        </w:r>
        <w:r>
          <w:rPr>
            <w:webHidden/>
          </w:rPr>
          <w:fldChar w:fldCharType="begin"/>
        </w:r>
        <w:r w:rsidR="002A7EC2">
          <w:rPr>
            <w:webHidden/>
          </w:rPr>
          <w:instrText xml:space="preserve"> PAGEREF _Toc312047649 \h </w:instrText>
        </w:r>
        <w:r>
          <w:rPr>
            <w:webHidden/>
          </w:rPr>
        </w:r>
        <w:r>
          <w:rPr>
            <w:webHidden/>
          </w:rPr>
          <w:fldChar w:fldCharType="separate"/>
        </w:r>
        <w:r w:rsidR="002A7EC2">
          <w:rPr>
            <w:webHidden/>
          </w:rPr>
          <w:t>42</w:t>
        </w:r>
        <w:r>
          <w:rPr>
            <w:webHidden/>
          </w:rPr>
          <w:fldChar w:fldCharType="end"/>
        </w:r>
      </w:hyperlink>
    </w:p>
    <w:p w:rsidR="002A7EC2" w:rsidRDefault="00A56BC3">
      <w:pPr>
        <w:pStyle w:val="TOC3"/>
        <w:rPr>
          <w:rFonts w:asciiTheme="minorHAnsi" w:eastAsiaTheme="minorEastAsia" w:hAnsiTheme="minorHAnsi" w:cstheme="minorBidi"/>
          <w:i w:val="0"/>
          <w:sz w:val="22"/>
          <w:szCs w:val="22"/>
          <w:lang w:val="en-US"/>
        </w:rPr>
      </w:pPr>
      <w:hyperlink w:anchor="_Toc312047650" w:history="1">
        <w:r w:rsidR="002A7EC2" w:rsidRPr="00FA0E18">
          <w:rPr>
            <w:rStyle w:val="Hyperlink"/>
            <w:rFonts w:ascii="Times New Roman" w:hAnsi="Times New Roman"/>
          </w:rPr>
          <w:t>2.2.9 Pinigų srauto indeksas, kaip pirkėjų ir pardavėjų matuoklis</w:t>
        </w:r>
        <w:r w:rsidR="002A7EC2">
          <w:rPr>
            <w:webHidden/>
          </w:rPr>
          <w:tab/>
        </w:r>
        <w:r>
          <w:rPr>
            <w:webHidden/>
          </w:rPr>
          <w:fldChar w:fldCharType="begin"/>
        </w:r>
        <w:r w:rsidR="002A7EC2">
          <w:rPr>
            <w:webHidden/>
          </w:rPr>
          <w:instrText xml:space="preserve"> PAGEREF _Toc312047650 \h </w:instrText>
        </w:r>
        <w:r>
          <w:rPr>
            <w:webHidden/>
          </w:rPr>
        </w:r>
        <w:r>
          <w:rPr>
            <w:webHidden/>
          </w:rPr>
          <w:fldChar w:fldCharType="separate"/>
        </w:r>
        <w:r w:rsidR="002A7EC2">
          <w:rPr>
            <w:webHidden/>
          </w:rPr>
          <w:t>44</w:t>
        </w:r>
        <w:r>
          <w:rPr>
            <w:webHidden/>
          </w:rPr>
          <w:fldChar w:fldCharType="end"/>
        </w:r>
      </w:hyperlink>
    </w:p>
    <w:p w:rsidR="002A7EC2" w:rsidRDefault="00A56BC3">
      <w:pPr>
        <w:pStyle w:val="TOC3"/>
        <w:rPr>
          <w:rFonts w:asciiTheme="minorHAnsi" w:eastAsiaTheme="minorEastAsia" w:hAnsiTheme="minorHAnsi" w:cstheme="minorBidi"/>
          <w:i w:val="0"/>
          <w:sz w:val="22"/>
          <w:szCs w:val="22"/>
          <w:lang w:val="en-US"/>
        </w:rPr>
      </w:pPr>
      <w:hyperlink w:anchor="_Toc312047651" w:history="1">
        <w:r w:rsidR="002A7EC2" w:rsidRPr="00FA0E18">
          <w:rPr>
            <w:rStyle w:val="Hyperlink"/>
            <w:rFonts w:ascii="Times New Roman" w:hAnsi="Times New Roman"/>
          </w:rPr>
          <w:t>2.2.10 Dončiano kanalo indikatorius, kaip kainos išsiveržimo iš kanalo indikatorius</w:t>
        </w:r>
        <w:r w:rsidR="002A7EC2">
          <w:rPr>
            <w:webHidden/>
          </w:rPr>
          <w:tab/>
        </w:r>
        <w:r>
          <w:rPr>
            <w:webHidden/>
          </w:rPr>
          <w:fldChar w:fldCharType="begin"/>
        </w:r>
        <w:r w:rsidR="002A7EC2">
          <w:rPr>
            <w:webHidden/>
          </w:rPr>
          <w:instrText xml:space="preserve"> PAGEREF _Toc312047651 \h </w:instrText>
        </w:r>
        <w:r>
          <w:rPr>
            <w:webHidden/>
          </w:rPr>
        </w:r>
        <w:r>
          <w:rPr>
            <w:webHidden/>
          </w:rPr>
          <w:fldChar w:fldCharType="separate"/>
        </w:r>
        <w:r w:rsidR="002A7EC2">
          <w:rPr>
            <w:webHidden/>
          </w:rPr>
          <w:t>45</w:t>
        </w:r>
        <w:r>
          <w:rPr>
            <w:webHidden/>
          </w:rPr>
          <w:fldChar w:fldCharType="end"/>
        </w:r>
      </w:hyperlink>
    </w:p>
    <w:p w:rsidR="002A7EC2" w:rsidRDefault="00A56BC3">
      <w:pPr>
        <w:pStyle w:val="TOC1"/>
        <w:tabs>
          <w:tab w:val="right" w:leader="dot" w:pos="9905"/>
        </w:tabs>
        <w:rPr>
          <w:rFonts w:asciiTheme="minorHAnsi" w:eastAsiaTheme="minorEastAsia" w:hAnsiTheme="minorHAnsi" w:cstheme="minorBidi"/>
          <w:noProof/>
          <w:sz w:val="22"/>
          <w:szCs w:val="22"/>
        </w:rPr>
      </w:pPr>
      <w:hyperlink w:anchor="_Toc312047652" w:history="1">
        <w:r w:rsidR="002A7EC2" w:rsidRPr="00FA0E18">
          <w:rPr>
            <w:rStyle w:val="Hyperlink"/>
            <w:rFonts w:ascii="Times New Roman" w:hAnsi="Times New Roman"/>
            <w:noProof/>
            <w:lang w:val="lt-LT"/>
          </w:rPr>
          <w:t>3. TECHNINĖS ANALIZĖS METODŲ TAIKYMAS</w:t>
        </w:r>
        <w:r w:rsidR="002A7EC2">
          <w:rPr>
            <w:noProof/>
            <w:webHidden/>
          </w:rPr>
          <w:tab/>
        </w:r>
        <w:r>
          <w:rPr>
            <w:noProof/>
            <w:webHidden/>
          </w:rPr>
          <w:fldChar w:fldCharType="begin"/>
        </w:r>
        <w:r w:rsidR="002A7EC2">
          <w:rPr>
            <w:noProof/>
            <w:webHidden/>
          </w:rPr>
          <w:instrText xml:space="preserve"> PAGEREF _Toc312047652 \h </w:instrText>
        </w:r>
        <w:r>
          <w:rPr>
            <w:noProof/>
            <w:webHidden/>
          </w:rPr>
        </w:r>
        <w:r>
          <w:rPr>
            <w:noProof/>
            <w:webHidden/>
          </w:rPr>
          <w:fldChar w:fldCharType="separate"/>
        </w:r>
        <w:r w:rsidR="002A7EC2">
          <w:rPr>
            <w:noProof/>
            <w:webHidden/>
          </w:rPr>
          <w:t>48</w:t>
        </w:r>
        <w:r>
          <w:rPr>
            <w:noProof/>
            <w:webHidden/>
          </w:rPr>
          <w:fldChar w:fldCharType="end"/>
        </w:r>
      </w:hyperlink>
    </w:p>
    <w:p w:rsidR="002A7EC2" w:rsidRDefault="00A56BC3">
      <w:pPr>
        <w:pStyle w:val="TOC2"/>
        <w:tabs>
          <w:tab w:val="right" w:leader="dot" w:pos="9905"/>
        </w:tabs>
        <w:rPr>
          <w:rFonts w:asciiTheme="minorHAnsi" w:eastAsiaTheme="minorEastAsia" w:hAnsiTheme="minorHAnsi" w:cstheme="minorBidi"/>
          <w:noProof/>
          <w:sz w:val="22"/>
          <w:szCs w:val="22"/>
        </w:rPr>
      </w:pPr>
      <w:hyperlink w:anchor="_Toc312047653" w:history="1">
        <w:r w:rsidR="002A7EC2" w:rsidRPr="00FA0E18">
          <w:rPr>
            <w:rStyle w:val="Hyperlink"/>
            <w:rFonts w:ascii="Times New Roman" w:hAnsi="Times New Roman"/>
            <w:noProof/>
            <w:lang w:val="lt-LT"/>
          </w:rPr>
          <w:t>3.1 Techninės analizės indikatorių reitingavimas pagal jų tinkamumą NASDAQ OMX Baltic akcijų rinkai</w:t>
        </w:r>
        <w:r w:rsidR="002A7EC2">
          <w:rPr>
            <w:noProof/>
            <w:webHidden/>
          </w:rPr>
          <w:tab/>
        </w:r>
        <w:r>
          <w:rPr>
            <w:noProof/>
            <w:webHidden/>
          </w:rPr>
          <w:fldChar w:fldCharType="begin"/>
        </w:r>
        <w:r w:rsidR="002A7EC2">
          <w:rPr>
            <w:noProof/>
            <w:webHidden/>
          </w:rPr>
          <w:instrText xml:space="preserve"> PAGEREF _Toc312047653 \h </w:instrText>
        </w:r>
        <w:r>
          <w:rPr>
            <w:noProof/>
            <w:webHidden/>
          </w:rPr>
        </w:r>
        <w:r>
          <w:rPr>
            <w:noProof/>
            <w:webHidden/>
          </w:rPr>
          <w:fldChar w:fldCharType="separate"/>
        </w:r>
        <w:r w:rsidR="002A7EC2">
          <w:rPr>
            <w:noProof/>
            <w:webHidden/>
          </w:rPr>
          <w:t>48</w:t>
        </w:r>
        <w:r>
          <w:rPr>
            <w:noProof/>
            <w:webHidden/>
          </w:rPr>
          <w:fldChar w:fldCharType="end"/>
        </w:r>
      </w:hyperlink>
    </w:p>
    <w:p w:rsidR="002A7EC2" w:rsidRDefault="00A56BC3">
      <w:pPr>
        <w:pStyle w:val="TOC2"/>
        <w:tabs>
          <w:tab w:val="right" w:leader="dot" w:pos="9905"/>
        </w:tabs>
        <w:rPr>
          <w:rFonts w:asciiTheme="minorHAnsi" w:eastAsiaTheme="minorEastAsia" w:hAnsiTheme="minorHAnsi" w:cstheme="minorBidi"/>
          <w:noProof/>
          <w:sz w:val="22"/>
          <w:szCs w:val="22"/>
        </w:rPr>
      </w:pPr>
      <w:hyperlink w:anchor="_Toc312047654" w:history="1">
        <w:r w:rsidR="002A7EC2" w:rsidRPr="00FA0E18">
          <w:rPr>
            <w:rStyle w:val="Hyperlink"/>
            <w:rFonts w:ascii="Times New Roman" w:hAnsi="Times New Roman"/>
            <w:noProof/>
            <w:lang w:val="lt-LT"/>
          </w:rPr>
          <w:t>3.2 Prognozavimas panaudojant techninės analizės indikatorius</w:t>
        </w:r>
        <w:r w:rsidR="002A7EC2">
          <w:rPr>
            <w:noProof/>
            <w:webHidden/>
          </w:rPr>
          <w:tab/>
        </w:r>
        <w:r>
          <w:rPr>
            <w:noProof/>
            <w:webHidden/>
          </w:rPr>
          <w:fldChar w:fldCharType="begin"/>
        </w:r>
        <w:r w:rsidR="002A7EC2">
          <w:rPr>
            <w:noProof/>
            <w:webHidden/>
          </w:rPr>
          <w:instrText xml:space="preserve"> PAGEREF _Toc312047654 \h </w:instrText>
        </w:r>
        <w:r>
          <w:rPr>
            <w:noProof/>
            <w:webHidden/>
          </w:rPr>
        </w:r>
        <w:r>
          <w:rPr>
            <w:noProof/>
            <w:webHidden/>
          </w:rPr>
          <w:fldChar w:fldCharType="separate"/>
        </w:r>
        <w:r w:rsidR="002A7EC2">
          <w:rPr>
            <w:noProof/>
            <w:webHidden/>
          </w:rPr>
          <w:t>49</w:t>
        </w:r>
        <w:r>
          <w:rPr>
            <w:noProof/>
            <w:webHidden/>
          </w:rPr>
          <w:fldChar w:fldCharType="end"/>
        </w:r>
      </w:hyperlink>
    </w:p>
    <w:p w:rsidR="002A7EC2" w:rsidRDefault="00A56BC3">
      <w:pPr>
        <w:pStyle w:val="TOC2"/>
        <w:tabs>
          <w:tab w:val="right" w:leader="dot" w:pos="9905"/>
        </w:tabs>
        <w:rPr>
          <w:rFonts w:asciiTheme="minorHAnsi" w:eastAsiaTheme="minorEastAsia" w:hAnsiTheme="minorHAnsi" w:cstheme="minorBidi"/>
          <w:noProof/>
          <w:sz w:val="22"/>
          <w:szCs w:val="22"/>
        </w:rPr>
      </w:pPr>
      <w:hyperlink w:anchor="_Toc312047655" w:history="1">
        <w:r w:rsidR="002A7EC2" w:rsidRPr="00FA0E18">
          <w:rPr>
            <w:rStyle w:val="Hyperlink"/>
            <w:rFonts w:ascii="Times New Roman" w:hAnsi="Times New Roman"/>
            <w:noProof/>
            <w:lang w:val="lt-LT"/>
          </w:rPr>
          <w:t>3.3 Prognozės, parengtos naudojant techninės analizės indikatorius, vertinimas</w:t>
        </w:r>
        <w:r w:rsidR="002A7EC2">
          <w:rPr>
            <w:noProof/>
            <w:webHidden/>
          </w:rPr>
          <w:tab/>
        </w:r>
        <w:r>
          <w:rPr>
            <w:noProof/>
            <w:webHidden/>
          </w:rPr>
          <w:fldChar w:fldCharType="begin"/>
        </w:r>
        <w:r w:rsidR="002A7EC2">
          <w:rPr>
            <w:noProof/>
            <w:webHidden/>
          </w:rPr>
          <w:instrText xml:space="preserve"> PAGEREF _Toc312047655 \h </w:instrText>
        </w:r>
        <w:r>
          <w:rPr>
            <w:noProof/>
            <w:webHidden/>
          </w:rPr>
        </w:r>
        <w:r>
          <w:rPr>
            <w:noProof/>
            <w:webHidden/>
          </w:rPr>
          <w:fldChar w:fldCharType="separate"/>
        </w:r>
        <w:r w:rsidR="002A7EC2">
          <w:rPr>
            <w:noProof/>
            <w:webHidden/>
          </w:rPr>
          <w:t>51</w:t>
        </w:r>
        <w:r>
          <w:rPr>
            <w:noProof/>
            <w:webHidden/>
          </w:rPr>
          <w:fldChar w:fldCharType="end"/>
        </w:r>
      </w:hyperlink>
    </w:p>
    <w:p w:rsidR="002A7EC2" w:rsidRDefault="00A56BC3">
      <w:pPr>
        <w:pStyle w:val="TOC1"/>
        <w:tabs>
          <w:tab w:val="right" w:leader="dot" w:pos="9905"/>
        </w:tabs>
        <w:rPr>
          <w:rFonts w:asciiTheme="minorHAnsi" w:eastAsiaTheme="minorEastAsia" w:hAnsiTheme="minorHAnsi" w:cstheme="minorBidi"/>
          <w:noProof/>
          <w:sz w:val="22"/>
          <w:szCs w:val="22"/>
        </w:rPr>
      </w:pPr>
      <w:hyperlink w:anchor="_Toc312047656" w:history="1">
        <w:r w:rsidR="002A7EC2" w:rsidRPr="00FA0E18">
          <w:rPr>
            <w:rStyle w:val="Hyperlink"/>
            <w:rFonts w:ascii="Times New Roman" w:hAnsi="Times New Roman"/>
            <w:noProof/>
            <w:lang w:val="lt-LT"/>
          </w:rPr>
          <w:t>IŠVADOS IR SIŪLYMAI</w:t>
        </w:r>
        <w:r w:rsidR="002A7EC2">
          <w:rPr>
            <w:noProof/>
            <w:webHidden/>
          </w:rPr>
          <w:tab/>
        </w:r>
        <w:r>
          <w:rPr>
            <w:noProof/>
            <w:webHidden/>
          </w:rPr>
          <w:fldChar w:fldCharType="begin"/>
        </w:r>
        <w:r w:rsidR="002A7EC2">
          <w:rPr>
            <w:noProof/>
            <w:webHidden/>
          </w:rPr>
          <w:instrText xml:space="preserve"> PAGEREF _Toc312047656 \h </w:instrText>
        </w:r>
        <w:r>
          <w:rPr>
            <w:noProof/>
            <w:webHidden/>
          </w:rPr>
        </w:r>
        <w:r>
          <w:rPr>
            <w:noProof/>
            <w:webHidden/>
          </w:rPr>
          <w:fldChar w:fldCharType="separate"/>
        </w:r>
        <w:r w:rsidR="002A7EC2">
          <w:rPr>
            <w:noProof/>
            <w:webHidden/>
          </w:rPr>
          <w:t>53</w:t>
        </w:r>
        <w:r>
          <w:rPr>
            <w:noProof/>
            <w:webHidden/>
          </w:rPr>
          <w:fldChar w:fldCharType="end"/>
        </w:r>
      </w:hyperlink>
    </w:p>
    <w:p w:rsidR="002A7EC2" w:rsidRDefault="00A56BC3">
      <w:pPr>
        <w:pStyle w:val="TOC1"/>
        <w:tabs>
          <w:tab w:val="right" w:leader="dot" w:pos="9905"/>
        </w:tabs>
        <w:rPr>
          <w:rFonts w:asciiTheme="minorHAnsi" w:eastAsiaTheme="minorEastAsia" w:hAnsiTheme="minorHAnsi" w:cstheme="minorBidi"/>
          <w:noProof/>
          <w:sz w:val="22"/>
          <w:szCs w:val="22"/>
        </w:rPr>
      </w:pPr>
      <w:hyperlink w:anchor="_Toc312047657" w:history="1">
        <w:r w:rsidR="002A7EC2" w:rsidRPr="00FA0E18">
          <w:rPr>
            <w:rStyle w:val="Hyperlink"/>
            <w:rFonts w:ascii="Times New Roman" w:hAnsi="Times New Roman"/>
            <w:noProof/>
            <w:lang w:val="lt-LT"/>
          </w:rPr>
          <w:t>LITERATŪRA</w:t>
        </w:r>
        <w:r w:rsidR="002A7EC2">
          <w:rPr>
            <w:noProof/>
            <w:webHidden/>
          </w:rPr>
          <w:tab/>
        </w:r>
        <w:r>
          <w:rPr>
            <w:noProof/>
            <w:webHidden/>
          </w:rPr>
          <w:fldChar w:fldCharType="begin"/>
        </w:r>
        <w:r w:rsidR="002A7EC2">
          <w:rPr>
            <w:noProof/>
            <w:webHidden/>
          </w:rPr>
          <w:instrText xml:space="preserve"> PAGEREF _Toc312047657 \h </w:instrText>
        </w:r>
        <w:r>
          <w:rPr>
            <w:noProof/>
            <w:webHidden/>
          </w:rPr>
        </w:r>
        <w:r>
          <w:rPr>
            <w:noProof/>
            <w:webHidden/>
          </w:rPr>
          <w:fldChar w:fldCharType="separate"/>
        </w:r>
        <w:r w:rsidR="002A7EC2">
          <w:rPr>
            <w:noProof/>
            <w:webHidden/>
          </w:rPr>
          <w:t>55</w:t>
        </w:r>
        <w:r>
          <w:rPr>
            <w:noProof/>
            <w:webHidden/>
          </w:rPr>
          <w:fldChar w:fldCharType="end"/>
        </w:r>
      </w:hyperlink>
    </w:p>
    <w:p w:rsidR="002A7EC2" w:rsidRDefault="00A56BC3">
      <w:pPr>
        <w:pStyle w:val="TOC1"/>
        <w:tabs>
          <w:tab w:val="right" w:leader="dot" w:pos="9905"/>
        </w:tabs>
        <w:rPr>
          <w:rFonts w:asciiTheme="minorHAnsi" w:eastAsiaTheme="minorEastAsia" w:hAnsiTheme="minorHAnsi" w:cstheme="minorBidi"/>
          <w:noProof/>
          <w:sz w:val="22"/>
          <w:szCs w:val="22"/>
        </w:rPr>
      </w:pPr>
      <w:hyperlink w:anchor="_Toc312047658" w:history="1">
        <w:r w:rsidR="002A7EC2" w:rsidRPr="00FA0E18">
          <w:rPr>
            <w:rStyle w:val="Hyperlink"/>
            <w:rFonts w:ascii="Times New Roman" w:hAnsi="Times New Roman"/>
            <w:noProof/>
          </w:rPr>
          <w:t>ANOTACIJA</w:t>
        </w:r>
        <w:r w:rsidR="002A7EC2">
          <w:rPr>
            <w:noProof/>
            <w:webHidden/>
          </w:rPr>
          <w:tab/>
        </w:r>
        <w:r>
          <w:rPr>
            <w:noProof/>
            <w:webHidden/>
          </w:rPr>
          <w:fldChar w:fldCharType="begin"/>
        </w:r>
        <w:r w:rsidR="002A7EC2">
          <w:rPr>
            <w:noProof/>
            <w:webHidden/>
          </w:rPr>
          <w:instrText xml:space="preserve"> PAGEREF _Toc312047658 \h </w:instrText>
        </w:r>
        <w:r>
          <w:rPr>
            <w:noProof/>
            <w:webHidden/>
          </w:rPr>
        </w:r>
        <w:r>
          <w:rPr>
            <w:noProof/>
            <w:webHidden/>
          </w:rPr>
          <w:fldChar w:fldCharType="separate"/>
        </w:r>
        <w:r w:rsidR="002A7EC2">
          <w:rPr>
            <w:noProof/>
            <w:webHidden/>
          </w:rPr>
          <w:t>58</w:t>
        </w:r>
        <w:r>
          <w:rPr>
            <w:noProof/>
            <w:webHidden/>
          </w:rPr>
          <w:fldChar w:fldCharType="end"/>
        </w:r>
      </w:hyperlink>
    </w:p>
    <w:p w:rsidR="002A7EC2" w:rsidRDefault="00A56BC3">
      <w:pPr>
        <w:pStyle w:val="TOC1"/>
        <w:tabs>
          <w:tab w:val="right" w:leader="dot" w:pos="9905"/>
        </w:tabs>
        <w:rPr>
          <w:rFonts w:asciiTheme="minorHAnsi" w:eastAsiaTheme="minorEastAsia" w:hAnsiTheme="minorHAnsi" w:cstheme="minorBidi"/>
          <w:noProof/>
          <w:sz w:val="22"/>
          <w:szCs w:val="22"/>
        </w:rPr>
      </w:pPr>
      <w:hyperlink w:anchor="_Toc312047659" w:history="1">
        <w:r w:rsidR="002A7EC2" w:rsidRPr="00FA0E18">
          <w:rPr>
            <w:rStyle w:val="Hyperlink"/>
            <w:rFonts w:ascii="Times New Roman" w:hAnsi="Times New Roman"/>
            <w:noProof/>
          </w:rPr>
          <w:t>SANTRAUKA</w:t>
        </w:r>
        <w:r w:rsidR="002A7EC2">
          <w:rPr>
            <w:noProof/>
            <w:webHidden/>
          </w:rPr>
          <w:tab/>
        </w:r>
        <w:r>
          <w:rPr>
            <w:noProof/>
            <w:webHidden/>
          </w:rPr>
          <w:fldChar w:fldCharType="begin"/>
        </w:r>
        <w:r w:rsidR="002A7EC2">
          <w:rPr>
            <w:noProof/>
            <w:webHidden/>
          </w:rPr>
          <w:instrText xml:space="preserve"> PAGEREF _Toc312047659 \h </w:instrText>
        </w:r>
        <w:r>
          <w:rPr>
            <w:noProof/>
            <w:webHidden/>
          </w:rPr>
        </w:r>
        <w:r>
          <w:rPr>
            <w:noProof/>
            <w:webHidden/>
          </w:rPr>
          <w:fldChar w:fldCharType="separate"/>
        </w:r>
        <w:r w:rsidR="002A7EC2">
          <w:rPr>
            <w:noProof/>
            <w:webHidden/>
          </w:rPr>
          <w:t>59</w:t>
        </w:r>
        <w:r>
          <w:rPr>
            <w:noProof/>
            <w:webHidden/>
          </w:rPr>
          <w:fldChar w:fldCharType="end"/>
        </w:r>
      </w:hyperlink>
    </w:p>
    <w:p w:rsidR="00252F1D" w:rsidRPr="000B544A" w:rsidRDefault="00A56BC3" w:rsidP="00D87AF6">
      <w:pPr>
        <w:pageBreakBefore/>
        <w:spacing w:after="0" w:line="360" w:lineRule="auto"/>
        <w:jc w:val="center"/>
        <w:rPr>
          <w:rFonts w:ascii="Times New Roman" w:hAnsi="Times New Roman"/>
          <w:sz w:val="28"/>
          <w:szCs w:val="28"/>
          <w:lang w:val="lt-LT"/>
        </w:rPr>
      </w:pPr>
      <w:r w:rsidRPr="000B544A">
        <w:rPr>
          <w:rFonts w:ascii="Times New Roman" w:hAnsi="Times New Roman"/>
          <w:lang w:val="lt-LT"/>
        </w:rPr>
        <w:lastRenderedPageBreak/>
        <w:fldChar w:fldCharType="end"/>
      </w:r>
      <w:r w:rsidR="008E7F46" w:rsidRPr="000B544A">
        <w:rPr>
          <w:rFonts w:ascii="Times New Roman" w:hAnsi="Times New Roman"/>
          <w:sz w:val="28"/>
          <w:szCs w:val="28"/>
          <w:lang w:val="lt-LT"/>
        </w:rPr>
        <w:t>LENTELĖS</w:t>
      </w:r>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r w:rsidRPr="00A56BC3">
        <w:rPr>
          <w:rFonts w:cs="Times New Roman"/>
          <w:lang w:val="lt-LT"/>
        </w:rPr>
        <w:fldChar w:fldCharType="begin"/>
      </w:r>
      <w:r w:rsidR="00F54846" w:rsidRPr="000B544A">
        <w:rPr>
          <w:rFonts w:cs="Times New Roman"/>
          <w:lang w:val="lt-LT"/>
        </w:rPr>
        <w:instrText xml:space="preserve"> TOC \h \z \c "Table" </w:instrText>
      </w:r>
      <w:r w:rsidRPr="00A56BC3">
        <w:rPr>
          <w:rFonts w:cs="Times New Roman"/>
          <w:lang w:val="lt-LT"/>
        </w:rPr>
        <w:fldChar w:fldCharType="separate"/>
      </w:r>
      <w:hyperlink w:anchor="_Toc311718667" w:history="1">
        <w:r w:rsidR="00155D3E" w:rsidRPr="000B544A">
          <w:rPr>
            <w:rStyle w:val="Hyperlink"/>
            <w:rFonts w:eastAsia="MS Gothi"/>
            <w:smallCaps w:val="0"/>
            <w:noProof/>
            <w:lang w:val="lt-LT"/>
          </w:rPr>
          <w:t>1 Lentelė. Bendrieji 2005-2010 m. Reguliuojamos rinkos Nasdaq OMX Vilnius rodikliai</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_Toc311718667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29</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68" w:history="1">
        <w:r w:rsidR="00155D3E" w:rsidRPr="000B544A">
          <w:rPr>
            <w:rStyle w:val="Hyperlink"/>
            <w:rFonts w:eastAsia="MS Gothi"/>
            <w:smallCaps w:val="0"/>
            <w:noProof/>
            <w:lang w:val="lt-LT"/>
          </w:rPr>
          <w:t>2 Lentelė. Techninės analizės indikatoriai</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_Toc311718668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29</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69" w:history="1">
        <w:r w:rsidR="00155D3E" w:rsidRPr="000B544A">
          <w:rPr>
            <w:rStyle w:val="Hyperlink"/>
            <w:rFonts w:eastAsia="MS Gothi"/>
            <w:smallCaps w:val="0"/>
            <w:noProof/>
            <w:lang w:val="lt-LT"/>
          </w:rPr>
          <w:t>3 Lentelė. 10 likvidžiausių akcijų Nasdaq OMX Baltic biržoje</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_Toc311718669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30</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70" w:history="1">
        <w:r w:rsidR="00155D3E" w:rsidRPr="000B544A">
          <w:rPr>
            <w:rStyle w:val="Hyperlink"/>
            <w:rFonts w:eastAsia="MS Gothi"/>
            <w:smallCaps w:val="0"/>
            <w:noProof/>
            <w:lang w:val="lt-LT"/>
          </w:rPr>
          <w:t>4 Lentelė. Bolingerio juostų indikatoriaus rezultatai naudojant (20;2) parametrus</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_Toc311718670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33</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71" w:history="1">
        <w:r w:rsidR="00155D3E" w:rsidRPr="000B544A">
          <w:rPr>
            <w:rStyle w:val="Hyperlink"/>
            <w:rFonts w:eastAsia="MS Gothi"/>
            <w:smallCaps w:val="0"/>
            <w:noProof/>
            <w:lang w:val="lt-LT"/>
          </w:rPr>
          <w:t>5 Lentelė. Bolingerio juostų indikatoriaus rezultatai naudojant (10;1,8) parametrus</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_Toc311718671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33</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72" w:history="1">
        <w:r w:rsidR="00155D3E" w:rsidRPr="000B544A">
          <w:rPr>
            <w:rStyle w:val="Hyperlink"/>
            <w:rFonts w:eastAsia="MS Gothi"/>
            <w:smallCaps w:val="0"/>
            <w:noProof/>
            <w:lang w:val="lt-LT"/>
          </w:rPr>
          <w:t>6 Lentelė. MACD indikatoriaus rezultatai</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_Toc311718672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35</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73" w:history="1">
        <w:r w:rsidR="00155D3E" w:rsidRPr="000B544A">
          <w:rPr>
            <w:rStyle w:val="Hyperlink"/>
            <w:rFonts w:eastAsia="MS Gothi"/>
            <w:smallCaps w:val="0"/>
            <w:noProof/>
            <w:lang w:val="lt-LT"/>
          </w:rPr>
          <w:t>7 Lentelė. RSI indikatoriaus signalų tinkamumo tyrimas</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_Toc311718673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36</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74" w:history="1">
        <w:r w:rsidR="00155D3E" w:rsidRPr="000B544A">
          <w:rPr>
            <w:rStyle w:val="Hyperlink"/>
            <w:rFonts w:eastAsia="MS Gothi"/>
            <w:smallCaps w:val="0"/>
            <w:noProof/>
            <w:lang w:val="lt-LT"/>
          </w:rPr>
          <w:t>8 Lentelė. RSI geriausi parametrai</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_Toc311718674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36</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75" w:history="1">
        <w:r w:rsidR="00155D3E" w:rsidRPr="000B544A">
          <w:rPr>
            <w:rStyle w:val="Hyperlink"/>
            <w:rFonts w:eastAsia="MS Gothi"/>
            <w:smallCaps w:val="0"/>
            <w:noProof/>
            <w:lang w:val="lt-LT"/>
          </w:rPr>
          <w:t>9 Lentelė. RSI indikatoriaus signalų pelningumas</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_Toc311718675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37</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76" w:history="1">
        <w:r w:rsidR="00155D3E" w:rsidRPr="000B544A">
          <w:rPr>
            <w:rStyle w:val="Hyperlink"/>
            <w:rFonts w:eastAsia="MS Gothi"/>
            <w:smallCaps w:val="0"/>
            <w:noProof/>
            <w:lang w:val="lt-LT"/>
          </w:rPr>
          <w:t>10 Lentelė. Eksponentinio ir paprastojo slankiųjų vidurkių signalų rezultatai</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_Toc311718676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38</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77" w:history="1">
        <w:r w:rsidR="00155D3E" w:rsidRPr="000B544A">
          <w:rPr>
            <w:rStyle w:val="Hyperlink"/>
            <w:rFonts w:eastAsia="MS Gothi"/>
            <w:smallCaps w:val="0"/>
            <w:noProof/>
            <w:lang w:val="lt-LT"/>
          </w:rPr>
          <w:t>11 Lentelė. Momentum indikatoriaus signalų pelningumas</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_Toc311718677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39</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78" w:history="1">
        <w:r w:rsidR="00155D3E" w:rsidRPr="000B544A">
          <w:rPr>
            <w:rStyle w:val="Hyperlink"/>
            <w:rFonts w:eastAsia="MS Gothi"/>
            <w:smallCaps w:val="0"/>
            <w:noProof/>
            <w:lang w:val="lt-LT"/>
          </w:rPr>
          <w:t>12 Lentelė. Pasikeitimo masto indikatoriaus rezultatai su skirtingais parametrais</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_Toc311718678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40</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79" w:history="1">
        <w:r w:rsidR="00155D3E" w:rsidRPr="000B544A">
          <w:rPr>
            <w:rStyle w:val="Hyperlink"/>
            <w:rFonts w:eastAsia="MS Gothi"/>
            <w:smallCaps w:val="0"/>
            <w:noProof/>
            <w:lang w:val="lt-LT"/>
          </w:rPr>
          <w:t>13 Lentelė. Pasikeitimo masto indikatoriaus rezultati su geriausiu parametru</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_Toc311718679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40</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80" w:history="1">
        <w:r w:rsidR="00155D3E" w:rsidRPr="000B544A">
          <w:rPr>
            <w:rStyle w:val="Hyperlink"/>
            <w:rFonts w:eastAsia="MS Gothi"/>
            <w:smallCaps w:val="0"/>
            <w:noProof/>
            <w:lang w:val="lt-LT"/>
          </w:rPr>
          <w:t>14 Lentelė. Stochastinio osciliatoriaus rezultatai su skirtingais parametrais</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_Toc311718680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42</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81" w:history="1">
        <w:r w:rsidR="00155D3E" w:rsidRPr="000B544A">
          <w:rPr>
            <w:rStyle w:val="Hyperlink"/>
            <w:rFonts w:eastAsia="MS Gothi"/>
            <w:smallCaps w:val="0"/>
            <w:noProof/>
            <w:lang w:val="lt-LT"/>
          </w:rPr>
          <w:t>15 Lentelė. Stochastinio osciliatoriaus rezultatai su geriausiais parametrais</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_Toc311718681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42</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82" w:history="1">
        <w:r w:rsidR="00155D3E" w:rsidRPr="000B544A">
          <w:rPr>
            <w:rStyle w:val="Hyperlink"/>
            <w:rFonts w:eastAsia="MS Gothi"/>
            <w:smallCaps w:val="0"/>
            <w:noProof/>
            <w:lang w:val="lt-LT"/>
          </w:rPr>
          <w:t>16 Lentelė. Viljams indikatoriaus rezultatai su skirtingais parametrais</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_Toc311718682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43</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83" w:history="1">
        <w:r w:rsidR="00155D3E" w:rsidRPr="000B544A">
          <w:rPr>
            <w:rStyle w:val="Hyperlink"/>
            <w:rFonts w:eastAsia="MS Gothi"/>
            <w:smallCaps w:val="0"/>
            <w:noProof/>
            <w:lang w:val="lt-LT"/>
          </w:rPr>
          <w:t>17 Lentelė. Viljamso %R indikatoriaus rezultatai su geriausiais parametrais</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_Toc311718683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43</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84" w:history="1">
        <w:r w:rsidR="00155D3E" w:rsidRPr="000B544A">
          <w:rPr>
            <w:rStyle w:val="Hyperlink"/>
            <w:rFonts w:eastAsia="MS Gothi"/>
            <w:smallCaps w:val="0"/>
            <w:noProof/>
            <w:lang w:val="lt-LT"/>
          </w:rPr>
          <w:t>18 Lentelė. Pinigų srauto indekso indikatoriaus rezultatai su skirtingai parametrais</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_Toc311718684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44</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85" w:history="1">
        <w:r w:rsidR="00155D3E" w:rsidRPr="000B544A">
          <w:rPr>
            <w:rStyle w:val="Hyperlink"/>
            <w:rFonts w:eastAsia="MS Gothi"/>
            <w:smallCaps w:val="0"/>
            <w:noProof/>
            <w:lang w:val="lt-LT"/>
          </w:rPr>
          <w:t>19 Lentelė. Pinigų srauto indekso indikatoriaus rezultatai su geriausiais parametrais</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_Toc311718685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45</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86" w:history="1">
        <w:r w:rsidR="00155D3E" w:rsidRPr="000B544A">
          <w:rPr>
            <w:rStyle w:val="Hyperlink"/>
            <w:rFonts w:eastAsia="MS Gothi"/>
            <w:smallCaps w:val="0"/>
            <w:noProof/>
            <w:lang w:val="lt-LT"/>
          </w:rPr>
          <w:t>20 Lentelė. Dončiano kanalo indikatoriaus rezultatai su skirtingais parametrais</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_Toc311718686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46</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87" w:history="1">
        <w:r w:rsidR="00155D3E" w:rsidRPr="000B544A">
          <w:rPr>
            <w:rStyle w:val="Hyperlink"/>
            <w:rFonts w:eastAsia="MS Gothi"/>
            <w:smallCaps w:val="0"/>
            <w:noProof/>
            <w:lang w:val="lt-LT"/>
          </w:rPr>
          <w:t>21 Lentelė. Dončiano kanalo indikatoriaus rezultatai su geriausiais parametrais</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_Toc311718687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46</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88" w:history="1">
        <w:r w:rsidR="00155D3E" w:rsidRPr="000B544A">
          <w:rPr>
            <w:rStyle w:val="Hyperlink"/>
            <w:rFonts w:eastAsia="MS Gothi"/>
            <w:smallCaps w:val="0"/>
            <w:noProof/>
            <w:lang w:val="lt-LT"/>
          </w:rPr>
          <w:t>22 Lentelė. Techninės analizės metodų reitingas</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_Toc311718688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49</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89" w:history="1">
        <w:r w:rsidR="00155D3E" w:rsidRPr="000B544A">
          <w:rPr>
            <w:rStyle w:val="Hyperlink"/>
            <w:rFonts w:eastAsia="MS Gothi"/>
            <w:smallCaps w:val="0"/>
            <w:noProof/>
            <w:lang w:val="lt-LT"/>
          </w:rPr>
          <w:t>23 Lentelė. Indikatorių reikšmės prognozei</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_Toc311718689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50</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90" w:history="1">
        <w:r w:rsidR="00155D3E" w:rsidRPr="000B544A">
          <w:rPr>
            <w:rStyle w:val="Hyperlink"/>
            <w:rFonts w:eastAsia="MS Gothi"/>
            <w:smallCaps w:val="0"/>
            <w:noProof/>
            <w:lang w:val="lt-LT"/>
          </w:rPr>
          <w:t>24 Lentelė. Indikatorių reikšmės prognozei</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_Toc311718690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50</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91" w:history="1">
        <w:r w:rsidR="00155D3E" w:rsidRPr="000B544A">
          <w:rPr>
            <w:rStyle w:val="Hyperlink"/>
            <w:rFonts w:eastAsia="MS Gothi"/>
            <w:smallCaps w:val="0"/>
            <w:noProof/>
            <w:lang w:val="lt-LT"/>
          </w:rPr>
          <w:t>25 Lentelė. Techninių rinkos indikatorių prognozės rezultatai</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_Toc311718691 \h </w:instrText>
        </w:r>
        <w:r w:rsidRPr="000B544A">
          <w:rPr>
            <w:smallCaps w:val="0"/>
            <w:noProof/>
            <w:webHidden/>
            <w:lang w:val="lt-LT"/>
          </w:rPr>
        </w:r>
        <w:r w:rsidRPr="000B544A">
          <w:rPr>
            <w:smallCaps w:val="0"/>
            <w:noProof/>
            <w:webHidden/>
            <w:lang w:val="lt-LT"/>
          </w:rPr>
          <w:fldChar w:fldCharType="separate"/>
        </w:r>
        <w:r w:rsidR="000D09A9">
          <w:rPr>
            <w:smallCaps w:val="0"/>
            <w:noProof/>
            <w:webHidden/>
            <w:lang w:val="lt-LT"/>
          </w:rPr>
          <w:t>51</w:t>
        </w:r>
        <w:r w:rsidRPr="000B544A">
          <w:rPr>
            <w:smallCaps w:val="0"/>
            <w:noProof/>
            <w:webHidden/>
            <w:lang w:val="lt-LT"/>
          </w:rPr>
          <w:fldChar w:fldCharType="end"/>
        </w:r>
      </w:hyperlink>
    </w:p>
    <w:p w:rsidR="008E7F46" w:rsidRPr="000B544A" w:rsidRDefault="00A56BC3" w:rsidP="0079072E">
      <w:pPr>
        <w:spacing w:after="0" w:line="360" w:lineRule="auto"/>
        <w:ind w:firstLine="567"/>
        <w:jc w:val="both"/>
        <w:rPr>
          <w:rFonts w:ascii="Times New Roman" w:hAnsi="Times New Roman"/>
          <w:lang w:val="lt-LT"/>
        </w:rPr>
      </w:pPr>
      <w:r w:rsidRPr="000B544A">
        <w:rPr>
          <w:rFonts w:ascii="Times New Roman" w:hAnsi="Times New Roman"/>
          <w:lang w:val="lt-LT"/>
        </w:rPr>
        <w:fldChar w:fldCharType="end"/>
      </w:r>
    </w:p>
    <w:p w:rsidR="005558A5" w:rsidRPr="000B544A" w:rsidRDefault="005558A5" w:rsidP="0079072E">
      <w:pPr>
        <w:spacing w:after="0" w:line="360" w:lineRule="auto"/>
        <w:ind w:firstLine="567"/>
        <w:jc w:val="both"/>
        <w:rPr>
          <w:rFonts w:ascii="Times New Roman" w:hAnsi="Times New Roman"/>
          <w:lang w:val="lt-LT"/>
        </w:rPr>
      </w:pPr>
    </w:p>
    <w:p w:rsidR="008E7F46" w:rsidRPr="000B544A" w:rsidRDefault="008E7F46" w:rsidP="0079072E">
      <w:pPr>
        <w:spacing w:after="0" w:line="360" w:lineRule="auto"/>
        <w:ind w:firstLine="567"/>
        <w:jc w:val="both"/>
        <w:rPr>
          <w:rFonts w:ascii="Times New Roman" w:hAnsi="Times New Roman"/>
          <w:lang w:val="lt-LT"/>
        </w:rPr>
      </w:pPr>
    </w:p>
    <w:p w:rsidR="008E7F46" w:rsidRPr="000B544A" w:rsidRDefault="008E7F46" w:rsidP="00A22CF8">
      <w:pPr>
        <w:pageBreakBefore/>
        <w:spacing w:after="0" w:line="360" w:lineRule="auto"/>
        <w:ind w:firstLine="567"/>
        <w:jc w:val="center"/>
        <w:rPr>
          <w:rFonts w:ascii="Times New Roman" w:hAnsi="Times New Roman"/>
          <w:sz w:val="28"/>
          <w:szCs w:val="28"/>
          <w:lang w:val="lt-LT"/>
        </w:rPr>
      </w:pPr>
      <w:r w:rsidRPr="000B544A">
        <w:rPr>
          <w:rFonts w:ascii="Times New Roman" w:hAnsi="Times New Roman"/>
          <w:sz w:val="28"/>
          <w:szCs w:val="28"/>
          <w:lang w:val="lt-LT"/>
        </w:rPr>
        <w:lastRenderedPageBreak/>
        <w:t>PAVEIKSLĖLIAI</w:t>
      </w:r>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r w:rsidRPr="00A56BC3">
        <w:rPr>
          <w:rFonts w:cs="Times New Roman"/>
          <w:sz w:val="20"/>
          <w:lang w:val="lt-LT"/>
        </w:rPr>
        <w:fldChar w:fldCharType="begin"/>
      </w:r>
      <w:r w:rsidR="00A22CF8" w:rsidRPr="000B544A">
        <w:rPr>
          <w:rFonts w:cs="Times New Roman"/>
          <w:sz w:val="20"/>
          <w:lang w:val="lt-LT"/>
        </w:rPr>
        <w:instrText xml:space="preserve"> TOC \h \z \c "Figure" </w:instrText>
      </w:r>
      <w:r w:rsidRPr="00A56BC3">
        <w:rPr>
          <w:rFonts w:cs="Times New Roman"/>
          <w:sz w:val="20"/>
          <w:lang w:val="lt-LT"/>
        </w:rPr>
        <w:fldChar w:fldCharType="separate"/>
      </w:r>
      <w:hyperlink w:anchor="_Toc311718692" w:history="1">
        <w:r w:rsidR="00155D3E" w:rsidRPr="000B544A">
          <w:rPr>
            <w:rStyle w:val="Hyperlink"/>
            <w:rFonts w:eastAsia="MS Gothi"/>
            <w:smallCaps w:val="0"/>
            <w:noProof/>
            <w:lang w:val="lt-LT"/>
          </w:rPr>
          <w:t>1 pav. Techninės analizės prielaidos</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_Toc311718692 \h </w:instrText>
        </w:r>
        <w:r w:rsidRPr="000B544A">
          <w:rPr>
            <w:smallCaps w:val="0"/>
            <w:noProof/>
            <w:webHidden/>
            <w:lang w:val="lt-LT"/>
          </w:rPr>
        </w:r>
        <w:r w:rsidRPr="000B544A">
          <w:rPr>
            <w:smallCaps w:val="0"/>
            <w:noProof/>
            <w:webHidden/>
            <w:lang w:val="lt-LT"/>
          </w:rPr>
          <w:fldChar w:fldCharType="separate"/>
        </w:r>
        <w:r w:rsidR="00C53DDD">
          <w:rPr>
            <w:smallCaps w:val="0"/>
            <w:noProof/>
            <w:webHidden/>
            <w:lang w:val="lt-LT"/>
          </w:rPr>
          <w:t>10</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93" w:history="1">
        <w:r w:rsidR="00155D3E" w:rsidRPr="000B544A">
          <w:rPr>
            <w:rStyle w:val="Hyperlink"/>
            <w:rFonts w:eastAsia="MS Gothi"/>
            <w:smallCaps w:val="0"/>
            <w:noProof/>
            <w:lang w:val="lt-LT"/>
          </w:rPr>
          <w:t>2 pav. Grafikas su kritimo tendencija</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_Toc311718693 \h </w:instrText>
        </w:r>
        <w:r w:rsidRPr="000B544A">
          <w:rPr>
            <w:smallCaps w:val="0"/>
            <w:noProof/>
            <w:webHidden/>
            <w:lang w:val="lt-LT"/>
          </w:rPr>
        </w:r>
        <w:r w:rsidRPr="000B544A">
          <w:rPr>
            <w:smallCaps w:val="0"/>
            <w:noProof/>
            <w:webHidden/>
            <w:lang w:val="lt-LT"/>
          </w:rPr>
          <w:fldChar w:fldCharType="separate"/>
        </w:r>
        <w:r w:rsidR="00C53DDD">
          <w:rPr>
            <w:smallCaps w:val="0"/>
            <w:noProof/>
            <w:webHidden/>
            <w:lang w:val="lt-LT"/>
          </w:rPr>
          <w:t>13</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94" w:history="1">
        <w:r w:rsidR="00155D3E" w:rsidRPr="000B544A">
          <w:rPr>
            <w:rStyle w:val="Hyperlink"/>
            <w:rFonts w:eastAsia="MS Gothi"/>
            <w:smallCaps w:val="0"/>
            <w:noProof/>
            <w:lang w:val="lt-LT"/>
          </w:rPr>
          <w:t>3 pav. Antrinė kryptis, priešinga pirminei</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_Toc311718694 \h </w:instrText>
        </w:r>
        <w:r w:rsidRPr="000B544A">
          <w:rPr>
            <w:smallCaps w:val="0"/>
            <w:noProof/>
            <w:webHidden/>
            <w:lang w:val="lt-LT"/>
          </w:rPr>
        </w:r>
        <w:r w:rsidRPr="000B544A">
          <w:rPr>
            <w:smallCaps w:val="0"/>
            <w:noProof/>
            <w:webHidden/>
            <w:lang w:val="lt-LT"/>
          </w:rPr>
          <w:fldChar w:fldCharType="separate"/>
        </w:r>
        <w:r w:rsidR="00C53DDD">
          <w:rPr>
            <w:smallCaps w:val="0"/>
            <w:noProof/>
            <w:webHidden/>
            <w:lang w:val="lt-LT"/>
          </w:rPr>
          <w:t>14</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95" w:history="1">
        <w:r w:rsidR="00155D3E" w:rsidRPr="000B544A">
          <w:rPr>
            <w:rStyle w:val="Hyperlink"/>
            <w:rFonts w:eastAsia="MS Gothi"/>
            <w:smallCaps w:val="0"/>
            <w:noProof/>
            <w:lang w:val="lt-LT"/>
          </w:rPr>
          <w:t>4 pav. Akumuliacinė ir viešo susidomėjimo fazės</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_Toc311718695 \h </w:instrText>
        </w:r>
        <w:r w:rsidRPr="000B544A">
          <w:rPr>
            <w:smallCaps w:val="0"/>
            <w:noProof/>
            <w:webHidden/>
            <w:lang w:val="lt-LT"/>
          </w:rPr>
        </w:r>
        <w:r w:rsidRPr="000B544A">
          <w:rPr>
            <w:smallCaps w:val="0"/>
            <w:noProof/>
            <w:webHidden/>
            <w:lang w:val="lt-LT"/>
          </w:rPr>
          <w:fldChar w:fldCharType="separate"/>
        </w:r>
        <w:r w:rsidR="00C53DDD">
          <w:rPr>
            <w:smallCaps w:val="0"/>
            <w:noProof/>
            <w:webHidden/>
            <w:lang w:val="lt-LT"/>
          </w:rPr>
          <w:t>15</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96" w:history="1">
        <w:r w:rsidR="00155D3E" w:rsidRPr="000B544A">
          <w:rPr>
            <w:rStyle w:val="Hyperlink"/>
            <w:rFonts w:eastAsia="MS Gothi"/>
            <w:smallCaps w:val="0"/>
            <w:noProof/>
            <w:lang w:val="lt-LT"/>
          </w:rPr>
          <w:t>5 pav. Kylanti rinkos kryptis</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_Toc311718696 \h </w:instrText>
        </w:r>
        <w:r w:rsidRPr="000B544A">
          <w:rPr>
            <w:smallCaps w:val="0"/>
            <w:noProof/>
            <w:webHidden/>
            <w:lang w:val="lt-LT"/>
          </w:rPr>
        </w:r>
        <w:r w:rsidRPr="000B544A">
          <w:rPr>
            <w:smallCaps w:val="0"/>
            <w:noProof/>
            <w:webHidden/>
            <w:lang w:val="lt-LT"/>
          </w:rPr>
          <w:fldChar w:fldCharType="separate"/>
        </w:r>
        <w:r w:rsidR="00C53DDD">
          <w:rPr>
            <w:smallCaps w:val="0"/>
            <w:noProof/>
            <w:webHidden/>
            <w:lang w:val="lt-LT"/>
          </w:rPr>
          <w:t>18</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97" w:history="1">
        <w:r w:rsidR="00155D3E" w:rsidRPr="000B544A">
          <w:rPr>
            <w:rStyle w:val="Hyperlink"/>
            <w:rFonts w:eastAsia="MS Gothi"/>
            <w:smallCaps w:val="0"/>
            <w:noProof/>
            <w:lang w:val="lt-LT"/>
          </w:rPr>
          <w:t>6 pav. Krentanti rinkos kryptis</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_Toc311718697 \h </w:instrText>
        </w:r>
        <w:r w:rsidRPr="000B544A">
          <w:rPr>
            <w:smallCaps w:val="0"/>
            <w:noProof/>
            <w:webHidden/>
            <w:lang w:val="lt-LT"/>
          </w:rPr>
        </w:r>
        <w:r w:rsidRPr="000B544A">
          <w:rPr>
            <w:smallCaps w:val="0"/>
            <w:noProof/>
            <w:webHidden/>
            <w:lang w:val="lt-LT"/>
          </w:rPr>
          <w:fldChar w:fldCharType="separate"/>
        </w:r>
        <w:r w:rsidR="00C53DDD">
          <w:rPr>
            <w:smallCaps w:val="0"/>
            <w:noProof/>
            <w:webHidden/>
            <w:lang w:val="lt-LT"/>
          </w:rPr>
          <w:t>18</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98" w:history="1">
        <w:r w:rsidR="00155D3E" w:rsidRPr="000B544A">
          <w:rPr>
            <w:rStyle w:val="Hyperlink"/>
            <w:rFonts w:eastAsia="MS Gothi"/>
            <w:smallCaps w:val="0"/>
            <w:noProof/>
            <w:lang w:val="lt-LT"/>
          </w:rPr>
          <w:t>7 pav. Rinkos apsisukimas</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_Toc311718698 \h </w:instrText>
        </w:r>
        <w:r w:rsidRPr="000B544A">
          <w:rPr>
            <w:smallCaps w:val="0"/>
            <w:noProof/>
            <w:webHidden/>
            <w:lang w:val="lt-LT"/>
          </w:rPr>
        </w:r>
        <w:r w:rsidRPr="000B544A">
          <w:rPr>
            <w:smallCaps w:val="0"/>
            <w:noProof/>
            <w:webHidden/>
            <w:lang w:val="lt-LT"/>
          </w:rPr>
          <w:fldChar w:fldCharType="separate"/>
        </w:r>
        <w:r w:rsidR="00C53DDD">
          <w:rPr>
            <w:smallCaps w:val="0"/>
            <w:noProof/>
            <w:webHidden/>
            <w:lang w:val="lt-LT"/>
          </w:rPr>
          <w:t>19</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699" w:history="1">
        <w:r w:rsidR="00155D3E" w:rsidRPr="000B544A">
          <w:rPr>
            <w:rStyle w:val="Hyperlink"/>
            <w:rFonts w:eastAsia="MS Gothi"/>
            <w:smallCaps w:val="0"/>
            <w:noProof/>
            <w:lang w:val="lt-LT"/>
          </w:rPr>
          <w:t>8 pav. Techninės analizės metodų klasifikacija</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_Toc311718699 \h </w:instrText>
        </w:r>
        <w:r w:rsidRPr="000B544A">
          <w:rPr>
            <w:smallCaps w:val="0"/>
            <w:noProof/>
            <w:webHidden/>
            <w:lang w:val="lt-LT"/>
          </w:rPr>
        </w:r>
        <w:r w:rsidRPr="000B544A">
          <w:rPr>
            <w:smallCaps w:val="0"/>
            <w:noProof/>
            <w:webHidden/>
            <w:lang w:val="lt-LT"/>
          </w:rPr>
          <w:fldChar w:fldCharType="separate"/>
        </w:r>
        <w:r w:rsidR="00C53DDD">
          <w:rPr>
            <w:smallCaps w:val="0"/>
            <w:noProof/>
            <w:webHidden/>
            <w:lang w:val="lt-LT"/>
          </w:rPr>
          <w:t>20</w:t>
        </w:r>
        <w:r w:rsidRPr="000B544A">
          <w:rPr>
            <w:smallCaps w:val="0"/>
            <w:noProof/>
            <w:webHidden/>
            <w:lang w:val="lt-LT"/>
          </w:rPr>
          <w:fldChar w:fldCharType="end"/>
        </w:r>
      </w:hyperlink>
    </w:p>
    <w:p w:rsidR="00155D3E" w:rsidRPr="000B544A" w:rsidRDefault="00A56BC3">
      <w:pPr>
        <w:pStyle w:val="TableofFigures"/>
        <w:tabs>
          <w:tab w:val="right" w:leader="dot" w:pos="9905"/>
        </w:tabs>
        <w:rPr>
          <w:rFonts w:asciiTheme="minorHAnsi" w:eastAsiaTheme="minorEastAsia" w:hAnsiTheme="minorHAnsi" w:cstheme="minorBidi"/>
          <w:smallCaps w:val="0"/>
          <w:noProof/>
          <w:sz w:val="22"/>
          <w:szCs w:val="22"/>
          <w:lang w:val="lt-LT"/>
        </w:rPr>
      </w:pPr>
      <w:hyperlink w:anchor="_Toc311718700" w:history="1">
        <w:r w:rsidR="00155D3E" w:rsidRPr="000B544A">
          <w:rPr>
            <w:rStyle w:val="Hyperlink"/>
            <w:rFonts w:eastAsia="MS Gothi"/>
            <w:smallCaps w:val="0"/>
            <w:noProof/>
            <w:lang w:val="lt-LT"/>
          </w:rPr>
          <w:t>9 pav. Atskirų akcijų rezultatai</w:t>
        </w:r>
        <w:r w:rsidR="00155D3E" w:rsidRPr="000B544A">
          <w:rPr>
            <w:smallCaps w:val="0"/>
            <w:noProof/>
            <w:webHidden/>
            <w:lang w:val="lt-LT"/>
          </w:rPr>
          <w:tab/>
        </w:r>
        <w:r w:rsidRPr="000B544A">
          <w:rPr>
            <w:smallCaps w:val="0"/>
            <w:noProof/>
            <w:webHidden/>
            <w:lang w:val="lt-LT"/>
          </w:rPr>
          <w:fldChar w:fldCharType="begin"/>
        </w:r>
        <w:r w:rsidR="00155D3E" w:rsidRPr="000B544A">
          <w:rPr>
            <w:smallCaps w:val="0"/>
            <w:noProof/>
            <w:webHidden/>
            <w:lang w:val="lt-LT"/>
          </w:rPr>
          <w:instrText xml:space="preserve"> PAGEREF _Toc311718700 \h </w:instrText>
        </w:r>
        <w:r w:rsidRPr="000B544A">
          <w:rPr>
            <w:smallCaps w:val="0"/>
            <w:noProof/>
            <w:webHidden/>
            <w:lang w:val="lt-LT"/>
          </w:rPr>
        </w:r>
        <w:r w:rsidRPr="000B544A">
          <w:rPr>
            <w:smallCaps w:val="0"/>
            <w:noProof/>
            <w:webHidden/>
            <w:lang w:val="lt-LT"/>
          </w:rPr>
          <w:fldChar w:fldCharType="separate"/>
        </w:r>
        <w:r w:rsidR="00C53DDD">
          <w:rPr>
            <w:smallCaps w:val="0"/>
            <w:noProof/>
            <w:webHidden/>
            <w:lang w:val="lt-LT"/>
          </w:rPr>
          <w:t>52</w:t>
        </w:r>
        <w:r w:rsidRPr="000B544A">
          <w:rPr>
            <w:smallCaps w:val="0"/>
            <w:noProof/>
            <w:webHidden/>
            <w:lang w:val="lt-LT"/>
          </w:rPr>
          <w:fldChar w:fldCharType="end"/>
        </w:r>
      </w:hyperlink>
    </w:p>
    <w:p w:rsidR="00252F1D" w:rsidRPr="000B544A" w:rsidRDefault="00A56BC3" w:rsidP="0079072E">
      <w:pPr>
        <w:spacing w:after="0" w:line="360" w:lineRule="auto"/>
        <w:ind w:firstLine="567"/>
        <w:jc w:val="both"/>
        <w:rPr>
          <w:rFonts w:ascii="Times New Roman" w:hAnsi="Times New Roman"/>
          <w:lang w:val="lt-LT"/>
        </w:rPr>
      </w:pPr>
      <w:r w:rsidRPr="000B544A">
        <w:rPr>
          <w:rFonts w:ascii="Times New Roman" w:hAnsi="Times New Roman"/>
          <w:sz w:val="20"/>
          <w:szCs w:val="20"/>
          <w:lang w:val="lt-LT"/>
        </w:rPr>
        <w:fldChar w:fldCharType="end"/>
      </w:r>
    </w:p>
    <w:p w:rsidR="00252F1D" w:rsidRPr="000B544A" w:rsidRDefault="00252F1D" w:rsidP="0079072E">
      <w:pPr>
        <w:spacing w:after="0" w:line="360" w:lineRule="auto"/>
        <w:ind w:firstLine="567"/>
        <w:jc w:val="both"/>
        <w:rPr>
          <w:rFonts w:ascii="Times New Roman" w:hAnsi="Times New Roman"/>
          <w:lang w:val="lt-LT"/>
        </w:rPr>
      </w:pPr>
    </w:p>
    <w:p w:rsidR="00E2705D" w:rsidRPr="000B544A" w:rsidRDefault="00E2705D" w:rsidP="003D40EA">
      <w:pPr>
        <w:spacing w:after="0" w:line="360" w:lineRule="auto"/>
        <w:ind w:firstLine="567"/>
        <w:jc w:val="center"/>
        <w:rPr>
          <w:rFonts w:ascii="Times New Roman" w:hAnsi="Times New Roman"/>
          <w:caps/>
          <w:sz w:val="28"/>
          <w:szCs w:val="28"/>
          <w:lang w:val="lt-LT"/>
        </w:rPr>
      </w:pPr>
      <w:r w:rsidRPr="000B544A">
        <w:rPr>
          <w:rFonts w:ascii="Times New Roman" w:hAnsi="Times New Roman"/>
          <w:lang w:val="lt-LT"/>
        </w:rPr>
        <w:br w:type="page"/>
      </w:r>
      <w:r w:rsidRPr="000B544A">
        <w:rPr>
          <w:rFonts w:ascii="Times New Roman" w:hAnsi="Times New Roman"/>
          <w:caps/>
          <w:sz w:val="28"/>
          <w:szCs w:val="28"/>
          <w:lang w:val="lt-LT"/>
        </w:rPr>
        <w:lastRenderedPageBreak/>
        <w:t>Santrumpos</w:t>
      </w:r>
    </w:p>
    <w:tbl>
      <w:tblPr>
        <w:tblW w:w="0" w:type="auto"/>
        <w:jc w:val="center"/>
        <w:tblLook w:val="04A0"/>
      </w:tblPr>
      <w:tblGrid>
        <w:gridCol w:w="1028"/>
        <w:gridCol w:w="514"/>
        <w:gridCol w:w="4845"/>
      </w:tblGrid>
      <w:tr w:rsidR="00225BF6" w:rsidRPr="000B544A" w:rsidTr="0062611B">
        <w:trPr>
          <w:trHeight w:val="415"/>
          <w:jc w:val="center"/>
        </w:trPr>
        <w:tc>
          <w:tcPr>
            <w:tcW w:w="1028"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BJ</w:t>
            </w:r>
          </w:p>
        </w:tc>
        <w:tc>
          <w:tcPr>
            <w:tcW w:w="514"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lang w:val="lt-LT"/>
              </w:rPr>
              <w:t>-</w:t>
            </w:r>
          </w:p>
        </w:tc>
        <w:tc>
          <w:tcPr>
            <w:tcW w:w="4845"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Bolingerio juostų indikatorius;</w:t>
            </w:r>
          </w:p>
        </w:tc>
      </w:tr>
      <w:tr w:rsidR="00225BF6" w:rsidRPr="000B544A" w:rsidTr="0062611B">
        <w:trPr>
          <w:trHeight w:val="415"/>
          <w:jc w:val="center"/>
        </w:trPr>
        <w:tc>
          <w:tcPr>
            <w:tcW w:w="1028"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SVKD</w:t>
            </w:r>
          </w:p>
        </w:tc>
        <w:tc>
          <w:tcPr>
            <w:tcW w:w="514"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lang w:val="lt-LT"/>
              </w:rPr>
              <w:t>-</w:t>
            </w:r>
          </w:p>
        </w:tc>
        <w:tc>
          <w:tcPr>
            <w:tcW w:w="4845"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Slankiųjų vidurkių konvergencijos – divergencijos indikatorius;</w:t>
            </w:r>
          </w:p>
        </w:tc>
      </w:tr>
      <w:tr w:rsidR="00225BF6" w:rsidRPr="000B544A" w:rsidTr="0062611B">
        <w:trPr>
          <w:trHeight w:val="415"/>
          <w:jc w:val="center"/>
        </w:trPr>
        <w:tc>
          <w:tcPr>
            <w:tcW w:w="1028"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LJI</w:t>
            </w:r>
          </w:p>
        </w:tc>
        <w:tc>
          <w:tcPr>
            <w:tcW w:w="514"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lang w:val="lt-LT"/>
              </w:rPr>
              <w:t>-</w:t>
            </w:r>
          </w:p>
        </w:tc>
        <w:tc>
          <w:tcPr>
            <w:tcW w:w="4845"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Lyginamosios jėgos indekso indikatorius;</w:t>
            </w:r>
          </w:p>
        </w:tc>
      </w:tr>
      <w:tr w:rsidR="00225BF6" w:rsidRPr="000B544A" w:rsidTr="0062611B">
        <w:trPr>
          <w:trHeight w:val="415"/>
          <w:jc w:val="center"/>
        </w:trPr>
        <w:tc>
          <w:tcPr>
            <w:tcW w:w="1028"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PSV</w:t>
            </w:r>
          </w:p>
        </w:tc>
        <w:tc>
          <w:tcPr>
            <w:tcW w:w="514"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lang w:val="lt-LT"/>
              </w:rPr>
              <w:t>-</w:t>
            </w:r>
          </w:p>
        </w:tc>
        <w:tc>
          <w:tcPr>
            <w:tcW w:w="4845"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Paprasto slankiojo vidurkio indikatorius;</w:t>
            </w:r>
          </w:p>
        </w:tc>
      </w:tr>
      <w:tr w:rsidR="00225BF6" w:rsidRPr="000B544A" w:rsidTr="0062611B">
        <w:trPr>
          <w:trHeight w:val="415"/>
          <w:jc w:val="center"/>
        </w:trPr>
        <w:tc>
          <w:tcPr>
            <w:tcW w:w="1028"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ESV</w:t>
            </w:r>
          </w:p>
        </w:tc>
        <w:tc>
          <w:tcPr>
            <w:tcW w:w="514"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lang w:val="lt-LT"/>
              </w:rPr>
              <w:t>-</w:t>
            </w:r>
          </w:p>
        </w:tc>
        <w:tc>
          <w:tcPr>
            <w:tcW w:w="4845"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Eksponentinio slankiojo vidurkio indikatorius;</w:t>
            </w:r>
          </w:p>
        </w:tc>
      </w:tr>
      <w:tr w:rsidR="00225BF6" w:rsidRPr="000B544A" w:rsidTr="0062611B">
        <w:trPr>
          <w:trHeight w:val="415"/>
          <w:jc w:val="center"/>
        </w:trPr>
        <w:tc>
          <w:tcPr>
            <w:tcW w:w="1028"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PI</w:t>
            </w:r>
          </w:p>
        </w:tc>
        <w:tc>
          <w:tcPr>
            <w:tcW w:w="514"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lang w:val="lt-LT"/>
              </w:rPr>
              <w:t>-</w:t>
            </w:r>
          </w:p>
        </w:tc>
        <w:tc>
          <w:tcPr>
            <w:tcW w:w="4845"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Pokyčio indikatorius;</w:t>
            </w:r>
          </w:p>
        </w:tc>
      </w:tr>
      <w:tr w:rsidR="00225BF6" w:rsidRPr="000B544A" w:rsidTr="0062611B">
        <w:trPr>
          <w:trHeight w:val="415"/>
          <w:jc w:val="center"/>
        </w:trPr>
        <w:tc>
          <w:tcPr>
            <w:tcW w:w="1028"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PMI</w:t>
            </w:r>
          </w:p>
        </w:tc>
        <w:tc>
          <w:tcPr>
            <w:tcW w:w="514"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lang w:val="lt-LT"/>
              </w:rPr>
              <w:t>-</w:t>
            </w:r>
          </w:p>
        </w:tc>
        <w:tc>
          <w:tcPr>
            <w:tcW w:w="4845"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Pasikeitimo masto indikatorius;</w:t>
            </w:r>
          </w:p>
        </w:tc>
      </w:tr>
      <w:tr w:rsidR="00225BF6" w:rsidRPr="000B544A" w:rsidTr="0062611B">
        <w:trPr>
          <w:trHeight w:val="415"/>
          <w:jc w:val="center"/>
        </w:trPr>
        <w:tc>
          <w:tcPr>
            <w:tcW w:w="1028"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SO</w:t>
            </w:r>
          </w:p>
        </w:tc>
        <w:tc>
          <w:tcPr>
            <w:tcW w:w="514"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lang w:val="lt-LT"/>
              </w:rPr>
              <w:t>-</w:t>
            </w:r>
          </w:p>
        </w:tc>
        <w:tc>
          <w:tcPr>
            <w:tcW w:w="4845"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Stochastinis osciliatorius;</w:t>
            </w:r>
          </w:p>
        </w:tc>
      </w:tr>
      <w:tr w:rsidR="00225BF6" w:rsidRPr="000B544A" w:rsidTr="0062611B">
        <w:trPr>
          <w:trHeight w:val="415"/>
          <w:jc w:val="center"/>
        </w:trPr>
        <w:tc>
          <w:tcPr>
            <w:tcW w:w="1028" w:type="dxa"/>
          </w:tcPr>
          <w:p w:rsidR="00225BF6" w:rsidRPr="000B544A" w:rsidRDefault="00225BF6" w:rsidP="0062611B">
            <w:pPr>
              <w:spacing w:after="0" w:line="360" w:lineRule="auto"/>
              <w:jc w:val="both"/>
              <w:rPr>
                <w:rFonts w:ascii="Times New Roman" w:hAnsi="Times New Roman"/>
                <w:sz w:val="22"/>
                <w:szCs w:val="22"/>
                <w:lang w:val="lt-LT"/>
              </w:rPr>
            </w:pPr>
            <w:r w:rsidRPr="000B544A">
              <w:rPr>
                <w:rFonts w:ascii="Times New Roman" w:hAnsi="Times New Roman"/>
                <w:sz w:val="22"/>
                <w:szCs w:val="22"/>
                <w:lang w:val="lt-LT"/>
              </w:rPr>
              <w:t>V%R</w:t>
            </w:r>
          </w:p>
        </w:tc>
        <w:tc>
          <w:tcPr>
            <w:tcW w:w="514"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lang w:val="lt-LT"/>
              </w:rPr>
              <w:t>-</w:t>
            </w:r>
          </w:p>
        </w:tc>
        <w:tc>
          <w:tcPr>
            <w:tcW w:w="4845"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Procentinis Viljamso indikatorius;</w:t>
            </w:r>
          </w:p>
        </w:tc>
      </w:tr>
      <w:tr w:rsidR="00225BF6" w:rsidRPr="000B544A" w:rsidTr="0062611B">
        <w:trPr>
          <w:trHeight w:val="415"/>
          <w:jc w:val="center"/>
        </w:trPr>
        <w:tc>
          <w:tcPr>
            <w:tcW w:w="1028" w:type="dxa"/>
          </w:tcPr>
          <w:p w:rsidR="00225BF6" w:rsidRPr="000B544A" w:rsidRDefault="00225BF6" w:rsidP="0062611B">
            <w:pPr>
              <w:spacing w:after="0" w:line="360" w:lineRule="auto"/>
              <w:jc w:val="both"/>
              <w:rPr>
                <w:rFonts w:ascii="Times New Roman" w:hAnsi="Times New Roman"/>
                <w:sz w:val="22"/>
                <w:szCs w:val="22"/>
                <w:lang w:val="lt-LT"/>
              </w:rPr>
            </w:pPr>
            <w:r w:rsidRPr="000B544A">
              <w:rPr>
                <w:rFonts w:ascii="Times New Roman" w:hAnsi="Times New Roman"/>
                <w:sz w:val="22"/>
                <w:szCs w:val="22"/>
                <w:lang w:val="lt-LT"/>
              </w:rPr>
              <w:t>PSI</w:t>
            </w:r>
          </w:p>
        </w:tc>
        <w:tc>
          <w:tcPr>
            <w:tcW w:w="514"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lang w:val="lt-LT"/>
              </w:rPr>
              <w:t>-</w:t>
            </w:r>
          </w:p>
        </w:tc>
        <w:tc>
          <w:tcPr>
            <w:tcW w:w="4845"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Pinigų srauto indekso indikatorius;</w:t>
            </w:r>
          </w:p>
        </w:tc>
      </w:tr>
      <w:tr w:rsidR="00225BF6" w:rsidRPr="000B544A" w:rsidTr="0062611B">
        <w:trPr>
          <w:trHeight w:val="415"/>
          <w:jc w:val="center"/>
        </w:trPr>
        <w:tc>
          <w:tcPr>
            <w:tcW w:w="1028" w:type="dxa"/>
          </w:tcPr>
          <w:p w:rsidR="00225BF6" w:rsidRPr="000B544A" w:rsidRDefault="00225BF6" w:rsidP="0062611B">
            <w:pPr>
              <w:spacing w:after="0" w:line="360" w:lineRule="auto"/>
              <w:jc w:val="both"/>
              <w:rPr>
                <w:rFonts w:ascii="Times New Roman" w:hAnsi="Times New Roman"/>
                <w:sz w:val="22"/>
                <w:szCs w:val="22"/>
                <w:lang w:val="lt-LT"/>
              </w:rPr>
            </w:pPr>
            <w:r w:rsidRPr="000B544A">
              <w:rPr>
                <w:rFonts w:ascii="Times New Roman" w:hAnsi="Times New Roman"/>
                <w:sz w:val="22"/>
                <w:szCs w:val="22"/>
                <w:lang w:val="lt-LT"/>
              </w:rPr>
              <w:t>DK</w:t>
            </w:r>
          </w:p>
        </w:tc>
        <w:tc>
          <w:tcPr>
            <w:tcW w:w="514"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lang w:val="lt-LT"/>
              </w:rPr>
              <w:t>-</w:t>
            </w:r>
          </w:p>
        </w:tc>
        <w:tc>
          <w:tcPr>
            <w:tcW w:w="4845"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Dončiano kanalo indikatorius;</w:t>
            </w:r>
          </w:p>
        </w:tc>
      </w:tr>
      <w:tr w:rsidR="00225BF6" w:rsidRPr="000B544A" w:rsidTr="0062611B">
        <w:trPr>
          <w:trHeight w:val="415"/>
          <w:jc w:val="center"/>
        </w:trPr>
        <w:tc>
          <w:tcPr>
            <w:tcW w:w="1028" w:type="dxa"/>
          </w:tcPr>
          <w:p w:rsidR="00225BF6" w:rsidRPr="000B544A" w:rsidRDefault="00225BF6" w:rsidP="0062611B">
            <w:pPr>
              <w:spacing w:after="0" w:line="360" w:lineRule="auto"/>
              <w:jc w:val="both"/>
              <w:rPr>
                <w:rFonts w:ascii="Times New Roman" w:hAnsi="Times New Roman"/>
                <w:sz w:val="22"/>
                <w:szCs w:val="22"/>
                <w:lang w:val="lt-LT"/>
              </w:rPr>
            </w:pPr>
            <w:r w:rsidRPr="000B544A">
              <w:rPr>
                <w:rFonts w:ascii="Times New Roman" w:hAnsi="Times New Roman"/>
                <w:sz w:val="22"/>
                <w:szCs w:val="22"/>
                <w:lang w:val="lt-LT"/>
              </w:rPr>
              <w:t>BB</w:t>
            </w:r>
          </w:p>
        </w:tc>
        <w:tc>
          <w:tcPr>
            <w:tcW w:w="514"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lang w:val="lt-LT"/>
              </w:rPr>
              <w:t>-</w:t>
            </w:r>
          </w:p>
        </w:tc>
        <w:tc>
          <w:tcPr>
            <w:tcW w:w="4845"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Bollinger Bands</w:t>
            </w:r>
          </w:p>
        </w:tc>
      </w:tr>
      <w:tr w:rsidR="00225BF6" w:rsidRPr="000B544A" w:rsidTr="0062611B">
        <w:trPr>
          <w:trHeight w:val="415"/>
          <w:jc w:val="center"/>
        </w:trPr>
        <w:tc>
          <w:tcPr>
            <w:tcW w:w="1028" w:type="dxa"/>
          </w:tcPr>
          <w:p w:rsidR="00225BF6" w:rsidRPr="000B544A" w:rsidRDefault="00225BF6" w:rsidP="0062611B">
            <w:pPr>
              <w:spacing w:after="0" w:line="360" w:lineRule="auto"/>
              <w:jc w:val="both"/>
              <w:rPr>
                <w:rFonts w:ascii="Times New Roman" w:hAnsi="Times New Roman"/>
                <w:sz w:val="22"/>
                <w:szCs w:val="22"/>
                <w:lang w:val="lt-LT"/>
              </w:rPr>
            </w:pPr>
            <w:r w:rsidRPr="000B544A">
              <w:rPr>
                <w:rFonts w:ascii="Times New Roman" w:hAnsi="Times New Roman"/>
                <w:sz w:val="22"/>
                <w:szCs w:val="22"/>
                <w:lang w:val="lt-LT"/>
              </w:rPr>
              <w:t>MACD</w:t>
            </w:r>
          </w:p>
        </w:tc>
        <w:tc>
          <w:tcPr>
            <w:tcW w:w="514"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lang w:val="lt-LT"/>
              </w:rPr>
              <w:t>-</w:t>
            </w:r>
          </w:p>
        </w:tc>
        <w:tc>
          <w:tcPr>
            <w:tcW w:w="4845"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Moving Average Convergence – Divergence</w:t>
            </w:r>
          </w:p>
        </w:tc>
      </w:tr>
      <w:tr w:rsidR="00225BF6" w:rsidRPr="000B544A" w:rsidTr="0062611B">
        <w:trPr>
          <w:trHeight w:val="415"/>
          <w:jc w:val="center"/>
        </w:trPr>
        <w:tc>
          <w:tcPr>
            <w:tcW w:w="1028" w:type="dxa"/>
          </w:tcPr>
          <w:p w:rsidR="00225BF6" w:rsidRPr="000B544A" w:rsidRDefault="00225BF6" w:rsidP="0062611B">
            <w:pPr>
              <w:spacing w:after="0" w:line="360" w:lineRule="auto"/>
              <w:jc w:val="both"/>
              <w:rPr>
                <w:rFonts w:ascii="Times New Roman" w:hAnsi="Times New Roman"/>
                <w:sz w:val="22"/>
                <w:szCs w:val="22"/>
                <w:lang w:val="lt-LT"/>
              </w:rPr>
            </w:pPr>
            <w:r w:rsidRPr="000B544A">
              <w:rPr>
                <w:rFonts w:ascii="Times New Roman" w:hAnsi="Times New Roman"/>
                <w:sz w:val="22"/>
                <w:szCs w:val="22"/>
                <w:lang w:val="lt-LT"/>
              </w:rPr>
              <w:t>RSI</w:t>
            </w:r>
          </w:p>
        </w:tc>
        <w:tc>
          <w:tcPr>
            <w:tcW w:w="514"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lang w:val="lt-LT"/>
              </w:rPr>
              <w:t>-</w:t>
            </w:r>
          </w:p>
        </w:tc>
        <w:tc>
          <w:tcPr>
            <w:tcW w:w="4845"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Relative Strength Index</w:t>
            </w:r>
          </w:p>
        </w:tc>
      </w:tr>
      <w:tr w:rsidR="00225BF6" w:rsidRPr="000B544A" w:rsidTr="0062611B">
        <w:trPr>
          <w:trHeight w:val="415"/>
          <w:jc w:val="center"/>
        </w:trPr>
        <w:tc>
          <w:tcPr>
            <w:tcW w:w="1028" w:type="dxa"/>
          </w:tcPr>
          <w:p w:rsidR="00225BF6" w:rsidRPr="000B544A" w:rsidRDefault="00225BF6" w:rsidP="0062611B">
            <w:pPr>
              <w:spacing w:after="0" w:line="360" w:lineRule="auto"/>
              <w:jc w:val="both"/>
              <w:rPr>
                <w:rFonts w:ascii="Times New Roman" w:hAnsi="Times New Roman"/>
                <w:sz w:val="22"/>
                <w:szCs w:val="22"/>
                <w:lang w:val="lt-LT"/>
              </w:rPr>
            </w:pPr>
            <w:r w:rsidRPr="000B544A">
              <w:rPr>
                <w:rFonts w:ascii="Times New Roman" w:hAnsi="Times New Roman"/>
                <w:sz w:val="22"/>
                <w:szCs w:val="22"/>
                <w:lang w:val="lt-LT"/>
              </w:rPr>
              <w:t>EMA</w:t>
            </w:r>
          </w:p>
        </w:tc>
        <w:tc>
          <w:tcPr>
            <w:tcW w:w="514"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lang w:val="lt-LT"/>
              </w:rPr>
              <w:t>-</w:t>
            </w:r>
          </w:p>
        </w:tc>
        <w:tc>
          <w:tcPr>
            <w:tcW w:w="4845"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Exponential Moving Average</w:t>
            </w:r>
          </w:p>
        </w:tc>
      </w:tr>
      <w:tr w:rsidR="00225BF6" w:rsidRPr="000B544A" w:rsidTr="0062611B">
        <w:trPr>
          <w:trHeight w:val="415"/>
          <w:jc w:val="center"/>
        </w:trPr>
        <w:tc>
          <w:tcPr>
            <w:tcW w:w="1028" w:type="dxa"/>
          </w:tcPr>
          <w:p w:rsidR="00225BF6" w:rsidRPr="000B544A" w:rsidRDefault="00225BF6" w:rsidP="0062611B">
            <w:pPr>
              <w:spacing w:after="0" w:line="360" w:lineRule="auto"/>
              <w:jc w:val="both"/>
              <w:rPr>
                <w:rFonts w:ascii="Times New Roman" w:hAnsi="Times New Roman"/>
                <w:sz w:val="22"/>
                <w:szCs w:val="22"/>
                <w:lang w:val="lt-LT"/>
              </w:rPr>
            </w:pPr>
            <w:r w:rsidRPr="000B544A">
              <w:rPr>
                <w:rFonts w:ascii="Times New Roman" w:hAnsi="Times New Roman"/>
                <w:sz w:val="22"/>
                <w:szCs w:val="22"/>
                <w:lang w:val="lt-LT"/>
              </w:rPr>
              <w:t>SMA</w:t>
            </w:r>
          </w:p>
        </w:tc>
        <w:tc>
          <w:tcPr>
            <w:tcW w:w="514"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lang w:val="lt-LT"/>
              </w:rPr>
              <w:t>-</w:t>
            </w:r>
          </w:p>
        </w:tc>
        <w:tc>
          <w:tcPr>
            <w:tcW w:w="4845"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Simple Moving Average</w:t>
            </w:r>
          </w:p>
        </w:tc>
      </w:tr>
      <w:tr w:rsidR="00225BF6" w:rsidRPr="000B544A" w:rsidTr="0062611B">
        <w:trPr>
          <w:trHeight w:val="415"/>
          <w:jc w:val="center"/>
        </w:trPr>
        <w:tc>
          <w:tcPr>
            <w:tcW w:w="1028" w:type="dxa"/>
          </w:tcPr>
          <w:p w:rsidR="00225BF6" w:rsidRPr="000B544A" w:rsidRDefault="00225BF6" w:rsidP="0062611B">
            <w:pPr>
              <w:spacing w:after="0" w:line="360" w:lineRule="auto"/>
              <w:jc w:val="both"/>
              <w:rPr>
                <w:rFonts w:ascii="Times New Roman" w:hAnsi="Times New Roman"/>
                <w:sz w:val="22"/>
                <w:szCs w:val="22"/>
                <w:lang w:val="lt-LT"/>
              </w:rPr>
            </w:pPr>
            <w:r w:rsidRPr="000B544A">
              <w:rPr>
                <w:rFonts w:ascii="Times New Roman" w:hAnsi="Times New Roman"/>
                <w:sz w:val="22"/>
                <w:szCs w:val="22"/>
                <w:lang w:val="lt-LT"/>
              </w:rPr>
              <w:t>ROC</w:t>
            </w:r>
          </w:p>
        </w:tc>
        <w:tc>
          <w:tcPr>
            <w:tcW w:w="514"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lang w:val="lt-LT"/>
              </w:rPr>
              <w:t>-</w:t>
            </w:r>
          </w:p>
        </w:tc>
        <w:tc>
          <w:tcPr>
            <w:tcW w:w="4845"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Rate Of Change</w:t>
            </w:r>
          </w:p>
        </w:tc>
      </w:tr>
      <w:tr w:rsidR="00225BF6" w:rsidRPr="000B544A" w:rsidTr="0062611B">
        <w:trPr>
          <w:trHeight w:val="415"/>
          <w:jc w:val="center"/>
        </w:trPr>
        <w:tc>
          <w:tcPr>
            <w:tcW w:w="1028" w:type="dxa"/>
          </w:tcPr>
          <w:p w:rsidR="00225BF6" w:rsidRPr="000B544A" w:rsidRDefault="00225BF6" w:rsidP="0062611B">
            <w:pPr>
              <w:spacing w:after="0" w:line="360" w:lineRule="auto"/>
              <w:jc w:val="both"/>
              <w:rPr>
                <w:rFonts w:ascii="Times New Roman" w:hAnsi="Times New Roman"/>
                <w:sz w:val="22"/>
                <w:szCs w:val="22"/>
                <w:lang w:val="lt-LT"/>
              </w:rPr>
            </w:pPr>
            <w:r w:rsidRPr="000B544A">
              <w:rPr>
                <w:rFonts w:ascii="Times New Roman" w:hAnsi="Times New Roman"/>
                <w:sz w:val="22"/>
                <w:szCs w:val="22"/>
                <w:lang w:val="lt-LT"/>
              </w:rPr>
              <w:t>SO</w:t>
            </w:r>
          </w:p>
        </w:tc>
        <w:tc>
          <w:tcPr>
            <w:tcW w:w="514"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lang w:val="lt-LT"/>
              </w:rPr>
              <w:t>-</w:t>
            </w:r>
          </w:p>
        </w:tc>
        <w:tc>
          <w:tcPr>
            <w:tcW w:w="4845"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Stochastic Oscillator</w:t>
            </w:r>
          </w:p>
        </w:tc>
      </w:tr>
      <w:tr w:rsidR="00225BF6" w:rsidRPr="000B544A" w:rsidTr="0062611B">
        <w:trPr>
          <w:trHeight w:val="415"/>
          <w:jc w:val="center"/>
        </w:trPr>
        <w:tc>
          <w:tcPr>
            <w:tcW w:w="1028" w:type="dxa"/>
          </w:tcPr>
          <w:p w:rsidR="00225BF6" w:rsidRPr="000B544A" w:rsidRDefault="00225BF6" w:rsidP="0062611B">
            <w:pPr>
              <w:spacing w:after="0" w:line="360" w:lineRule="auto"/>
              <w:jc w:val="both"/>
              <w:rPr>
                <w:rFonts w:ascii="Times New Roman" w:hAnsi="Times New Roman"/>
                <w:sz w:val="22"/>
                <w:szCs w:val="22"/>
                <w:lang w:val="lt-LT"/>
              </w:rPr>
            </w:pPr>
            <w:r w:rsidRPr="000B544A">
              <w:rPr>
                <w:rFonts w:ascii="Times New Roman" w:hAnsi="Times New Roman"/>
                <w:sz w:val="22"/>
                <w:szCs w:val="22"/>
                <w:lang w:val="lt-LT"/>
              </w:rPr>
              <w:t>MFI</w:t>
            </w:r>
          </w:p>
        </w:tc>
        <w:tc>
          <w:tcPr>
            <w:tcW w:w="514"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lang w:val="lt-LT"/>
              </w:rPr>
              <w:t>-</w:t>
            </w:r>
          </w:p>
        </w:tc>
        <w:tc>
          <w:tcPr>
            <w:tcW w:w="4845"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Money Flow Index</w:t>
            </w:r>
          </w:p>
        </w:tc>
      </w:tr>
      <w:tr w:rsidR="00225BF6" w:rsidRPr="000B544A" w:rsidTr="0062611B">
        <w:trPr>
          <w:trHeight w:val="415"/>
          <w:jc w:val="center"/>
        </w:trPr>
        <w:tc>
          <w:tcPr>
            <w:tcW w:w="1028" w:type="dxa"/>
          </w:tcPr>
          <w:p w:rsidR="00225BF6" w:rsidRPr="000B544A" w:rsidRDefault="00225BF6" w:rsidP="0062611B">
            <w:pPr>
              <w:spacing w:after="0" w:line="360" w:lineRule="auto"/>
              <w:jc w:val="both"/>
              <w:rPr>
                <w:rFonts w:ascii="Times New Roman" w:hAnsi="Times New Roman"/>
                <w:sz w:val="22"/>
                <w:szCs w:val="22"/>
                <w:lang w:val="lt-LT"/>
              </w:rPr>
            </w:pPr>
            <w:r w:rsidRPr="000B544A">
              <w:rPr>
                <w:rFonts w:ascii="Times New Roman" w:hAnsi="Times New Roman"/>
                <w:sz w:val="22"/>
                <w:szCs w:val="22"/>
                <w:lang w:val="lt-LT"/>
              </w:rPr>
              <w:t>W%R</w:t>
            </w:r>
          </w:p>
        </w:tc>
        <w:tc>
          <w:tcPr>
            <w:tcW w:w="514"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lang w:val="lt-LT"/>
              </w:rPr>
              <w:t>-</w:t>
            </w:r>
          </w:p>
        </w:tc>
        <w:tc>
          <w:tcPr>
            <w:tcW w:w="4845" w:type="dxa"/>
          </w:tcPr>
          <w:p w:rsidR="00225BF6" w:rsidRPr="000B544A" w:rsidRDefault="00225BF6" w:rsidP="0062611B">
            <w:pPr>
              <w:spacing w:after="0" w:line="360" w:lineRule="auto"/>
              <w:jc w:val="both"/>
              <w:rPr>
                <w:rFonts w:ascii="Times New Roman" w:hAnsi="Times New Roman"/>
                <w:lang w:val="lt-LT"/>
              </w:rPr>
            </w:pPr>
            <w:r w:rsidRPr="000B544A">
              <w:rPr>
                <w:rFonts w:ascii="Times New Roman" w:hAnsi="Times New Roman"/>
                <w:sz w:val="22"/>
                <w:szCs w:val="22"/>
                <w:lang w:val="lt-LT"/>
              </w:rPr>
              <w:t>Williams %R</w:t>
            </w:r>
          </w:p>
        </w:tc>
      </w:tr>
      <w:tr w:rsidR="00225BF6" w:rsidRPr="000B544A" w:rsidTr="0062611B">
        <w:trPr>
          <w:trHeight w:val="415"/>
          <w:jc w:val="center"/>
        </w:trPr>
        <w:tc>
          <w:tcPr>
            <w:tcW w:w="1028" w:type="dxa"/>
          </w:tcPr>
          <w:p w:rsidR="00225BF6" w:rsidRPr="000B544A" w:rsidRDefault="00225BF6" w:rsidP="0062611B">
            <w:pPr>
              <w:spacing w:after="0" w:line="360" w:lineRule="auto"/>
              <w:jc w:val="both"/>
              <w:rPr>
                <w:rFonts w:ascii="Times New Roman" w:hAnsi="Times New Roman"/>
                <w:sz w:val="22"/>
                <w:szCs w:val="22"/>
                <w:lang w:val="lt-LT"/>
              </w:rPr>
            </w:pPr>
          </w:p>
        </w:tc>
        <w:tc>
          <w:tcPr>
            <w:tcW w:w="514" w:type="dxa"/>
          </w:tcPr>
          <w:p w:rsidR="00225BF6" w:rsidRPr="000B544A" w:rsidRDefault="00225BF6" w:rsidP="0062611B">
            <w:pPr>
              <w:spacing w:after="0" w:line="360" w:lineRule="auto"/>
              <w:jc w:val="both"/>
              <w:rPr>
                <w:rFonts w:ascii="Times New Roman" w:hAnsi="Times New Roman"/>
                <w:lang w:val="lt-LT"/>
              </w:rPr>
            </w:pPr>
          </w:p>
        </w:tc>
        <w:tc>
          <w:tcPr>
            <w:tcW w:w="4845" w:type="dxa"/>
          </w:tcPr>
          <w:p w:rsidR="00225BF6" w:rsidRPr="000B544A" w:rsidRDefault="00225BF6" w:rsidP="0062611B">
            <w:pPr>
              <w:spacing w:after="0" w:line="360" w:lineRule="auto"/>
              <w:jc w:val="both"/>
              <w:rPr>
                <w:rFonts w:ascii="Times New Roman" w:hAnsi="Times New Roman"/>
                <w:lang w:val="lt-LT"/>
              </w:rPr>
            </w:pPr>
          </w:p>
        </w:tc>
      </w:tr>
    </w:tbl>
    <w:p w:rsidR="00E2705D" w:rsidRPr="000B544A" w:rsidRDefault="00E2705D" w:rsidP="00871496">
      <w:pPr>
        <w:spacing w:after="0" w:line="360" w:lineRule="auto"/>
        <w:rPr>
          <w:rFonts w:ascii="Times New Roman" w:hAnsi="Times New Roman"/>
          <w:lang w:val="lt-LT"/>
        </w:rPr>
      </w:pPr>
    </w:p>
    <w:p w:rsidR="00225BF6" w:rsidRPr="000B544A" w:rsidRDefault="00225BF6" w:rsidP="00871496">
      <w:pPr>
        <w:spacing w:after="0" w:line="360" w:lineRule="auto"/>
        <w:rPr>
          <w:rFonts w:ascii="Times New Roman" w:hAnsi="Times New Roman"/>
          <w:lang w:val="lt-LT"/>
        </w:rPr>
      </w:pPr>
    </w:p>
    <w:p w:rsidR="00225BF6" w:rsidRPr="000B544A" w:rsidRDefault="00225BF6" w:rsidP="00871496">
      <w:pPr>
        <w:spacing w:after="0" w:line="360" w:lineRule="auto"/>
        <w:rPr>
          <w:rFonts w:ascii="Times New Roman" w:hAnsi="Times New Roman"/>
          <w:lang w:val="lt-LT"/>
        </w:rPr>
      </w:pPr>
    </w:p>
    <w:p w:rsidR="00225BF6" w:rsidRPr="000B544A" w:rsidRDefault="00225BF6" w:rsidP="00871496">
      <w:pPr>
        <w:spacing w:after="0" w:line="360" w:lineRule="auto"/>
        <w:rPr>
          <w:rFonts w:ascii="Times New Roman" w:hAnsi="Times New Roman"/>
          <w:lang w:val="lt-LT"/>
        </w:rPr>
      </w:pPr>
    </w:p>
    <w:p w:rsidR="00225BF6" w:rsidRPr="000B544A" w:rsidRDefault="00225BF6" w:rsidP="00871496">
      <w:pPr>
        <w:spacing w:after="0" w:line="360" w:lineRule="auto"/>
        <w:rPr>
          <w:rFonts w:ascii="Times New Roman" w:hAnsi="Times New Roman"/>
          <w:lang w:val="lt-LT"/>
        </w:rPr>
      </w:pPr>
    </w:p>
    <w:p w:rsidR="00225BF6" w:rsidRPr="000B544A" w:rsidRDefault="00225BF6" w:rsidP="00871496">
      <w:pPr>
        <w:spacing w:after="0" w:line="360" w:lineRule="auto"/>
        <w:rPr>
          <w:rFonts w:ascii="Times New Roman" w:hAnsi="Times New Roman"/>
          <w:lang w:val="lt-LT"/>
        </w:rPr>
      </w:pPr>
    </w:p>
    <w:p w:rsidR="0062611B" w:rsidRPr="000B544A" w:rsidRDefault="0062611B" w:rsidP="00871496">
      <w:pPr>
        <w:spacing w:after="0" w:line="360" w:lineRule="auto"/>
        <w:rPr>
          <w:rFonts w:ascii="Times New Roman" w:hAnsi="Times New Roman"/>
          <w:lang w:val="lt-LT"/>
        </w:rPr>
        <w:sectPr w:rsidR="0062611B" w:rsidRPr="000B544A" w:rsidSect="009246AF">
          <w:endnotePr>
            <w:numFmt w:val="decimal"/>
          </w:endnotePr>
          <w:pgSz w:w="11900" w:h="16840"/>
          <w:pgMar w:top="851" w:right="567" w:bottom="851" w:left="1418" w:header="283" w:footer="283" w:gutter="0"/>
          <w:pgNumType w:start="6"/>
          <w:cols w:space="708"/>
          <w:docGrid w:linePitch="326"/>
        </w:sectPr>
      </w:pPr>
    </w:p>
    <w:p w:rsidR="00252F1D" w:rsidRPr="000B544A" w:rsidRDefault="00252F1D" w:rsidP="0062611B">
      <w:pPr>
        <w:pStyle w:val="Heading1"/>
        <w:pageBreakBefore/>
        <w:jc w:val="center"/>
        <w:rPr>
          <w:rFonts w:ascii="Times New Roman" w:hAnsi="Times New Roman"/>
          <w:b w:val="0"/>
          <w:sz w:val="28"/>
          <w:szCs w:val="28"/>
          <w:lang w:val="lt-LT"/>
        </w:rPr>
      </w:pPr>
      <w:bookmarkStart w:id="0" w:name="_Toc312047631"/>
      <w:r w:rsidRPr="000B544A">
        <w:rPr>
          <w:rFonts w:ascii="Times New Roman" w:hAnsi="Times New Roman"/>
          <w:b w:val="0"/>
          <w:sz w:val="28"/>
          <w:szCs w:val="28"/>
          <w:lang w:val="lt-LT"/>
        </w:rPr>
        <w:lastRenderedPageBreak/>
        <w:t>ĮVADAS</w:t>
      </w:r>
      <w:bookmarkEnd w:id="0"/>
    </w:p>
    <w:p w:rsidR="005F2A3A" w:rsidRPr="000B544A" w:rsidRDefault="0082121C" w:rsidP="00545CD3">
      <w:pPr>
        <w:spacing w:after="0" w:line="360" w:lineRule="auto"/>
        <w:ind w:firstLine="567"/>
        <w:jc w:val="both"/>
        <w:rPr>
          <w:rFonts w:ascii="Times New Roman" w:hAnsi="Times New Roman"/>
          <w:lang w:val="lt-LT"/>
        </w:rPr>
      </w:pPr>
      <w:r w:rsidRPr="000B544A">
        <w:rPr>
          <w:rFonts w:ascii="Times New Roman" w:hAnsi="Times New Roman"/>
          <w:lang w:val="lt-LT"/>
        </w:rPr>
        <w:t xml:space="preserve">Nuo senų laikų žmonės bando </w:t>
      </w:r>
      <w:r w:rsidR="005F2A3A" w:rsidRPr="000B544A">
        <w:rPr>
          <w:rFonts w:ascii="Times New Roman" w:hAnsi="Times New Roman"/>
          <w:lang w:val="lt-LT"/>
        </w:rPr>
        <w:t xml:space="preserve">atspėti ateitį. Tikriausiai visi </w:t>
      </w:r>
      <w:r w:rsidR="007B7BC5" w:rsidRPr="000B544A">
        <w:rPr>
          <w:rFonts w:ascii="Times New Roman" w:hAnsi="Times New Roman"/>
          <w:lang w:val="lt-LT"/>
        </w:rPr>
        <w:t>esame</w:t>
      </w:r>
      <w:r w:rsidR="005F2A3A" w:rsidRPr="000B544A">
        <w:rPr>
          <w:rFonts w:ascii="Times New Roman" w:hAnsi="Times New Roman"/>
          <w:lang w:val="lt-LT"/>
        </w:rPr>
        <w:t xml:space="preserve"> girdėję įvairių prietarų, kuriais žmonės ateitį prognozuoja. „Sausio mėnesio šiaurės vėjai gerą derlių atpučia“ - byloja senolių išmintis. Ši senolių išmintis yra panaši į šiuolaikinę techninę analizę. Viena iš techninės analizės prielaidų yra ta, kad istorija kartojasi. Jei žmonės per daug metų pastebėjo, kad sausio mėnesį</w:t>
      </w:r>
      <w:r w:rsidR="007B7BC5" w:rsidRPr="000B544A">
        <w:rPr>
          <w:rFonts w:ascii="Times New Roman" w:hAnsi="Times New Roman"/>
          <w:lang w:val="lt-LT"/>
        </w:rPr>
        <w:t xml:space="preserve"> dažnai </w:t>
      </w:r>
      <w:r w:rsidR="005F2A3A" w:rsidRPr="000B544A">
        <w:rPr>
          <w:rFonts w:ascii="Times New Roman" w:hAnsi="Times New Roman"/>
          <w:lang w:val="lt-LT"/>
        </w:rPr>
        <w:t xml:space="preserve">šiaurės vėjams pučiant tais metais </w:t>
      </w:r>
      <w:r w:rsidR="007B7BC5" w:rsidRPr="000B544A">
        <w:rPr>
          <w:rFonts w:ascii="Times New Roman" w:hAnsi="Times New Roman"/>
          <w:lang w:val="lt-LT"/>
        </w:rPr>
        <w:t xml:space="preserve">gausus derlius </w:t>
      </w:r>
      <w:r w:rsidR="005F2A3A" w:rsidRPr="000B544A">
        <w:rPr>
          <w:rFonts w:ascii="Times New Roman" w:hAnsi="Times New Roman"/>
          <w:lang w:val="lt-LT"/>
        </w:rPr>
        <w:t xml:space="preserve">gaunamas, tai pastebėję sausio mėnesį šiaurės vėjus apsidžiaugia ir laukia gausaus derliaus. Taip pat </w:t>
      </w:r>
      <w:r w:rsidR="009C313E" w:rsidRPr="000B544A">
        <w:rPr>
          <w:rFonts w:ascii="Times New Roman" w:hAnsi="Times New Roman"/>
          <w:lang w:val="lt-LT"/>
        </w:rPr>
        <w:t xml:space="preserve">ir </w:t>
      </w:r>
      <w:r w:rsidR="005F2A3A" w:rsidRPr="000B544A">
        <w:rPr>
          <w:rFonts w:ascii="Times New Roman" w:hAnsi="Times New Roman"/>
          <w:lang w:val="lt-LT"/>
        </w:rPr>
        <w:t>techninėje analizėje</w:t>
      </w:r>
      <w:r w:rsidR="00856050" w:rsidRPr="000B544A">
        <w:rPr>
          <w:rFonts w:ascii="Times New Roman" w:hAnsi="Times New Roman"/>
          <w:lang w:val="lt-LT"/>
        </w:rPr>
        <w:t xml:space="preserve"> yra pastebėta daug dėsningumų, pagal kuriuos galima spręsti apie ateities kainos kilimą arba kritimą.</w:t>
      </w:r>
    </w:p>
    <w:p w:rsidR="00714B7D" w:rsidRPr="000B544A" w:rsidRDefault="00714B7D" w:rsidP="00545CD3">
      <w:pPr>
        <w:spacing w:after="0" w:line="360" w:lineRule="auto"/>
        <w:ind w:firstLine="567"/>
        <w:jc w:val="both"/>
        <w:rPr>
          <w:rFonts w:ascii="Times New Roman" w:hAnsi="Times New Roman"/>
          <w:lang w:val="lt-LT"/>
        </w:rPr>
      </w:pPr>
      <w:r w:rsidRPr="000B544A">
        <w:rPr>
          <w:rFonts w:ascii="Times New Roman" w:hAnsi="Times New Roman"/>
          <w:lang w:val="lt-LT"/>
        </w:rPr>
        <w:t xml:space="preserve">Šiais laikais vis daugiau ir daugiau žmonių susiduria su </w:t>
      </w:r>
      <w:r w:rsidR="00F56209" w:rsidRPr="000B544A">
        <w:rPr>
          <w:rFonts w:ascii="Times New Roman" w:hAnsi="Times New Roman"/>
          <w:lang w:val="lt-LT"/>
        </w:rPr>
        <w:t>investavimu</w:t>
      </w:r>
      <w:r w:rsidRPr="000B544A">
        <w:rPr>
          <w:rFonts w:ascii="Times New Roman" w:hAnsi="Times New Roman"/>
          <w:lang w:val="lt-LT"/>
        </w:rPr>
        <w:t xml:space="preserve">. Pasyvesnieji investuoja į </w:t>
      </w:r>
      <w:r w:rsidR="00F56209" w:rsidRPr="000B544A">
        <w:rPr>
          <w:rFonts w:ascii="Times New Roman" w:hAnsi="Times New Roman"/>
          <w:lang w:val="lt-LT"/>
        </w:rPr>
        <w:t xml:space="preserve">indėlius, </w:t>
      </w:r>
      <w:r w:rsidRPr="000B544A">
        <w:rPr>
          <w:rFonts w:ascii="Times New Roman" w:hAnsi="Times New Roman"/>
          <w:lang w:val="lt-LT"/>
        </w:rPr>
        <w:t>pensijų fondus, gyvybės draudimą, o drąsesni investuoja ti</w:t>
      </w:r>
      <w:r w:rsidR="00F56209" w:rsidRPr="000B544A">
        <w:rPr>
          <w:rFonts w:ascii="Times New Roman" w:hAnsi="Times New Roman"/>
          <w:lang w:val="lt-LT"/>
        </w:rPr>
        <w:t xml:space="preserve">esiogiai į akcijas. Investavimas </w:t>
      </w:r>
      <w:r w:rsidRPr="000B544A">
        <w:rPr>
          <w:rFonts w:ascii="Times New Roman" w:hAnsi="Times New Roman"/>
          <w:lang w:val="lt-LT"/>
        </w:rPr>
        <w:t>tai yra toks procesas, kurio metu siekiama padidinti savo turimus finansinius išteklius. Jei</w:t>
      </w:r>
      <w:r w:rsidR="00155D3E" w:rsidRPr="000B544A">
        <w:rPr>
          <w:rFonts w:ascii="Times New Roman" w:hAnsi="Times New Roman"/>
          <w:lang w:val="lt-LT"/>
        </w:rPr>
        <w:t xml:space="preserve"> iškeliamas toks pagrindinis tikslas,</w:t>
      </w:r>
      <w:r w:rsidRPr="000B544A">
        <w:rPr>
          <w:rFonts w:ascii="Times New Roman" w:hAnsi="Times New Roman"/>
          <w:lang w:val="lt-LT"/>
        </w:rPr>
        <w:t xml:space="preserve"> tai investuoti reikėtų </w:t>
      </w:r>
      <w:r w:rsidR="00F56209" w:rsidRPr="000B544A">
        <w:rPr>
          <w:rFonts w:ascii="Times New Roman" w:hAnsi="Times New Roman"/>
          <w:lang w:val="lt-LT"/>
        </w:rPr>
        <w:t xml:space="preserve">prieš tai </w:t>
      </w:r>
      <w:r w:rsidR="00725992" w:rsidRPr="000B544A">
        <w:rPr>
          <w:rFonts w:ascii="Times New Roman" w:hAnsi="Times New Roman"/>
          <w:lang w:val="lt-LT"/>
        </w:rPr>
        <w:t>atlikus finansinio instrumento prognozę</w:t>
      </w:r>
      <w:r w:rsidRPr="000B544A">
        <w:rPr>
          <w:rFonts w:ascii="Times New Roman" w:hAnsi="Times New Roman"/>
          <w:lang w:val="lt-LT"/>
        </w:rPr>
        <w:t>. Protingas investa</w:t>
      </w:r>
      <w:r w:rsidR="00F56209" w:rsidRPr="000B544A">
        <w:rPr>
          <w:rFonts w:ascii="Times New Roman" w:hAnsi="Times New Roman"/>
          <w:lang w:val="lt-LT"/>
        </w:rPr>
        <w:t>vimas neatsiejamas nuo finansinio instrumento</w:t>
      </w:r>
      <w:r w:rsidRPr="000B544A">
        <w:rPr>
          <w:rFonts w:ascii="Times New Roman" w:hAnsi="Times New Roman"/>
          <w:lang w:val="lt-LT"/>
        </w:rPr>
        <w:t xml:space="preserve"> </w:t>
      </w:r>
      <w:r w:rsidR="00725992" w:rsidRPr="000B544A">
        <w:rPr>
          <w:rFonts w:ascii="Times New Roman" w:hAnsi="Times New Roman"/>
          <w:lang w:val="lt-LT"/>
        </w:rPr>
        <w:t>kainos prognozavimo</w:t>
      </w:r>
      <w:r w:rsidRPr="000B544A">
        <w:rPr>
          <w:rFonts w:ascii="Times New Roman" w:hAnsi="Times New Roman"/>
          <w:lang w:val="lt-LT"/>
        </w:rPr>
        <w:t>, kuri</w:t>
      </w:r>
      <w:r w:rsidR="00725992" w:rsidRPr="000B544A">
        <w:rPr>
          <w:rFonts w:ascii="Times New Roman" w:hAnsi="Times New Roman"/>
          <w:lang w:val="lt-LT"/>
        </w:rPr>
        <w:t>s</w:t>
      </w:r>
      <w:r w:rsidRPr="000B544A">
        <w:rPr>
          <w:rFonts w:ascii="Times New Roman" w:hAnsi="Times New Roman"/>
          <w:lang w:val="lt-LT"/>
        </w:rPr>
        <w:t xml:space="preserve"> ir pad</w:t>
      </w:r>
      <w:r w:rsidR="00725992" w:rsidRPr="000B544A">
        <w:rPr>
          <w:rFonts w:ascii="Times New Roman" w:hAnsi="Times New Roman"/>
          <w:lang w:val="lt-LT"/>
        </w:rPr>
        <w:t>eda priimti teisingus finansini</w:t>
      </w:r>
      <w:r w:rsidRPr="000B544A">
        <w:rPr>
          <w:rFonts w:ascii="Times New Roman" w:hAnsi="Times New Roman"/>
          <w:lang w:val="lt-LT"/>
        </w:rPr>
        <w:t>u</w:t>
      </w:r>
      <w:r w:rsidR="00725992" w:rsidRPr="000B544A">
        <w:rPr>
          <w:rFonts w:ascii="Times New Roman" w:hAnsi="Times New Roman"/>
          <w:lang w:val="lt-LT"/>
        </w:rPr>
        <w:t>s</w:t>
      </w:r>
      <w:r w:rsidRPr="000B544A">
        <w:rPr>
          <w:rFonts w:ascii="Times New Roman" w:hAnsi="Times New Roman"/>
          <w:lang w:val="lt-LT"/>
        </w:rPr>
        <w:t xml:space="preserve"> sprendimus.</w:t>
      </w:r>
    </w:p>
    <w:p w:rsidR="009C313E" w:rsidRPr="000B544A" w:rsidRDefault="009C313E" w:rsidP="00545CD3">
      <w:pPr>
        <w:spacing w:after="0" w:line="360" w:lineRule="auto"/>
        <w:ind w:firstLine="567"/>
        <w:jc w:val="both"/>
        <w:rPr>
          <w:rFonts w:ascii="Times New Roman" w:hAnsi="Times New Roman"/>
          <w:lang w:val="lt-LT"/>
        </w:rPr>
      </w:pPr>
      <w:r w:rsidRPr="000B544A">
        <w:rPr>
          <w:rFonts w:ascii="Times New Roman" w:hAnsi="Times New Roman"/>
          <w:lang w:val="lt-LT"/>
        </w:rPr>
        <w:t xml:space="preserve">Yra dvi pagrindinės finansinių instrumentų kainų prognozavimo šakos – techninė ir fundamentali analizės. Techninė analizė, kaip ir </w:t>
      </w:r>
      <w:r w:rsidR="008D4008" w:rsidRPr="000B544A">
        <w:rPr>
          <w:rFonts w:ascii="Times New Roman" w:hAnsi="Times New Roman"/>
          <w:lang w:val="lt-LT"/>
        </w:rPr>
        <w:t>senolių prietarai remiasi dėsningumais, o fundamentali analizė – tikrąja verte. Šios dvi analizės rūšys dažnai supriešinamos, bet geriausiai veikia kartu.</w:t>
      </w:r>
      <w:r w:rsidR="00AD13DE" w:rsidRPr="000B544A">
        <w:rPr>
          <w:rFonts w:ascii="Times New Roman" w:hAnsi="Times New Roman"/>
          <w:lang w:val="lt-LT"/>
        </w:rPr>
        <w:t xml:space="preserve"> </w:t>
      </w:r>
    </w:p>
    <w:p w:rsidR="00252F1D" w:rsidRPr="000B544A" w:rsidRDefault="00252F1D" w:rsidP="00545CD3">
      <w:pPr>
        <w:spacing w:after="0" w:line="360" w:lineRule="auto"/>
        <w:ind w:firstLine="567"/>
        <w:jc w:val="both"/>
        <w:rPr>
          <w:rFonts w:ascii="Times New Roman" w:hAnsi="Times New Roman"/>
          <w:lang w:val="lt-LT"/>
        </w:rPr>
      </w:pPr>
      <w:r w:rsidRPr="000B544A">
        <w:rPr>
          <w:rFonts w:ascii="Times New Roman" w:hAnsi="Times New Roman"/>
          <w:lang w:val="lt-LT"/>
        </w:rPr>
        <w:t xml:space="preserve">Techninė analizė yra kainos judėjimo prognozavimo metodas, kuris remiasi praeities kainomis. Techninių metodų naudojimas investicijoms yra idėjos atspindys: </w:t>
      </w:r>
      <w:r w:rsidR="0094539F" w:rsidRPr="000B544A">
        <w:rPr>
          <w:rFonts w:ascii="Times New Roman" w:hAnsi="Times New Roman"/>
          <w:lang w:val="lt-LT"/>
        </w:rPr>
        <w:t>kaina juda kanalais (kryptingai)</w:t>
      </w:r>
      <w:r w:rsidRPr="000B544A">
        <w:rPr>
          <w:rFonts w:ascii="Times New Roman" w:hAnsi="Times New Roman"/>
          <w:lang w:val="lt-LT"/>
        </w:rPr>
        <w:t xml:space="preserve"> kurie susidaro pasikeičiant investuotojų pozicijai priklausomai nuo ekonomikos, politikos ir psichologinių jėgų. Techninės analizės menas yra atpažinti krypties pasikeitimą ankstyvoje stadijoje ir užėmus poziciją laukti, kol pasirodys ženklai, kad kryptis vėl keičiasi.</w:t>
      </w:r>
    </w:p>
    <w:p w:rsidR="00252F1D" w:rsidRPr="000B544A" w:rsidRDefault="00252F1D" w:rsidP="00545CD3">
      <w:pPr>
        <w:spacing w:after="0" w:line="360" w:lineRule="auto"/>
        <w:ind w:firstLine="567"/>
        <w:jc w:val="both"/>
        <w:rPr>
          <w:rFonts w:ascii="Times New Roman" w:hAnsi="Times New Roman"/>
          <w:lang w:val="lt-LT"/>
        </w:rPr>
      </w:pPr>
      <w:r w:rsidRPr="000B544A">
        <w:rPr>
          <w:rFonts w:ascii="Times New Roman" w:hAnsi="Times New Roman"/>
          <w:lang w:val="lt-LT"/>
        </w:rPr>
        <w:t xml:space="preserve">Techninei analizei priklauso eilė prognozavimo metodų tokių kaip grafikų analizė, ciklų analizė ir </w:t>
      </w:r>
      <w:r w:rsidR="00EA6528" w:rsidRPr="000B544A">
        <w:rPr>
          <w:rFonts w:ascii="Times New Roman" w:hAnsi="Times New Roman"/>
          <w:lang w:val="lt-LT"/>
        </w:rPr>
        <w:t>matematiškai skaičiuojamų indikatorių reikšmių analizė</w:t>
      </w:r>
      <w:r w:rsidRPr="000B544A">
        <w:rPr>
          <w:rFonts w:ascii="Times New Roman" w:hAnsi="Times New Roman"/>
          <w:lang w:val="lt-LT"/>
        </w:rPr>
        <w:t>. Akademiniai tyrimai paprastai apsiriboja metodais, kurie gali būt</w:t>
      </w:r>
      <w:r w:rsidR="0094539F" w:rsidRPr="000B544A">
        <w:rPr>
          <w:rFonts w:ascii="Times New Roman" w:hAnsi="Times New Roman"/>
          <w:lang w:val="lt-LT"/>
        </w:rPr>
        <w:t>i apskaičiuojami matematiškai</w:t>
      </w:r>
      <w:r w:rsidRPr="000B544A">
        <w:rPr>
          <w:rFonts w:ascii="Times New Roman" w:hAnsi="Times New Roman"/>
          <w:lang w:val="lt-LT"/>
        </w:rPr>
        <w:t xml:space="preserve">. Kai kurie naujesni tyrimai pradėjo tirti grafikus vizualiai naudojant grafikų modelių atpažinimo algoritmus. Techninės prekybos sistemos susideda iš eilės prekybos taisyklių, kurios generuoja prekybos signalus (pirkti, parduoti ar </w:t>
      </w:r>
      <w:r w:rsidR="00EA6528" w:rsidRPr="000B544A">
        <w:rPr>
          <w:rFonts w:ascii="Times New Roman" w:hAnsi="Times New Roman"/>
          <w:lang w:val="lt-LT"/>
        </w:rPr>
        <w:t>laukti</w:t>
      </w:r>
      <w:r w:rsidRPr="000B544A">
        <w:rPr>
          <w:rFonts w:ascii="Times New Roman" w:hAnsi="Times New Roman"/>
          <w:lang w:val="lt-LT"/>
        </w:rPr>
        <w:t xml:space="preserve">) pagal daugelio parametrų reikšmes. Populiariosios prekybos sistemos naudoja slankiuosius vidurkius, kanalus ir momentinius osciliatorius. </w:t>
      </w:r>
    </w:p>
    <w:p w:rsidR="00617CFE" w:rsidRPr="00F035D3" w:rsidRDefault="00617CFE" w:rsidP="00617CFE">
      <w:pPr>
        <w:spacing w:after="0" w:line="360" w:lineRule="auto"/>
        <w:ind w:firstLine="567"/>
        <w:jc w:val="both"/>
        <w:rPr>
          <w:rFonts w:ascii="Times New Roman" w:hAnsi="Times New Roman"/>
        </w:rPr>
      </w:pPr>
      <w:r>
        <w:rPr>
          <w:rFonts w:ascii="Times New Roman" w:hAnsi="Times New Roman"/>
        </w:rPr>
        <w:t xml:space="preserve">Nors techninė ir fundamentali analizė yra priešinamos, dažnai ginčijamasi, kuri iš jų padeda investuoti pelningiau, tačiau pastaruoju metu vis daugiau ir daugiau kalbama apie tai, kad šias dvi analizės rūšis reikia naudoti kartu. Techninė analizė labiau tinka įėjimo į rinką momento pasirinkimui ar trumpalaikei investicijai, o fundamentali analizė nustatydama finansinio instrumento tikrąją vertę geriausiai tinka norint investuoti ilgam laikotarpiui, tačiau ši analizė nepadeda pasirinkti konkretaus </w:t>
      </w:r>
      <w:r>
        <w:rPr>
          <w:rFonts w:ascii="Times New Roman" w:hAnsi="Times New Roman"/>
        </w:rPr>
        <w:lastRenderedPageBreak/>
        <w:t>momento, kada geriausia pirkti ar parduoti aktyvus. Taigi naudojant kartu galima investuoti sėkmingiau: naudojant fundamentalią analizę galima nustatyti tikrąją vertę ir jei vertė yra reikšmingai didesnė nei rinkos kaina panaudojama techninė analizė, kuri padeda surasti geriausią momentą aktyvų pirkimui.</w:t>
      </w:r>
    </w:p>
    <w:p w:rsidR="00AA11DA" w:rsidRPr="000B544A" w:rsidRDefault="00347839" w:rsidP="00AA11DA">
      <w:pPr>
        <w:spacing w:after="0" w:line="360" w:lineRule="auto"/>
        <w:ind w:firstLine="567"/>
        <w:jc w:val="both"/>
        <w:rPr>
          <w:rFonts w:ascii="Times New Roman" w:hAnsi="Times New Roman"/>
          <w:lang w:val="lt-LT"/>
        </w:rPr>
      </w:pPr>
      <w:r w:rsidRPr="000B544A">
        <w:rPr>
          <w:rFonts w:ascii="Times New Roman" w:hAnsi="Times New Roman"/>
          <w:lang w:val="lt-LT"/>
        </w:rPr>
        <w:t xml:space="preserve">Mokslinių darbų, kurie tiria techninę analizę, pagausėjimas reiškia, kad </w:t>
      </w:r>
      <w:r w:rsidR="007939BB" w:rsidRPr="000B544A">
        <w:rPr>
          <w:rFonts w:ascii="Times New Roman" w:hAnsi="Times New Roman"/>
          <w:lang w:val="lt-LT"/>
        </w:rPr>
        <w:t xml:space="preserve">ši tema yra aktuali. Nepaisant to, kad </w:t>
      </w:r>
      <w:r w:rsidR="00751671" w:rsidRPr="000B544A">
        <w:rPr>
          <w:rFonts w:ascii="Times New Roman" w:hAnsi="Times New Roman"/>
          <w:lang w:val="lt-LT"/>
        </w:rPr>
        <w:t>paskutiniai</w:t>
      </w:r>
      <w:r w:rsidR="007939BB" w:rsidRPr="000B544A">
        <w:rPr>
          <w:rFonts w:ascii="Times New Roman" w:hAnsi="Times New Roman"/>
          <w:lang w:val="lt-LT"/>
        </w:rPr>
        <w:t xml:space="preserve"> tyrimai davė neigiamus rezultatus mokslininkai nenuleidžia rankų ir toliau ieško techninės analizės prognozės teisingumo įrodymų. Temos aktualumą patvirtina ir tai, kad technine analize domisi ir ją naudoja investuotojai, kurie patys priima investicinius spre</w:t>
      </w:r>
      <w:r w:rsidR="00453227" w:rsidRPr="000B544A">
        <w:rPr>
          <w:rFonts w:ascii="Times New Roman" w:hAnsi="Times New Roman"/>
          <w:lang w:val="lt-LT"/>
        </w:rPr>
        <w:t>ndimus ir apie tai plačiai diskutuoja internet</w:t>
      </w:r>
      <w:r w:rsidR="00155D3E" w:rsidRPr="000B544A">
        <w:rPr>
          <w:rFonts w:ascii="Times New Roman" w:hAnsi="Times New Roman"/>
          <w:lang w:val="lt-LT"/>
        </w:rPr>
        <w:t>inėse</w:t>
      </w:r>
      <w:r w:rsidR="00453227" w:rsidRPr="000B544A">
        <w:rPr>
          <w:rFonts w:ascii="Times New Roman" w:hAnsi="Times New Roman"/>
          <w:lang w:val="lt-LT"/>
        </w:rPr>
        <w:t xml:space="preserve"> diskusijų svetainėse tarpusavyje dalindamiesi savo atradimais ar naujais indikatoriais, kurie tuo metu tiksliausiai veikia rinkoje.</w:t>
      </w:r>
      <w:r w:rsidR="00751671" w:rsidRPr="000B544A">
        <w:rPr>
          <w:rFonts w:ascii="Times New Roman" w:hAnsi="Times New Roman"/>
          <w:lang w:val="lt-LT"/>
        </w:rPr>
        <w:t xml:space="preserve"> </w:t>
      </w:r>
    </w:p>
    <w:p w:rsidR="00252F1D" w:rsidRPr="000B544A" w:rsidRDefault="00252F1D" w:rsidP="00545CD3">
      <w:pPr>
        <w:spacing w:after="0" w:line="360" w:lineRule="auto"/>
        <w:ind w:firstLine="567"/>
        <w:jc w:val="both"/>
        <w:rPr>
          <w:rFonts w:ascii="Times New Roman" w:hAnsi="Times New Roman"/>
          <w:lang w:val="lt-LT"/>
        </w:rPr>
      </w:pPr>
    </w:p>
    <w:p w:rsidR="00252F1D" w:rsidRPr="000B544A" w:rsidRDefault="00252F1D" w:rsidP="00545CD3">
      <w:pPr>
        <w:spacing w:after="0" w:line="360" w:lineRule="auto"/>
        <w:ind w:firstLine="567"/>
        <w:jc w:val="both"/>
        <w:rPr>
          <w:rFonts w:ascii="Times New Roman" w:hAnsi="Times New Roman"/>
          <w:lang w:val="lt-LT"/>
        </w:rPr>
      </w:pPr>
      <w:r w:rsidRPr="000B544A">
        <w:rPr>
          <w:rFonts w:ascii="Times New Roman" w:hAnsi="Times New Roman"/>
          <w:b/>
          <w:lang w:val="lt-LT"/>
        </w:rPr>
        <w:t>Problema</w:t>
      </w:r>
      <w:r w:rsidR="008B60EA" w:rsidRPr="000B544A">
        <w:rPr>
          <w:rFonts w:ascii="Times New Roman" w:hAnsi="Times New Roman"/>
          <w:lang w:val="lt-LT"/>
        </w:rPr>
        <w:t xml:space="preserve">: Ar </w:t>
      </w:r>
      <w:r w:rsidR="001D3F5B" w:rsidRPr="000B544A">
        <w:rPr>
          <w:rFonts w:ascii="Times New Roman" w:hAnsi="Times New Roman"/>
          <w:lang w:val="lt-LT"/>
        </w:rPr>
        <w:t>techninės analizės naudojimas padeda investuoti pelningai</w:t>
      </w:r>
      <w:r w:rsidRPr="000B544A">
        <w:rPr>
          <w:rFonts w:ascii="Times New Roman" w:hAnsi="Times New Roman"/>
          <w:lang w:val="lt-LT"/>
        </w:rPr>
        <w:t>?</w:t>
      </w:r>
    </w:p>
    <w:p w:rsidR="00252F1D" w:rsidRPr="000B544A" w:rsidRDefault="00252F1D" w:rsidP="00545CD3">
      <w:pPr>
        <w:spacing w:after="0" w:line="360" w:lineRule="auto"/>
        <w:ind w:firstLine="567"/>
        <w:jc w:val="both"/>
        <w:rPr>
          <w:rFonts w:ascii="Times New Roman" w:hAnsi="Times New Roman"/>
          <w:lang w:val="lt-LT"/>
        </w:rPr>
      </w:pPr>
      <w:r w:rsidRPr="000B544A">
        <w:rPr>
          <w:rFonts w:ascii="Times New Roman" w:hAnsi="Times New Roman"/>
          <w:b/>
          <w:lang w:val="lt-LT"/>
        </w:rPr>
        <w:t>Hipotezė</w:t>
      </w:r>
      <w:r w:rsidRPr="000B544A">
        <w:rPr>
          <w:rFonts w:ascii="Times New Roman" w:hAnsi="Times New Roman"/>
          <w:lang w:val="lt-LT"/>
        </w:rPr>
        <w:t xml:space="preserve">: </w:t>
      </w:r>
      <w:r w:rsidR="00B62971" w:rsidRPr="000B544A">
        <w:rPr>
          <w:rFonts w:ascii="Times New Roman" w:hAnsi="Times New Roman"/>
          <w:lang w:val="lt-LT"/>
        </w:rPr>
        <w:t>H:</w:t>
      </w:r>
      <w:r w:rsidR="00E44CE8" w:rsidRPr="000B544A">
        <w:rPr>
          <w:rFonts w:ascii="Times New Roman" w:hAnsi="Times New Roman"/>
          <w:lang w:val="lt-LT"/>
        </w:rPr>
        <w:t xml:space="preserve"> </w:t>
      </w:r>
      <w:r w:rsidRPr="000B544A">
        <w:rPr>
          <w:rFonts w:ascii="Times New Roman" w:hAnsi="Times New Roman"/>
          <w:lang w:val="lt-LT"/>
        </w:rPr>
        <w:t>Techninė</w:t>
      </w:r>
      <w:r w:rsidR="001D3F5B" w:rsidRPr="000B544A">
        <w:rPr>
          <w:rFonts w:ascii="Times New Roman" w:hAnsi="Times New Roman"/>
          <w:lang w:val="lt-LT"/>
        </w:rPr>
        <w:t>s</w:t>
      </w:r>
      <w:r w:rsidRPr="000B544A">
        <w:rPr>
          <w:rFonts w:ascii="Times New Roman" w:hAnsi="Times New Roman"/>
          <w:lang w:val="lt-LT"/>
        </w:rPr>
        <w:t xml:space="preserve"> analizė</w:t>
      </w:r>
      <w:r w:rsidR="001D3F5B" w:rsidRPr="000B544A">
        <w:rPr>
          <w:rFonts w:ascii="Times New Roman" w:hAnsi="Times New Roman"/>
          <w:lang w:val="lt-LT"/>
        </w:rPr>
        <w:t>s naudojimas</w:t>
      </w:r>
      <w:r w:rsidRPr="000B544A">
        <w:rPr>
          <w:rFonts w:ascii="Times New Roman" w:hAnsi="Times New Roman"/>
          <w:lang w:val="lt-LT"/>
        </w:rPr>
        <w:t xml:space="preserve"> padeda investuoti pelningai</w:t>
      </w:r>
      <w:r w:rsidR="001D3F5B" w:rsidRPr="000B544A">
        <w:rPr>
          <w:rFonts w:ascii="Times New Roman" w:hAnsi="Times New Roman"/>
          <w:lang w:val="lt-LT"/>
        </w:rPr>
        <w:t xml:space="preserve"> trumpame laikotarpyje</w:t>
      </w:r>
      <w:r w:rsidRPr="000B544A">
        <w:rPr>
          <w:rFonts w:ascii="Times New Roman" w:hAnsi="Times New Roman"/>
          <w:lang w:val="lt-LT"/>
        </w:rPr>
        <w:t>.</w:t>
      </w:r>
    </w:p>
    <w:p w:rsidR="00252F1D" w:rsidRPr="000B544A" w:rsidRDefault="00252F1D" w:rsidP="00545CD3">
      <w:pPr>
        <w:tabs>
          <w:tab w:val="center" w:pos="5241"/>
        </w:tabs>
        <w:spacing w:after="0" w:line="360" w:lineRule="auto"/>
        <w:ind w:firstLine="567"/>
        <w:jc w:val="both"/>
        <w:rPr>
          <w:rFonts w:ascii="Times New Roman" w:hAnsi="Times New Roman"/>
          <w:lang w:val="lt-LT"/>
        </w:rPr>
      </w:pPr>
      <w:r w:rsidRPr="000B544A">
        <w:rPr>
          <w:rFonts w:ascii="Times New Roman" w:hAnsi="Times New Roman"/>
          <w:b/>
          <w:lang w:val="lt-LT"/>
        </w:rPr>
        <w:t>Objektas</w:t>
      </w:r>
      <w:r w:rsidRPr="000B544A">
        <w:rPr>
          <w:rFonts w:ascii="Times New Roman" w:hAnsi="Times New Roman"/>
          <w:lang w:val="lt-LT"/>
        </w:rPr>
        <w:t xml:space="preserve">: </w:t>
      </w:r>
      <w:r w:rsidR="001D3F5B" w:rsidRPr="000B544A">
        <w:rPr>
          <w:rFonts w:ascii="Times New Roman" w:hAnsi="Times New Roman"/>
          <w:lang w:val="lt-LT"/>
        </w:rPr>
        <w:t>L</w:t>
      </w:r>
      <w:r w:rsidRPr="000B544A">
        <w:rPr>
          <w:rFonts w:ascii="Times New Roman" w:hAnsi="Times New Roman"/>
          <w:lang w:val="lt-LT"/>
        </w:rPr>
        <w:t xml:space="preserve">ikvidžiausių akcijų, listinguojamų Nasdaq OMX </w:t>
      </w:r>
      <w:r w:rsidR="001D3F5B" w:rsidRPr="000B544A">
        <w:rPr>
          <w:rFonts w:ascii="Times New Roman" w:hAnsi="Times New Roman"/>
          <w:lang w:val="lt-LT"/>
        </w:rPr>
        <w:t>Baltic rinkoje</w:t>
      </w:r>
      <w:r w:rsidRPr="000B544A">
        <w:rPr>
          <w:rFonts w:ascii="Times New Roman" w:hAnsi="Times New Roman"/>
          <w:lang w:val="lt-LT"/>
        </w:rPr>
        <w:t>, kaina.</w:t>
      </w:r>
    </w:p>
    <w:p w:rsidR="00252F1D" w:rsidRPr="000B544A" w:rsidRDefault="00252F1D" w:rsidP="00545CD3">
      <w:pPr>
        <w:spacing w:after="0" w:line="360" w:lineRule="auto"/>
        <w:ind w:firstLine="567"/>
        <w:jc w:val="both"/>
        <w:rPr>
          <w:rFonts w:ascii="Times New Roman" w:hAnsi="Times New Roman"/>
          <w:lang w:val="lt-LT"/>
        </w:rPr>
      </w:pPr>
      <w:r w:rsidRPr="000B544A">
        <w:rPr>
          <w:rFonts w:ascii="Times New Roman" w:hAnsi="Times New Roman"/>
          <w:b/>
          <w:lang w:val="lt-LT"/>
        </w:rPr>
        <w:t>Tyrimo</w:t>
      </w:r>
      <w:r w:rsidRPr="000B544A">
        <w:rPr>
          <w:rFonts w:ascii="Times New Roman" w:hAnsi="Times New Roman"/>
          <w:lang w:val="lt-LT"/>
        </w:rPr>
        <w:t xml:space="preserve"> </w:t>
      </w:r>
      <w:r w:rsidRPr="000B544A">
        <w:rPr>
          <w:rFonts w:ascii="Times New Roman" w:hAnsi="Times New Roman"/>
          <w:b/>
          <w:lang w:val="lt-LT"/>
        </w:rPr>
        <w:t>tikslas</w:t>
      </w:r>
      <w:r w:rsidRPr="000B544A">
        <w:rPr>
          <w:rFonts w:ascii="Times New Roman" w:hAnsi="Times New Roman"/>
          <w:lang w:val="lt-LT"/>
        </w:rPr>
        <w:t xml:space="preserve">: </w:t>
      </w:r>
      <w:r w:rsidR="00155D3E" w:rsidRPr="000B544A">
        <w:rPr>
          <w:rFonts w:ascii="Times New Roman" w:hAnsi="Times New Roman"/>
          <w:lang w:val="lt-LT"/>
        </w:rPr>
        <w:t>Išnagrinėjus</w:t>
      </w:r>
      <w:r w:rsidR="001D3F5B" w:rsidRPr="000B544A">
        <w:rPr>
          <w:rFonts w:ascii="Times New Roman" w:hAnsi="Times New Roman"/>
          <w:lang w:val="lt-LT"/>
        </w:rPr>
        <w:t xml:space="preserve"> įva</w:t>
      </w:r>
      <w:r w:rsidR="001E21E1" w:rsidRPr="000B544A">
        <w:rPr>
          <w:rFonts w:ascii="Times New Roman" w:hAnsi="Times New Roman"/>
          <w:lang w:val="lt-LT"/>
        </w:rPr>
        <w:t>irius techninės analizės metodus</w:t>
      </w:r>
      <w:r w:rsidR="00155D3E" w:rsidRPr="000B544A">
        <w:rPr>
          <w:rFonts w:ascii="Times New Roman" w:hAnsi="Times New Roman"/>
          <w:lang w:val="lt-LT"/>
        </w:rPr>
        <w:t>, atrinkti tinkamiausias priemones ir jų pagalba prognozuoti ateities tendencijas.</w:t>
      </w:r>
    </w:p>
    <w:p w:rsidR="00252F1D" w:rsidRPr="000B544A" w:rsidRDefault="00252F1D" w:rsidP="00545CD3">
      <w:pPr>
        <w:spacing w:after="0" w:line="360" w:lineRule="auto"/>
        <w:ind w:firstLine="567"/>
        <w:jc w:val="both"/>
        <w:rPr>
          <w:rFonts w:ascii="Times New Roman" w:hAnsi="Times New Roman"/>
          <w:lang w:val="lt-LT"/>
        </w:rPr>
      </w:pPr>
      <w:r w:rsidRPr="000B544A">
        <w:rPr>
          <w:rFonts w:ascii="Times New Roman" w:hAnsi="Times New Roman"/>
          <w:b/>
          <w:lang w:val="lt-LT"/>
        </w:rPr>
        <w:t>Uždaviniai</w:t>
      </w:r>
      <w:r w:rsidRPr="000B544A">
        <w:rPr>
          <w:rFonts w:ascii="Times New Roman" w:hAnsi="Times New Roman"/>
          <w:lang w:val="lt-LT"/>
        </w:rPr>
        <w:t xml:space="preserve">: </w:t>
      </w:r>
    </w:p>
    <w:p w:rsidR="00020F58" w:rsidRPr="000B544A" w:rsidRDefault="00155D3E" w:rsidP="00FD0188">
      <w:pPr>
        <w:pStyle w:val="ListParagraph"/>
        <w:numPr>
          <w:ilvl w:val="0"/>
          <w:numId w:val="15"/>
        </w:numPr>
        <w:spacing w:after="0" w:line="360" w:lineRule="auto"/>
        <w:jc w:val="both"/>
        <w:rPr>
          <w:rFonts w:ascii="Times New Roman" w:hAnsi="Times New Roman"/>
          <w:lang w:val="lt-LT"/>
        </w:rPr>
      </w:pPr>
      <w:r w:rsidRPr="000B544A">
        <w:rPr>
          <w:rFonts w:ascii="Times New Roman" w:hAnsi="Times New Roman"/>
          <w:lang w:val="lt-LT"/>
        </w:rPr>
        <w:t xml:space="preserve">Išanalizuoti dažniausiai </w:t>
      </w:r>
      <w:r w:rsidR="006B0978" w:rsidRPr="000B544A">
        <w:rPr>
          <w:rFonts w:ascii="Times New Roman" w:hAnsi="Times New Roman"/>
          <w:lang w:val="lt-LT"/>
        </w:rPr>
        <w:t xml:space="preserve">praktikoje </w:t>
      </w:r>
      <w:r w:rsidRPr="000B544A">
        <w:rPr>
          <w:rFonts w:ascii="Times New Roman" w:hAnsi="Times New Roman"/>
          <w:lang w:val="lt-LT"/>
        </w:rPr>
        <w:t xml:space="preserve">naudojamus </w:t>
      </w:r>
      <w:r w:rsidR="006B0978" w:rsidRPr="000B544A">
        <w:rPr>
          <w:rFonts w:ascii="Times New Roman" w:hAnsi="Times New Roman"/>
          <w:lang w:val="lt-LT"/>
        </w:rPr>
        <w:t>techninės analizės metodus</w:t>
      </w:r>
      <w:r w:rsidR="00020F58" w:rsidRPr="000B544A">
        <w:rPr>
          <w:rFonts w:ascii="Times New Roman" w:hAnsi="Times New Roman"/>
          <w:lang w:val="lt-LT"/>
        </w:rPr>
        <w:t>;</w:t>
      </w:r>
    </w:p>
    <w:p w:rsidR="00020F58" w:rsidRPr="000B544A" w:rsidRDefault="001E21E1" w:rsidP="00FD0188">
      <w:pPr>
        <w:pStyle w:val="ListParagraph"/>
        <w:numPr>
          <w:ilvl w:val="0"/>
          <w:numId w:val="15"/>
        </w:numPr>
        <w:spacing w:after="0" w:line="360" w:lineRule="auto"/>
        <w:jc w:val="both"/>
        <w:rPr>
          <w:rFonts w:ascii="Times New Roman" w:hAnsi="Times New Roman"/>
          <w:lang w:val="lt-LT"/>
        </w:rPr>
      </w:pPr>
      <w:r w:rsidRPr="000B544A">
        <w:rPr>
          <w:rFonts w:ascii="Times New Roman" w:hAnsi="Times New Roman"/>
          <w:lang w:val="lt-LT"/>
        </w:rPr>
        <w:t>Nustatyti</w:t>
      </w:r>
      <w:r w:rsidR="006B0978" w:rsidRPr="000B544A">
        <w:rPr>
          <w:rFonts w:ascii="Times New Roman" w:hAnsi="Times New Roman"/>
          <w:lang w:val="lt-LT"/>
        </w:rPr>
        <w:t xml:space="preserve"> tinkamiausius prognozei</w:t>
      </w:r>
      <w:r w:rsidR="00020F58" w:rsidRPr="000B544A">
        <w:rPr>
          <w:rFonts w:ascii="Times New Roman" w:hAnsi="Times New Roman"/>
          <w:lang w:val="lt-LT"/>
        </w:rPr>
        <w:t xml:space="preserve"> techninius rinkos indikatorius ir surasti geriausius parametrus;</w:t>
      </w:r>
    </w:p>
    <w:p w:rsidR="00252F1D" w:rsidRPr="000B544A" w:rsidRDefault="001E21E1" w:rsidP="00FD0188">
      <w:pPr>
        <w:pStyle w:val="ListParagraph"/>
        <w:numPr>
          <w:ilvl w:val="0"/>
          <w:numId w:val="15"/>
        </w:numPr>
        <w:spacing w:after="0" w:line="360" w:lineRule="auto"/>
        <w:jc w:val="both"/>
        <w:rPr>
          <w:rFonts w:ascii="Times New Roman" w:hAnsi="Times New Roman"/>
          <w:lang w:val="lt-LT"/>
        </w:rPr>
      </w:pPr>
      <w:r w:rsidRPr="000B544A">
        <w:rPr>
          <w:rFonts w:ascii="Times New Roman" w:hAnsi="Times New Roman"/>
          <w:lang w:val="lt-LT"/>
        </w:rPr>
        <w:t>Ištirti techninės analizės metodų tinkamumą Baltijos šalių akcijų rinkos prognozei</w:t>
      </w:r>
      <w:r w:rsidR="00252F1D" w:rsidRPr="000B544A">
        <w:rPr>
          <w:rFonts w:ascii="Times New Roman" w:hAnsi="Times New Roman"/>
          <w:lang w:val="lt-LT"/>
        </w:rPr>
        <w:t>.</w:t>
      </w:r>
      <w:r w:rsidR="00252F1D" w:rsidRPr="000B544A">
        <w:rPr>
          <w:rFonts w:ascii="Times New Roman" w:hAnsi="Times New Roman"/>
          <w:lang w:val="lt-LT"/>
        </w:rPr>
        <w:tab/>
      </w:r>
    </w:p>
    <w:p w:rsidR="00252F1D" w:rsidRPr="000B544A" w:rsidRDefault="00252F1D" w:rsidP="00C95CA2">
      <w:pPr>
        <w:spacing w:line="360" w:lineRule="auto"/>
        <w:jc w:val="both"/>
        <w:rPr>
          <w:rFonts w:ascii="Times New Roman" w:hAnsi="Times New Roman"/>
          <w:lang w:val="lt-LT"/>
        </w:rPr>
      </w:pPr>
    </w:p>
    <w:p w:rsidR="00D508F5" w:rsidRPr="000B544A" w:rsidRDefault="00A657CE" w:rsidP="00AB407F">
      <w:pPr>
        <w:pStyle w:val="Heading1"/>
        <w:pageBreakBefore/>
        <w:ind w:left="1080"/>
        <w:jc w:val="center"/>
        <w:rPr>
          <w:rFonts w:ascii="Times New Roman" w:hAnsi="Times New Roman"/>
          <w:b w:val="0"/>
          <w:sz w:val="28"/>
          <w:szCs w:val="28"/>
          <w:lang w:val="lt-LT"/>
        </w:rPr>
      </w:pPr>
      <w:bookmarkStart w:id="1" w:name="_Toc298435305"/>
      <w:bookmarkStart w:id="2" w:name="_Toc312047632"/>
      <w:r w:rsidRPr="000B544A">
        <w:rPr>
          <w:rFonts w:ascii="Times New Roman" w:hAnsi="Times New Roman"/>
          <w:b w:val="0"/>
          <w:sz w:val="28"/>
          <w:szCs w:val="28"/>
          <w:lang w:val="lt-LT"/>
        </w:rPr>
        <w:lastRenderedPageBreak/>
        <w:t>1.TECHNINĖS ANALIZĖS</w:t>
      </w:r>
      <w:r w:rsidR="00A867F6" w:rsidRPr="000B544A">
        <w:rPr>
          <w:rFonts w:ascii="Times New Roman" w:hAnsi="Times New Roman"/>
          <w:b w:val="0"/>
          <w:sz w:val="28"/>
          <w:szCs w:val="28"/>
          <w:lang w:val="lt-LT"/>
        </w:rPr>
        <w:t>, KAIP PROGNOZAVIMO METODO,</w:t>
      </w:r>
      <w:r w:rsidRPr="000B544A">
        <w:rPr>
          <w:rFonts w:ascii="Times New Roman" w:hAnsi="Times New Roman"/>
          <w:b w:val="0"/>
          <w:sz w:val="28"/>
          <w:szCs w:val="28"/>
          <w:lang w:val="lt-LT"/>
        </w:rPr>
        <w:t xml:space="preserve"> SPECIFIKA</w:t>
      </w:r>
      <w:bookmarkEnd w:id="1"/>
      <w:bookmarkEnd w:id="2"/>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Pagal E. Valakevičių techninė analizė yra pr</w:t>
      </w:r>
      <w:r w:rsidR="002C48A4">
        <w:rPr>
          <w:rFonts w:ascii="Times New Roman" w:hAnsi="Times New Roman"/>
          <w:lang w:val="lt-LT"/>
        </w:rPr>
        <w:t>a</w:t>
      </w:r>
      <w:r w:rsidRPr="000B544A">
        <w:rPr>
          <w:rFonts w:ascii="Times New Roman" w:hAnsi="Times New Roman"/>
          <w:lang w:val="lt-LT"/>
        </w:rPr>
        <w:t>eities kainų grafinis tyrimas, kai ieškoma tam tikrų dėsningumų, kuriais galima būtų atlikti trumpalaikę akcijų kainų prognozę. Techninė analizė yra finansų rinkų kainų krypties ir masto prognozavimas statistiniais ir grafiniais metodais nagrinėjant praeities kainas.</w:t>
      </w:r>
      <w:r w:rsidR="008D3760" w:rsidRPr="000B544A">
        <w:rPr>
          <w:rFonts w:ascii="Times New Roman" w:hAnsi="Times New Roman"/>
          <w:lang w:val="lt-LT"/>
        </w:rPr>
        <w:t>[23]</w:t>
      </w:r>
      <w:r w:rsidRPr="000B544A">
        <w:rPr>
          <w:rFonts w:ascii="Times New Roman" w:hAnsi="Times New Roman"/>
          <w:lang w:val="lt-LT"/>
        </w:rPr>
        <w:t xml:space="preserve"> </w:t>
      </w:r>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 xml:space="preserve">Zvi Bodie, Alex Kane ir Alan J. Marcus savo knygoje “Investments” techninę analizę apibūdina taip: techninė analizė tai yra iš esmės ieškojimas pasikartojančių ir nuspėjamų modelių akcijų rinkos kainose </w:t>
      </w:r>
      <w:r w:rsidR="008D3760" w:rsidRPr="000B544A">
        <w:rPr>
          <w:rFonts w:ascii="Times New Roman" w:hAnsi="Times New Roman"/>
          <w:lang w:val="lt-LT"/>
        </w:rPr>
        <w:t>[22]</w:t>
      </w:r>
      <w:r w:rsidRPr="000B544A">
        <w:rPr>
          <w:rFonts w:ascii="Times New Roman" w:hAnsi="Times New Roman"/>
          <w:lang w:val="lt-LT"/>
        </w:rPr>
        <w:t>.</w:t>
      </w:r>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Techninė analizė – tai mokslas apie finansinių instrumentų kainų dinamiką, kai remiantis praeities duomenimis prognozuojamas ateities kainų judėjimas. Šiam prognozavimui pasitelkiami įvairūs instrumentai, kurie sudaryti pagal tam tikras matematines formules ar kainų grafiko brėžiamas figūras.</w:t>
      </w:r>
    </w:p>
    <w:p w:rsidR="00D508F5" w:rsidRPr="000B544A" w:rsidRDefault="00D61720" w:rsidP="002855B6">
      <w:pPr>
        <w:pStyle w:val="Heading2"/>
        <w:spacing w:line="360" w:lineRule="auto"/>
        <w:rPr>
          <w:rFonts w:ascii="Times New Roman" w:hAnsi="Times New Roman"/>
          <w:color w:val="auto"/>
          <w:lang w:val="lt-LT"/>
        </w:rPr>
      </w:pPr>
      <w:bookmarkStart w:id="3" w:name="_Toc298435306"/>
      <w:bookmarkStart w:id="4" w:name="_Toc312047633"/>
      <w:r w:rsidRPr="000B544A">
        <w:rPr>
          <w:rFonts w:ascii="Times New Roman" w:hAnsi="Times New Roman"/>
          <w:color w:val="auto"/>
          <w:lang w:val="lt-LT"/>
        </w:rPr>
        <w:t xml:space="preserve">1.1 </w:t>
      </w:r>
      <w:r w:rsidR="00D508F5" w:rsidRPr="000B544A">
        <w:rPr>
          <w:rFonts w:ascii="Times New Roman" w:hAnsi="Times New Roman"/>
          <w:color w:val="auto"/>
          <w:lang w:val="lt-LT"/>
        </w:rPr>
        <w:t>Techninės analizės pagrindiniai aspektai</w:t>
      </w:r>
      <w:bookmarkEnd w:id="3"/>
      <w:bookmarkEnd w:id="4"/>
    </w:p>
    <w:p w:rsidR="00D508F5" w:rsidRPr="000B544A" w:rsidRDefault="00D508F5" w:rsidP="00D508F5">
      <w:pPr>
        <w:tabs>
          <w:tab w:val="left" w:pos="3544"/>
        </w:tabs>
        <w:spacing w:after="0" w:line="360" w:lineRule="auto"/>
        <w:ind w:firstLine="567"/>
        <w:jc w:val="both"/>
        <w:rPr>
          <w:rFonts w:ascii="Times New Roman" w:hAnsi="Times New Roman"/>
          <w:lang w:val="lt-LT"/>
        </w:rPr>
      </w:pPr>
      <w:r w:rsidRPr="000B544A">
        <w:rPr>
          <w:rFonts w:ascii="Times New Roman" w:hAnsi="Times New Roman"/>
          <w:lang w:val="lt-LT"/>
        </w:rPr>
        <w:t>Yonatan Rom, CEO of the Winning Edge ir techninės analizės ekspertas apibrėžia techninę anal</w:t>
      </w:r>
      <w:r w:rsidR="00373B3D" w:rsidRPr="000B544A">
        <w:rPr>
          <w:rFonts w:ascii="Times New Roman" w:hAnsi="Times New Roman"/>
          <w:lang w:val="lt-LT"/>
        </w:rPr>
        <w:t>izę kaip “Rinkos elgesio studiją</w:t>
      </w:r>
      <w:r w:rsidRPr="000B544A">
        <w:rPr>
          <w:rFonts w:ascii="Times New Roman" w:hAnsi="Times New Roman"/>
          <w:lang w:val="lt-LT"/>
        </w:rPr>
        <w:t xml:space="preserve"> naudojant grafikus siekiant prognozuoti ateities kainų kryptis”</w:t>
      </w:r>
      <w:r w:rsidR="008879C9" w:rsidRPr="000B544A">
        <w:rPr>
          <w:rFonts w:ascii="Times New Roman" w:hAnsi="Times New Roman"/>
          <w:lang w:val="lt-LT"/>
        </w:rPr>
        <w:t>[36]</w:t>
      </w:r>
      <w:r w:rsidRPr="000B544A">
        <w:rPr>
          <w:rFonts w:ascii="Times New Roman" w:hAnsi="Times New Roman"/>
          <w:lang w:val="lt-LT"/>
        </w:rPr>
        <w:t>. Tai yra priešingas prognozavimo metodas fundamentaliai analizei dėl dviejų dalykų. Pirma, techninė analizė tiria rinkoje esančią kainą, kai fundamentali analizė tiria faktorius veikiančius pasiūlą ir paklausą</w:t>
      </w:r>
      <w:r w:rsidR="008879C9" w:rsidRPr="000B544A">
        <w:rPr>
          <w:rFonts w:ascii="Times New Roman" w:hAnsi="Times New Roman"/>
          <w:lang w:val="lt-LT"/>
        </w:rPr>
        <w:t>[35]</w:t>
      </w:r>
      <w:r w:rsidRPr="000B544A">
        <w:rPr>
          <w:rFonts w:ascii="Times New Roman" w:hAnsi="Times New Roman"/>
          <w:lang w:val="lt-LT"/>
        </w:rPr>
        <w:t xml:space="preserve">. Antra, techninė analizė tiria rinkos judėjimo bruožus, </w:t>
      </w:r>
      <w:r w:rsidR="007B7BC5" w:rsidRPr="000B544A">
        <w:rPr>
          <w:rFonts w:ascii="Times New Roman" w:hAnsi="Times New Roman"/>
          <w:lang w:val="lt-LT"/>
        </w:rPr>
        <w:t>o</w:t>
      </w:r>
      <w:r w:rsidRPr="000B544A">
        <w:rPr>
          <w:rFonts w:ascii="Times New Roman" w:hAnsi="Times New Roman"/>
          <w:lang w:val="lt-LT"/>
        </w:rPr>
        <w:t xml:space="preserve"> fundamentali analizė ieško kainos pasikeitimo priežasčių</w:t>
      </w:r>
      <w:r w:rsidR="008879C9" w:rsidRPr="000B544A">
        <w:rPr>
          <w:rFonts w:ascii="Times New Roman" w:hAnsi="Times New Roman"/>
          <w:lang w:val="lt-LT"/>
        </w:rPr>
        <w:t>[35]</w:t>
      </w:r>
      <w:r w:rsidRPr="000B544A">
        <w:rPr>
          <w:rFonts w:ascii="Times New Roman" w:hAnsi="Times New Roman"/>
          <w:lang w:val="lt-LT"/>
        </w:rPr>
        <w:t xml:space="preserve">. Tikrieji techninės analizės naudotojai mėgina apeiti fundamentalios analizės netikrumą ir pašalina daugiaprasmiškumą kokie faktoriai lemia kainos judėjimą. Techninė analizė tiesiog žiūri į kainos elgesį </w:t>
      </w:r>
      <w:r w:rsidR="001C4BA7" w:rsidRPr="000B544A">
        <w:rPr>
          <w:rFonts w:ascii="Times New Roman" w:hAnsi="Times New Roman"/>
          <w:lang w:val="lt-LT"/>
        </w:rPr>
        <w:t>ir ieško tendencingų pasikartojimų, kurie leistų nuspėti ateitį.</w:t>
      </w:r>
    </w:p>
    <w:p w:rsidR="00D508F5" w:rsidRPr="000B544A" w:rsidRDefault="00D508F5" w:rsidP="00D508F5">
      <w:pPr>
        <w:tabs>
          <w:tab w:val="left" w:pos="3544"/>
        </w:tabs>
        <w:spacing w:after="0" w:line="360" w:lineRule="auto"/>
        <w:ind w:firstLine="567"/>
        <w:jc w:val="both"/>
        <w:rPr>
          <w:rFonts w:ascii="Times New Roman" w:hAnsi="Times New Roman"/>
          <w:lang w:val="lt-LT"/>
        </w:rPr>
      </w:pPr>
      <w:r w:rsidRPr="000B544A">
        <w:rPr>
          <w:rFonts w:ascii="Times New Roman" w:hAnsi="Times New Roman"/>
          <w:lang w:val="lt-LT"/>
        </w:rPr>
        <w:t>Rezultatas, kaip Richard Seddon – Online Share Trading at the Standar</w:t>
      </w:r>
      <w:r w:rsidR="008879C9" w:rsidRPr="000B544A">
        <w:rPr>
          <w:rFonts w:ascii="Times New Roman" w:hAnsi="Times New Roman"/>
          <w:lang w:val="lt-LT"/>
        </w:rPr>
        <w:t>d</w:t>
      </w:r>
      <w:r w:rsidRPr="000B544A">
        <w:rPr>
          <w:rFonts w:ascii="Times New Roman" w:hAnsi="Times New Roman"/>
          <w:lang w:val="lt-LT"/>
        </w:rPr>
        <w:t xml:space="preserve"> direktorius – teigia, yra tai, kad techninė analizė yra naudinga, kai naudojama su kitais, patvirtinančiais duomenimis. Šios dvi analizės šakos viena kitą papildo. Techninės analizės </w:t>
      </w:r>
      <w:r w:rsidR="00F56209" w:rsidRPr="000B544A">
        <w:rPr>
          <w:rFonts w:ascii="Times New Roman" w:hAnsi="Times New Roman"/>
          <w:lang w:val="lt-LT"/>
        </w:rPr>
        <w:t>privalumas</w:t>
      </w:r>
      <w:r w:rsidRPr="000B544A">
        <w:rPr>
          <w:rFonts w:ascii="Times New Roman" w:hAnsi="Times New Roman"/>
          <w:lang w:val="lt-LT"/>
        </w:rPr>
        <w:t xml:space="preserve"> yra tai, kad ji naudoja tik viešai prieinamą akcijų kainų informaciją nustatinėdama kainų ir rinkų kryptis</w:t>
      </w:r>
      <w:r w:rsidR="00634672" w:rsidRPr="000B544A">
        <w:rPr>
          <w:rFonts w:ascii="Times New Roman" w:hAnsi="Times New Roman"/>
          <w:lang w:val="lt-LT"/>
        </w:rPr>
        <w:t>[35]</w:t>
      </w:r>
      <w:r w:rsidRPr="000B544A">
        <w:rPr>
          <w:rFonts w:ascii="Times New Roman" w:hAnsi="Times New Roman"/>
          <w:lang w:val="lt-LT"/>
        </w:rPr>
        <w:t>. Šios kryptys yra naudojamos priimant i</w:t>
      </w:r>
      <w:r w:rsidR="001C4BA7" w:rsidRPr="000B544A">
        <w:rPr>
          <w:rFonts w:ascii="Times New Roman" w:hAnsi="Times New Roman"/>
          <w:lang w:val="lt-LT"/>
        </w:rPr>
        <w:t>nvesticinius sprendimus. T</w:t>
      </w:r>
      <w:r w:rsidRPr="000B544A">
        <w:rPr>
          <w:rFonts w:ascii="Times New Roman" w:hAnsi="Times New Roman"/>
          <w:lang w:val="lt-LT"/>
        </w:rPr>
        <w:t>echninė analizė gali būti daug tikslesnė, nei fundamentali analizė</w:t>
      </w:r>
      <w:r w:rsidR="001C4BA7" w:rsidRPr="000B544A">
        <w:rPr>
          <w:rFonts w:ascii="Times New Roman" w:hAnsi="Times New Roman"/>
          <w:lang w:val="lt-LT"/>
        </w:rPr>
        <w:t>,</w:t>
      </w:r>
      <w:r w:rsidRPr="000B544A">
        <w:rPr>
          <w:rFonts w:ascii="Times New Roman" w:hAnsi="Times New Roman"/>
          <w:lang w:val="lt-LT"/>
        </w:rPr>
        <w:t xml:space="preserve"> </w:t>
      </w:r>
      <w:r w:rsidR="001C4BA7" w:rsidRPr="000B544A">
        <w:rPr>
          <w:rFonts w:ascii="Times New Roman" w:hAnsi="Times New Roman"/>
          <w:lang w:val="lt-LT"/>
        </w:rPr>
        <w:t>todėl t</w:t>
      </w:r>
      <w:r w:rsidRPr="000B544A">
        <w:rPr>
          <w:rFonts w:ascii="Times New Roman" w:hAnsi="Times New Roman"/>
          <w:lang w:val="lt-LT"/>
        </w:rPr>
        <w:t xml:space="preserve">echninės analizės naudotojai </w:t>
      </w:r>
      <w:r w:rsidR="007B7BC5" w:rsidRPr="000B544A">
        <w:rPr>
          <w:rFonts w:ascii="Times New Roman" w:hAnsi="Times New Roman"/>
          <w:lang w:val="lt-LT"/>
        </w:rPr>
        <w:t>mažiau rizikuoja</w:t>
      </w:r>
      <w:r w:rsidRPr="000B544A">
        <w:rPr>
          <w:rFonts w:ascii="Times New Roman" w:hAnsi="Times New Roman"/>
          <w:lang w:val="lt-LT"/>
        </w:rPr>
        <w:t xml:space="preserve"> tapti emociškai </w:t>
      </w:r>
      <w:r w:rsidR="001C4BA7" w:rsidRPr="000B544A">
        <w:rPr>
          <w:rFonts w:ascii="Times New Roman" w:hAnsi="Times New Roman"/>
          <w:lang w:val="lt-LT"/>
        </w:rPr>
        <w:t>susietais</w:t>
      </w:r>
      <w:r w:rsidRPr="000B544A">
        <w:rPr>
          <w:rFonts w:ascii="Times New Roman" w:hAnsi="Times New Roman"/>
          <w:lang w:val="lt-LT"/>
        </w:rPr>
        <w:t xml:space="preserve"> su savo portfeliais</w:t>
      </w:r>
      <w:r w:rsidR="00634672" w:rsidRPr="000B544A">
        <w:rPr>
          <w:rFonts w:ascii="Times New Roman" w:hAnsi="Times New Roman"/>
          <w:lang w:val="lt-LT"/>
        </w:rPr>
        <w:t xml:space="preserve"> [35]</w:t>
      </w:r>
      <w:r w:rsidR="001C4BA7" w:rsidRPr="000B544A">
        <w:rPr>
          <w:rFonts w:ascii="Times New Roman" w:hAnsi="Times New Roman"/>
          <w:lang w:val="lt-LT"/>
        </w:rPr>
        <w:t>. Taip yra dėl to, kad techninės analizės interpretavimas yra subjektyvus ir priklauso nuo analitiko. Jei investuotojas pamato, kad šįkart jo prognozė yra netiksli, nes kaina peržengė techninės analizės pagalba nustatytą ribą, tai jis gali uždaryti sandorį ir ieškoti kitų galimybių. Fundamentalioji analizė nėra tokia tiksli ir j</w:t>
      </w:r>
      <w:r w:rsidR="000D7488" w:rsidRPr="000B544A">
        <w:rPr>
          <w:rFonts w:ascii="Times New Roman" w:hAnsi="Times New Roman"/>
          <w:lang w:val="lt-LT"/>
        </w:rPr>
        <w:t>a</w:t>
      </w:r>
      <w:r w:rsidR="001C4BA7" w:rsidRPr="000B544A">
        <w:rPr>
          <w:rFonts w:ascii="Times New Roman" w:hAnsi="Times New Roman"/>
          <w:lang w:val="lt-LT"/>
        </w:rPr>
        <w:t xml:space="preserve"> paremtos prognozės suteikia apytikslią reikšmę, o tai suteikia investuotojams vilties, kad kaina </w:t>
      </w:r>
      <w:r w:rsidR="000D7488" w:rsidRPr="000B544A">
        <w:rPr>
          <w:rFonts w:ascii="Times New Roman" w:hAnsi="Times New Roman"/>
          <w:lang w:val="lt-LT"/>
        </w:rPr>
        <w:t>dar pasieks norimą tašką. Tokioje situacijoje, kai nėra tikslių reikšmių, sunkiau priimti sprendimą fiksuoti nuostolį, o tai dažniausiai jį tik padidina.</w:t>
      </w:r>
    </w:p>
    <w:p w:rsidR="00D508F5" w:rsidRPr="000B544A" w:rsidRDefault="00D508F5" w:rsidP="00D508F5">
      <w:pPr>
        <w:tabs>
          <w:tab w:val="left" w:pos="3544"/>
        </w:tabs>
        <w:spacing w:after="0" w:line="360" w:lineRule="auto"/>
        <w:ind w:firstLine="567"/>
        <w:jc w:val="both"/>
        <w:rPr>
          <w:rFonts w:ascii="Times New Roman" w:hAnsi="Times New Roman"/>
          <w:lang w:val="lt-LT"/>
        </w:rPr>
      </w:pPr>
      <w:r w:rsidRPr="000B544A">
        <w:rPr>
          <w:rFonts w:ascii="Times New Roman" w:hAnsi="Times New Roman"/>
          <w:lang w:val="lt-LT"/>
        </w:rPr>
        <w:lastRenderedPageBreak/>
        <w:t>Esama daug knygų</w:t>
      </w:r>
      <w:r w:rsidR="006B0978" w:rsidRPr="000B544A">
        <w:rPr>
          <w:rFonts w:ascii="Times New Roman" w:hAnsi="Times New Roman"/>
          <w:lang w:val="lt-LT"/>
        </w:rPr>
        <w:t>, kuriose aprašyti pagrindiniai techninės analizės principai ir metodai</w:t>
      </w:r>
      <w:r w:rsidRPr="000B544A">
        <w:rPr>
          <w:rFonts w:ascii="Times New Roman" w:hAnsi="Times New Roman"/>
          <w:lang w:val="lt-LT"/>
        </w:rPr>
        <w:t xml:space="preserve"> Prognozavimo procesas gali būti supaprastintas ir patikslintas naudojant techninės analizės programinę įrangą.</w:t>
      </w:r>
    </w:p>
    <w:p w:rsidR="00790F6A" w:rsidRPr="000B544A" w:rsidRDefault="00790F6A" w:rsidP="00790F6A">
      <w:pPr>
        <w:tabs>
          <w:tab w:val="left" w:pos="3544"/>
        </w:tabs>
        <w:spacing w:after="0" w:line="360" w:lineRule="auto"/>
        <w:ind w:firstLine="567"/>
        <w:jc w:val="center"/>
        <w:rPr>
          <w:rFonts w:ascii="Times New Roman" w:hAnsi="Times New Roman"/>
          <w:lang w:val="lt-LT"/>
        </w:rPr>
      </w:pPr>
      <w:r w:rsidRPr="000B544A">
        <w:rPr>
          <w:rFonts w:ascii="Times New Roman" w:hAnsi="Times New Roman"/>
          <w:noProof/>
        </w:rPr>
        <w:drawing>
          <wp:inline distT="0" distB="0" distL="0" distR="0">
            <wp:extent cx="2657475" cy="3102374"/>
            <wp:effectExtent l="19050" t="0" r="0" b="0"/>
            <wp:docPr id="7" name="Picture 6" descr="TA PRIELAI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 PRIELAIDOS.jpg"/>
                    <pic:cNvPicPr/>
                  </pic:nvPicPr>
                  <pic:blipFill>
                    <a:blip r:embed="rId8" cstate="print"/>
                    <a:stretch>
                      <a:fillRect/>
                    </a:stretch>
                  </pic:blipFill>
                  <pic:spPr>
                    <a:xfrm>
                      <a:off x="0" y="0"/>
                      <a:ext cx="2658468" cy="3103534"/>
                    </a:xfrm>
                    <a:prstGeom prst="rect">
                      <a:avLst/>
                    </a:prstGeom>
                  </pic:spPr>
                </pic:pic>
              </a:graphicData>
            </a:graphic>
          </wp:inline>
        </w:drawing>
      </w:r>
    </w:p>
    <w:p w:rsidR="00790F6A" w:rsidRPr="000B544A" w:rsidRDefault="00790F6A" w:rsidP="00790F6A">
      <w:pPr>
        <w:pStyle w:val="Caption"/>
        <w:jc w:val="center"/>
        <w:rPr>
          <w:rFonts w:ascii="Times New Roman" w:hAnsi="Times New Roman"/>
          <w:lang w:val="lt-LT"/>
        </w:rPr>
      </w:pPr>
      <w:r w:rsidRPr="000B544A">
        <w:rPr>
          <w:rFonts w:ascii="Times New Roman" w:hAnsi="Times New Roman"/>
          <w:b w:val="0"/>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Figure \* ARABIC </w:instrText>
      </w:r>
      <w:r w:rsidR="00A56BC3" w:rsidRPr="000B544A">
        <w:rPr>
          <w:rFonts w:ascii="Times New Roman" w:hAnsi="Times New Roman"/>
          <w:b w:val="0"/>
          <w:lang w:val="lt-LT"/>
        </w:rPr>
        <w:fldChar w:fldCharType="separate"/>
      </w:r>
      <w:bookmarkStart w:id="5" w:name="_Toc311718692"/>
      <w:r w:rsidR="00C53DDD">
        <w:rPr>
          <w:rFonts w:ascii="Times New Roman" w:hAnsi="Times New Roman"/>
          <w:b w:val="0"/>
          <w:noProof/>
          <w:lang w:val="lt-LT"/>
        </w:rPr>
        <w:t>1</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pav.</w:t>
      </w:r>
      <w:r w:rsidRPr="000B544A">
        <w:rPr>
          <w:rFonts w:ascii="Times New Roman" w:hAnsi="Times New Roman"/>
          <w:lang w:val="lt-LT"/>
        </w:rPr>
        <w:t xml:space="preserve"> Techninės analizės prielaidos</w:t>
      </w:r>
      <w:bookmarkEnd w:id="5"/>
    </w:p>
    <w:p w:rsidR="00AB407F" w:rsidRPr="000B544A" w:rsidRDefault="00AB407F" w:rsidP="00AB407F">
      <w:pPr>
        <w:spacing w:line="360" w:lineRule="auto"/>
        <w:ind w:firstLine="567"/>
        <w:rPr>
          <w:rFonts w:ascii="Times New Roman" w:hAnsi="Times New Roman"/>
          <w:lang w:val="lt-LT"/>
        </w:rPr>
      </w:pPr>
      <w:bookmarkStart w:id="6" w:name="_Toc298435307"/>
      <w:bookmarkStart w:id="7" w:name="_Toc305400510"/>
      <w:bookmarkStart w:id="8" w:name="_Toc298435308"/>
      <w:r w:rsidRPr="000B544A">
        <w:rPr>
          <w:rFonts w:ascii="Times New Roman" w:hAnsi="Times New Roman"/>
          <w:lang w:val="lt-LT"/>
        </w:rPr>
        <w:t>Techninės analizės teorija yra paremta trimis prielaidomis</w:t>
      </w:r>
      <w:bookmarkEnd w:id="6"/>
      <w:bookmarkEnd w:id="7"/>
      <w:r w:rsidRPr="000B544A">
        <w:rPr>
          <w:rFonts w:ascii="Times New Roman" w:hAnsi="Times New Roman"/>
          <w:lang w:val="lt-LT"/>
        </w:rPr>
        <w:t>. Šios prielaidos yra tarsi trys kolonos, kuriomi</w:t>
      </w:r>
      <w:r w:rsidR="007B7BC5" w:rsidRPr="000B544A">
        <w:rPr>
          <w:rFonts w:ascii="Times New Roman" w:hAnsi="Times New Roman"/>
          <w:lang w:val="lt-LT"/>
        </w:rPr>
        <w:t>s paremta visa techninė analizė</w:t>
      </w:r>
      <w:r w:rsidRPr="000B544A">
        <w:rPr>
          <w:rFonts w:ascii="Times New Roman" w:hAnsi="Times New Roman"/>
          <w:lang w:val="lt-LT"/>
        </w:rPr>
        <w:t xml:space="preserve">: </w:t>
      </w:r>
      <w:r w:rsidR="007B7BC5" w:rsidRPr="000B544A">
        <w:rPr>
          <w:rFonts w:ascii="Times New Roman" w:hAnsi="Times New Roman"/>
          <w:lang w:val="lt-LT"/>
        </w:rPr>
        <w:t>r</w:t>
      </w:r>
      <w:r w:rsidRPr="000B544A">
        <w:rPr>
          <w:rFonts w:ascii="Times New Roman" w:hAnsi="Times New Roman"/>
          <w:lang w:val="lt-LT"/>
        </w:rPr>
        <w:t>inka viską įskaičiuoja, kaina juda kryptingai ir istorija kartojasi</w:t>
      </w:r>
      <w:r w:rsidR="00790F6A" w:rsidRPr="000B544A">
        <w:rPr>
          <w:rFonts w:ascii="Times New Roman" w:hAnsi="Times New Roman"/>
          <w:lang w:val="lt-LT"/>
        </w:rPr>
        <w:t xml:space="preserve"> (žr. 1 pav)</w:t>
      </w:r>
      <w:r w:rsidRPr="000B544A">
        <w:rPr>
          <w:rFonts w:ascii="Times New Roman" w:hAnsi="Times New Roman"/>
          <w:lang w:val="lt-LT"/>
        </w:rPr>
        <w:t>.</w:t>
      </w:r>
    </w:p>
    <w:p w:rsidR="00AB407F" w:rsidRPr="000B544A" w:rsidRDefault="00AB407F" w:rsidP="00AB407F">
      <w:pPr>
        <w:tabs>
          <w:tab w:val="left" w:pos="3544"/>
        </w:tabs>
        <w:spacing w:after="0" w:line="360" w:lineRule="auto"/>
        <w:ind w:firstLine="567"/>
        <w:jc w:val="both"/>
        <w:rPr>
          <w:rFonts w:ascii="Times New Roman" w:hAnsi="Times New Roman"/>
          <w:lang w:val="lt-LT"/>
        </w:rPr>
      </w:pPr>
      <w:r w:rsidRPr="000B544A">
        <w:rPr>
          <w:rFonts w:ascii="Times New Roman" w:hAnsi="Times New Roman"/>
          <w:lang w:val="lt-LT"/>
        </w:rPr>
        <w:t xml:space="preserve">Daugiausiai </w:t>
      </w:r>
      <w:r w:rsidR="000D7488" w:rsidRPr="000B544A">
        <w:rPr>
          <w:rFonts w:ascii="Times New Roman" w:hAnsi="Times New Roman"/>
          <w:lang w:val="lt-LT"/>
        </w:rPr>
        <w:t xml:space="preserve">techninė analizė </w:t>
      </w:r>
      <w:r w:rsidRPr="000B544A">
        <w:rPr>
          <w:rFonts w:ascii="Times New Roman" w:hAnsi="Times New Roman"/>
          <w:lang w:val="lt-LT"/>
        </w:rPr>
        <w:t>kritikuojama dėl to, kad nekreipiant dėmesio į fundamentalias kainos pokyčių priežastis, koncentruojasi kainos judėjime. Techninė analizė remiasi prielaida, kad kiekvienu laiko momentu instrumentų kainos atspindi visą informaciją, kuri gali</w:t>
      </w:r>
      <w:r w:rsidR="007B7BC5" w:rsidRPr="000B544A">
        <w:rPr>
          <w:rFonts w:ascii="Times New Roman" w:hAnsi="Times New Roman"/>
          <w:lang w:val="lt-LT"/>
        </w:rPr>
        <w:t xml:space="preserve"> veikti</w:t>
      </w:r>
      <w:r w:rsidRPr="000B544A">
        <w:rPr>
          <w:rFonts w:ascii="Times New Roman" w:hAnsi="Times New Roman"/>
          <w:lang w:val="lt-LT"/>
        </w:rPr>
        <w:t xml:space="preserve"> ar veikia kainą, įskaitant ir fundamentalias priežastis. Kainoje atspindėta visa informacija apie įmonę, ekonominiai faktoriai ir rinkos psichologija, todėl nebėra priežasties tirti šiuos visus faktorius</w:t>
      </w:r>
      <w:r w:rsidR="007B7BC5" w:rsidRPr="000B544A">
        <w:rPr>
          <w:rFonts w:ascii="Times New Roman" w:hAnsi="Times New Roman"/>
          <w:lang w:val="lt-LT"/>
        </w:rPr>
        <w:t xml:space="preserve"> atskirai</w:t>
      </w:r>
      <w:r w:rsidRPr="000B544A">
        <w:rPr>
          <w:rFonts w:ascii="Times New Roman" w:hAnsi="Times New Roman"/>
          <w:lang w:val="lt-LT"/>
        </w:rPr>
        <w:t>. Kai visa informacija jau yra įskaičiuota į kainą tai belieka tirti kainos judesius. Šiuos judesius techninė analizė mato kaip pasiūlos ir paklausos rezultatą.</w:t>
      </w:r>
    </w:p>
    <w:p w:rsidR="00AB407F" w:rsidRPr="000B544A" w:rsidRDefault="00AB407F" w:rsidP="00AB407F">
      <w:pPr>
        <w:tabs>
          <w:tab w:val="left" w:pos="3544"/>
        </w:tabs>
        <w:spacing w:after="0" w:line="360" w:lineRule="auto"/>
        <w:ind w:firstLine="567"/>
        <w:jc w:val="both"/>
        <w:rPr>
          <w:rFonts w:ascii="Times New Roman" w:hAnsi="Times New Roman"/>
          <w:lang w:val="lt-LT"/>
        </w:rPr>
      </w:pPr>
      <w:r w:rsidRPr="000B544A">
        <w:rPr>
          <w:rFonts w:ascii="Times New Roman" w:hAnsi="Times New Roman"/>
          <w:lang w:val="lt-LT"/>
        </w:rPr>
        <w:t>Antroji prielaida, kad kaina juda kryptingai</w:t>
      </w:r>
      <w:r w:rsidR="000D7488" w:rsidRPr="000B544A">
        <w:rPr>
          <w:rFonts w:ascii="Times New Roman" w:hAnsi="Times New Roman"/>
          <w:b/>
          <w:lang w:val="lt-LT"/>
        </w:rPr>
        <w:t xml:space="preserve">, </w:t>
      </w:r>
      <w:r w:rsidRPr="000B544A">
        <w:rPr>
          <w:rFonts w:ascii="Times New Roman" w:hAnsi="Times New Roman"/>
          <w:lang w:val="lt-LT"/>
        </w:rPr>
        <w:t xml:space="preserve">reiškia, kad kai susiformuoja kryptis tai kaina “stengiasi” išlikti šioje kryptyje iki kol kryptis </w:t>
      </w:r>
      <w:r w:rsidR="006B0978" w:rsidRPr="000B544A">
        <w:rPr>
          <w:rFonts w:ascii="Times New Roman" w:hAnsi="Times New Roman"/>
          <w:lang w:val="lt-LT"/>
        </w:rPr>
        <w:t>pasikeičia</w:t>
      </w:r>
      <w:r w:rsidRPr="000B544A">
        <w:rPr>
          <w:rFonts w:ascii="Times New Roman" w:hAnsi="Times New Roman"/>
          <w:lang w:val="lt-LT"/>
        </w:rPr>
        <w:t>. Dauguma techninės analizės strategijų paremtos kryptingo kainos judėjimo prielaida.</w:t>
      </w:r>
    </w:p>
    <w:p w:rsidR="00AB407F" w:rsidRPr="000B544A" w:rsidRDefault="00AB407F" w:rsidP="00AB407F">
      <w:pPr>
        <w:tabs>
          <w:tab w:val="left" w:pos="3544"/>
        </w:tabs>
        <w:spacing w:after="0" w:line="360" w:lineRule="auto"/>
        <w:ind w:firstLine="567"/>
        <w:jc w:val="both"/>
        <w:rPr>
          <w:rFonts w:ascii="Times New Roman" w:hAnsi="Times New Roman"/>
          <w:lang w:val="lt-LT"/>
        </w:rPr>
      </w:pPr>
      <w:r w:rsidRPr="000B544A">
        <w:rPr>
          <w:rFonts w:ascii="Times New Roman" w:hAnsi="Times New Roman"/>
          <w:lang w:val="lt-LT"/>
        </w:rPr>
        <w:t>Trečioji prielaida, kad istorija kartojasi. Besikartojantis kainos elgesys priskiriamas rinkos psichologijai. Rinkos dalyviai linkę reaguoti taip pat į tokius pačius rinkos stimulus vėl ir vėl. Techninė analizė naudoja kainos grafikų modelius analizuojant rinkos judesius ir atpažįstant kryptis. Daug šių modelių naudojama daugiau nei 100 metų ir vis</w:t>
      </w:r>
      <w:r w:rsidR="00467654">
        <w:rPr>
          <w:rFonts w:ascii="Times New Roman" w:hAnsi="Times New Roman"/>
          <w:lang w:val="lt-LT"/>
        </w:rPr>
        <w:t xml:space="preserve"> </w:t>
      </w:r>
      <w:r w:rsidRPr="000B544A">
        <w:rPr>
          <w:rFonts w:ascii="Times New Roman" w:hAnsi="Times New Roman"/>
          <w:lang w:val="lt-LT"/>
        </w:rPr>
        <w:t>dar tikima jų naudingumu, nes jie iliustruoja kainų modelius, kurie kartojasi.</w:t>
      </w:r>
    </w:p>
    <w:bookmarkEnd w:id="8"/>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Prieš tiriant empirinę literatūrą apie techninės prekybos pelningumą reikėtų apžvelgti efektyvios rinkos hipotezę, kuri il</w:t>
      </w:r>
      <w:r w:rsidR="007B7BC5" w:rsidRPr="000B544A">
        <w:rPr>
          <w:rFonts w:ascii="Times New Roman" w:hAnsi="Times New Roman"/>
          <w:lang w:val="lt-LT"/>
        </w:rPr>
        <w:t>gą laiką buvo kaip dominuojanti,</w:t>
      </w:r>
      <w:r w:rsidRPr="000B544A">
        <w:rPr>
          <w:rFonts w:ascii="Times New Roman" w:hAnsi="Times New Roman"/>
          <w:lang w:val="lt-LT"/>
        </w:rPr>
        <w:t xml:space="preserve"> aprašant spekuliacinių rinkų elgesį. Fama </w:t>
      </w:r>
      <w:r w:rsidRPr="000B544A">
        <w:rPr>
          <w:rFonts w:ascii="Times New Roman" w:hAnsi="Times New Roman"/>
          <w:lang w:val="lt-LT"/>
        </w:rPr>
        <w:lastRenderedPageBreak/>
        <w:t>(</w:t>
      </w:r>
      <w:smartTag w:uri="urn:schemas-microsoft-com:office:smarttags" w:element="metricconverter">
        <w:smartTagPr>
          <w:attr w:name="ProductID" w:val="1970 m"/>
        </w:smartTagPr>
        <w:r w:rsidRPr="000B544A">
          <w:rPr>
            <w:rFonts w:ascii="Times New Roman" w:hAnsi="Times New Roman"/>
            <w:lang w:val="lt-LT"/>
          </w:rPr>
          <w:t>1970 m</w:t>
        </w:r>
      </w:smartTag>
      <w:r w:rsidRPr="000B544A">
        <w:rPr>
          <w:rFonts w:ascii="Times New Roman" w:hAnsi="Times New Roman"/>
          <w:lang w:val="lt-LT"/>
        </w:rPr>
        <w:t>.) pateikia efektyvios rinkos apibrėžimą: Rinka</w:t>
      </w:r>
      <w:r w:rsidR="007B7BC5" w:rsidRPr="000B544A">
        <w:rPr>
          <w:rFonts w:ascii="Times New Roman" w:hAnsi="Times New Roman"/>
          <w:lang w:val="lt-LT"/>
        </w:rPr>
        <w:t>,</w:t>
      </w:r>
      <w:r w:rsidRPr="000B544A">
        <w:rPr>
          <w:rFonts w:ascii="Times New Roman" w:hAnsi="Times New Roman"/>
          <w:lang w:val="lt-LT"/>
        </w:rPr>
        <w:t xml:space="preserve"> kurioje kainos visada “pilnai atspindi” visą prieinamą informaciją vadinama efektyvia</w:t>
      </w:r>
      <w:r w:rsidR="00634672" w:rsidRPr="000B544A">
        <w:rPr>
          <w:rFonts w:ascii="Times New Roman" w:hAnsi="Times New Roman"/>
          <w:lang w:val="lt-LT"/>
        </w:rPr>
        <w:t>[37]</w:t>
      </w:r>
      <w:r w:rsidR="008E79C8" w:rsidRPr="000B544A">
        <w:rPr>
          <w:rFonts w:ascii="Times New Roman" w:hAnsi="Times New Roman"/>
          <w:lang w:val="lt-LT"/>
        </w:rPr>
        <w:t>,[38]</w:t>
      </w:r>
      <w:r w:rsidRPr="000B544A">
        <w:rPr>
          <w:rFonts w:ascii="Times New Roman" w:hAnsi="Times New Roman"/>
          <w:lang w:val="lt-LT"/>
        </w:rPr>
        <w:t>. Jensen (</w:t>
      </w:r>
      <w:smartTag w:uri="urn:schemas-microsoft-com:office:smarttags" w:element="metricconverter">
        <w:smartTagPr>
          <w:attr w:name="ProductID" w:val="1978 m"/>
        </w:smartTagPr>
        <w:r w:rsidRPr="000B544A">
          <w:rPr>
            <w:rFonts w:ascii="Times New Roman" w:hAnsi="Times New Roman"/>
            <w:lang w:val="lt-LT"/>
          </w:rPr>
          <w:t>1978 m</w:t>
        </w:r>
      </w:smartTag>
      <w:r w:rsidRPr="000B544A">
        <w:rPr>
          <w:rFonts w:ascii="Times New Roman" w:hAnsi="Times New Roman"/>
          <w:lang w:val="lt-LT"/>
        </w:rPr>
        <w:t xml:space="preserve">.) pateikė pilnesnį apibrėžimą: Rinka yra efektyvi su informacijos kiekiu </w:t>
      </w:r>
      <w:r w:rsidRPr="000B544A">
        <w:rPr>
          <w:rFonts w:ascii="Times New Roman" w:hAnsi="Times New Roman"/>
          <w:sz w:val="20"/>
          <w:szCs w:val="20"/>
          <w:lang w:val="lt-LT"/>
        </w:rPr>
        <w:t>θ</w:t>
      </w:r>
      <w:r w:rsidRPr="000B544A">
        <w:rPr>
          <w:rFonts w:ascii="Times New Roman" w:hAnsi="Times New Roman"/>
          <w:i/>
          <w:iCs/>
          <w:sz w:val="14"/>
          <w:szCs w:val="14"/>
          <w:lang w:val="lt-LT"/>
        </w:rPr>
        <w:t>t</w:t>
      </w:r>
      <w:r w:rsidRPr="000B544A">
        <w:rPr>
          <w:rFonts w:ascii="Times New Roman" w:hAnsi="Times New Roman"/>
          <w:lang w:val="lt-LT"/>
        </w:rPr>
        <w:t xml:space="preserve"> jei yra neįmanoma uždirbti prekiaujant naudojantis informacija </w:t>
      </w:r>
      <w:r w:rsidRPr="000B544A">
        <w:rPr>
          <w:rFonts w:ascii="Times New Roman" w:hAnsi="Times New Roman"/>
          <w:sz w:val="20"/>
          <w:szCs w:val="20"/>
          <w:lang w:val="lt-LT"/>
        </w:rPr>
        <w:t>θ</w:t>
      </w:r>
      <w:r w:rsidRPr="000B544A">
        <w:rPr>
          <w:rFonts w:ascii="Times New Roman" w:hAnsi="Times New Roman"/>
          <w:i/>
          <w:iCs/>
          <w:sz w:val="14"/>
          <w:szCs w:val="14"/>
          <w:lang w:val="lt-LT"/>
        </w:rPr>
        <w:t>t</w:t>
      </w:r>
      <w:r w:rsidRPr="000B544A">
        <w:rPr>
          <w:rFonts w:ascii="Times New Roman" w:hAnsi="Times New Roman"/>
          <w:lang w:val="lt-LT"/>
        </w:rPr>
        <w:t>.</w:t>
      </w:r>
      <w:r w:rsidR="00640F56" w:rsidRPr="000B544A">
        <w:rPr>
          <w:rFonts w:ascii="Times New Roman" w:hAnsi="Times New Roman"/>
          <w:lang w:val="lt-LT"/>
        </w:rPr>
        <w:t>[39]</w:t>
      </w:r>
      <w:r w:rsidRPr="000B544A">
        <w:rPr>
          <w:rFonts w:ascii="Times New Roman" w:hAnsi="Times New Roman"/>
          <w:lang w:val="lt-LT"/>
        </w:rPr>
        <w:t xml:space="preserve"> Nuo tada, kai ekonominiai pelnai yra rizikos premija, po sandorių vykdymo kaštų sumažinimo, Jensen apibrėžimas teigia, kad rinkos efektyvumas gali būti patikrintas nagrinėjant prekybos strategijos paremtos informacija </w:t>
      </w:r>
      <w:r w:rsidRPr="000B544A">
        <w:rPr>
          <w:rFonts w:ascii="Times New Roman" w:hAnsi="Times New Roman"/>
          <w:sz w:val="20"/>
          <w:szCs w:val="20"/>
          <w:lang w:val="lt-LT"/>
        </w:rPr>
        <w:t>θ</w:t>
      </w:r>
      <w:r w:rsidRPr="000B544A">
        <w:rPr>
          <w:rFonts w:ascii="Times New Roman" w:hAnsi="Times New Roman"/>
          <w:i/>
          <w:iCs/>
          <w:sz w:val="14"/>
          <w:szCs w:val="14"/>
          <w:lang w:val="lt-LT"/>
        </w:rPr>
        <w:t>t</w:t>
      </w:r>
      <w:r w:rsidRPr="000B544A">
        <w:rPr>
          <w:rFonts w:ascii="Times New Roman" w:hAnsi="Times New Roman"/>
          <w:lang w:val="lt-LT"/>
        </w:rPr>
        <w:t xml:space="preserve"> pelnus ir riziką.</w:t>
      </w:r>
    </w:p>
    <w:p w:rsidR="00227E4A" w:rsidRPr="000B544A" w:rsidRDefault="00227E4A" w:rsidP="00227E4A">
      <w:pPr>
        <w:spacing w:after="0" w:line="360" w:lineRule="auto"/>
        <w:ind w:firstLine="567"/>
        <w:jc w:val="both"/>
        <w:rPr>
          <w:rFonts w:ascii="Times New Roman" w:hAnsi="Times New Roman"/>
          <w:lang w:val="lt-LT"/>
        </w:rPr>
      </w:pPr>
      <w:r w:rsidRPr="000B544A">
        <w:rPr>
          <w:rFonts w:ascii="Times New Roman" w:hAnsi="Times New Roman"/>
          <w:lang w:val="lt-LT"/>
        </w:rPr>
        <w:t>Daug techninės analizės kritikos šaknų yra susiję su akademine teorija – efektyvios rinkos hipoteze. Ši teorija teigia, kad rinkos kaina visada yra „teisinga“ – visa žinoma informacija yra atspindėta kainoje ir bet</w:t>
      </w:r>
      <w:r w:rsidR="00452C36">
        <w:rPr>
          <w:rFonts w:ascii="Times New Roman" w:hAnsi="Times New Roman"/>
          <w:lang w:val="lt-LT"/>
        </w:rPr>
        <w:t xml:space="preserve"> </w:t>
      </w:r>
      <w:r w:rsidRPr="000B544A">
        <w:rPr>
          <w:rFonts w:ascii="Times New Roman" w:hAnsi="Times New Roman"/>
          <w:lang w:val="lt-LT"/>
        </w:rPr>
        <w:t>kokia analizė siekiant rasti neįvertintas akcijas yra bevertė.</w:t>
      </w:r>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 xml:space="preserve">Jensen taip pat suskirstė efektyvios rinkos hipotezę į tris tipus, pagal informacijos rinkinio </w:t>
      </w:r>
      <w:r w:rsidRPr="000B544A">
        <w:rPr>
          <w:rFonts w:ascii="Times New Roman" w:hAnsi="Times New Roman"/>
          <w:sz w:val="20"/>
          <w:szCs w:val="20"/>
          <w:lang w:val="lt-LT"/>
        </w:rPr>
        <w:t>θ</w:t>
      </w:r>
      <w:r w:rsidRPr="000B544A">
        <w:rPr>
          <w:rFonts w:ascii="Times New Roman" w:hAnsi="Times New Roman"/>
          <w:i/>
          <w:iCs/>
          <w:sz w:val="14"/>
          <w:szCs w:val="14"/>
          <w:lang w:val="lt-LT"/>
        </w:rPr>
        <w:t>t</w:t>
      </w:r>
      <w:r w:rsidRPr="000B544A">
        <w:rPr>
          <w:rFonts w:ascii="Times New Roman" w:hAnsi="Times New Roman"/>
          <w:lang w:val="lt-LT"/>
        </w:rPr>
        <w:t xml:space="preserve"> apibrėžimus</w:t>
      </w:r>
      <w:r w:rsidR="008E79C8" w:rsidRPr="000B544A">
        <w:rPr>
          <w:rFonts w:ascii="Times New Roman" w:hAnsi="Times New Roman"/>
          <w:lang w:val="lt-LT"/>
        </w:rPr>
        <w:t>[39]</w:t>
      </w:r>
      <w:r w:rsidRPr="000B544A">
        <w:rPr>
          <w:rFonts w:ascii="Times New Roman" w:hAnsi="Times New Roman"/>
          <w:lang w:val="lt-LT"/>
        </w:rPr>
        <w:t>:</w:t>
      </w:r>
    </w:p>
    <w:p w:rsidR="00D508F5" w:rsidRPr="000B544A" w:rsidRDefault="00D508F5" w:rsidP="00D508F5">
      <w:pPr>
        <w:pStyle w:val="ListParagraph"/>
        <w:numPr>
          <w:ilvl w:val="0"/>
          <w:numId w:val="2"/>
        </w:numPr>
        <w:spacing w:after="0" w:line="360" w:lineRule="auto"/>
        <w:jc w:val="both"/>
        <w:rPr>
          <w:rFonts w:ascii="Times New Roman" w:hAnsi="Times New Roman"/>
          <w:lang w:val="lt-LT"/>
        </w:rPr>
      </w:pPr>
      <w:r w:rsidRPr="000B544A">
        <w:rPr>
          <w:rFonts w:ascii="Times New Roman" w:hAnsi="Times New Roman"/>
          <w:lang w:val="lt-LT"/>
        </w:rPr>
        <w:t xml:space="preserve">Silpnas efektyvumas, kai informacijos rinkinys </w:t>
      </w:r>
      <w:r w:rsidRPr="000B544A">
        <w:rPr>
          <w:rFonts w:ascii="Times New Roman" w:hAnsi="Times New Roman"/>
          <w:sz w:val="20"/>
          <w:szCs w:val="20"/>
          <w:lang w:val="lt-LT"/>
        </w:rPr>
        <w:t>θ</w:t>
      </w:r>
      <w:r w:rsidRPr="000B544A">
        <w:rPr>
          <w:rFonts w:ascii="Times New Roman" w:hAnsi="Times New Roman"/>
          <w:i/>
          <w:iCs/>
          <w:sz w:val="14"/>
          <w:szCs w:val="14"/>
          <w:lang w:val="lt-LT"/>
        </w:rPr>
        <w:t>t</w:t>
      </w:r>
      <w:r w:rsidRPr="000B544A">
        <w:rPr>
          <w:rFonts w:ascii="Times New Roman" w:hAnsi="Times New Roman"/>
          <w:lang w:val="lt-LT"/>
        </w:rPr>
        <w:t xml:space="preserve"> yra ribotas informacijai, atspindėtai praeities kainose laike t; </w:t>
      </w:r>
      <w:r w:rsidR="00227E4A" w:rsidRPr="000B544A">
        <w:rPr>
          <w:rFonts w:ascii="Times New Roman" w:hAnsi="Times New Roman"/>
          <w:lang w:val="lt-LT"/>
        </w:rPr>
        <w:t>Pagal silpną efektyvios rinkos formą techninė analizė negali prognozuoti ateities kainų judesių, nes visa praeities (istorinė) info</w:t>
      </w:r>
      <w:r w:rsidR="000D3B51" w:rsidRPr="000B544A">
        <w:rPr>
          <w:rFonts w:ascii="Times New Roman" w:hAnsi="Times New Roman"/>
          <w:lang w:val="lt-LT"/>
        </w:rPr>
        <w:t>rmacija jau yra įskaičiuota. D</w:t>
      </w:r>
      <w:r w:rsidR="00227E4A" w:rsidRPr="000B544A">
        <w:rPr>
          <w:rFonts w:ascii="Times New Roman" w:hAnsi="Times New Roman"/>
          <w:lang w:val="lt-LT"/>
        </w:rPr>
        <w:t xml:space="preserve">ėl to praeities kainų judesių </w:t>
      </w:r>
      <w:r w:rsidR="000D3B51" w:rsidRPr="000B544A">
        <w:rPr>
          <w:rFonts w:ascii="Times New Roman" w:hAnsi="Times New Roman"/>
          <w:lang w:val="lt-LT"/>
        </w:rPr>
        <w:t>analizė nepadės prognozuoti atei</w:t>
      </w:r>
      <w:r w:rsidR="00227E4A" w:rsidRPr="000B544A">
        <w:rPr>
          <w:rFonts w:ascii="Times New Roman" w:hAnsi="Times New Roman"/>
          <w:lang w:val="lt-LT"/>
        </w:rPr>
        <w:t>ties kainų judesių.</w:t>
      </w:r>
    </w:p>
    <w:p w:rsidR="00D508F5" w:rsidRPr="000B544A" w:rsidRDefault="00D508F5" w:rsidP="00D508F5">
      <w:pPr>
        <w:pStyle w:val="ListParagraph"/>
        <w:numPr>
          <w:ilvl w:val="0"/>
          <w:numId w:val="2"/>
        </w:numPr>
        <w:spacing w:after="0" w:line="360" w:lineRule="auto"/>
        <w:jc w:val="both"/>
        <w:rPr>
          <w:rFonts w:ascii="Times New Roman" w:hAnsi="Times New Roman"/>
          <w:lang w:val="lt-LT"/>
        </w:rPr>
      </w:pPr>
      <w:r w:rsidRPr="000B544A">
        <w:rPr>
          <w:rFonts w:ascii="Times New Roman" w:hAnsi="Times New Roman"/>
          <w:lang w:val="lt-LT"/>
        </w:rPr>
        <w:t xml:space="preserve">Pusiau stiprus efektyvumas, kai informacijos rinkinys </w:t>
      </w:r>
      <w:r w:rsidRPr="000B544A">
        <w:rPr>
          <w:rFonts w:ascii="Times New Roman" w:hAnsi="Times New Roman"/>
          <w:sz w:val="20"/>
          <w:szCs w:val="20"/>
          <w:lang w:val="lt-LT"/>
        </w:rPr>
        <w:t>θ</w:t>
      </w:r>
      <w:r w:rsidRPr="000B544A">
        <w:rPr>
          <w:rFonts w:ascii="Times New Roman" w:hAnsi="Times New Roman"/>
          <w:i/>
          <w:iCs/>
          <w:sz w:val="14"/>
          <w:szCs w:val="14"/>
          <w:lang w:val="lt-LT"/>
        </w:rPr>
        <w:t>t</w:t>
      </w:r>
      <w:r w:rsidRPr="000B544A">
        <w:rPr>
          <w:rFonts w:ascii="Times New Roman" w:hAnsi="Times New Roman"/>
          <w:lang w:val="lt-LT"/>
        </w:rPr>
        <w:t xml:space="preserve"> yra visa viešai prieinama informacija laike t (įskaitant praeities kainų istoriją, taip, kad silpnas efektyvumas yra ribota pusiau stipraus efektyvumo forma);</w:t>
      </w:r>
      <w:r w:rsidR="009759B0" w:rsidRPr="000B544A">
        <w:rPr>
          <w:rFonts w:ascii="Times New Roman" w:hAnsi="Times New Roman"/>
          <w:lang w:val="lt-LT"/>
        </w:rPr>
        <w:t xml:space="preserve"> Pusiau stiprus efektyvumas reiškia, kad fundamentali analizė negali padėti prognozuoti ateities kainų judesius.</w:t>
      </w:r>
    </w:p>
    <w:p w:rsidR="00D508F5" w:rsidRPr="000B544A" w:rsidRDefault="00D508F5" w:rsidP="00D508F5">
      <w:pPr>
        <w:pStyle w:val="ListParagraph"/>
        <w:numPr>
          <w:ilvl w:val="0"/>
          <w:numId w:val="2"/>
        </w:numPr>
        <w:spacing w:after="0" w:line="360" w:lineRule="auto"/>
        <w:jc w:val="both"/>
        <w:rPr>
          <w:rFonts w:ascii="Times New Roman" w:hAnsi="Times New Roman"/>
          <w:lang w:val="lt-LT"/>
        </w:rPr>
      </w:pPr>
      <w:r w:rsidRPr="000B544A">
        <w:rPr>
          <w:rFonts w:ascii="Times New Roman" w:hAnsi="Times New Roman"/>
          <w:lang w:val="lt-LT"/>
        </w:rPr>
        <w:t xml:space="preserve">Stiprus efektyvumas, kai informacijos rinkinys </w:t>
      </w:r>
      <w:r w:rsidRPr="000B544A">
        <w:rPr>
          <w:rFonts w:ascii="Times New Roman" w:hAnsi="Times New Roman"/>
          <w:sz w:val="20"/>
          <w:szCs w:val="20"/>
          <w:lang w:val="lt-LT"/>
        </w:rPr>
        <w:t>θ</w:t>
      </w:r>
      <w:r w:rsidRPr="000B544A">
        <w:rPr>
          <w:rFonts w:ascii="Times New Roman" w:hAnsi="Times New Roman"/>
          <w:i/>
          <w:iCs/>
          <w:sz w:val="14"/>
          <w:szCs w:val="14"/>
          <w:lang w:val="lt-LT"/>
        </w:rPr>
        <w:t>t</w:t>
      </w:r>
      <w:r w:rsidRPr="000B544A">
        <w:rPr>
          <w:rFonts w:ascii="Times New Roman" w:hAnsi="Times New Roman"/>
          <w:lang w:val="lt-LT"/>
        </w:rPr>
        <w:t xml:space="preserve"> yra visa vieša ir privati informacija esanti laike t (įs</w:t>
      </w:r>
      <w:r w:rsidR="000D3B51" w:rsidRPr="000B544A">
        <w:rPr>
          <w:rFonts w:ascii="Times New Roman" w:hAnsi="Times New Roman"/>
          <w:lang w:val="lt-LT"/>
        </w:rPr>
        <w:t>kaitant praeities kainas ir visą</w:t>
      </w:r>
      <w:r w:rsidRPr="000B544A">
        <w:rPr>
          <w:rFonts w:ascii="Times New Roman" w:hAnsi="Times New Roman"/>
          <w:lang w:val="lt-LT"/>
        </w:rPr>
        <w:t xml:space="preserve"> kitą viešą informaciją, kad silpn</w:t>
      </w:r>
      <w:r w:rsidR="000D3B51" w:rsidRPr="000B544A">
        <w:rPr>
          <w:rFonts w:ascii="Times New Roman" w:hAnsi="Times New Roman"/>
          <w:lang w:val="lt-LT"/>
        </w:rPr>
        <w:t>os</w:t>
      </w:r>
      <w:r w:rsidRPr="000B544A">
        <w:rPr>
          <w:rFonts w:ascii="Times New Roman" w:hAnsi="Times New Roman"/>
          <w:lang w:val="lt-LT"/>
        </w:rPr>
        <w:t xml:space="preserve"> ir pusiau stipri</w:t>
      </w:r>
      <w:r w:rsidR="000D3B51" w:rsidRPr="000B544A">
        <w:rPr>
          <w:rFonts w:ascii="Times New Roman" w:hAnsi="Times New Roman"/>
          <w:lang w:val="lt-LT"/>
        </w:rPr>
        <w:t>os</w:t>
      </w:r>
      <w:r w:rsidRPr="000B544A">
        <w:rPr>
          <w:rFonts w:ascii="Times New Roman" w:hAnsi="Times New Roman"/>
          <w:lang w:val="lt-LT"/>
        </w:rPr>
        <w:t xml:space="preserve"> formos yra paprasčiausiai ribotos versijos stiprios formos).</w:t>
      </w:r>
      <w:r w:rsidR="009759B0" w:rsidRPr="000B544A">
        <w:rPr>
          <w:rFonts w:ascii="Times New Roman" w:hAnsi="Times New Roman"/>
          <w:lang w:val="lt-LT"/>
        </w:rPr>
        <w:t xml:space="preserve"> Stiprioje formoje nei techninė nei fundamentali analizė negali padėti investuotojams prognozuoti ateities kainų judesius.</w:t>
      </w:r>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Timmermann ir Granger (</w:t>
      </w:r>
      <w:smartTag w:uri="urn:schemas-microsoft-com:office:smarttags" w:element="metricconverter">
        <w:smartTagPr>
          <w:attr w:name="ProductID" w:val="2004 m"/>
        </w:smartTagPr>
        <w:r w:rsidRPr="000B544A">
          <w:rPr>
            <w:rFonts w:ascii="Times New Roman" w:hAnsi="Times New Roman"/>
            <w:lang w:val="lt-LT"/>
          </w:rPr>
          <w:t>2004 m</w:t>
        </w:r>
      </w:smartTag>
      <w:r w:rsidRPr="000B544A">
        <w:rPr>
          <w:rFonts w:ascii="Times New Roman" w:hAnsi="Times New Roman"/>
          <w:lang w:val="lt-LT"/>
        </w:rPr>
        <w:t>.) išplėtė Jensen apibrėžimą</w:t>
      </w:r>
      <w:r w:rsidR="000D3B51" w:rsidRPr="000B544A">
        <w:rPr>
          <w:rFonts w:ascii="Times New Roman" w:hAnsi="Times New Roman"/>
          <w:lang w:val="lt-LT"/>
        </w:rPr>
        <w:t>,</w:t>
      </w:r>
      <w:r w:rsidRPr="000B544A">
        <w:rPr>
          <w:rFonts w:ascii="Times New Roman" w:hAnsi="Times New Roman"/>
          <w:lang w:val="lt-LT"/>
        </w:rPr>
        <w:t xml:space="preserve"> nurodant kaip</w:t>
      </w:r>
      <w:r w:rsidR="000D3B51" w:rsidRPr="000B544A">
        <w:rPr>
          <w:rFonts w:ascii="Times New Roman" w:hAnsi="Times New Roman"/>
          <w:lang w:val="lt-LT"/>
        </w:rPr>
        <w:t xml:space="preserve"> kintanti</w:t>
      </w:r>
      <w:r w:rsidRPr="000B544A">
        <w:rPr>
          <w:rFonts w:ascii="Times New Roman" w:hAnsi="Times New Roman"/>
          <w:lang w:val="lt-LT"/>
        </w:rPr>
        <w:t xml:space="preserve"> informacija </w:t>
      </w:r>
      <w:r w:rsidRPr="000B544A">
        <w:rPr>
          <w:rFonts w:ascii="Times New Roman" w:hAnsi="Times New Roman"/>
          <w:sz w:val="20"/>
          <w:szCs w:val="20"/>
          <w:lang w:val="lt-LT"/>
        </w:rPr>
        <w:t>θ</w:t>
      </w:r>
      <w:r w:rsidRPr="000B544A">
        <w:rPr>
          <w:rFonts w:ascii="Times New Roman" w:hAnsi="Times New Roman"/>
          <w:i/>
          <w:iCs/>
          <w:sz w:val="14"/>
          <w:szCs w:val="14"/>
          <w:lang w:val="lt-LT"/>
        </w:rPr>
        <w:t>t</w:t>
      </w:r>
      <w:r w:rsidRPr="000B544A">
        <w:rPr>
          <w:rFonts w:ascii="Times New Roman" w:hAnsi="Times New Roman"/>
          <w:lang w:val="lt-LT"/>
        </w:rPr>
        <w:t xml:space="preserve"> naudojama prognoza</w:t>
      </w:r>
      <w:r w:rsidR="000D3B51" w:rsidRPr="000B544A">
        <w:rPr>
          <w:rFonts w:ascii="Times New Roman" w:hAnsi="Times New Roman"/>
          <w:lang w:val="lt-LT"/>
        </w:rPr>
        <w:t>v</w:t>
      </w:r>
      <w:r w:rsidRPr="000B544A">
        <w:rPr>
          <w:rFonts w:ascii="Times New Roman" w:hAnsi="Times New Roman"/>
          <w:lang w:val="lt-LT"/>
        </w:rPr>
        <w:t xml:space="preserve">imui. Jų apibrėžime rinka yra efektyvi su informacija </w:t>
      </w:r>
      <w:r w:rsidRPr="000B544A">
        <w:rPr>
          <w:rFonts w:ascii="Times New Roman" w:hAnsi="Times New Roman"/>
          <w:sz w:val="20"/>
          <w:szCs w:val="20"/>
          <w:lang w:val="lt-LT"/>
        </w:rPr>
        <w:t>θ</w:t>
      </w:r>
      <w:r w:rsidRPr="000B544A">
        <w:rPr>
          <w:rFonts w:ascii="Times New Roman" w:hAnsi="Times New Roman"/>
          <w:i/>
          <w:iCs/>
          <w:sz w:val="14"/>
          <w:szCs w:val="14"/>
          <w:lang w:val="lt-LT"/>
        </w:rPr>
        <w:t>t</w:t>
      </w:r>
      <w:r w:rsidRPr="000B544A">
        <w:rPr>
          <w:rFonts w:ascii="Times New Roman" w:hAnsi="Times New Roman"/>
          <w:lang w:val="lt-LT"/>
        </w:rPr>
        <w:t xml:space="preserve"> , paieškos technologija </w:t>
      </w:r>
      <w:r w:rsidRPr="000B544A">
        <w:rPr>
          <w:rFonts w:ascii="Times New Roman" w:hAnsi="Times New Roman"/>
          <w:sz w:val="20"/>
          <w:szCs w:val="20"/>
          <w:lang w:val="lt-LT"/>
        </w:rPr>
        <w:t>S</w:t>
      </w:r>
      <w:r w:rsidRPr="000B544A">
        <w:rPr>
          <w:rFonts w:ascii="Times New Roman" w:hAnsi="Times New Roman"/>
          <w:i/>
          <w:iCs/>
          <w:sz w:val="14"/>
          <w:szCs w:val="14"/>
          <w:lang w:val="lt-LT"/>
        </w:rPr>
        <w:t>t</w:t>
      </w:r>
      <w:r w:rsidRPr="000B544A">
        <w:rPr>
          <w:rFonts w:ascii="Times New Roman" w:hAnsi="Times New Roman"/>
          <w:lang w:val="lt-LT"/>
        </w:rPr>
        <w:t xml:space="preserve"> ir prognozavimo modeliais </w:t>
      </w:r>
      <w:r w:rsidRPr="000B544A">
        <w:rPr>
          <w:rFonts w:ascii="Times New Roman" w:hAnsi="Times New Roman"/>
          <w:sz w:val="20"/>
          <w:szCs w:val="20"/>
          <w:lang w:val="lt-LT"/>
        </w:rPr>
        <w:t>M</w:t>
      </w:r>
      <w:r w:rsidRPr="000B544A">
        <w:rPr>
          <w:rFonts w:ascii="Times New Roman" w:hAnsi="Times New Roman"/>
          <w:i/>
          <w:iCs/>
          <w:sz w:val="14"/>
          <w:szCs w:val="14"/>
          <w:lang w:val="lt-LT"/>
        </w:rPr>
        <w:t>t</w:t>
      </w:r>
      <w:r w:rsidR="000D3B51" w:rsidRPr="000B544A">
        <w:rPr>
          <w:rFonts w:ascii="Times New Roman" w:hAnsi="Times New Roman"/>
          <w:lang w:val="lt-LT"/>
        </w:rPr>
        <w:t xml:space="preserve"> jei yra </w:t>
      </w:r>
      <w:r w:rsidRPr="000B544A">
        <w:rPr>
          <w:rFonts w:ascii="Times New Roman" w:hAnsi="Times New Roman"/>
          <w:lang w:val="lt-LT"/>
        </w:rPr>
        <w:t xml:space="preserve">įmanoma gauti ekonominius pelnus naudojant </w:t>
      </w:r>
      <w:r w:rsidRPr="000B544A">
        <w:rPr>
          <w:rFonts w:ascii="Times New Roman" w:hAnsi="Times New Roman"/>
          <w:sz w:val="20"/>
          <w:szCs w:val="20"/>
          <w:lang w:val="lt-LT"/>
        </w:rPr>
        <w:t>M</w:t>
      </w:r>
      <w:r w:rsidRPr="000B544A">
        <w:rPr>
          <w:rFonts w:ascii="Times New Roman" w:hAnsi="Times New Roman"/>
          <w:i/>
          <w:iCs/>
          <w:sz w:val="14"/>
          <w:szCs w:val="14"/>
          <w:lang w:val="lt-LT"/>
        </w:rPr>
        <w:t>t</w:t>
      </w:r>
      <w:r w:rsidRPr="000B544A">
        <w:rPr>
          <w:rFonts w:ascii="Times New Roman" w:hAnsi="Times New Roman"/>
          <w:lang w:val="lt-LT"/>
        </w:rPr>
        <w:t xml:space="preserve"> prognozavimo modelių generuojamus signalus, gautus naudojant informacijos rinkinį </w:t>
      </w:r>
      <w:r w:rsidRPr="000B544A">
        <w:rPr>
          <w:rFonts w:ascii="Times New Roman" w:hAnsi="Times New Roman"/>
          <w:sz w:val="20"/>
          <w:szCs w:val="20"/>
          <w:lang w:val="lt-LT"/>
        </w:rPr>
        <w:t>θ</w:t>
      </w:r>
      <w:r w:rsidRPr="000B544A">
        <w:rPr>
          <w:rFonts w:ascii="Times New Roman" w:hAnsi="Times New Roman"/>
          <w:i/>
          <w:iCs/>
          <w:sz w:val="14"/>
          <w:szCs w:val="14"/>
          <w:lang w:val="lt-LT"/>
        </w:rPr>
        <w:t>t</w:t>
      </w:r>
      <w:r w:rsidRPr="000B544A">
        <w:rPr>
          <w:rFonts w:ascii="Times New Roman" w:hAnsi="Times New Roman"/>
          <w:lang w:val="lt-LT"/>
        </w:rPr>
        <w:t xml:space="preserve"> ir paieškos technologiją </w:t>
      </w:r>
      <w:r w:rsidRPr="000B544A">
        <w:rPr>
          <w:rFonts w:ascii="Times New Roman" w:hAnsi="Times New Roman"/>
          <w:sz w:val="20"/>
          <w:szCs w:val="20"/>
          <w:lang w:val="lt-LT"/>
        </w:rPr>
        <w:t>S</w:t>
      </w:r>
      <w:r w:rsidRPr="000B544A">
        <w:rPr>
          <w:rFonts w:ascii="Times New Roman" w:hAnsi="Times New Roman"/>
          <w:i/>
          <w:iCs/>
          <w:sz w:val="14"/>
          <w:szCs w:val="14"/>
          <w:lang w:val="lt-LT"/>
        </w:rPr>
        <w:t>t</w:t>
      </w:r>
      <w:r w:rsidRPr="000B544A">
        <w:rPr>
          <w:rFonts w:ascii="Times New Roman" w:hAnsi="Times New Roman"/>
          <w:lang w:val="lt-LT"/>
        </w:rPr>
        <w:t xml:space="preserve"> </w:t>
      </w:r>
      <w:r w:rsidR="00640F56" w:rsidRPr="000B544A">
        <w:rPr>
          <w:rFonts w:ascii="Times New Roman" w:hAnsi="Times New Roman"/>
          <w:lang w:val="lt-LT"/>
        </w:rPr>
        <w:t>[40]</w:t>
      </w:r>
      <w:r w:rsidRPr="000B544A">
        <w:rPr>
          <w:rFonts w:ascii="Times New Roman" w:hAnsi="Times New Roman"/>
          <w:lang w:val="lt-LT"/>
        </w:rPr>
        <w:t>.</w:t>
      </w:r>
    </w:p>
    <w:p w:rsidR="00D508F5" w:rsidRPr="000B544A" w:rsidRDefault="00D508F5" w:rsidP="001E21E1">
      <w:pPr>
        <w:spacing w:after="120" w:line="360" w:lineRule="auto"/>
        <w:ind w:firstLine="567"/>
        <w:jc w:val="both"/>
        <w:rPr>
          <w:rFonts w:ascii="Times New Roman" w:hAnsi="Times New Roman"/>
          <w:lang w:val="lt-LT"/>
        </w:rPr>
      </w:pPr>
      <w:r w:rsidRPr="000B544A">
        <w:rPr>
          <w:rFonts w:ascii="Times New Roman" w:hAnsi="Times New Roman"/>
          <w:lang w:val="lt-LT"/>
        </w:rPr>
        <w:t>Pagrindinis efektyvios rinkos bruožas yra</w:t>
      </w:r>
      <w:r w:rsidR="000D3B51" w:rsidRPr="000B544A">
        <w:rPr>
          <w:rFonts w:ascii="Times New Roman" w:hAnsi="Times New Roman"/>
          <w:lang w:val="lt-LT"/>
        </w:rPr>
        <w:t xml:space="preserve"> tas</w:t>
      </w:r>
      <w:r w:rsidRPr="000B544A">
        <w:rPr>
          <w:rFonts w:ascii="Times New Roman" w:hAnsi="Times New Roman"/>
          <w:lang w:val="lt-LT"/>
        </w:rPr>
        <w:t xml:space="preserve">, kad bet koks bandymas uždirbti pelno naudojant dabar prieinamą informaciją yra bergždžias. Rinkos kainos jau atspindėjusios visą galimą informaciją. Dėl to, laukiama techninės prekybos taisyklių grąža, priklausanti nuo viešos informacijos apie praeities kainas, yra nulis. </w:t>
      </w:r>
    </w:p>
    <w:p w:rsidR="00D508F5" w:rsidRPr="000B544A" w:rsidRDefault="00D4254D" w:rsidP="001E21E1">
      <w:pPr>
        <w:pStyle w:val="Heading2"/>
        <w:spacing w:before="0" w:after="120"/>
        <w:rPr>
          <w:rFonts w:ascii="Times New Roman" w:hAnsi="Times New Roman"/>
          <w:color w:val="auto"/>
          <w:szCs w:val="26"/>
          <w:lang w:val="lt-LT"/>
        </w:rPr>
      </w:pPr>
      <w:bookmarkStart w:id="9" w:name="_Toc298435312"/>
      <w:bookmarkStart w:id="10" w:name="_Toc312047634"/>
      <w:r w:rsidRPr="000B544A">
        <w:rPr>
          <w:rFonts w:ascii="Times New Roman" w:hAnsi="Times New Roman"/>
          <w:color w:val="auto"/>
          <w:szCs w:val="26"/>
          <w:lang w:val="lt-LT"/>
        </w:rPr>
        <w:lastRenderedPageBreak/>
        <w:t xml:space="preserve">1.2 </w:t>
      </w:r>
      <w:r w:rsidR="00D508F5" w:rsidRPr="000B544A">
        <w:rPr>
          <w:rFonts w:ascii="Times New Roman" w:hAnsi="Times New Roman"/>
          <w:color w:val="auto"/>
          <w:szCs w:val="26"/>
          <w:lang w:val="lt-LT"/>
        </w:rPr>
        <w:t>Dow teorija</w:t>
      </w:r>
      <w:bookmarkEnd w:id="9"/>
      <w:r w:rsidR="001E21E1" w:rsidRPr="000B544A">
        <w:rPr>
          <w:rFonts w:ascii="Times New Roman" w:hAnsi="Times New Roman"/>
          <w:color w:val="auto"/>
          <w:szCs w:val="26"/>
          <w:lang w:val="lt-LT"/>
        </w:rPr>
        <w:t xml:space="preserve"> kaip techninės analizės pradmuo</w:t>
      </w:r>
      <w:bookmarkEnd w:id="10"/>
    </w:p>
    <w:p w:rsidR="00D508F5" w:rsidRPr="000B544A" w:rsidRDefault="00D508F5" w:rsidP="001E21E1">
      <w:pPr>
        <w:spacing w:after="120" w:line="360" w:lineRule="auto"/>
        <w:ind w:firstLine="567"/>
        <w:jc w:val="both"/>
        <w:rPr>
          <w:rFonts w:ascii="Times New Roman" w:hAnsi="Times New Roman"/>
          <w:lang w:val="lt-LT"/>
        </w:rPr>
      </w:pPr>
      <w:r w:rsidRPr="000B544A">
        <w:rPr>
          <w:rFonts w:ascii="Times New Roman" w:hAnsi="Times New Roman"/>
          <w:lang w:val="lt-LT"/>
        </w:rPr>
        <w:t xml:space="preserve">Dow teorijos sukūrėjas yra Wall Street journal redaktorius Charles H. Dow. Dow teorija sukurta prieš </w:t>
      </w:r>
      <w:smartTag w:uri="urn:schemas-microsoft-com:office:smarttags" w:element="metricconverter">
        <w:smartTagPr>
          <w:attr w:name="ProductID" w:val="110 m"/>
        </w:smartTagPr>
        <w:r w:rsidRPr="000B544A">
          <w:rPr>
            <w:rFonts w:ascii="Times New Roman" w:hAnsi="Times New Roman"/>
            <w:lang w:val="lt-LT"/>
          </w:rPr>
          <w:t>110 m</w:t>
        </w:r>
      </w:smartTag>
      <w:r w:rsidRPr="000B544A">
        <w:rPr>
          <w:rFonts w:ascii="Times New Roman" w:hAnsi="Times New Roman"/>
          <w:lang w:val="lt-LT"/>
        </w:rPr>
        <w:t xml:space="preserve">. ir ši teorija yra tai, ką mes dabar vadiname technine analize. Ši teorija buvo spausdinama Wall Street žurnale nuo </w:t>
      </w:r>
      <w:smartTag w:uri="urn:schemas-microsoft-com:office:smarttags" w:element="metricconverter">
        <w:smartTagPr>
          <w:attr w:name="ProductID" w:val="1900 m"/>
        </w:smartTagPr>
        <w:r w:rsidRPr="000B544A">
          <w:rPr>
            <w:rFonts w:ascii="Times New Roman" w:hAnsi="Times New Roman"/>
            <w:lang w:val="lt-LT"/>
          </w:rPr>
          <w:t>1900 m</w:t>
        </w:r>
      </w:smartTag>
      <w:r w:rsidRPr="000B544A">
        <w:rPr>
          <w:rFonts w:ascii="Times New Roman" w:hAnsi="Times New Roman"/>
          <w:lang w:val="lt-LT"/>
        </w:rPr>
        <w:t xml:space="preserve">. iki </w:t>
      </w:r>
      <w:smartTag w:uri="urn:schemas-microsoft-com:office:smarttags" w:element="metricconverter">
        <w:smartTagPr>
          <w:attr w:name="ProductID" w:val="1902 m"/>
        </w:smartTagPr>
        <w:r w:rsidRPr="000B544A">
          <w:rPr>
            <w:rFonts w:ascii="Times New Roman" w:hAnsi="Times New Roman"/>
            <w:lang w:val="lt-LT"/>
          </w:rPr>
          <w:t>1902 m</w:t>
        </w:r>
      </w:smartTag>
      <w:r w:rsidR="00EE6216" w:rsidRPr="000B544A">
        <w:rPr>
          <w:rFonts w:ascii="Times New Roman" w:hAnsi="Times New Roman"/>
          <w:lang w:val="lt-LT"/>
        </w:rPr>
        <w:t>.</w:t>
      </w:r>
      <w:r w:rsidRPr="000B544A">
        <w:rPr>
          <w:rFonts w:ascii="Times New Roman" w:hAnsi="Times New Roman"/>
          <w:lang w:val="lt-LT"/>
        </w:rPr>
        <w:t xml:space="preserve"> Šiuose straipsniuose buvo aprašomas akcijų rinkos judėjimas ir kaip galima vertinti verslo aplinką pagal rinką. Iki pat savo mirties Ch. H. Dow’sas neatskleidė visos teorijos, bet keli jo </w:t>
      </w:r>
      <w:r w:rsidR="00452C36" w:rsidRPr="000B544A">
        <w:rPr>
          <w:rFonts w:ascii="Times New Roman" w:hAnsi="Times New Roman"/>
          <w:lang w:val="lt-LT"/>
        </w:rPr>
        <w:t>pasekėjai</w:t>
      </w:r>
      <w:r w:rsidRPr="000B544A">
        <w:rPr>
          <w:rFonts w:ascii="Times New Roman" w:hAnsi="Times New Roman"/>
          <w:lang w:val="lt-LT"/>
        </w:rPr>
        <w:t xml:space="preserve"> parašė darbų, kuriuose </w:t>
      </w:r>
      <w:r w:rsidR="000D3B51" w:rsidRPr="000B544A">
        <w:rPr>
          <w:rFonts w:ascii="Times New Roman" w:hAnsi="Times New Roman"/>
          <w:lang w:val="lt-LT"/>
        </w:rPr>
        <w:t xml:space="preserve">jo </w:t>
      </w:r>
      <w:r w:rsidRPr="000B544A">
        <w:rPr>
          <w:rFonts w:ascii="Times New Roman" w:hAnsi="Times New Roman"/>
          <w:lang w:val="lt-LT"/>
        </w:rPr>
        <w:t>teorija buvo išvystyta. Keli svarbiausi įnašai į Dow teoriją buvo William P. Hamilton’o “Stock Market Barometer” (</w:t>
      </w:r>
      <w:smartTag w:uri="urn:schemas-microsoft-com:office:smarttags" w:element="metricconverter">
        <w:smartTagPr>
          <w:attr w:name="ProductID" w:val="1922 m"/>
        </w:smartTagPr>
        <w:r w:rsidRPr="000B544A">
          <w:rPr>
            <w:rFonts w:ascii="Times New Roman" w:hAnsi="Times New Roman"/>
            <w:lang w:val="lt-LT"/>
          </w:rPr>
          <w:t>1922 m</w:t>
        </w:r>
      </w:smartTag>
      <w:r w:rsidRPr="000B544A">
        <w:rPr>
          <w:rFonts w:ascii="Times New Roman" w:hAnsi="Times New Roman"/>
          <w:lang w:val="lt-LT"/>
        </w:rPr>
        <w:t>.), Robert Rhea “The Dow theory” (</w:t>
      </w:r>
      <w:smartTag w:uri="urn:schemas-microsoft-com:office:smarttags" w:element="metricconverter">
        <w:smartTagPr>
          <w:attr w:name="ProductID" w:val="1932 m"/>
        </w:smartTagPr>
        <w:r w:rsidRPr="000B544A">
          <w:rPr>
            <w:rFonts w:ascii="Times New Roman" w:hAnsi="Times New Roman"/>
            <w:lang w:val="lt-LT"/>
          </w:rPr>
          <w:t>1932 m</w:t>
        </w:r>
      </w:smartTag>
      <w:r w:rsidRPr="000B544A">
        <w:rPr>
          <w:rFonts w:ascii="Times New Roman" w:hAnsi="Times New Roman"/>
          <w:lang w:val="lt-LT"/>
        </w:rPr>
        <w:t>.), E. George Schaefer “How I Helped More Than 10 000 Investors To Profit In Stocks” (</w:t>
      </w:r>
      <w:smartTag w:uri="urn:schemas-microsoft-com:office:smarttags" w:element="metricconverter">
        <w:smartTagPr>
          <w:attr w:name="ProductID" w:val="1960 m"/>
        </w:smartTagPr>
        <w:r w:rsidRPr="000B544A">
          <w:rPr>
            <w:rFonts w:ascii="Times New Roman" w:hAnsi="Times New Roman"/>
            <w:lang w:val="lt-LT"/>
          </w:rPr>
          <w:t>1960 m</w:t>
        </w:r>
      </w:smartTag>
      <w:r w:rsidRPr="000B544A">
        <w:rPr>
          <w:rFonts w:ascii="Times New Roman" w:hAnsi="Times New Roman"/>
          <w:lang w:val="lt-LT"/>
        </w:rPr>
        <w:t>.) ir Richard Russell “The Dow Theory Today” (</w:t>
      </w:r>
      <w:smartTag w:uri="urn:schemas-microsoft-com:office:smarttags" w:element="metricconverter">
        <w:smartTagPr>
          <w:attr w:name="ProductID" w:val="1961 m"/>
        </w:smartTagPr>
        <w:r w:rsidRPr="000B544A">
          <w:rPr>
            <w:rFonts w:ascii="Times New Roman" w:hAnsi="Times New Roman"/>
            <w:lang w:val="lt-LT"/>
          </w:rPr>
          <w:t>1961 m</w:t>
        </w:r>
      </w:smartTag>
      <w:r w:rsidRPr="000B544A">
        <w:rPr>
          <w:rFonts w:ascii="Times New Roman" w:hAnsi="Times New Roman"/>
          <w:lang w:val="lt-LT"/>
        </w:rPr>
        <w:t>.)</w:t>
      </w:r>
      <w:r w:rsidR="008E79C8" w:rsidRPr="000B544A">
        <w:rPr>
          <w:rFonts w:ascii="Times New Roman" w:hAnsi="Times New Roman"/>
          <w:lang w:val="lt-LT"/>
        </w:rPr>
        <w:t>[41], [42], [43], [44]</w:t>
      </w:r>
      <w:r w:rsidRPr="000B544A">
        <w:rPr>
          <w:rFonts w:ascii="Times New Roman" w:hAnsi="Times New Roman"/>
          <w:lang w:val="lt-LT"/>
        </w:rPr>
        <w:t>.</w:t>
      </w:r>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 xml:space="preserve">Ch. H. Dow manė, kad akcijų rinka priklauso nuo </w:t>
      </w:r>
      <w:r w:rsidR="00452C36" w:rsidRPr="000B544A">
        <w:rPr>
          <w:rFonts w:ascii="Times New Roman" w:hAnsi="Times New Roman"/>
          <w:lang w:val="lt-LT"/>
        </w:rPr>
        <w:t>verslo</w:t>
      </w:r>
      <w:r w:rsidRPr="000B544A">
        <w:rPr>
          <w:rFonts w:ascii="Times New Roman" w:hAnsi="Times New Roman"/>
          <w:lang w:val="lt-LT"/>
        </w:rPr>
        <w:t xml:space="preserve"> aplinkos, įskaitant ekonomiką ir kad analizuojant ekonomiką ir verslo aplinką galima nustatyti bendrą rinkos kryptį.</w:t>
      </w:r>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Visų pirma Ch. H. Dow savo teoriją naudojo sukurdamas Dow Jones Industrial Index ir Dow Jones Rail Index (dabar Transportation Index), kuris buvo sukurtas Wall Street žurnalui</w:t>
      </w:r>
      <w:r w:rsidR="00571D26" w:rsidRPr="000B544A">
        <w:rPr>
          <w:rFonts w:ascii="Times New Roman" w:hAnsi="Times New Roman"/>
          <w:lang w:val="lt-LT"/>
        </w:rPr>
        <w:t>[13]</w:t>
      </w:r>
      <w:r w:rsidRPr="000B544A">
        <w:rPr>
          <w:rFonts w:ascii="Times New Roman" w:hAnsi="Times New Roman"/>
          <w:lang w:val="lt-LT"/>
        </w:rPr>
        <w:t>. Šie indeksai buvo sukurti, kad atspindėtų verslo aplink</w:t>
      </w:r>
      <w:r w:rsidR="00DD3C53" w:rsidRPr="000B544A">
        <w:rPr>
          <w:rFonts w:ascii="Times New Roman" w:hAnsi="Times New Roman"/>
          <w:lang w:val="lt-LT"/>
        </w:rPr>
        <w:t>ą ir ekonominę situaciją. J</w:t>
      </w:r>
      <w:r w:rsidRPr="000B544A">
        <w:rPr>
          <w:rFonts w:ascii="Times New Roman" w:hAnsi="Times New Roman"/>
          <w:lang w:val="lt-LT"/>
        </w:rPr>
        <w:t xml:space="preserve">ie apėmė du pagrindinius ekonomikos sektorius: gamybą ir </w:t>
      </w:r>
      <w:r w:rsidR="00571D26" w:rsidRPr="000B544A">
        <w:rPr>
          <w:rFonts w:ascii="Times New Roman" w:hAnsi="Times New Roman"/>
          <w:lang w:val="lt-LT"/>
        </w:rPr>
        <w:t>transport</w:t>
      </w:r>
      <w:r w:rsidR="00DD3C53" w:rsidRPr="000B544A">
        <w:rPr>
          <w:rFonts w:ascii="Times New Roman" w:hAnsi="Times New Roman"/>
          <w:lang w:val="lt-LT"/>
        </w:rPr>
        <w:t>ą</w:t>
      </w:r>
      <w:r w:rsidR="00571D26" w:rsidRPr="000B544A">
        <w:rPr>
          <w:rFonts w:ascii="Times New Roman" w:hAnsi="Times New Roman"/>
          <w:lang w:val="lt-LT"/>
        </w:rPr>
        <w:t>[13]</w:t>
      </w:r>
      <w:r w:rsidRPr="000B544A">
        <w:rPr>
          <w:rFonts w:ascii="Times New Roman" w:hAnsi="Times New Roman"/>
          <w:lang w:val="lt-LT"/>
        </w:rPr>
        <w:t>. Nors per 110 metų šie indeksai pasikeitė, bet Dow teorija yra visdar taikoma.</w:t>
      </w:r>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To, ką šiandien vadiname technine analize šaknys yra Dow teorija. Dėl šios priežasties yra svarbu žinoti Dow teoriją ir šešis jos principus.</w:t>
      </w:r>
    </w:p>
    <w:p w:rsidR="00D508F5" w:rsidRPr="000B544A" w:rsidRDefault="00D508F5" w:rsidP="002855B6">
      <w:pPr>
        <w:spacing w:after="0" w:line="360" w:lineRule="auto"/>
        <w:ind w:firstLine="567"/>
        <w:jc w:val="both"/>
        <w:rPr>
          <w:rFonts w:ascii="Times New Roman" w:hAnsi="Times New Roman"/>
          <w:lang w:val="lt-LT"/>
        </w:rPr>
      </w:pPr>
      <w:r w:rsidRPr="000B544A">
        <w:rPr>
          <w:rFonts w:ascii="Times New Roman" w:hAnsi="Times New Roman"/>
          <w:lang w:val="lt-LT"/>
        </w:rPr>
        <w:t>Pirmoji Dow teorijos prielaida yra ta, kad visa informacija – praeities, dabarties ir netgi ateities – yra visiems žinoma ir atspindėta akcijų kainoje</w:t>
      </w:r>
      <w:r w:rsidR="008E79C8" w:rsidRPr="000B544A">
        <w:rPr>
          <w:rFonts w:ascii="Times New Roman" w:hAnsi="Times New Roman"/>
          <w:lang w:val="lt-LT"/>
        </w:rPr>
        <w:t>[42</w:t>
      </w:r>
      <w:r w:rsidR="00571D26" w:rsidRPr="000B544A">
        <w:rPr>
          <w:rFonts w:ascii="Times New Roman" w:hAnsi="Times New Roman"/>
          <w:lang w:val="lt-LT"/>
        </w:rPr>
        <w:t>]</w:t>
      </w:r>
      <w:r w:rsidRPr="000B544A">
        <w:rPr>
          <w:rFonts w:ascii="Times New Roman" w:hAnsi="Times New Roman"/>
          <w:lang w:val="lt-LT"/>
        </w:rPr>
        <w:t xml:space="preserve">. Į šią informaciją įeina viskas nuo investuotojų emocijų iki infliacijos ir palūkanų normų. Į šią informaciją nepatenka </w:t>
      </w:r>
      <w:r w:rsidR="000D3B51" w:rsidRPr="000B544A">
        <w:rPr>
          <w:rFonts w:ascii="Times New Roman" w:hAnsi="Times New Roman"/>
          <w:lang w:val="lt-LT"/>
        </w:rPr>
        <w:t>tik tai, kas nėra žinoma</w:t>
      </w:r>
      <w:r w:rsidR="008E79C8" w:rsidRPr="000B544A">
        <w:rPr>
          <w:rFonts w:ascii="Times New Roman" w:hAnsi="Times New Roman"/>
          <w:lang w:val="lt-LT"/>
        </w:rPr>
        <w:t>[42</w:t>
      </w:r>
      <w:r w:rsidR="00571D26" w:rsidRPr="000B544A">
        <w:rPr>
          <w:rFonts w:ascii="Times New Roman" w:hAnsi="Times New Roman"/>
          <w:lang w:val="lt-LT"/>
        </w:rPr>
        <w:t>]</w:t>
      </w:r>
      <w:r w:rsidR="000D3B51" w:rsidRPr="000B544A">
        <w:rPr>
          <w:rFonts w:ascii="Times New Roman" w:hAnsi="Times New Roman"/>
          <w:lang w:val="lt-LT"/>
        </w:rPr>
        <w:t>, pvz. s</w:t>
      </w:r>
      <w:r w:rsidRPr="000B544A">
        <w:rPr>
          <w:rFonts w:ascii="Times New Roman" w:hAnsi="Times New Roman"/>
          <w:lang w:val="lt-LT"/>
        </w:rPr>
        <w:t>tiprus žemės drebėjimas, kuris gali įvykti bet kada.  Įskaičiuota tik šio drebėjimo įvykimo rizika. Svarbu pažymėti, kad tai nereiškia, jog rinkos dalyviai ar net pati rinka gali pranašauti ateitį ir viską žinoti. Tai reiškia, kad visuose perioduose, visi faktoriai – kurie yra įvykę, kurių tikimasi ir kurie gali įvykti – yra atspindėti kainoje. Kai kas nors pasikeičia, tarkim rizika, rinka prisitaiko prie naujos informacijos ir tai atsispindi kainoje.</w:t>
      </w:r>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Idėja, kad rinka viską įskaičiuoja nėra nauja ir tai yra pagrindinė techninės analizės prielaida. Ši prielaida naudojama daugelyje techninės analizės indikatorių. Dėl to, techninės analizės naudotojai turi žiūrėti į kainos judėjimą, o ne į įmonių balansus ir kitas ataskaitas. Kaip ir visa techninė analizė, taip ir Dow teorija remiasi kainų judėjimu. Dow teorija analizuoja bendrą rinkos judėjimą analizuojant rinkos indekso vertės kitimą</w:t>
      </w:r>
      <w:r w:rsidR="00571D26" w:rsidRPr="000B544A">
        <w:rPr>
          <w:rFonts w:ascii="Times New Roman" w:hAnsi="Times New Roman"/>
          <w:lang w:val="lt-LT"/>
        </w:rPr>
        <w:t>[13]</w:t>
      </w:r>
      <w:r w:rsidRPr="000B544A">
        <w:rPr>
          <w:rFonts w:ascii="Times New Roman" w:hAnsi="Times New Roman"/>
          <w:lang w:val="lt-LT"/>
        </w:rPr>
        <w:t xml:space="preserve">. Gavus signalą, kad dabar </w:t>
      </w:r>
      <w:r w:rsidR="000D3B51" w:rsidRPr="000B544A">
        <w:rPr>
          <w:rFonts w:ascii="Times New Roman" w:hAnsi="Times New Roman"/>
          <w:lang w:val="lt-LT"/>
        </w:rPr>
        <w:t>yra palankus metas pirkti akcijas</w:t>
      </w:r>
      <w:r w:rsidRPr="000B544A">
        <w:rPr>
          <w:rFonts w:ascii="Times New Roman" w:hAnsi="Times New Roman"/>
          <w:lang w:val="lt-LT"/>
        </w:rPr>
        <w:t>, Dow teorijos naudotojai pradeda ieškoti konkrečių pozicijų, kurias jiems įsigyti</w:t>
      </w:r>
      <w:r w:rsidR="00571D26" w:rsidRPr="000B544A">
        <w:rPr>
          <w:rFonts w:ascii="Times New Roman" w:hAnsi="Times New Roman"/>
          <w:lang w:val="lt-LT"/>
        </w:rPr>
        <w:t>[13]</w:t>
      </w:r>
      <w:r w:rsidRPr="000B544A">
        <w:rPr>
          <w:rFonts w:ascii="Times New Roman" w:hAnsi="Times New Roman"/>
          <w:lang w:val="lt-LT"/>
        </w:rPr>
        <w:t>. Šioje vietoje praverčia fundamentalios analizės žinios, kai reikia nustatyti ar konkreti kompanija yra perspektyvi.</w:t>
      </w:r>
    </w:p>
    <w:p w:rsidR="00D508F5" w:rsidRPr="000B544A" w:rsidRDefault="00D508F5" w:rsidP="002855B6">
      <w:pPr>
        <w:spacing w:after="0" w:line="360" w:lineRule="auto"/>
        <w:ind w:firstLine="567"/>
        <w:jc w:val="both"/>
        <w:rPr>
          <w:rFonts w:ascii="Times New Roman" w:hAnsi="Times New Roman"/>
          <w:lang w:val="lt-LT"/>
        </w:rPr>
      </w:pPr>
      <w:r w:rsidRPr="000B544A">
        <w:rPr>
          <w:rFonts w:ascii="Times New Roman" w:hAnsi="Times New Roman"/>
          <w:lang w:val="lt-LT"/>
        </w:rPr>
        <w:t xml:space="preserve">Svarbi Dow teorijos dalis yra bendros rinkos krypties nustatymas. Tam naudojama trendų analizė. Svarbu suprasti, kas yra “trendas” (angl. Trend – kryptis, tendencija). Svarbu pažymėti, kad </w:t>
      </w:r>
      <w:r w:rsidRPr="000B544A">
        <w:rPr>
          <w:rFonts w:ascii="Times New Roman" w:hAnsi="Times New Roman"/>
          <w:lang w:val="lt-LT"/>
        </w:rPr>
        <w:lastRenderedPageBreak/>
        <w:t>rinka juda tam tikra kryptimi ne tiesia linija. Tai reiškia, kad esant kilimo tendencijai kaina kils ne nuolatos. Ji gali pakilti, tada pakristi ir vėl pakilti</w:t>
      </w:r>
      <w:r w:rsidR="000D3B51" w:rsidRPr="000B544A">
        <w:rPr>
          <w:rFonts w:ascii="Times New Roman" w:hAnsi="Times New Roman"/>
          <w:lang w:val="lt-LT"/>
        </w:rPr>
        <w:t>, bet bendrai, po tam tikro per</w:t>
      </w:r>
      <w:r w:rsidRPr="000B544A">
        <w:rPr>
          <w:rFonts w:ascii="Times New Roman" w:hAnsi="Times New Roman"/>
          <w:lang w:val="lt-LT"/>
        </w:rPr>
        <w:t xml:space="preserve">iodo kaina bus didesnė nei buvo pradžioje. </w:t>
      </w:r>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Rinka yra kylanti rinka ir turi kilimo tendenciją, kai kiekvienas kilimas pasiekia vis aukštesnį lygį. Kiekvienas pakritimas turi nepasiekti prie</w:t>
      </w:r>
      <w:r w:rsidR="000D3B51" w:rsidRPr="000B544A">
        <w:rPr>
          <w:rFonts w:ascii="Times New Roman" w:hAnsi="Times New Roman"/>
          <w:lang w:val="lt-LT"/>
        </w:rPr>
        <w:t>š tai buvusio kritimo žemiausio</w:t>
      </w:r>
      <w:r w:rsidRPr="000B544A">
        <w:rPr>
          <w:rFonts w:ascii="Times New Roman" w:hAnsi="Times New Roman"/>
          <w:lang w:val="lt-LT"/>
        </w:rPr>
        <w:t xml:space="preserve"> taško, kaina turi apsisukti vis aukščiau. </w:t>
      </w:r>
      <w:r w:rsidR="00DD3C53" w:rsidRPr="000B544A">
        <w:rPr>
          <w:rFonts w:ascii="Times New Roman" w:hAnsi="Times New Roman"/>
          <w:lang w:val="lt-LT"/>
        </w:rPr>
        <w:t>Laikoma, kad vyrauja kainos kritimo tendencija</w:t>
      </w:r>
      <w:r w:rsidRPr="000B544A">
        <w:rPr>
          <w:rFonts w:ascii="Times New Roman" w:hAnsi="Times New Roman"/>
          <w:lang w:val="lt-LT"/>
        </w:rPr>
        <w:t>, k</w:t>
      </w:r>
      <w:r w:rsidR="00DD3C53" w:rsidRPr="000B544A">
        <w:rPr>
          <w:rFonts w:ascii="Times New Roman" w:hAnsi="Times New Roman"/>
          <w:lang w:val="lt-LT"/>
        </w:rPr>
        <w:t>ai kiekvienas laikinas kilimas</w:t>
      </w:r>
      <w:r w:rsidRPr="000B544A">
        <w:rPr>
          <w:rFonts w:ascii="Times New Roman" w:hAnsi="Times New Roman"/>
          <w:lang w:val="lt-LT"/>
        </w:rPr>
        <w:t xml:space="preserve"> pasiekia vis žemesnę aukštumą, o kiekviena kritimo banga pasiekia vis žemesnį tašką.</w:t>
      </w:r>
      <w:r w:rsidR="00571D26" w:rsidRPr="000B544A">
        <w:rPr>
          <w:rFonts w:ascii="Times New Roman" w:hAnsi="Times New Roman"/>
          <w:lang w:val="lt-LT"/>
        </w:rPr>
        <w:t xml:space="preserve"> </w:t>
      </w:r>
      <w:r w:rsidR="008E79C8" w:rsidRPr="000B544A">
        <w:rPr>
          <w:rFonts w:ascii="Times New Roman" w:hAnsi="Times New Roman"/>
          <w:lang w:val="lt-LT"/>
        </w:rPr>
        <w:t>[44</w:t>
      </w:r>
      <w:r w:rsidR="00571D26" w:rsidRPr="000B544A">
        <w:rPr>
          <w:rFonts w:ascii="Times New Roman" w:hAnsi="Times New Roman"/>
          <w:lang w:val="lt-LT"/>
        </w:rPr>
        <w:t>]</w:t>
      </w:r>
    </w:p>
    <w:p w:rsidR="00F54846" w:rsidRPr="000B544A" w:rsidRDefault="00B542BF" w:rsidP="00F54846">
      <w:pPr>
        <w:keepNext/>
        <w:spacing w:after="0" w:line="360" w:lineRule="auto"/>
        <w:ind w:firstLine="567"/>
        <w:jc w:val="both"/>
        <w:rPr>
          <w:rFonts w:ascii="Times New Roman" w:hAnsi="Times New Roman"/>
          <w:lang w:val="lt-LT"/>
        </w:rPr>
      </w:pPr>
      <w:r w:rsidRPr="000B544A">
        <w:rPr>
          <w:rFonts w:ascii="Times New Roman" w:hAnsi="Times New Roman"/>
          <w:noProof/>
        </w:rPr>
        <w:drawing>
          <wp:inline distT="0" distB="0" distL="0" distR="0">
            <wp:extent cx="5540375" cy="2487295"/>
            <wp:effectExtent l="19050" t="0" r="3175" b="0"/>
            <wp:docPr id="1" name="Picture 3" descr="Description: :::::Users:Karolis:Downloads:graf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Users:Karolis:Downloads:graf1-2.gif"/>
                    <pic:cNvPicPr>
                      <a:picLocks noChangeAspect="1" noChangeArrowheads="1"/>
                    </pic:cNvPicPr>
                  </pic:nvPicPr>
                  <pic:blipFill>
                    <a:blip r:embed="rId9" cstate="print"/>
                    <a:srcRect/>
                    <a:stretch>
                      <a:fillRect/>
                    </a:stretch>
                  </pic:blipFill>
                  <pic:spPr bwMode="auto">
                    <a:xfrm>
                      <a:off x="0" y="0"/>
                      <a:ext cx="5540375" cy="2487295"/>
                    </a:xfrm>
                    <a:prstGeom prst="rect">
                      <a:avLst/>
                    </a:prstGeom>
                    <a:noFill/>
                    <a:ln w="9525">
                      <a:noFill/>
                      <a:miter lim="800000"/>
                      <a:headEnd/>
                      <a:tailEnd/>
                    </a:ln>
                  </pic:spPr>
                </pic:pic>
              </a:graphicData>
            </a:graphic>
          </wp:inline>
        </w:drawing>
      </w:r>
    </w:p>
    <w:p w:rsidR="00A22CF8" w:rsidRPr="000B544A" w:rsidRDefault="00F54846" w:rsidP="00F54846">
      <w:pPr>
        <w:pStyle w:val="Caption"/>
        <w:jc w:val="center"/>
        <w:rPr>
          <w:rFonts w:ascii="Times New Roman" w:hAnsi="Times New Roman"/>
          <w:b w:val="0"/>
          <w:lang w:val="lt-LT"/>
        </w:rPr>
      </w:pPr>
      <w:r w:rsidRPr="000B544A">
        <w:rPr>
          <w:rFonts w:ascii="Times New Roman" w:hAnsi="Times New Roman"/>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Figure \* ARABIC </w:instrText>
      </w:r>
      <w:r w:rsidR="00A56BC3" w:rsidRPr="000B544A">
        <w:rPr>
          <w:rFonts w:ascii="Times New Roman" w:hAnsi="Times New Roman"/>
          <w:b w:val="0"/>
          <w:lang w:val="lt-LT"/>
        </w:rPr>
        <w:fldChar w:fldCharType="separate"/>
      </w:r>
      <w:bookmarkStart w:id="11" w:name="_Toc311718693"/>
      <w:r w:rsidR="00C53DDD">
        <w:rPr>
          <w:rFonts w:ascii="Times New Roman" w:hAnsi="Times New Roman"/>
          <w:b w:val="0"/>
          <w:noProof/>
          <w:lang w:val="lt-LT"/>
        </w:rPr>
        <w:t>2</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pav. </w:t>
      </w:r>
      <w:r w:rsidRPr="000B544A">
        <w:rPr>
          <w:rFonts w:ascii="Times New Roman" w:hAnsi="Times New Roman"/>
          <w:lang w:val="lt-LT"/>
        </w:rPr>
        <w:t>Grafikas su kritimo tendencija</w:t>
      </w:r>
      <w:bookmarkEnd w:id="11"/>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Dow teorijoje išskiriamos trys rinkos kryptys</w:t>
      </w:r>
      <w:r w:rsidR="00DD3C53" w:rsidRPr="000B544A">
        <w:rPr>
          <w:rFonts w:ascii="Times New Roman" w:hAnsi="Times New Roman"/>
          <w:lang w:val="lt-LT"/>
        </w:rPr>
        <w:t xml:space="preserve"> </w:t>
      </w:r>
      <w:r w:rsidRPr="000B544A">
        <w:rPr>
          <w:rFonts w:ascii="Times New Roman" w:hAnsi="Times New Roman"/>
          <w:lang w:val="lt-LT"/>
        </w:rPr>
        <w:t>– pirminė, antrinė ir mažoji</w:t>
      </w:r>
      <w:r w:rsidR="00571D26" w:rsidRPr="000B544A">
        <w:rPr>
          <w:rFonts w:ascii="Times New Roman" w:hAnsi="Times New Roman"/>
          <w:lang w:val="lt-LT"/>
        </w:rPr>
        <w:t>[13]</w:t>
      </w:r>
      <w:r w:rsidRPr="000B544A">
        <w:rPr>
          <w:rFonts w:ascii="Times New Roman" w:hAnsi="Times New Roman"/>
          <w:lang w:val="lt-LT"/>
        </w:rPr>
        <w:t>. Pirminė kryptis yra didžiausia ir trunka ilgiau nei metus.  Antrinė kryptis yra vidutinio ilgumo ir trunka nuo trijų savaičių iki trijų mėnesių. Ši kryptis dažnai asocijuojasi su judėjimu prieš pirminę kryptį. Mažoji kryptis trunka iki trijų savaičių ir jos judėjimas vyksta antrinėje kryptyje.</w:t>
      </w:r>
    </w:p>
    <w:p w:rsidR="00D508F5" w:rsidRPr="000B544A" w:rsidRDefault="00D508F5" w:rsidP="002855B6">
      <w:pPr>
        <w:spacing w:after="0" w:line="360" w:lineRule="auto"/>
        <w:ind w:firstLine="567"/>
        <w:jc w:val="both"/>
        <w:rPr>
          <w:rFonts w:ascii="Times New Roman" w:hAnsi="Times New Roman"/>
          <w:lang w:val="lt-LT"/>
        </w:rPr>
      </w:pPr>
      <w:r w:rsidRPr="000B544A">
        <w:rPr>
          <w:rFonts w:ascii="Times New Roman" w:hAnsi="Times New Roman"/>
          <w:lang w:val="lt-LT"/>
        </w:rPr>
        <w:t>Dow teorijoje pirminė kryptis  yra pagrindinė ir svarbiausia rinkos kryptis</w:t>
      </w:r>
      <w:r w:rsidR="00571D26" w:rsidRPr="000B544A">
        <w:rPr>
          <w:rFonts w:ascii="Times New Roman" w:hAnsi="Times New Roman"/>
          <w:lang w:val="lt-LT"/>
        </w:rPr>
        <w:t>[</w:t>
      </w:r>
      <w:r w:rsidR="00C05826" w:rsidRPr="000B544A">
        <w:rPr>
          <w:rFonts w:ascii="Times New Roman" w:hAnsi="Times New Roman"/>
          <w:lang w:val="lt-LT"/>
        </w:rPr>
        <w:t>42</w:t>
      </w:r>
      <w:r w:rsidR="00571D26" w:rsidRPr="000B544A">
        <w:rPr>
          <w:rFonts w:ascii="Times New Roman" w:hAnsi="Times New Roman"/>
          <w:lang w:val="lt-LT"/>
        </w:rPr>
        <w:t>]</w:t>
      </w:r>
      <w:r w:rsidRPr="000B544A">
        <w:rPr>
          <w:rFonts w:ascii="Times New Roman" w:hAnsi="Times New Roman"/>
          <w:lang w:val="lt-LT"/>
        </w:rPr>
        <w:t>. Taip yra todėl, kad svarbiausia kryptimi laikoma ta, kuri labiausiai veikia kainas. Pirminė kryptis taip pat veikia ir antrinę, ir mažąją. Nepaisant krypties ilgio, pirminė veikia kitas kryptis iki patvirtinto apsisukimo</w:t>
      </w:r>
      <w:r w:rsidR="00EC338F" w:rsidRPr="000B544A">
        <w:rPr>
          <w:rFonts w:ascii="Times New Roman" w:hAnsi="Times New Roman"/>
          <w:lang w:val="lt-LT"/>
        </w:rPr>
        <w:t>[</w:t>
      </w:r>
      <w:r w:rsidR="00C05826" w:rsidRPr="000B544A">
        <w:rPr>
          <w:rFonts w:ascii="Times New Roman" w:hAnsi="Times New Roman"/>
          <w:lang w:val="lt-LT"/>
        </w:rPr>
        <w:t>42</w:t>
      </w:r>
      <w:r w:rsidR="00EC338F" w:rsidRPr="000B544A">
        <w:rPr>
          <w:rFonts w:ascii="Times New Roman" w:hAnsi="Times New Roman"/>
          <w:lang w:val="lt-LT"/>
        </w:rPr>
        <w:t>]</w:t>
      </w:r>
      <w:r w:rsidRPr="000B544A">
        <w:rPr>
          <w:rFonts w:ascii="Times New Roman" w:hAnsi="Times New Roman"/>
          <w:lang w:val="lt-LT"/>
        </w:rPr>
        <w:t>. Pvz. Jei kylančios krypties kaina užsidaro žemiau anksčiau nusistatyto kanalo, tai gali būti ženklas, kad rinka judės žemyn, nebe aukštyn. Vienas iš sudėtingiausių dalykų rinkų kryptyse yra nustatyti, kiek laiko kryptis tęsis iki kol apsisuks</w:t>
      </w:r>
      <w:r w:rsidR="00EC338F" w:rsidRPr="000B544A">
        <w:rPr>
          <w:rFonts w:ascii="Times New Roman" w:hAnsi="Times New Roman"/>
          <w:lang w:val="lt-LT"/>
        </w:rPr>
        <w:t>[</w:t>
      </w:r>
      <w:r w:rsidR="00C05826" w:rsidRPr="000B544A">
        <w:rPr>
          <w:rFonts w:ascii="Times New Roman" w:hAnsi="Times New Roman"/>
          <w:lang w:val="lt-LT"/>
        </w:rPr>
        <w:t>44</w:t>
      </w:r>
      <w:r w:rsidR="00EC338F" w:rsidRPr="000B544A">
        <w:rPr>
          <w:rFonts w:ascii="Times New Roman" w:hAnsi="Times New Roman"/>
          <w:lang w:val="lt-LT"/>
        </w:rPr>
        <w:t>]</w:t>
      </w:r>
      <w:r w:rsidRPr="000B544A">
        <w:rPr>
          <w:rFonts w:ascii="Times New Roman" w:hAnsi="Times New Roman"/>
          <w:lang w:val="lt-LT"/>
        </w:rPr>
        <w:t>. Svarbu yra teisingai nustatyti kryptį</w:t>
      </w:r>
      <w:r w:rsidR="00DD3C53" w:rsidRPr="000B544A">
        <w:rPr>
          <w:rFonts w:ascii="Times New Roman" w:hAnsi="Times New Roman"/>
          <w:lang w:val="lt-LT"/>
        </w:rPr>
        <w:t>, nes prekiaujant priešinga kryptimi nei  vyraujanti rinkos tendencija ženkliai sumažėja galimybė gauti pelno</w:t>
      </w:r>
    </w:p>
    <w:p w:rsidR="00D508F5" w:rsidRPr="000B544A" w:rsidRDefault="00D508F5" w:rsidP="002855B6">
      <w:pPr>
        <w:spacing w:after="0" w:line="360" w:lineRule="auto"/>
        <w:ind w:firstLine="567"/>
        <w:jc w:val="both"/>
        <w:rPr>
          <w:rFonts w:ascii="Times New Roman" w:hAnsi="Times New Roman"/>
          <w:lang w:val="lt-LT"/>
        </w:rPr>
      </w:pPr>
      <w:r w:rsidRPr="000B544A">
        <w:rPr>
          <w:rFonts w:ascii="Times New Roman" w:hAnsi="Times New Roman"/>
          <w:lang w:val="lt-LT"/>
        </w:rPr>
        <w:t>Dow teorijoje sakoma, kad pirminė kryptis yra pagrindinė kryptis, kuria juda rinka</w:t>
      </w:r>
      <w:r w:rsidR="00EC338F" w:rsidRPr="000B544A">
        <w:rPr>
          <w:rFonts w:ascii="Times New Roman" w:hAnsi="Times New Roman"/>
          <w:lang w:val="lt-LT"/>
        </w:rPr>
        <w:t>[13]</w:t>
      </w:r>
      <w:r w:rsidRPr="000B544A">
        <w:rPr>
          <w:rFonts w:ascii="Times New Roman" w:hAnsi="Times New Roman"/>
          <w:lang w:val="lt-LT"/>
        </w:rPr>
        <w:t>. Antrinė kryptis yra priešinga pirminei, nes ji atsiranda pirminės krypties korekcijos metu</w:t>
      </w:r>
      <w:r w:rsidR="00EC338F" w:rsidRPr="000B544A">
        <w:rPr>
          <w:rFonts w:ascii="Times New Roman" w:hAnsi="Times New Roman"/>
          <w:lang w:val="lt-LT"/>
        </w:rPr>
        <w:t>[13]</w:t>
      </w:r>
      <w:r w:rsidRPr="000B544A">
        <w:rPr>
          <w:rFonts w:ascii="Times New Roman" w:hAnsi="Times New Roman"/>
          <w:lang w:val="lt-LT"/>
        </w:rPr>
        <w:t xml:space="preserve">. Pvz. Kylanti pirminė kryptis bus priešinga antrinei krypčiai, kuri bus krentanti. Pirminė kryptis siekia vis aukštesnės vertės, bet </w:t>
      </w:r>
      <w:r w:rsidR="00452C36" w:rsidRPr="000B544A">
        <w:rPr>
          <w:rFonts w:ascii="Times New Roman" w:hAnsi="Times New Roman"/>
          <w:lang w:val="lt-LT"/>
        </w:rPr>
        <w:t>atėjus</w:t>
      </w:r>
      <w:r w:rsidRPr="000B544A">
        <w:rPr>
          <w:rFonts w:ascii="Times New Roman" w:hAnsi="Times New Roman"/>
          <w:lang w:val="lt-LT"/>
        </w:rPr>
        <w:t xml:space="preserve"> korekcijai, laikinai kainos nebepasiekia vis naujo piko.</w:t>
      </w:r>
    </w:p>
    <w:p w:rsidR="00F54846" w:rsidRPr="000B544A" w:rsidRDefault="00B542BF" w:rsidP="00F54846">
      <w:pPr>
        <w:keepNext/>
        <w:spacing w:after="0" w:line="360" w:lineRule="auto"/>
        <w:ind w:firstLine="567"/>
        <w:jc w:val="both"/>
        <w:rPr>
          <w:rFonts w:ascii="Times New Roman" w:hAnsi="Times New Roman"/>
          <w:lang w:val="lt-LT"/>
        </w:rPr>
      </w:pPr>
      <w:r w:rsidRPr="000B544A">
        <w:rPr>
          <w:rFonts w:ascii="Times New Roman" w:hAnsi="Times New Roman"/>
          <w:noProof/>
        </w:rPr>
        <w:lastRenderedPageBreak/>
        <w:drawing>
          <wp:inline distT="0" distB="0" distL="0" distR="0">
            <wp:extent cx="5261610" cy="2402205"/>
            <wp:effectExtent l="19050" t="0" r="0" b="0"/>
            <wp:docPr id="2" name="Picture 5" descr="Description: :::::Users:Karolis:Downloads:graf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Users:Karolis:Downloads:graf2-1.gif"/>
                    <pic:cNvPicPr>
                      <a:picLocks noChangeAspect="1" noChangeArrowheads="1"/>
                    </pic:cNvPicPr>
                  </pic:nvPicPr>
                  <pic:blipFill>
                    <a:blip r:embed="rId10" cstate="print"/>
                    <a:srcRect/>
                    <a:stretch>
                      <a:fillRect/>
                    </a:stretch>
                  </pic:blipFill>
                  <pic:spPr bwMode="auto">
                    <a:xfrm>
                      <a:off x="0" y="0"/>
                      <a:ext cx="5261610" cy="2402205"/>
                    </a:xfrm>
                    <a:prstGeom prst="rect">
                      <a:avLst/>
                    </a:prstGeom>
                    <a:noFill/>
                    <a:ln w="9525">
                      <a:noFill/>
                      <a:miter lim="800000"/>
                      <a:headEnd/>
                      <a:tailEnd/>
                    </a:ln>
                  </pic:spPr>
                </pic:pic>
              </a:graphicData>
            </a:graphic>
          </wp:inline>
        </w:drawing>
      </w:r>
    </w:p>
    <w:p w:rsidR="00A22CF8" w:rsidRPr="000B544A" w:rsidRDefault="00F54846" w:rsidP="00F54846">
      <w:pPr>
        <w:pStyle w:val="Caption"/>
        <w:jc w:val="center"/>
        <w:rPr>
          <w:rFonts w:ascii="Times New Roman" w:hAnsi="Times New Roman"/>
          <w:b w:val="0"/>
          <w:lang w:val="lt-LT"/>
        </w:rPr>
      </w:pPr>
      <w:r w:rsidRPr="000B544A">
        <w:rPr>
          <w:rFonts w:ascii="Times New Roman" w:hAnsi="Times New Roman"/>
          <w:b w:val="0"/>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Figure \* ARABIC </w:instrText>
      </w:r>
      <w:r w:rsidR="00A56BC3" w:rsidRPr="000B544A">
        <w:rPr>
          <w:rFonts w:ascii="Times New Roman" w:hAnsi="Times New Roman"/>
          <w:b w:val="0"/>
          <w:lang w:val="lt-LT"/>
        </w:rPr>
        <w:fldChar w:fldCharType="separate"/>
      </w:r>
      <w:bookmarkStart w:id="12" w:name="_Toc311718694"/>
      <w:r w:rsidR="00C53DDD">
        <w:rPr>
          <w:rFonts w:ascii="Times New Roman" w:hAnsi="Times New Roman"/>
          <w:b w:val="0"/>
          <w:noProof/>
          <w:lang w:val="lt-LT"/>
        </w:rPr>
        <w:t>3</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pav. </w:t>
      </w:r>
      <w:r w:rsidRPr="000B544A">
        <w:rPr>
          <w:rFonts w:ascii="Times New Roman" w:hAnsi="Times New Roman"/>
          <w:lang w:val="lt-LT"/>
        </w:rPr>
        <w:t>Antrinė kryptis, priešinga pirminei</w:t>
      </w:r>
      <w:bookmarkEnd w:id="12"/>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 xml:space="preserve">Kaip matyti iš </w:t>
      </w:r>
      <w:r w:rsidR="000D6416" w:rsidRPr="000B544A">
        <w:rPr>
          <w:rFonts w:ascii="Times New Roman" w:hAnsi="Times New Roman"/>
          <w:lang w:val="lt-LT"/>
        </w:rPr>
        <w:t>3</w:t>
      </w:r>
      <w:r w:rsidRPr="000B544A">
        <w:rPr>
          <w:rFonts w:ascii="Times New Roman" w:hAnsi="Times New Roman"/>
          <w:lang w:val="lt-LT"/>
        </w:rPr>
        <w:t xml:space="preserve"> paveikslėlio, pirminė kryptis</w:t>
      </w:r>
      <w:r w:rsidR="000D3B51" w:rsidRPr="000B544A">
        <w:rPr>
          <w:rFonts w:ascii="Times New Roman" w:hAnsi="Times New Roman"/>
          <w:lang w:val="lt-LT"/>
        </w:rPr>
        <w:t xml:space="preserve"> yra žemyn, o antrinė kryptis </w:t>
      </w:r>
      <w:r w:rsidRPr="000B544A">
        <w:rPr>
          <w:rFonts w:ascii="Times New Roman" w:hAnsi="Times New Roman"/>
          <w:lang w:val="lt-LT"/>
        </w:rPr>
        <w:t>siekia vis naujas aukštumas rodydama rinkos kilimą. Kadangi rinka niekada nejuda tiesia, o juda pakildama ir pakrisdama, todėl yra nubrėžiamas kanalas, kurio viduje antrinė rinkos kryptis gali būti priešinga pirminei. Apskritai vidurinė arba antrinė kryptis tęsiasi nuo trijų savaičių iki trijų mėnesių, kol priešinga kryptimi judėdamas pasiekia nuo 1/3 iki 2/3 pirminės krypties lygio</w:t>
      </w:r>
      <w:r w:rsidR="00EC338F" w:rsidRPr="000B544A">
        <w:rPr>
          <w:rFonts w:ascii="Times New Roman" w:hAnsi="Times New Roman"/>
          <w:lang w:val="lt-LT"/>
        </w:rPr>
        <w:t>[13]</w:t>
      </w:r>
      <w:r w:rsidRPr="000B544A">
        <w:rPr>
          <w:rFonts w:ascii="Times New Roman" w:hAnsi="Times New Roman"/>
          <w:lang w:val="lt-LT"/>
        </w:rPr>
        <w:t>. Pvz. Jei pirminė indekso kryptis pajudėjo nuo 10 000 iki 12 500, tai antrinė kryptis turėtų pakristi mažiausiai 1/3 šių reikšmių skirtumo, t.y. 833 punktų. Taip pat svarbu, kad antrinė kryptis pasižymi nepastoviu judėjimu.</w:t>
      </w:r>
    </w:p>
    <w:p w:rsidR="00D508F5" w:rsidRPr="000B544A" w:rsidRDefault="00D508F5" w:rsidP="002855B6">
      <w:pPr>
        <w:spacing w:after="0" w:line="360" w:lineRule="auto"/>
        <w:ind w:firstLine="567"/>
        <w:jc w:val="both"/>
        <w:rPr>
          <w:rFonts w:ascii="Times New Roman" w:hAnsi="Times New Roman"/>
          <w:lang w:val="lt-LT"/>
        </w:rPr>
      </w:pPr>
      <w:r w:rsidRPr="000B544A">
        <w:rPr>
          <w:rFonts w:ascii="Times New Roman" w:hAnsi="Times New Roman"/>
          <w:lang w:val="lt-LT"/>
        </w:rPr>
        <w:t>Paskutinė Dow teorijoje aprašoma kryptis yra mažoji</w:t>
      </w:r>
      <w:r w:rsidR="00EC338F" w:rsidRPr="000B544A">
        <w:rPr>
          <w:rFonts w:ascii="Times New Roman" w:hAnsi="Times New Roman"/>
          <w:lang w:val="lt-LT"/>
        </w:rPr>
        <w:t>[</w:t>
      </w:r>
      <w:r w:rsidR="00C05826" w:rsidRPr="000B544A">
        <w:rPr>
          <w:rFonts w:ascii="Times New Roman" w:hAnsi="Times New Roman"/>
          <w:lang w:val="lt-LT"/>
        </w:rPr>
        <w:t>42</w:t>
      </w:r>
      <w:r w:rsidR="00EC338F" w:rsidRPr="000B544A">
        <w:rPr>
          <w:rFonts w:ascii="Times New Roman" w:hAnsi="Times New Roman"/>
          <w:lang w:val="lt-LT"/>
        </w:rPr>
        <w:t>]</w:t>
      </w:r>
      <w:r w:rsidRPr="000B544A">
        <w:rPr>
          <w:rFonts w:ascii="Times New Roman" w:hAnsi="Times New Roman"/>
          <w:lang w:val="lt-LT"/>
        </w:rPr>
        <w:t>. Ji trunka iki trijų savaičių ir yra antrinės krypties korekcija, t.y. juda priešingai nei antrinė kryptis. Kadangi ši kryptis trunka neilgai, jai nėra skiriamas didelis Dow teorijos šalininkų dėmesys. Bet tai nereiškia, kad ji nėra reikšminga, nes šie maži kryptingi judėjimai yra dalis didelių judėjimų. Dauguma Dow teorijos šalininkų stebi pirminę ir antrinę kryptis, o mažoji kryptis lieka nuošaly. Jie teigia, kad jei per daug susikoncentruosime į mažas kryptis, tai gali vesti prie iracionalių sprendimų</w:t>
      </w:r>
      <w:r w:rsidR="00AB61C7" w:rsidRPr="000B544A">
        <w:rPr>
          <w:rFonts w:ascii="Times New Roman" w:hAnsi="Times New Roman"/>
          <w:lang w:val="lt-LT"/>
        </w:rPr>
        <w:t>[</w:t>
      </w:r>
      <w:r w:rsidR="00C05826" w:rsidRPr="000B544A">
        <w:rPr>
          <w:rFonts w:ascii="Times New Roman" w:hAnsi="Times New Roman"/>
          <w:lang w:val="lt-LT"/>
        </w:rPr>
        <w:t>42</w:t>
      </w:r>
      <w:r w:rsidR="00AB61C7" w:rsidRPr="000B544A">
        <w:rPr>
          <w:rFonts w:ascii="Times New Roman" w:hAnsi="Times New Roman"/>
          <w:lang w:val="lt-LT"/>
        </w:rPr>
        <w:t>]</w:t>
      </w:r>
      <w:r w:rsidRPr="000B544A">
        <w:rPr>
          <w:rFonts w:ascii="Times New Roman" w:hAnsi="Times New Roman"/>
          <w:lang w:val="lt-LT"/>
        </w:rPr>
        <w:t>.</w:t>
      </w:r>
    </w:p>
    <w:p w:rsidR="00D508F5" w:rsidRPr="000B544A" w:rsidRDefault="00D508F5" w:rsidP="002855B6">
      <w:pPr>
        <w:spacing w:after="0" w:line="360" w:lineRule="auto"/>
        <w:ind w:firstLine="567"/>
        <w:jc w:val="both"/>
        <w:rPr>
          <w:rFonts w:ascii="Times New Roman" w:hAnsi="Times New Roman"/>
          <w:lang w:val="lt-LT"/>
        </w:rPr>
      </w:pPr>
      <w:r w:rsidRPr="000B544A">
        <w:rPr>
          <w:rFonts w:ascii="Times New Roman" w:hAnsi="Times New Roman"/>
          <w:lang w:val="lt-LT"/>
        </w:rPr>
        <w:t xml:space="preserve">Dow teorija išskiria tris </w:t>
      </w:r>
      <w:r w:rsidR="00AB61C7" w:rsidRPr="000B544A">
        <w:rPr>
          <w:rFonts w:ascii="Times New Roman" w:hAnsi="Times New Roman"/>
          <w:lang w:val="lt-LT"/>
        </w:rPr>
        <w:t xml:space="preserve">pirminės krypties </w:t>
      </w:r>
      <w:r w:rsidRPr="000B544A">
        <w:rPr>
          <w:rFonts w:ascii="Times New Roman" w:hAnsi="Times New Roman"/>
          <w:lang w:val="lt-LT"/>
        </w:rPr>
        <w:t>fazes (etapus)</w:t>
      </w:r>
      <w:r w:rsidR="00AB61C7" w:rsidRPr="000B544A">
        <w:rPr>
          <w:rFonts w:ascii="Times New Roman" w:hAnsi="Times New Roman"/>
          <w:lang w:val="lt-LT"/>
        </w:rPr>
        <w:t xml:space="preserve"> [13]</w:t>
      </w:r>
      <w:r w:rsidRPr="000B544A">
        <w:rPr>
          <w:rFonts w:ascii="Times New Roman" w:hAnsi="Times New Roman"/>
          <w:lang w:val="lt-LT"/>
        </w:rPr>
        <w:t>. Tai yra trečias principas</w:t>
      </w:r>
      <w:r w:rsidR="000D3B51" w:rsidRPr="000B544A">
        <w:rPr>
          <w:rFonts w:ascii="Times New Roman" w:hAnsi="Times New Roman"/>
          <w:lang w:val="lt-LT"/>
        </w:rPr>
        <w:t>, o</w:t>
      </w:r>
      <w:r w:rsidRPr="000B544A">
        <w:rPr>
          <w:rFonts w:ascii="Times New Roman" w:hAnsi="Times New Roman"/>
          <w:lang w:val="lt-LT"/>
        </w:rPr>
        <w:t xml:space="preserve"> šie trys pirminės krypties etapai vadinasi: </w:t>
      </w:r>
      <w:r w:rsidR="00E00FC6" w:rsidRPr="000B544A">
        <w:rPr>
          <w:rFonts w:ascii="Times New Roman" w:hAnsi="Times New Roman"/>
          <w:lang w:val="lt-LT"/>
        </w:rPr>
        <w:t>akumuliacinė</w:t>
      </w:r>
      <w:r w:rsidRPr="000B544A">
        <w:rPr>
          <w:rFonts w:ascii="Times New Roman" w:hAnsi="Times New Roman"/>
          <w:lang w:val="lt-LT"/>
        </w:rPr>
        <w:t xml:space="preserve"> (angl. accumulation phase), viešo susidomėjimo (angl. public participation) ir panikos fazė (angl. panic phase)</w:t>
      </w:r>
      <w:r w:rsidR="007263FA" w:rsidRPr="000B544A">
        <w:rPr>
          <w:rFonts w:ascii="Times New Roman" w:hAnsi="Times New Roman"/>
          <w:lang w:val="lt-LT"/>
        </w:rPr>
        <w:t xml:space="preserve"> [13]</w:t>
      </w:r>
      <w:r w:rsidRPr="000B544A">
        <w:rPr>
          <w:rFonts w:ascii="Times New Roman" w:hAnsi="Times New Roman"/>
          <w:lang w:val="lt-LT"/>
        </w:rPr>
        <w:t xml:space="preserve">. </w:t>
      </w:r>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Pirminė, kylanti kryptis (bulių rinka)</w:t>
      </w:r>
      <w:r w:rsidR="000D3B51" w:rsidRPr="000B544A">
        <w:rPr>
          <w:rFonts w:ascii="Times New Roman" w:hAnsi="Times New Roman"/>
          <w:lang w:val="lt-LT"/>
        </w:rPr>
        <w:t xml:space="preserve"> turi tris fazes: </w:t>
      </w:r>
      <w:r w:rsidR="00E00FC6" w:rsidRPr="000B544A">
        <w:rPr>
          <w:rFonts w:ascii="Times New Roman" w:hAnsi="Times New Roman"/>
          <w:lang w:val="lt-LT"/>
        </w:rPr>
        <w:t>akumuliacinę</w:t>
      </w:r>
      <w:r w:rsidR="00FA3791" w:rsidRPr="000B544A">
        <w:rPr>
          <w:rFonts w:ascii="Times New Roman" w:hAnsi="Times New Roman"/>
          <w:lang w:val="lt-LT"/>
        </w:rPr>
        <w:t>, viešo susidomėjimo ir panikos fazę</w:t>
      </w:r>
      <w:r w:rsidR="007263FA" w:rsidRPr="000B544A">
        <w:rPr>
          <w:rFonts w:ascii="Times New Roman" w:hAnsi="Times New Roman"/>
          <w:lang w:val="lt-LT"/>
        </w:rPr>
        <w:t>[13]</w:t>
      </w:r>
      <w:r w:rsidR="00FA3791" w:rsidRPr="000B544A">
        <w:rPr>
          <w:rFonts w:ascii="Times New Roman" w:hAnsi="Times New Roman"/>
          <w:lang w:val="lt-LT"/>
        </w:rPr>
        <w:t>. Šios fazės pasižymi tam tikrais investuotojų veiksmais, kurie aprašyti žemiau.</w:t>
      </w:r>
    </w:p>
    <w:p w:rsidR="00D508F5" w:rsidRPr="000B544A" w:rsidRDefault="00D508F5" w:rsidP="002855B6">
      <w:pPr>
        <w:spacing w:after="0" w:line="360" w:lineRule="auto"/>
        <w:ind w:firstLine="567"/>
        <w:jc w:val="both"/>
        <w:rPr>
          <w:rFonts w:ascii="Times New Roman" w:hAnsi="Times New Roman"/>
          <w:lang w:val="lt-LT"/>
        </w:rPr>
      </w:pPr>
      <w:r w:rsidRPr="000B544A">
        <w:rPr>
          <w:rFonts w:ascii="Times New Roman" w:hAnsi="Times New Roman"/>
          <w:lang w:val="lt-LT"/>
        </w:rPr>
        <w:t xml:space="preserve">Pirmoji bulių rinkos fazė yra vadinama </w:t>
      </w:r>
      <w:r w:rsidR="00E00FC6" w:rsidRPr="000B544A">
        <w:rPr>
          <w:rFonts w:ascii="Times New Roman" w:hAnsi="Times New Roman"/>
          <w:lang w:val="lt-LT"/>
        </w:rPr>
        <w:t>akumuliacine</w:t>
      </w:r>
      <w:r w:rsidRPr="000B544A">
        <w:rPr>
          <w:rFonts w:ascii="Times New Roman" w:hAnsi="Times New Roman"/>
          <w:lang w:val="lt-LT"/>
        </w:rPr>
        <w:t xml:space="preserve"> faze, kuri prasideda kilimo kryptimi</w:t>
      </w:r>
      <w:r w:rsidR="007263FA" w:rsidRPr="000B544A">
        <w:rPr>
          <w:rFonts w:ascii="Times New Roman" w:hAnsi="Times New Roman"/>
          <w:lang w:val="lt-LT"/>
        </w:rPr>
        <w:t>[</w:t>
      </w:r>
      <w:r w:rsidR="00C05826" w:rsidRPr="000B544A">
        <w:rPr>
          <w:rFonts w:ascii="Times New Roman" w:hAnsi="Times New Roman"/>
          <w:lang w:val="lt-LT"/>
        </w:rPr>
        <w:t>44</w:t>
      </w:r>
      <w:r w:rsidR="007263FA" w:rsidRPr="000B544A">
        <w:rPr>
          <w:rFonts w:ascii="Times New Roman" w:hAnsi="Times New Roman"/>
          <w:lang w:val="lt-LT"/>
        </w:rPr>
        <w:t>]</w:t>
      </w:r>
      <w:r w:rsidRPr="000B544A">
        <w:rPr>
          <w:rFonts w:ascii="Times New Roman" w:hAnsi="Times New Roman"/>
          <w:lang w:val="lt-LT"/>
        </w:rPr>
        <w:t xml:space="preserve">. Šioje </w:t>
      </w:r>
      <w:r w:rsidR="00452C36" w:rsidRPr="000B544A">
        <w:rPr>
          <w:rFonts w:ascii="Times New Roman" w:hAnsi="Times New Roman"/>
          <w:lang w:val="lt-LT"/>
        </w:rPr>
        <w:t>fazėje</w:t>
      </w:r>
      <w:r w:rsidRPr="000B544A">
        <w:rPr>
          <w:rFonts w:ascii="Times New Roman" w:hAnsi="Times New Roman"/>
          <w:lang w:val="lt-LT"/>
        </w:rPr>
        <w:t xml:space="preserve"> yra taškas, kuriame informuoti investuotojai pradeda pirkti akcijas. Ši fazė paprastai būna kritimo tendencijos pabaigoje, kai viskas pasiekia dugną</w:t>
      </w:r>
      <w:r w:rsidR="007263FA" w:rsidRPr="000B544A">
        <w:rPr>
          <w:rFonts w:ascii="Times New Roman" w:hAnsi="Times New Roman"/>
          <w:lang w:val="lt-LT"/>
        </w:rPr>
        <w:t>[</w:t>
      </w:r>
      <w:r w:rsidR="00C05826" w:rsidRPr="000B544A">
        <w:rPr>
          <w:rFonts w:ascii="Times New Roman" w:hAnsi="Times New Roman"/>
          <w:lang w:val="lt-LT"/>
        </w:rPr>
        <w:t>44</w:t>
      </w:r>
      <w:r w:rsidR="007263FA" w:rsidRPr="000B544A">
        <w:rPr>
          <w:rFonts w:ascii="Times New Roman" w:hAnsi="Times New Roman"/>
          <w:lang w:val="lt-LT"/>
        </w:rPr>
        <w:t>]</w:t>
      </w:r>
      <w:r w:rsidRPr="000B544A">
        <w:rPr>
          <w:rFonts w:ascii="Times New Roman" w:hAnsi="Times New Roman"/>
          <w:lang w:val="lt-LT"/>
        </w:rPr>
        <w:t xml:space="preserve">. Tai yra momentas, kai kaina yra patraukliausia, nes visos blogos naujienos yra įsisavintos ir atspindėtos kainoje. Taip pasiekiama mažiausia rizika, kadangi blogiau būti negali, tai ir kainos kristi nebeturi kur. Iš kitos pusės ši fazė yra pavojinga, kadangi ne visada gali aiškiai nustatyti, ar tai naujos pirminės krypties pradžia ar antrinė kryptis. Ši fazė dar yra vadinama pesimizmo faze, nes daug investuotojų mano, kad viskas blogėja ir dar nepasiektas dugnas. </w:t>
      </w:r>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lastRenderedPageBreak/>
        <w:t xml:space="preserve">Iš techninės pusės </w:t>
      </w:r>
      <w:r w:rsidR="00E00FC6" w:rsidRPr="000B544A">
        <w:rPr>
          <w:rFonts w:ascii="Times New Roman" w:hAnsi="Times New Roman"/>
          <w:lang w:val="lt-LT"/>
        </w:rPr>
        <w:t>akumuliacinė</w:t>
      </w:r>
      <w:r w:rsidRPr="000B544A">
        <w:rPr>
          <w:rFonts w:ascii="Times New Roman" w:hAnsi="Times New Roman"/>
          <w:lang w:val="lt-LT"/>
        </w:rPr>
        <w:t xml:space="preserve"> fazė pasižymi kainos įsitvirtinimu rinkoje</w:t>
      </w:r>
      <w:r w:rsidR="007263FA" w:rsidRPr="000B544A">
        <w:rPr>
          <w:rFonts w:ascii="Times New Roman" w:hAnsi="Times New Roman"/>
          <w:lang w:val="lt-LT"/>
        </w:rPr>
        <w:t>[</w:t>
      </w:r>
      <w:r w:rsidR="00C05826" w:rsidRPr="000B544A">
        <w:rPr>
          <w:rFonts w:ascii="Times New Roman" w:hAnsi="Times New Roman"/>
          <w:lang w:val="lt-LT"/>
        </w:rPr>
        <w:t>44</w:t>
      </w:r>
      <w:r w:rsidR="007263FA" w:rsidRPr="000B544A">
        <w:rPr>
          <w:rFonts w:ascii="Times New Roman" w:hAnsi="Times New Roman"/>
          <w:lang w:val="lt-LT"/>
        </w:rPr>
        <w:t>]</w:t>
      </w:r>
      <w:r w:rsidRPr="000B544A">
        <w:rPr>
          <w:rFonts w:ascii="Times New Roman" w:hAnsi="Times New Roman"/>
          <w:lang w:val="lt-LT"/>
        </w:rPr>
        <w:t xml:space="preserve">. Tai įvyksta, kai rinkos kainos kritimas sulėtėja ir pradeda judėti horizontaliai. Tolesniame šios fazės etape kaina pradeda kilti. Nauja, kylanti kryptis prasideda tada, kai nebepasiekiama žemesnė kaina nei buvo, o kaina pradeda banguotai siekti vis aukštesnį lygį. </w:t>
      </w:r>
    </w:p>
    <w:p w:rsidR="00D508F5" w:rsidRPr="000B544A" w:rsidRDefault="00D508F5" w:rsidP="00757EAA">
      <w:pPr>
        <w:spacing w:after="0" w:line="360" w:lineRule="auto"/>
        <w:ind w:firstLine="567"/>
        <w:jc w:val="both"/>
        <w:rPr>
          <w:rFonts w:ascii="Times New Roman" w:hAnsi="Times New Roman"/>
          <w:lang w:val="lt-LT"/>
        </w:rPr>
      </w:pPr>
      <w:r w:rsidRPr="000B544A">
        <w:rPr>
          <w:rFonts w:ascii="Times New Roman" w:hAnsi="Times New Roman"/>
          <w:lang w:val="lt-LT"/>
        </w:rPr>
        <w:t>Kai informuoti investuotojai įėjo į rinką pirmoje fazėje ir jie tai darė parodydami, jog blogiausia jau praeityje</w:t>
      </w:r>
      <w:r w:rsidR="000D3B51" w:rsidRPr="000B544A">
        <w:rPr>
          <w:rFonts w:ascii="Times New Roman" w:hAnsi="Times New Roman"/>
          <w:lang w:val="lt-LT"/>
        </w:rPr>
        <w:t>, o rinka</w:t>
      </w:r>
      <w:r w:rsidRPr="000B544A">
        <w:rPr>
          <w:rFonts w:ascii="Times New Roman" w:hAnsi="Times New Roman"/>
          <w:lang w:val="lt-LT"/>
        </w:rPr>
        <w:t xml:space="preserve"> laukia atsigavimo. Kai tai įvyksta, pirminė kryptis pasiekia antrą fazę – viešo susidomėjimo. Šioje fazėje bloga nuomonė apie verslo aplinką pradeda nykti ir prasideda apyvartų kilimas, o ekonomikos rodikliai tai patvirtina. Kai geros naujienos iš ekonomikos patv</w:t>
      </w:r>
      <w:r w:rsidR="000D3B51" w:rsidRPr="000B544A">
        <w:rPr>
          <w:rFonts w:ascii="Times New Roman" w:hAnsi="Times New Roman"/>
          <w:lang w:val="lt-LT"/>
        </w:rPr>
        <w:t>irtina</w:t>
      </w:r>
      <w:r w:rsidRPr="000B544A">
        <w:rPr>
          <w:rFonts w:ascii="Times New Roman" w:hAnsi="Times New Roman"/>
          <w:lang w:val="lt-LT"/>
        </w:rPr>
        <w:t xml:space="preserve"> atsigavimą, vis daugiau ir daugiau investu</w:t>
      </w:r>
      <w:r w:rsidR="002B75F0" w:rsidRPr="000B544A">
        <w:rPr>
          <w:rFonts w:ascii="Times New Roman" w:hAnsi="Times New Roman"/>
          <w:lang w:val="lt-LT"/>
        </w:rPr>
        <w:t xml:space="preserve">otojų grįžta į rinką ir kainos </w:t>
      </w:r>
      <w:r w:rsidRPr="000B544A">
        <w:rPr>
          <w:rFonts w:ascii="Times New Roman" w:hAnsi="Times New Roman"/>
          <w:lang w:val="lt-LT"/>
        </w:rPr>
        <w:t>s</w:t>
      </w:r>
      <w:r w:rsidR="002B75F0" w:rsidRPr="000B544A">
        <w:rPr>
          <w:rFonts w:ascii="Times New Roman" w:hAnsi="Times New Roman"/>
          <w:lang w:val="lt-LT"/>
        </w:rPr>
        <w:t>p</w:t>
      </w:r>
      <w:r w:rsidRPr="000B544A">
        <w:rPr>
          <w:rFonts w:ascii="Times New Roman" w:hAnsi="Times New Roman"/>
          <w:lang w:val="lt-LT"/>
        </w:rPr>
        <w:t xml:space="preserve">arčiai kyla aukštyn. Ši fazė yra ne tik ilgiausiai trunkanti, bet ir su didžiausiais kainų judesiais. Šioje fazėje daugiausiai investuotojų užima ilgas pozicijas, kai tik </w:t>
      </w:r>
      <w:r w:rsidR="00B5587E" w:rsidRPr="000B544A">
        <w:rPr>
          <w:rFonts w:ascii="Times New Roman" w:hAnsi="Times New Roman"/>
          <w:lang w:val="lt-LT"/>
        </w:rPr>
        <w:t>pasirodo</w:t>
      </w:r>
      <w:r w:rsidRPr="000B544A">
        <w:rPr>
          <w:rFonts w:ascii="Times New Roman" w:hAnsi="Times New Roman"/>
          <w:lang w:val="lt-LT"/>
        </w:rPr>
        <w:t xml:space="preserve"> kilimo kryptį patvirtinantys signalai. </w:t>
      </w:r>
    </w:p>
    <w:p w:rsidR="00A22CF8" w:rsidRPr="000B544A" w:rsidRDefault="00B542BF" w:rsidP="00A22CF8">
      <w:pPr>
        <w:keepNext/>
        <w:spacing w:after="0" w:line="360" w:lineRule="auto"/>
        <w:ind w:firstLine="567"/>
        <w:jc w:val="both"/>
        <w:rPr>
          <w:rFonts w:ascii="Times New Roman" w:hAnsi="Times New Roman"/>
          <w:lang w:val="lt-LT"/>
        </w:rPr>
      </w:pPr>
      <w:r w:rsidRPr="000B544A">
        <w:rPr>
          <w:rFonts w:ascii="Times New Roman" w:hAnsi="Times New Roman"/>
          <w:noProof/>
        </w:rPr>
        <w:drawing>
          <wp:inline distT="0" distB="0" distL="0" distR="0">
            <wp:extent cx="5431144" cy="2448560"/>
            <wp:effectExtent l="19050" t="0" r="0" b="0"/>
            <wp:docPr id="3" name="Picture 6" descr="Description: :::::Users:Karolis:Downloads:gra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Users:Karolis:Downloads:graf4.gif"/>
                    <pic:cNvPicPr>
                      <a:picLocks noChangeAspect="1" noChangeArrowheads="1"/>
                    </pic:cNvPicPr>
                  </pic:nvPicPr>
                  <pic:blipFill>
                    <a:blip r:embed="rId11" cstate="print"/>
                    <a:stretch>
                      <a:fillRect/>
                    </a:stretch>
                  </pic:blipFill>
                  <pic:spPr bwMode="auto">
                    <a:xfrm>
                      <a:off x="0" y="0"/>
                      <a:ext cx="5431144" cy="2448560"/>
                    </a:xfrm>
                    <a:prstGeom prst="rect">
                      <a:avLst/>
                    </a:prstGeom>
                    <a:noFill/>
                    <a:ln w="9525">
                      <a:noFill/>
                      <a:miter lim="800000"/>
                      <a:headEnd/>
                      <a:tailEnd/>
                    </a:ln>
                  </pic:spPr>
                </pic:pic>
              </a:graphicData>
            </a:graphic>
          </wp:inline>
        </w:drawing>
      </w:r>
    </w:p>
    <w:p w:rsidR="00A22CF8" w:rsidRPr="000B544A" w:rsidRDefault="00A22CF8" w:rsidP="00F54846">
      <w:pPr>
        <w:pStyle w:val="Caption"/>
        <w:jc w:val="center"/>
        <w:rPr>
          <w:rFonts w:ascii="Times New Roman" w:hAnsi="Times New Roman"/>
          <w:b w:val="0"/>
          <w:lang w:val="lt-LT"/>
        </w:rPr>
      </w:pPr>
      <w:r w:rsidRPr="000B544A">
        <w:rPr>
          <w:rFonts w:ascii="Times New Roman" w:hAnsi="Times New Roman"/>
          <w:lang w:val="lt-LT"/>
        </w:rPr>
        <w:t xml:space="preserve"> </w:t>
      </w:r>
      <w:bookmarkStart w:id="13" w:name="_Toc305424073"/>
      <w:r w:rsidR="00A56BC3" w:rsidRPr="000B544A">
        <w:rPr>
          <w:rFonts w:ascii="Times New Roman" w:hAnsi="Times New Roman"/>
          <w:b w:val="0"/>
          <w:lang w:val="lt-LT"/>
        </w:rPr>
        <w:fldChar w:fldCharType="begin"/>
      </w:r>
      <w:r w:rsidR="00F54846" w:rsidRPr="000B544A">
        <w:rPr>
          <w:rFonts w:ascii="Times New Roman" w:hAnsi="Times New Roman"/>
          <w:b w:val="0"/>
          <w:lang w:val="lt-LT"/>
        </w:rPr>
        <w:instrText xml:space="preserve"> SEQ Figure \* ARABIC </w:instrText>
      </w:r>
      <w:r w:rsidR="00A56BC3" w:rsidRPr="000B544A">
        <w:rPr>
          <w:rFonts w:ascii="Times New Roman" w:hAnsi="Times New Roman"/>
          <w:b w:val="0"/>
          <w:lang w:val="lt-LT"/>
        </w:rPr>
        <w:fldChar w:fldCharType="separate"/>
      </w:r>
      <w:bookmarkStart w:id="14" w:name="_Toc311718695"/>
      <w:r w:rsidR="00C53DDD">
        <w:rPr>
          <w:rFonts w:ascii="Times New Roman" w:hAnsi="Times New Roman"/>
          <w:b w:val="0"/>
          <w:noProof/>
          <w:lang w:val="lt-LT"/>
        </w:rPr>
        <w:t>4</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pav. </w:t>
      </w:r>
      <w:r w:rsidR="009E0A97" w:rsidRPr="000B544A">
        <w:rPr>
          <w:rFonts w:ascii="Times New Roman" w:hAnsi="Times New Roman"/>
          <w:lang w:val="lt-LT"/>
        </w:rPr>
        <w:t>Akumuliacinė</w:t>
      </w:r>
      <w:r w:rsidRPr="000B544A">
        <w:rPr>
          <w:rFonts w:ascii="Times New Roman" w:hAnsi="Times New Roman"/>
          <w:lang w:val="lt-LT"/>
        </w:rPr>
        <w:t xml:space="preserve"> ir viešo susidomėjimo </w:t>
      </w:r>
      <w:bookmarkEnd w:id="13"/>
      <w:r w:rsidR="009E0A97" w:rsidRPr="000B544A">
        <w:rPr>
          <w:rFonts w:ascii="Times New Roman" w:hAnsi="Times New Roman"/>
          <w:lang w:val="lt-LT"/>
        </w:rPr>
        <w:t>fazės</w:t>
      </w:r>
      <w:bookmarkEnd w:id="14"/>
    </w:p>
    <w:p w:rsidR="00D508F5" w:rsidRPr="000B544A" w:rsidRDefault="009E0A97" w:rsidP="00D508F5">
      <w:pPr>
        <w:spacing w:after="0" w:line="360" w:lineRule="auto"/>
        <w:ind w:firstLine="567"/>
        <w:jc w:val="both"/>
        <w:rPr>
          <w:rFonts w:ascii="Times New Roman" w:hAnsi="Times New Roman"/>
          <w:lang w:val="lt-LT"/>
        </w:rPr>
      </w:pPr>
      <w:r w:rsidRPr="000B544A">
        <w:rPr>
          <w:rFonts w:ascii="Times New Roman" w:hAnsi="Times New Roman"/>
          <w:lang w:val="lt-LT"/>
        </w:rPr>
        <w:t>4</w:t>
      </w:r>
      <w:r w:rsidR="00D508F5" w:rsidRPr="000B544A">
        <w:rPr>
          <w:rFonts w:ascii="Times New Roman" w:hAnsi="Times New Roman"/>
          <w:lang w:val="lt-LT"/>
        </w:rPr>
        <w:t xml:space="preserve"> paveikslėlyje pavaizduoti </w:t>
      </w:r>
      <w:r w:rsidR="00E00FC6" w:rsidRPr="000B544A">
        <w:rPr>
          <w:rFonts w:ascii="Times New Roman" w:hAnsi="Times New Roman"/>
          <w:lang w:val="lt-LT"/>
        </w:rPr>
        <w:t>akumuliacinis</w:t>
      </w:r>
      <w:r w:rsidR="00D508F5" w:rsidRPr="000B544A">
        <w:rPr>
          <w:rFonts w:ascii="Times New Roman" w:hAnsi="Times New Roman"/>
          <w:lang w:val="lt-LT"/>
        </w:rPr>
        <w:t xml:space="preserve"> ir viešo susidomėjimo etapai. Svarbu</w:t>
      </w:r>
      <w:r w:rsidR="00B5587E" w:rsidRPr="000B544A">
        <w:rPr>
          <w:rFonts w:ascii="Times New Roman" w:hAnsi="Times New Roman"/>
          <w:lang w:val="lt-LT"/>
        </w:rPr>
        <w:t xml:space="preserve"> ir</w:t>
      </w:r>
      <w:r w:rsidR="00D508F5" w:rsidRPr="000B544A">
        <w:rPr>
          <w:rFonts w:ascii="Times New Roman" w:hAnsi="Times New Roman"/>
          <w:lang w:val="lt-LT"/>
        </w:rPr>
        <w:t xml:space="preserve"> </w:t>
      </w:r>
      <w:r w:rsidR="00B5587E" w:rsidRPr="000B544A">
        <w:rPr>
          <w:rFonts w:ascii="Times New Roman" w:hAnsi="Times New Roman"/>
          <w:lang w:val="lt-LT"/>
        </w:rPr>
        <w:t>(</w:t>
      </w:r>
      <w:r w:rsidR="00D508F5" w:rsidRPr="000B544A">
        <w:rPr>
          <w:rFonts w:ascii="Times New Roman" w:hAnsi="Times New Roman"/>
          <w:lang w:val="lt-LT"/>
        </w:rPr>
        <w:t>horizontaliomis</w:t>
      </w:r>
      <w:r w:rsidR="00B5587E" w:rsidRPr="000B544A">
        <w:rPr>
          <w:rFonts w:ascii="Times New Roman" w:hAnsi="Times New Roman"/>
          <w:lang w:val="lt-LT"/>
        </w:rPr>
        <w:t xml:space="preserve"> linijomis pažymėtos dvi vietos)</w:t>
      </w:r>
      <w:r w:rsidR="00D508F5" w:rsidRPr="000B544A">
        <w:rPr>
          <w:rFonts w:ascii="Times New Roman" w:hAnsi="Times New Roman"/>
          <w:lang w:val="lt-LT"/>
        </w:rPr>
        <w:t xml:space="preserve"> kritimo krypties pasibaigimas, kadangi antras žemiausias taškas yra aukščiau už prieš tai buvusį žemiausią tašką. </w:t>
      </w:r>
    </w:p>
    <w:p w:rsidR="00D508F5" w:rsidRPr="000B544A" w:rsidRDefault="00D508F5" w:rsidP="00757EAA">
      <w:pPr>
        <w:spacing w:after="0" w:line="360" w:lineRule="auto"/>
        <w:ind w:firstLine="567"/>
        <w:jc w:val="both"/>
        <w:rPr>
          <w:rFonts w:ascii="Times New Roman" w:hAnsi="Times New Roman"/>
          <w:lang w:val="lt-LT"/>
        </w:rPr>
      </w:pPr>
      <w:r w:rsidRPr="000B544A">
        <w:rPr>
          <w:rFonts w:ascii="Times New Roman" w:hAnsi="Times New Roman"/>
          <w:lang w:val="lt-LT"/>
        </w:rPr>
        <w:t>Kai rinka jau būna</w:t>
      </w:r>
      <w:r w:rsidR="009E0A97" w:rsidRPr="000B544A">
        <w:rPr>
          <w:rFonts w:ascii="Times New Roman" w:hAnsi="Times New Roman"/>
          <w:lang w:val="lt-LT"/>
        </w:rPr>
        <w:t xml:space="preserve"> pakilusi nuo žemiausio taško</w:t>
      </w:r>
      <w:r w:rsidRPr="000B544A">
        <w:rPr>
          <w:rFonts w:ascii="Times New Roman" w:hAnsi="Times New Roman"/>
          <w:lang w:val="lt-LT"/>
        </w:rPr>
        <w:t xml:space="preserve"> dėl pagerėjusių verslo sąlygų</w:t>
      </w:r>
      <w:r w:rsidR="009E0A97" w:rsidRPr="000B544A">
        <w:rPr>
          <w:rFonts w:ascii="Times New Roman" w:hAnsi="Times New Roman"/>
          <w:lang w:val="lt-LT"/>
        </w:rPr>
        <w:t>, o</w:t>
      </w:r>
      <w:r w:rsidRPr="000B544A">
        <w:rPr>
          <w:rFonts w:ascii="Times New Roman" w:hAnsi="Times New Roman"/>
          <w:lang w:val="lt-LT"/>
        </w:rPr>
        <w:t xml:space="preserve"> profesionalūs investuotojai jau yra </w:t>
      </w:r>
      <w:r w:rsidR="00B5587E" w:rsidRPr="000B544A">
        <w:rPr>
          <w:rFonts w:ascii="Times New Roman" w:hAnsi="Times New Roman"/>
          <w:lang w:val="lt-LT"/>
        </w:rPr>
        <w:t>investavę,</w:t>
      </w:r>
      <w:r w:rsidRPr="000B544A">
        <w:rPr>
          <w:rFonts w:ascii="Times New Roman" w:hAnsi="Times New Roman"/>
          <w:lang w:val="lt-LT"/>
        </w:rPr>
        <w:t xml:space="preserve"> prasideda panikos f</w:t>
      </w:r>
      <w:r w:rsidR="00B5587E" w:rsidRPr="000B544A">
        <w:rPr>
          <w:rFonts w:ascii="Times New Roman" w:hAnsi="Times New Roman"/>
          <w:lang w:val="lt-LT"/>
        </w:rPr>
        <w:t>azė</w:t>
      </w:r>
      <w:r w:rsidR="009E0A97" w:rsidRPr="000B544A">
        <w:rPr>
          <w:rFonts w:ascii="Times New Roman" w:hAnsi="Times New Roman"/>
          <w:lang w:val="lt-LT"/>
        </w:rPr>
        <w:t>. Šiuo momentu rinka tampa rizikinga profesionaliems</w:t>
      </w:r>
      <w:r w:rsidRPr="000B544A">
        <w:rPr>
          <w:rFonts w:ascii="Times New Roman" w:hAnsi="Times New Roman"/>
          <w:lang w:val="lt-LT"/>
        </w:rPr>
        <w:t xml:space="preserve"> investuotojams</w:t>
      </w:r>
      <w:r w:rsidR="007263FA" w:rsidRPr="000B544A">
        <w:rPr>
          <w:rFonts w:ascii="Times New Roman" w:hAnsi="Times New Roman"/>
          <w:lang w:val="lt-LT"/>
        </w:rPr>
        <w:t>[13]</w:t>
      </w:r>
      <w:r w:rsidRPr="000B544A">
        <w:rPr>
          <w:rFonts w:ascii="Times New Roman" w:hAnsi="Times New Roman"/>
          <w:lang w:val="lt-LT"/>
        </w:rPr>
        <w:t>. Paskutinis etapas kylančioje kryptyje yra vadinamas panikos faze</w:t>
      </w:r>
      <w:r w:rsidR="007263FA" w:rsidRPr="000B544A">
        <w:rPr>
          <w:rFonts w:ascii="Times New Roman" w:hAnsi="Times New Roman"/>
          <w:lang w:val="lt-LT"/>
        </w:rPr>
        <w:t>[13]</w:t>
      </w:r>
      <w:r w:rsidRPr="000B544A">
        <w:rPr>
          <w:rFonts w:ascii="Times New Roman" w:hAnsi="Times New Roman"/>
          <w:lang w:val="lt-LT"/>
        </w:rPr>
        <w:t xml:space="preserve">. Šiame etape “protingi pinigai” užleidžia savo pozicijas ir ieško naujų galimybių. </w:t>
      </w:r>
      <w:r w:rsidR="009E0A97" w:rsidRPr="000B544A">
        <w:rPr>
          <w:rFonts w:ascii="Times New Roman" w:hAnsi="Times New Roman"/>
          <w:lang w:val="lt-LT"/>
        </w:rPr>
        <w:t>R</w:t>
      </w:r>
      <w:r w:rsidR="00B5587E" w:rsidRPr="000B544A">
        <w:rPr>
          <w:rFonts w:ascii="Times New Roman" w:hAnsi="Times New Roman"/>
          <w:lang w:val="lt-LT"/>
        </w:rPr>
        <w:t>inka vadinama “ne</w:t>
      </w:r>
      <w:r w:rsidRPr="000B544A">
        <w:rPr>
          <w:rFonts w:ascii="Times New Roman" w:hAnsi="Times New Roman"/>
          <w:lang w:val="lt-LT"/>
        </w:rPr>
        <w:t xml:space="preserve">racionaliu pertekliumi”. Taip yra todėl, kad viskas klojasi gerai ir visi optimistiškai laukia dar didesnio kilimo. Tai yra paprastai momentas, kai paskutiniai pirkėjai įeina į rinką, po to, kai didžiausias kilimas jau buvo praeityje. </w:t>
      </w:r>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Šioje fazėje turi būti skiriama daug dėmesio kilimo silpnumo ženklams</w:t>
      </w:r>
      <w:r w:rsidR="007263FA" w:rsidRPr="000B544A">
        <w:rPr>
          <w:rFonts w:ascii="Times New Roman" w:hAnsi="Times New Roman"/>
          <w:lang w:val="lt-LT"/>
        </w:rPr>
        <w:t>[13]</w:t>
      </w:r>
      <w:r w:rsidRPr="000B544A">
        <w:rPr>
          <w:rFonts w:ascii="Times New Roman" w:hAnsi="Times New Roman"/>
          <w:lang w:val="lt-LT"/>
        </w:rPr>
        <w:t>. Jei pradeda rodytis kilimo krypty</w:t>
      </w:r>
      <w:r w:rsidR="00B5587E" w:rsidRPr="000B544A">
        <w:rPr>
          <w:rFonts w:ascii="Times New Roman" w:hAnsi="Times New Roman"/>
          <w:lang w:val="lt-LT"/>
        </w:rPr>
        <w:t>je</w:t>
      </w:r>
      <w:r w:rsidRPr="000B544A">
        <w:rPr>
          <w:rFonts w:ascii="Times New Roman" w:hAnsi="Times New Roman"/>
          <w:lang w:val="lt-LT"/>
        </w:rPr>
        <w:t xml:space="preserve"> silpnumo ženklų, reikia nepamiršti, kad tai gali būti žemyn</w:t>
      </w:r>
      <w:r w:rsidR="00B5587E" w:rsidRPr="000B544A">
        <w:rPr>
          <w:rFonts w:ascii="Times New Roman" w:hAnsi="Times New Roman"/>
          <w:lang w:val="lt-LT"/>
        </w:rPr>
        <w:t xml:space="preserve"> </w:t>
      </w:r>
      <w:r w:rsidRPr="000B544A">
        <w:rPr>
          <w:rFonts w:ascii="Times New Roman" w:hAnsi="Times New Roman"/>
          <w:lang w:val="lt-LT"/>
        </w:rPr>
        <w:t>krypties pradžia. Dėl šios priežasties profesionalūs investuotojai pasitraukia iš rinkos šiame etape, o likusieji tikisi dar didesnio kilimo.</w:t>
      </w:r>
    </w:p>
    <w:p w:rsidR="00D508F5" w:rsidRPr="000B544A" w:rsidRDefault="00D508F5" w:rsidP="00D508F5">
      <w:pPr>
        <w:spacing w:after="0" w:line="360" w:lineRule="auto"/>
        <w:ind w:firstLine="567"/>
        <w:jc w:val="both"/>
        <w:rPr>
          <w:rFonts w:ascii="Times New Roman" w:hAnsi="Times New Roman"/>
          <w:b/>
          <w:lang w:val="lt-LT"/>
        </w:rPr>
      </w:pPr>
      <w:r w:rsidRPr="000B544A">
        <w:rPr>
          <w:rFonts w:ascii="Times New Roman" w:hAnsi="Times New Roman"/>
          <w:lang w:val="lt-LT"/>
        </w:rPr>
        <w:lastRenderedPageBreak/>
        <w:t>Pirminė kryptis žemyn (bulių rinka)</w:t>
      </w:r>
      <w:r w:rsidR="008F552F" w:rsidRPr="000B544A">
        <w:rPr>
          <w:rFonts w:ascii="Times New Roman" w:hAnsi="Times New Roman"/>
          <w:lang w:val="lt-LT"/>
        </w:rPr>
        <w:t xml:space="preserve"> turi tokias pačias fazes, kaip ir</w:t>
      </w:r>
      <w:r w:rsidR="008F552F" w:rsidRPr="000B544A">
        <w:rPr>
          <w:rFonts w:ascii="Times New Roman" w:hAnsi="Times New Roman"/>
          <w:b/>
          <w:lang w:val="lt-LT"/>
        </w:rPr>
        <w:t xml:space="preserve"> </w:t>
      </w:r>
      <w:r w:rsidR="008F552F" w:rsidRPr="000B544A">
        <w:rPr>
          <w:rFonts w:ascii="Times New Roman" w:hAnsi="Times New Roman"/>
          <w:lang w:val="lt-LT"/>
        </w:rPr>
        <w:t xml:space="preserve">pirminė, kylanti kryptis (bulių rinka): </w:t>
      </w:r>
      <w:r w:rsidR="009E0A97" w:rsidRPr="000B544A">
        <w:rPr>
          <w:rFonts w:ascii="Times New Roman" w:hAnsi="Times New Roman"/>
          <w:lang w:val="lt-LT"/>
        </w:rPr>
        <w:t>akumuliacinę</w:t>
      </w:r>
      <w:r w:rsidR="008F552F" w:rsidRPr="000B544A">
        <w:rPr>
          <w:rFonts w:ascii="Times New Roman" w:hAnsi="Times New Roman"/>
          <w:lang w:val="lt-LT"/>
        </w:rPr>
        <w:t>, vi</w:t>
      </w:r>
      <w:r w:rsidR="000E01BE" w:rsidRPr="000B544A">
        <w:rPr>
          <w:rFonts w:ascii="Times New Roman" w:hAnsi="Times New Roman"/>
          <w:lang w:val="lt-LT"/>
        </w:rPr>
        <w:t>ešo susidomėjimo ir panikos fazes</w:t>
      </w:r>
      <w:r w:rsidR="007263FA" w:rsidRPr="000B544A">
        <w:rPr>
          <w:rFonts w:ascii="Times New Roman" w:hAnsi="Times New Roman"/>
          <w:lang w:val="lt-LT"/>
        </w:rPr>
        <w:t>[13]</w:t>
      </w:r>
      <w:r w:rsidR="008F552F" w:rsidRPr="000B544A">
        <w:rPr>
          <w:rFonts w:ascii="Times New Roman" w:hAnsi="Times New Roman"/>
          <w:lang w:val="lt-LT"/>
        </w:rPr>
        <w:t>. Kadangi keičiasi kryptis, tai šios fazės skiriasi nuo pirmųjų tuo, kad čia kalbama apie pardavimą, o ne pirkimą.</w:t>
      </w:r>
    </w:p>
    <w:p w:rsidR="00D508F5" w:rsidRPr="000B544A" w:rsidRDefault="00D508F5" w:rsidP="00757EAA">
      <w:pPr>
        <w:spacing w:after="0" w:line="360" w:lineRule="auto"/>
        <w:ind w:firstLine="567"/>
        <w:jc w:val="both"/>
        <w:rPr>
          <w:rFonts w:ascii="Times New Roman" w:hAnsi="Times New Roman"/>
          <w:lang w:val="lt-LT"/>
        </w:rPr>
      </w:pPr>
      <w:r w:rsidRPr="000B544A">
        <w:rPr>
          <w:rFonts w:ascii="Times New Roman" w:hAnsi="Times New Roman"/>
          <w:lang w:val="lt-LT"/>
        </w:rPr>
        <w:t>Pirmoji fazė meškų rinkoje yra vadinama kaip perleidimo fazė</w:t>
      </w:r>
      <w:r w:rsidR="007263FA" w:rsidRPr="000B544A">
        <w:rPr>
          <w:rFonts w:ascii="Times New Roman" w:hAnsi="Times New Roman"/>
          <w:lang w:val="lt-LT"/>
        </w:rPr>
        <w:t>[13]</w:t>
      </w:r>
      <w:r w:rsidRPr="000B544A">
        <w:rPr>
          <w:rFonts w:ascii="Times New Roman" w:hAnsi="Times New Roman"/>
          <w:lang w:val="lt-LT"/>
        </w:rPr>
        <w:t>. Taip vadinasi todėl, kad informuoti pirkėjai parduoda akcijas ir taip perleidžia savo pozicijas. Tai yra priešingybė rinkimosi fazei bulių rinkoje. Dabar informuoti pirkėjai parduoda savo pozicijas perpirktoje rinkoje, o perka perparduotoje rinkoje.</w:t>
      </w:r>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Šiame etape daugelio lūkesčiai yra optimistiniai tikintis tolimesnio rinkos kilimo. Čia perka paskutiniai investuotojai, nespėj</w:t>
      </w:r>
      <w:r w:rsidR="00B5587E" w:rsidRPr="000B544A">
        <w:rPr>
          <w:rFonts w:ascii="Times New Roman" w:hAnsi="Times New Roman"/>
          <w:lang w:val="lt-LT"/>
        </w:rPr>
        <w:t>ę</w:t>
      </w:r>
      <w:r w:rsidRPr="000B544A">
        <w:rPr>
          <w:rFonts w:ascii="Times New Roman" w:hAnsi="Times New Roman"/>
          <w:lang w:val="lt-LT"/>
        </w:rPr>
        <w:t xml:space="preserve"> nusipirkti anksčiau ir perka akcijas tikėdamiesi dar vienos kilimo bangos ateityje. Kaip ir rinkimosi, taip ir šioje fazėje gali būti sunku pastebėti šią fazę ankstyvoje jos stadijoje. Ji gali būti sumaišoma su antrine kryptimi.</w:t>
      </w:r>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 xml:space="preserve">Iš techninės pusės perleidimo fazė pasižymi aukščiausiais rinkos kainos taškais, kai </w:t>
      </w:r>
      <w:r w:rsidR="000E01BE" w:rsidRPr="000B544A">
        <w:rPr>
          <w:rFonts w:ascii="Times New Roman" w:hAnsi="Times New Roman"/>
          <w:lang w:val="lt-LT"/>
        </w:rPr>
        <w:t>kainos kilimo pagreitis ima mažėti</w:t>
      </w:r>
      <w:r w:rsidRPr="000B544A">
        <w:rPr>
          <w:rFonts w:ascii="Times New Roman" w:hAnsi="Times New Roman"/>
          <w:lang w:val="lt-LT"/>
        </w:rPr>
        <w:t xml:space="preserve"> dėl išaugusio parduodamų akcijų skaičiaus. Antroje perleidimo fazės dalyje prasideda</w:t>
      </w:r>
      <w:r w:rsidR="000E01BE" w:rsidRPr="000B544A">
        <w:rPr>
          <w:rFonts w:ascii="Times New Roman" w:hAnsi="Times New Roman"/>
          <w:lang w:val="lt-LT"/>
        </w:rPr>
        <w:t xml:space="preserve"> </w:t>
      </w:r>
      <w:r w:rsidRPr="000B544A">
        <w:rPr>
          <w:rFonts w:ascii="Times New Roman" w:hAnsi="Times New Roman"/>
          <w:lang w:val="lt-LT"/>
        </w:rPr>
        <w:t xml:space="preserve">kainų kritimas, kai vis daugiau investuotojų parduoda savo pozicijas. Nauja </w:t>
      </w:r>
      <w:r w:rsidR="00452C36" w:rsidRPr="000B544A">
        <w:rPr>
          <w:rFonts w:ascii="Times New Roman" w:hAnsi="Times New Roman"/>
          <w:lang w:val="lt-LT"/>
        </w:rPr>
        <w:t>kryptis</w:t>
      </w:r>
      <w:r w:rsidRPr="000B544A">
        <w:rPr>
          <w:rFonts w:ascii="Times New Roman" w:hAnsi="Times New Roman"/>
          <w:lang w:val="lt-LT"/>
        </w:rPr>
        <w:t xml:space="preserve"> žemyn pasitvirtina, kai prieš tai buvusi kryptis yra sulaužoma ir pradedama siekti naujų žemumų (meškų rinka). </w:t>
      </w:r>
    </w:p>
    <w:p w:rsidR="00D508F5" w:rsidRPr="000B544A" w:rsidRDefault="00B5587E" w:rsidP="00757EAA">
      <w:pPr>
        <w:spacing w:after="0" w:line="360" w:lineRule="auto"/>
        <w:ind w:firstLine="567"/>
        <w:jc w:val="both"/>
        <w:rPr>
          <w:rFonts w:ascii="Times New Roman" w:hAnsi="Times New Roman"/>
          <w:lang w:val="lt-LT"/>
        </w:rPr>
      </w:pPr>
      <w:r w:rsidRPr="000B544A">
        <w:rPr>
          <w:rFonts w:ascii="Times New Roman" w:hAnsi="Times New Roman"/>
          <w:lang w:val="lt-LT"/>
        </w:rPr>
        <w:t>Ši fazė atitinka viešo susidomėjimo fazę</w:t>
      </w:r>
      <w:r w:rsidR="00D508F5" w:rsidRPr="000B544A">
        <w:rPr>
          <w:rFonts w:ascii="Times New Roman" w:hAnsi="Times New Roman"/>
          <w:lang w:val="lt-LT"/>
        </w:rPr>
        <w:t xml:space="preserve"> bulių rinkoje</w:t>
      </w:r>
      <w:r w:rsidR="00C05826" w:rsidRPr="000B544A">
        <w:rPr>
          <w:rFonts w:ascii="Times New Roman" w:hAnsi="Times New Roman"/>
          <w:lang w:val="lt-LT"/>
        </w:rPr>
        <w:t>[42</w:t>
      </w:r>
      <w:r w:rsidR="007263FA" w:rsidRPr="000B544A">
        <w:rPr>
          <w:rFonts w:ascii="Times New Roman" w:hAnsi="Times New Roman"/>
          <w:lang w:val="lt-LT"/>
        </w:rPr>
        <w:t>]</w:t>
      </w:r>
      <w:r w:rsidR="00D508F5" w:rsidRPr="000B544A">
        <w:rPr>
          <w:rFonts w:ascii="Times New Roman" w:hAnsi="Times New Roman"/>
          <w:lang w:val="lt-LT"/>
        </w:rPr>
        <w:t>. Ji tęsiasi ilgiausiai ir sudaro didžiausią kainos judėjimo dalį šioje naujoje pirminėje kryptyje. Šioje fazėje tampa visiems aišku, kad verslo sąlygos tampa vis blogesnės, o ataskaitos taip pat parodo vis blogesnius rezultatus. Rinka įskaičiuoja blogas sąlygas kainoje</w:t>
      </w:r>
      <w:r w:rsidRPr="000B544A">
        <w:rPr>
          <w:rFonts w:ascii="Times New Roman" w:hAnsi="Times New Roman"/>
          <w:lang w:val="lt-LT"/>
        </w:rPr>
        <w:t>,</w:t>
      </w:r>
      <w:r w:rsidR="00D508F5" w:rsidRPr="000B544A">
        <w:rPr>
          <w:rFonts w:ascii="Times New Roman" w:hAnsi="Times New Roman"/>
          <w:lang w:val="lt-LT"/>
        </w:rPr>
        <w:t xml:space="preserve"> didėjant parduodan</w:t>
      </w:r>
      <w:r w:rsidRPr="000B544A">
        <w:rPr>
          <w:rFonts w:ascii="Times New Roman" w:hAnsi="Times New Roman"/>
          <w:lang w:val="lt-LT"/>
        </w:rPr>
        <w:t>čiųjų ir ma</w:t>
      </w:r>
      <w:r w:rsidR="00D508F5" w:rsidRPr="000B544A">
        <w:rPr>
          <w:rFonts w:ascii="Times New Roman" w:hAnsi="Times New Roman"/>
          <w:lang w:val="lt-LT"/>
        </w:rPr>
        <w:t xml:space="preserve">žėjant perkančiųjų skaičiui. Šioje </w:t>
      </w:r>
      <w:r w:rsidR="00452C36" w:rsidRPr="000B544A">
        <w:rPr>
          <w:rFonts w:ascii="Times New Roman" w:hAnsi="Times New Roman"/>
          <w:lang w:val="lt-LT"/>
        </w:rPr>
        <w:t>fazėje</w:t>
      </w:r>
      <w:r w:rsidR="00D508F5" w:rsidRPr="000B544A">
        <w:rPr>
          <w:rFonts w:ascii="Times New Roman" w:hAnsi="Times New Roman"/>
          <w:lang w:val="lt-LT"/>
        </w:rPr>
        <w:t xml:space="preserve"> dauguma krypties prekeivių ir techninių prekeivių pradeda pasitraukti iš rinkos ilgose pozicijose ir grįžti į rinką trumpomis pozicijomis.</w:t>
      </w:r>
    </w:p>
    <w:p w:rsidR="00D508F5" w:rsidRPr="000B544A" w:rsidRDefault="00D508F5" w:rsidP="00757EAA">
      <w:pPr>
        <w:spacing w:after="0" w:line="360" w:lineRule="auto"/>
        <w:ind w:firstLine="567"/>
        <w:jc w:val="both"/>
        <w:rPr>
          <w:rFonts w:ascii="Times New Roman" w:hAnsi="Times New Roman"/>
          <w:lang w:val="lt-LT"/>
        </w:rPr>
      </w:pPr>
      <w:r w:rsidRPr="000B544A">
        <w:rPr>
          <w:rFonts w:ascii="Times New Roman" w:hAnsi="Times New Roman"/>
          <w:lang w:val="lt-LT"/>
        </w:rPr>
        <w:t>Paskutinė pirminės krypties žemyn fazė gali būti pilna panikos ir gali vesti prie masiško išsipardavinėjimo labai trumpame laiko tarpe</w:t>
      </w:r>
      <w:r w:rsidR="007263FA" w:rsidRPr="000B544A">
        <w:rPr>
          <w:rFonts w:ascii="Times New Roman" w:hAnsi="Times New Roman"/>
          <w:lang w:val="lt-LT"/>
        </w:rPr>
        <w:t>[</w:t>
      </w:r>
      <w:r w:rsidR="00C05826" w:rsidRPr="000B544A">
        <w:rPr>
          <w:rFonts w:ascii="Times New Roman" w:hAnsi="Times New Roman"/>
          <w:lang w:val="lt-LT"/>
        </w:rPr>
        <w:t>42</w:t>
      </w:r>
      <w:r w:rsidR="007263FA" w:rsidRPr="000B544A">
        <w:rPr>
          <w:rFonts w:ascii="Times New Roman" w:hAnsi="Times New Roman"/>
          <w:lang w:val="lt-LT"/>
        </w:rPr>
        <w:t>]</w:t>
      </w:r>
      <w:r w:rsidRPr="000B544A">
        <w:rPr>
          <w:rFonts w:ascii="Times New Roman" w:hAnsi="Times New Roman"/>
          <w:lang w:val="lt-LT"/>
        </w:rPr>
        <w:t>. Rinka yra pilna neigiamų nuotaikų, dėl blogų įmonių rezultatų, ekonomikos ir apskritai rinkos. Šiame etape galima pastebėti daug investuotojų parduodančių savo akcijas</w:t>
      </w:r>
      <w:r w:rsidR="00B5587E" w:rsidRPr="000B544A">
        <w:rPr>
          <w:rFonts w:ascii="Times New Roman" w:hAnsi="Times New Roman"/>
          <w:lang w:val="lt-LT"/>
        </w:rPr>
        <w:t>, apimtų</w:t>
      </w:r>
      <w:r w:rsidRPr="000B544A">
        <w:rPr>
          <w:rFonts w:ascii="Times New Roman" w:hAnsi="Times New Roman"/>
          <w:lang w:val="lt-LT"/>
        </w:rPr>
        <w:t xml:space="preserve"> panikos ir </w:t>
      </w:r>
      <w:r w:rsidR="00B5587E" w:rsidRPr="000B544A">
        <w:rPr>
          <w:rFonts w:ascii="Times New Roman" w:hAnsi="Times New Roman"/>
          <w:lang w:val="lt-LT"/>
        </w:rPr>
        <w:t>besitikinčių</w:t>
      </w:r>
      <w:r w:rsidRPr="000B544A">
        <w:rPr>
          <w:rFonts w:ascii="Times New Roman" w:hAnsi="Times New Roman"/>
          <w:lang w:val="lt-LT"/>
        </w:rPr>
        <w:t xml:space="preserve"> atgauti bent dalį santaupų, kurias investavo. Paprastai tai yra tie investuotojai, kurie įėjo į rinką, kai ji buvo aukščiausiame taške ir nepasitraukė iškart pamatę kritimą, tikėdami, kad tai antrinė kryptis ir rinka toliau kils. </w:t>
      </w:r>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Kai tik rinka pasiekia dugną ir pradeda rodyti atsigavimo ženklus, ciklas kartojasi iš naujo.</w:t>
      </w:r>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Rinkos indeksai turi patvirtinti vienas kitą</w:t>
      </w:r>
      <w:r w:rsidR="00386DCB" w:rsidRPr="000B544A">
        <w:rPr>
          <w:rFonts w:ascii="Times New Roman" w:hAnsi="Times New Roman"/>
          <w:lang w:val="lt-LT"/>
        </w:rPr>
        <w:t xml:space="preserve">. </w:t>
      </w:r>
      <w:r w:rsidRPr="000B544A">
        <w:rPr>
          <w:rFonts w:ascii="Times New Roman" w:hAnsi="Times New Roman"/>
          <w:lang w:val="lt-LT"/>
        </w:rPr>
        <w:t>Pagal Dow teoriją, pagrindinis apsisukimas iš bulių</w:t>
      </w:r>
      <w:r w:rsidR="0074229F" w:rsidRPr="000B544A">
        <w:rPr>
          <w:rFonts w:ascii="Times New Roman" w:hAnsi="Times New Roman"/>
          <w:lang w:val="lt-LT"/>
        </w:rPr>
        <w:t xml:space="preserve"> rinkos</w:t>
      </w:r>
      <w:r w:rsidRPr="000B544A">
        <w:rPr>
          <w:rFonts w:ascii="Times New Roman" w:hAnsi="Times New Roman"/>
          <w:lang w:val="lt-LT"/>
        </w:rPr>
        <w:t xml:space="preserve"> į meškų rinką (arba atvirkščiai) negali būti patvirtintas (negalime teigti, kad rinka apsisuka), nebent tai patvirtina abu indeksai (tradicinis Dow industrial ir Rail Averages)</w:t>
      </w:r>
      <w:r w:rsidR="00386DCB" w:rsidRPr="000B544A">
        <w:rPr>
          <w:rFonts w:ascii="Times New Roman" w:hAnsi="Times New Roman"/>
          <w:lang w:val="lt-LT"/>
        </w:rPr>
        <w:t xml:space="preserve"> [13]</w:t>
      </w:r>
      <w:r w:rsidRPr="000B544A">
        <w:rPr>
          <w:rFonts w:ascii="Times New Roman" w:hAnsi="Times New Roman"/>
          <w:lang w:val="lt-LT"/>
        </w:rPr>
        <w:t>. Jei tik vienas indeksas rodo apsisukimą, o kitas ne, tai negalime t</w:t>
      </w:r>
      <w:r w:rsidR="0074229F" w:rsidRPr="000B544A">
        <w:rPr>
          <w:rFonts w:ascii="Times New Roman" w:hAnsi="Times New Roman"/>
          <w:lang w:val="lt-LT"/>
        </w:rPr>
        <w:t>eigti, kad rinka apsisuka, reik</w:t>
      </w:r>
      <w:r w:rsidRPr="000B544A">
        <w:rPr>
          <w:rFonts w:ascii="Times New Roman" w:hAnsi="Times New Roman"/>
          <w:lang w:val="lt-LT"/>
        </w:rPr>
        <w:t>i</w:t>
      </w:r>
      <w:r w:rsidR="0074229F" w:rsidRPr="000B544A">
        <w:rPr>
          <w:rFonts w:ascii="Times New Roman" w:hAnsi="Times New Roman"/>
          <w:lang w:val="lt-LT"/>
        </w:rPr>
        <w:t>a</w:t>
      </w:r>
      <w:r w:rsidRPr="000B544A">
        <w:rPr>
          <w:rFonts w:ascii="Times New Roman" w:hAnsi="Times New Roman"/>
          <w:lang w:val="lt-LT"/>
        </w:rPr>
        <w:t xml:space="preserve"> sulaukti abiejų indeksų patvirtinimo. To priežastis yra ta, kad pirminė kryptis, nesvarbu žemyn ar aukštyn, yra atspindėjimas verslo aplinkos ekonomikoje. Kai akcijų rinka kyla – verslo sąlygos yra geros, kai krenta – blogos. Jei abu indeksai rodo priešingai, tai reiškia ,kad nėra aiškios krypties.</w:t>
      </w:r>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lastRenderedPageBreak/>
        <w:t>Jei verslo sąlygos paveikia indeksus taip, kad jie judėtų į skirtingas puses, tai reiškia, kad bus sunku rinkai įgauti pirminę kryptį</w:t>
      </w:r>
      <w:r w:rsidR="00386DCB" w:rsidRPr="000B544A">
        <w:rPr>
          <w:rFonts w:ascii="Times New Roman" w:hAnsi="Times New Roman"/>
          <w:lang w:val="lt-LT"/>
        </w:rPr>
        <w:t>[13]</w:t>
      </w:r>
      <w:r w:rsidRPr="000B544A">
        <w:rPr>
          <w:rFonts w:ascii="Times New Roman" w:hAnsi="Times New Roman"/>
          <w:lang w:val="lt-LT"/>
        </w:rPr>
        <w:t>. Ieškant naujos krypties patvirtinimų yra svarbu, kad daugiau nei vienas indeksas panašiuose laiko perioduose parodytų panašius signalus</w:t>
      </w:r>
      <w:r w:rsidR="00386DCB" w:rsidRPr="000B544A">
        <w:rPr>
          <w:rFonts w:ascii="Times New Roman" w:hAnsi="Times New Roman"/>
          <w:lang w:val="lt-LT"/>
        </w:rPr>
        <w:t>[13]</w:t>
      </w:r>
      <w:r w:rsidRPr="000B544A">
        <w:rPr>
          <w:rFonts w:ascii="Times New Roman" w:hAnsi="Times New Roman"/>
          <w:lang w:val="lt-LT"/>
        </w:rPr>
        <w:t xml:space="preserve">. Jei indeksų signalai sutampa, tai tampa stipriu ženklu, kad verslo sąlygos juda indeksų rodoma kryptimi. </w:t>
      </w:r>
    </w:p>
    <w:p w:rsidR="00D508F5" w:rsidRPr="000B544A" w:rsidRDefault="00D508F5" w:rsidP="00757EAA">
      <w:pPr>
        <w:spacing w:after="0" w:line="360" w:lineRule="auto"/>
        <w:ind w:firstLine="567"/>
        <w:jc w:val="both"/>
        <w:rPr>
          <w:rFonts w:ascii="Times New Roman" w:hAnsi="Times New Roman"/>
          <w:lang w:val="lt-LT"/>
        </w:rPr>
      </w:pPr>
      <w:r w:rsidRPr="000B544A">
        <w:rPr>
          <w:rFonts w:ascii="Times New Roman" w:hAnsi="Times New Roman"/>
          <w:lang w:val="lt-LT"/>
        </w:rPr>
        <w:t>Pagal Dow teoriją, pagrindinis signalas pirkimui ar pardavimui yra gaunamas iš indeksų kainų pasikeitimų</w:t>
      </w:r>
      <w:r w:rsidR="0027293F" w:rsidRPr="000B544A">
        <w:rPr>
          <w:rFonts w:ascii="Times New Roman" w:hAnsi="Times New Roman"/>
          <w:lang w:val="lt-LT"/>
        </w:rPr>
        <w:t>[</w:t>
      </w:r>
      <w:r w:rsidR="00C05826" w:rsidRPr="000B544A">
        <w:rPr>
          <w:rFonts w:ascii="Times New Roman" w:hAnsi="Times New Roman"/>
          <w:lang w:val="lt-LT"/>
        </w:rPr>
        <w:t>42</w:t>
      </w:r>
      <w:r w:rsidR="0027293F" w:rsidRPr="000B544A">
        <w:rPr>
          <w:rFonts w:ascii="Times New Roman" w:hAnsi="Times New Roman"/>
          <w:lang w:val="lt-LT"/>
        </w:rPr>
        <w:t>]</w:t>
      </w:r>
      <w:r w:rsidRPr="000B544A">
        <w:rPr>
          <w:rFonts w:ascii="Times New Roman" w:hAnsi="Times New Roman"/>
          <w:lang w:val="lt-LT"/>
        </w:rPr>
        <w:t>. Apyvarta naudojama kaip antrinis, patvirtinantis indikatorius, padedantis nustatyti, ką kainos judėjimas reiškia. Taigi iš šio teiginio galime spręsti, kad apyvarta turi didėti ir stumti kainą ta linkme, kuria</w:t>
      </w:r>
      <w:r w:rsidR="0074229F" w:rsidRPr="000B544A">
        <w:rPr>
          <w:rFonts w:ascii="Times New Roman" w:hAnsi="Times New Roman"/>
          <w:lang w:val="lt-LT"/>
        </w:rPr>
        <w:t xml:space="preserve"> ji juda. Kai apyvarta mažėja, t</w:t>
      </w:r>
      <w:r w:rsidRPr="000B544A">
        <w:rPr>
          <w:rFonts w:ascii="Times New Roman" w:hAnsi="Times New Roman"/>
          <w:lang w:val="lt-LT"/>
        </w:rPr>
        <w:t>ai kaina pradeda apsisukinėti. Pvz. Kylančios krypties rinkoje apyvartai didėjant kaina turi taip pat didėti, o apyvartai mažėjant kaina turėtų nustoti didėti ar net apsisukti. Rinkoje, kurios kryptis žemyn, apyvartos didėjimas reikštų dar didesnį kainų kritimą, o apyvartos mažėjimas kainų kritimo pabaigą</w:t>
      </w:r>
      <w:r w:rsidR="0027293F" w:rsidRPr="000B544A">
        <w:rPr>
          <w:rFonts w:ascii="Times New Roman" w:hAnsi="Times New Roman"/>
          <w:lang w:val="lt-LT"/>
        </w:rPr>
        <w:t>[</w:t>
      </w:r>
      <w:r w:rsidR="00C05826" w:rsidRPr="000B544A">
        <w:rPr>
          <w:rFonts w:ascii="Times New Roman" w:hAnsi="Times New Roman"/>
          <w:lang w:val="lt-LT"/>
        </w:rPr>
        <w:t>42</w:t>
      </w:r>
      <w:r w:rsidR="0027293F" w:rsidRPr="000B544A">
        <w:rPr>
          <w:rFonts w:ascii="Times New Roman" w:hAnsi="Times New Roman"/>
          <w:lang w:val="lt-LT"/>
        </w:rPr>
        <w:t>]</w:t>
      </w:r>
      <w:r w:rsidRPr="000B544A">
        <w:rPr>
          <w:rFonts w:ascii="Times New Roman" w:hAnsi="Times New Roman"/>
          <w:lang w:val="lt-LT"/>
        </w:rPr>
        <w:t>. Taip yra todėl, kad kylančioje rinkoje daug investuotojų nori suspėti pasipelnyti matydami gerus rinkos rodiklius ir pirkdami akcijas. Taip sukeldami paklausą, o paklausa pagal Arrow-Debro modelį didina kainą. Rinkos, kurios kryptis žemyn</w:t>
      </w:r>
      <w:r w:rsidR="0074229F" w:rsidRPr="000B544A">
        <w:rPr>
          <w:rFonts w:ascii="Times New Roman" w:hAnsi="Times New Roman"/>
          <w:lang w:val="lt-LT"/>
        </w:rPr>
        <w:t>,</w:t>
      </w:r>
      <w:r w:rsidRPr="000B544A">
        <w:rPr>
          <w:rFonts w:ascii="Times New Roman" w:hAnsi="Times New Roman"/>
          <w:lang w:val="lt-LT"/>
        </w:rPr>
        <w:t xml:space="preserve"> mažėjanti apyvarta reiškia mažėjančią pasiūlą, didėjanti apyvarta, didėjančią pasiūlą. Rinkai krentant investuotojai norėdami atgauti bent dalį savo investuotų pinigų stengiasi kuo greičiau parduoti turimas akcijas, kol jos visai nenuvertėjo. Tai</w:t>
      </w:r>
      <w:r w:rsidR="0074229F" w:rsidRPr="000B544A">
        <w:rPr>
          <w:rFonts w:ascii="Times New Roman" w:hAnsi="Times New Roman"/>
          <w:lang w:val="lt-LT"/>
        </w:rPr>
        <w:t>p</w:t>
      </w:r>
      <w:r w:rsidRPr="000B544A">
        <w:rPr>
          <w:rFonts w:ascii="Times New Roman" w:hAnsi="Times New Roman"/>
          <w:lang w:val="lt-LT"/>
        </w:rPr>
        <w:t xml:space="preserve"> padidindami akcijų pasiūlą ir mažindami kainą. Tuo atveju, kai rinka yra pakilime, o apyvarta sumažėja, reiškia, kad nebėra norinčių pirkti už šią kainą ir pirkimo jėga, kartu su kainos stūmimo išseko. Kai kurie pirkėjai gali pereiti į pardavėjų gretas, bet kaina dar kurį laiką gali kilti. Taigi pagal Dow teoriją nuo tada kai susiformuoja kryptis, apyvarta turi kilti kartu su stiprėjančia tendencija, ne priešingai.</w:t>
      </w:r>
    </w:p>
    <w:p w:rsidR="00D508F5" w:rsidRPr="000B544A" w:rsidRDefault="00D508F5" w:rsidP="00757EAA">
      <w:pPr>
        <w:spacing w:after="0" w:line="360" w:lineRule="auto"/>
        <w:ind w:firstLine="567"/>
        <w:jc w:val="both"/>
        <w:rPr>
          <w:rFonts w:ascii="Times New Roman" w:hAnsi="Times New Roman"/>
          <w:lang w:val="lt-LT"/>
        </w:rPr>
      </w:pPr>
      <w:r w:rsidRPr="000B544A">
        <w:rPr>
          <w:rFonts w:ascii="Times New Roman" w:hAnsi="Times New Roman"/>
          <w:lang w:val="lt-LT"/>
        </w:rPr>
        <w:t>Rinkos kryptis išlieka iki aiškaus apsisukimo ženklų pasirodymų</w:t>
      </w:r>
      <w:r w:rsidR="0027293F" w:rsidRPr="000B544A">
        <w:rPr>
          <w:rFonts w:ascii="Times New Roman" w:hAnsi="Times New Roman"/>
          <w:lang w:val="lt-LT"/>
        </w:rPr>
        <w:t>[13]</w:t>
      </w:r>
      <w:r w:rsidR="00757EAA" w:rsidRPr="000B544A">
        <w:rPr>
          <w:rFonts w:ascii="Times New Roman" w:hAnsi="Times New Roman"/>
          <w:lang w:val="lt-LT"/>
        </w:rPr>
        <w:t xml:space="preserve">. </w:t>
      </w:r>
      <w:r w:rsidRPr="000B544A">
        <w:rPr>
          <w:rFonts w:ascii="Times New Roman" w:hAnsi="Times New Roman"/>
          <w:lang w:val="lt-LT"/>
        </w:rPr>
        <w:t>Šis principas reiškia, kad nustatinėjant kryptį reikia atsižvelgti į bendrą rinkos kryptį. Tokiu būdu galima prekiauti pagal kryptį, o ne prieš ją.  Kai</w:t>
      </w:r>
      <w:r w:rsidR="0074229F" w:rsidRPr="000B544A">
        <w:rPr>
          <w:rFonts w:ascii="Times New Roman" w:hAnsi="Times New Roman"/>
          <w:lang w:val="lt-LT"/>
        </w:rPr>
        <w:t>p</w:t>
      </w:r>
      <w:r w:rsidRPr="000B544A">
        <w:rPr>
          <w:rFonts w:ascii="Times New Roman" w:hAnsi="Times New Roman"/>
          <w:lang w:val="lt-LT"/>
        </w:rPr>
        <w:t xml:space="preserve"> minėta trečiame principe, rinkos kryptis gali būti kylanti arba krentanti. Dėl to labai svarbu teisingai atpažinti perėjimą nuo bulių rinkos prie meškų rinkos ir atvirkščiai. Trečiasis principas sako, kad rinka apsisuka tada, kai tam yra aiškūs signalai.</w:t>
      </w:r>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 xml:space="preserve">Investuotojai laukia šių aiškių signalų, kadangi tikslas yra atpažinti tikrą apsisukimą, naują </w:t>
      </w:r>
      <w:r w:rsidR="00452C36" w:rsidRPr="000B544A">
        <w:rPr>
          <w:rFonts w:ascii="Times New Roman" w:hAnsi="Times New Roman"/>
          <w:lang w:val="lt-LT"/>
        </w:rPr>
        <w:t>priminę</w:t>
      </w:r>
      <w:r w:rsidRPr="000B544A">
        <w:rPr>
          <w:rFonts w:ascii="Times New Roman" w:hAnsi="Times New Roman"/>
          <w:lang w:val="lt-LT"/>
        </w:rPr>
        <w:t xml:space="preserve"> kryp</w:t>
      </w:r>
      <w:r w:rsidR="0074229F" w:rsidRPr="000B544A">
        <w:rPr>
          <w:rFonts w:ascii="Times New Roman" w:hAnsi="Times New Roman"/>
          <w:lang w:val="lt-LT"/>
        </w:rPr>
        <w:t>tį, o ne sumaišyti ją su antrine</w:t>
      </w:r>
      <w:r w:rsidRPr="000B544A">
        <w:rPr>
          <w:rFonts w:ascii="Times New Roman" w:hAnsi="Times New Roman"/>
          <w:lang w:val="lt-LT"/>
        </w:rPr>
        <w:t xml:space="preserve"> kryptimi. Svarbu, kad antrinė kryptis yra judėjimas priešingai pirminei, kuri tiek nesitęsia</w:t>
      </w:r>
      <w:r w:rsidR="0027293F" w:rsidRPr="000B544A">
        <w:rPr>
          <w:rFonts w:ascii="Times New Roman" w:hAnsi="Times New Roman"/>
          <w:lang w:val="lt-LT"/>
        </w:rPr>
        <w:t>[13]</w:t>
      </w:r>
      <w:r w:rsidRPr="000B544A">
        <w:rPr>
          <w:rFonts w:ascii="Times New Roman" w:hAnsi="Times New Roman"/>
          <w:lang w:val="lt-LT"/>
        </w:rPr>
        <w:t>. Pvz. Pirminė kryptis yra aukštyn, o indeksai rodo išsipardavimą. Jei investuotojas užimtų trumpą pozicij</w:t>
      </w:r>
      <w:r w:rsidR="0074229F" w:rsidRPr="000B544A">
        <w:rPr>
          <w:rFonts w:ascii="Times New Roman" w:hAnsi="Times New Roman"/>
          <w:lang w:val="lt-LT"/>
        </w:rPr>
        <w:t>ą manydamas, kad prasideda nauja</w:t>
      </w:r>
      <w:r w:rsidRPr="000B544A">
        <w:rPr>
          <w:rFonts w:ascii="Times New Roman" w:hAnsi="Times New Roman"/>
          <w:lang w:val="lt-LT"/>
        </w:rPr>
        <w:t xml:space="preserve"> rinkos kryptis žemyn, jis gali patirti nuostolių, jei pirminė kryptis tęstųsi aukštyn. Jei apie rinkos apsisukimą nėra randama daug signalų, tai reiškia</w:t>
      </w:r>
      <w:r w:rsidR="0074229F" w:rsidRPr="000B544A">
        <w:rPr>
          <w:rFonts w:ascii="Times New Roman" w:hAnsi="Times New Roman"/>
          <w:lang w:val="lt-LT"/>
        </w:rPr>
        <w:t>, kad</w:t>
      </w:r>
      <w:r w:rsidRPr="000B544A">
        <w:rPr>
          <w:rFonts w:ascii="Times New Roman" w:hAnsi="Times New Roman"/>
          <w:lang w:val="lt-LT"/>
        </w:rPr>
        <w:t xml:space="preserve"> yra prekiaujama prieš rinkos kryptį, o prekiaujant prieš rinką labai dažnai pralaimima.</w:t>
      </w:r>
    </w:p>
    <w:p w:rsidR="00D508F5" w:rsidRPr="000B544A" w:rsidRDefault="00D508F5" w:rsidP="00757EAA">
      <w:pPr>
        <w:spacing w:after="0" w:line="360" w:lineRule="auto"/>
        <w:ind w:firstLine="567"/>
        <w:jc w:val="both"/>
        <w:rPr>
          <w:rFonts w:ascii="Times New Roman" w:hAnsi="Times New Roman"/>
          <w:lang w:val="lt-LT"/>
        </w:rPr>
      </w:pPr>
      <w:r w:rsidRPr="000B544A">
        <w:rPr>
          <w:rFonts w:ascii="Times New Roman" w:hAnsi="Times New Roman"/>
          <w:lang w:val="lt-LT"/>
        </w:rPr>
        <w:t>Dow teorija remiasi uždarymo kainomis ir nesidomi kainos judėjimu prekybos sesijos metu</w:t>
      </w:r>
      <w:r w:rsidR="008E79C8" w:rsidRPr="000B544A">
        <w:rPr>
          <w:rFonts w:ascii="Times New Roman" w:hAnsi="Times New Roman"/>
          <w:lang w:val="lt-LT"/>
        </w:rPr>
        <w:t>[42</w:t>
      </w:r>
      <w:r w:rsidR="0027293F" w:rsidRPr="000B544A">
        <w:rPr>
          <w:rFonts w:ascii="Times New Roman" w:hAnsi="Times New Roman"/>
          <w:lang w:val="lt-LT"/>
        </w:rPr>
        <w:t>]</w:t>
      </w:r>
      <w:r w:rsidRPr="000B544A">
        <w:rPr>
          <w:rFonts w:ascii="Times New Roman" w:hAnsi="Times New Roman"/>
          <w:lang w:val="lt-LT"/>
        </w:rPr>
        <w:t xml:space="preserve">. Todėl kainos judėjimas sesijos metu negali duoti krypties pasikeitimo signalų. Kitas aspektas Dow teorijoje yra kanalo ribos dar vadinamos prekybos ribomis.  Tai reiškia, kad kaina gali judėti aukštyn, žemyn ar horizontaliai tam tikrose ribose, o investuotojai turi laukti, kol kaina pralauš vieną iš ribų ir </w:t>
      </w:r>
      <w:r w:rsidRPr="000B544A">
        <w:rPr>
          <w:rFonts w:ascii="Times New Roman" w:hAnsi="Times New Roman"/>
          <w:lang w:val="lt-LT"/>
        </w:rPr>
        <w:lastRenderedPageBreak/>
        <w:t>parodys tolimesnę savo judėjimo kryptį. Pvz. Jei kaina pramuš viršutinę ribą, tai tikėtina, kad taip suformuos kryptį aukštyn.</w:t>
      </w:r>
    </w:p>
    <w:p w:rsidR="00D508F5" w:rsidRPr="000B544A" w:rsidRDefault="00D508F5" w:rsidP="00757EAA">
      <w:pPr>
        <w:spacing w:after="0" w:line="360" w:lineRule="auto"/>
        <w:ind w:firstLine="567"/>
        <w:jc w:val="both"/>
        <w:rPr>
          <w:rFonts w:ascii="Times New Roman" w:hAnsi="Times New Roman"/>
          <w:lang w:val="lt-LT"/>
        </w:rPr>
      </w:pPr>
      <w:r w:rsidRPr="000B544A">
        <w:rPr>
          <w:rFonts w:ascii="Times New Roman" w:hAnsi="Times New Roman"/>
          <w:lang w:val="lt-LT"/>
        </w:rPr>
        <w:t xml:space="preserve">Viena sunkiausių užduočių Dow teorijos šalininkams yra atpažinti krypties pasikeitimą. Dow teorijos šalininkai prekiauja pagal pagrindinę rinkos kryptį. </w:t>
      </w:r>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Vienas iš pagrindinių būdų atpažinti rinkos krypties apsisukimą yra aukščiausio ir žemiausio taško analizė. Svarbu, kad pagal Dow teoriją</w:t>
      </w:r>
      <w:r w:rsidR="0074229F" w:rsidRPr="000B544A">
        <w:rPr>
          <w:rFonts w:ascii="Times New Roman" w:hAnsi="Times New Roman"/>
          <w:lang w:val="lt-LT"/>
        </w:rPr>
        <w:t>, kaina</w:t>
      </w:r>
      <w:r w:rsidRPr="000B544A">
        <w:rPr>
          <w:rFonts w:ascii="Times New Roman" w:hAnsi="Times New Roman"/>
          <w:lang w:val="lt-LT"/>
        </w:rPr>
        <w:t xml:space="preserve"> nejuda tiese, o juda pakildama </w:t>
      </w:r>
      <w:r w:rsidR="0074229F" w:rsidRPr="000B544A">
        <w:rPr>
          <w:rFonts w:ascii="Times New Roman" w:hAnsi="Times New Roman"/>
          <w:lang w:val="lt-LT"/>
        </w:rPr>
        <w:t>į</w:t>
      </w:r>
      <w:r w:rsidRPr="000B544A">
        <w:rPr>
          <w:rFonts w:ascii="Times New Roman" w:hAnsi="Times New Roman"/>
          <w:lang w:val="lt-LT"/>
        </w:rPr>
        <w:t xml:space="preserve"> aukščiausią tašką, tada nusileisdama žemyn, siekdama naujos aukštumos ir t.t. kylančioje rinkoje</w:t>
      </w:r>
      <w:r w:rsidR="008E79C8" w:rsidRPr="000B544A">
        <w:rPr>
          <w:rFonts w:ascii="Times New Roman" w:hAnsi="Times New Roman"/>
          <w:lang w:val="lt-LT"/>
        </w:rPr>
        <w:t>[42</w:t>
      </w:r>
      <w:r w:rsidR="0027293F" w:rsidRPr="000B544A">
        <w:rPr>
          <w:rFonts w:ascii="Times New Roman" w:hAnsi="Times New Roman"/>
          <w:lang w:val="lt-LT"/>
        </w:rPr>
        <w:t>]</w:t>
      </w:r>
      <w:r w:rsidRPr="000B544A">
        <w:rPr>
          <w:rFonts w:ascii="Times New Roman" w:hAnsi="Times New Roman"/>
          <w:lang w:val="lt-LT"/>
        </w:rPr>
        <w:t>. Krentančioje rinkoje kaina banguodama pasiekia vis naują žemiausią kainą</w:t>
      </w:r>
      <w:r w:rsidR="008E79C8" w:rsidRPr="000B544A">
        <w:rPr>
          <w:rFonts w:ascii="Times New Roman" w:hAnsi="Times New Roman"/>
          <w:lang w:val="lt-LT"/>
        </w:rPr>
        <w:t>[42</w:t>
      </w:r>
      <w:r w:rsidR="0027293F" w:rsidRPr="000B544A">
        <w:rPr>
          <w:rFonts w:ascii="Times New Roman" w:hAnsi="Times New Roman"/>
          <w:lang w:val="lt-LT"/>
        </w:rPr>
        <w:t>]</w:t>
      </w:r>
      <w:r w:rsidRPr="000B544A">
        <w:rPr>
          <w:rFonts w:ascii="Times New Roman" w:hAnsi="Times New Roman"/>
          <w:lang w:val="lt-LT"/>
        </w:rPr>
        <w:t>.</w:t>
      </w:r>
    </w:p>
    <w:p w:rsidR="00F54846" w:rsidRPr="000B544A" w:rsidRDefault="00B542BF" w:rsidP="00F54846">
      <w:pPr>
        <w:keepNext/>
        <w:spacing w:after="0" w:line="360" w:lineRule="auto"/>
        <w:ind w:firstLine="567"/>
        <w:jc w:val="center"/>
        <w:rPr>
          <w:rFonts w:ascii="Times New Roman" w:hAnsi="Times New Roman"/>
          <w:lang w:val="lt-LT"/>
        </w:rPr>
      </w:pPr>
      <w:r w:rsidRPr="000B544A">
        <w:rPr>
          <w:rFonts w:ascii="Times New Roman" w:hAnsi="Times New Roman"/>
          <w:noProof/>
        </w:rPr>
        <w:drawing>
          <wp:inline distT="0" distB="0" distL="0" distR="0">
            <wp:extent cx="3742690" cy="2425700"/>
            <wp:effectExtent l="19050" t="0" r="0" b="0"/>
            <wp:docPr id="4" name="Picture 1" descr="Description: Macintosh HD:Users:Karolis:Downloads:k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Karolis:Downloads:kain.GIF"/>
                    <pic:cNvPicPr>
                      <a:picLocks noChangeAspect="1" noChangeArrowheads="1"/>
                    </pic:cNvPicPr>
                  </pic:nvPicPr>
                  <pic:blipFill>
                    <a:blip r:embed="rId12" cstate="print"/>
                    <a:srcRect/>
                    <a:stretch>
                      <a:fillRect/>
                    </a:stretch>
                  </pic:blipFill>
                  <pic:spPr bwMode="auto">
                    <a:xfrm>
                      <a:off x="0" y="0"/>
                      <a:ext cx="3742690" cy="2425700"/>
                    </a:xfrm>
                    <a:prstGeom prst="rect">
                      <a:avLst/>
                    </a:prstGeom>
                    <a:noFill/>
                    <a:ln w="9525">
                      <a:noFill/>
                      <a:miter lim="800000"/>
                      <a:headEnd/>
                      <a:tailEnd/>
                    </a:ln>
                  </pic:spPr>
                </pic:pic>
              </a:graphicData>
            </a:graphic>
          </wp:inline>
        </w:drawing>
      </w:r>
    </w:p>
    <w:p w:rsidR="00A22CF8" w:rsidRPr="000B544A" w:rsidRDefault="00F54846" w:rsidP="00F54846">
      <w:pPr>
        <w:pStyle w:val="Caption"/>
        <w:jc w:val="center"/>
        <w:rPr>
          <w:rFonts w:ascii="Times New Roman" w:hAnsi="Times New Roman"/>
          <w:b w:val="0"/>
          <w:lang w:val="lt-LT"/>
        </w:rPr>
      </w:pPr>
      <w:r w:rsidRPr="000B544A">
        <w:rPr>
          <w:rFonts w:ascii="Times New Roman" w:hAnsi="Times New Roman"/>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Figure \* ARABIC </w:instrText>
      </w:r>
      <w:r w:rsidR="00A56BC3" w:rsidRPr="000B544A">
        <w:rPr>
          <w:rFonts w:ascii="Times New Roman" w:hAnsi="Times New Roman"/>
          <w:b w:val="0"/>
          <w:lang w:val="lt-LT"/>
        </w:rPr>
        <w:fldChar w:fldCharType="separate"/>
      </w:r>
      <w:bookmarkStart w:id="15" w:name="_Toc311718696"/>
      <w:r w:rsidR="00C53DDD">
        <w:rPr>
          <w:rFonts w:ascii="Times New Roman" w:hAnsi="Times New Roman"/>
          <w:b w:val="0"/>
          <w:noProof/>
          <w:lang w:val="lt-LT"/>
        </w:rPr>
        <w:t>5</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pav. </w:t>
      </w:r>
      <w:r w:rsidRPr="000B544A">
        <w:rPr>
          <w:rFonts w:ascii="Times New Roman" w:hAnsi="Times New Roman"/>
          <w:lang w:val="lt-LT"/>
        </w:rPr>
        <w:t>Kylanti rinkos kryptis</w:t>
      </w:r>
      <w:bookmarkEnd w:id="15"/>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Taigi kaip i</w:t>
      </w:r>
      <w:r w:rsidR="000D6416" w:rsidRPr="000B544A">
        <w:rPr>
          <w:rFonts w:ascii="Times New Roman" w:hAnsi="Times New Roman"/>
          <w:lang w:val="lt-LT"/>
        </w:rPr>
        <w:t>r parodyta 5</w:t>
      </w:r>
      <w:r w:rsidRPr="000B544A">
        <w:rPr>
          <w:rFonts w:ascii="Times New Roman" w:hAnsi="Times New Roman"/>
          <w:lang w:val="lt-LT"/>
        </w:rPr>
        <w:t xml:space="preserve"> paveikslėlyje, kaina pagal Dow teorija juda ne tiesi</w:t>
      </w:r>
      <w:r w:rsidR="0074229F" w:rsidRPr="000B544A">
        <w:rPr>
          <w:rFonts w:ascii="Times New Roman" w:hAnsi="Times New Roman"/>
          <w:lang w:val="lt-LT"/>
        </w:rPr>
        <w:t>ą</w:t>
      </w:r>
      <w:r w:rsidRPr="000B544A">
        <w:rPr>
          <w:rFonts w:ascii="Times New Roman" w:hAnsi="Times New Roman"/>
          <w:lang w:val="lt-LT"/>
        </w:rPr>
        <w:t xml:space="preserve">ja, o etapais. Iš pradžių pakyla nuo 1 iki 2, tada pakrenta nuo 2 iki 3. Toliau seka kilimas iki 4 ir </w:t>
      </w:r>
      <w:r w:rsidR="00452C36" w:rsidRPr="000B544A">
        <w:rPr>
          <w:rFonts w:ascii="Times New Roman" w:hAnsi="Times New Roman"/>
          <w:lang w:val="lt-LT"/>
        </w:rPr>
        <w:t>koregavimasis</w:t>
      </w:r>
      <w:r w:rsidRPr="000B544A">
        <w:rPr>
          <w:rFonts w:ascii="Times New Roman" w:hAnsi="Times New Roman"/>
          <w:lang w:val="lt-LT"/>
        </w:rPr>
        <w:t xml:space="preserve"> iki 5. Ir galiausiai kilimas iki 6. Taip pagal teoriją kaina kyla aukštyn.</w:t>
      </w:r>
    </w:p>
    <w:p w:rsidR="00F54846" w:rsidRPr="000B544A" w:rsidRDefault="00B542BF" w:rsidP="00F54846">
      <w:pPr>
        <w:keepNext/>
        <w:spacing w:after="0" w:line="360" w:lineRule="auto"/>
        <w:ind w:firstLine="567"/>
        <w:jc w:val="center"/>
        <w:rPr>
          <w:rFonts w:ascii="Times New Roman" w:hAnsi="Times New Roman"/>
          <w:lang w:val="lt-LT"/>
        </w:rPr>
      </w:pPr>
      <w:r w:rsidRPr="000B544A">
        <w:rPr>
          <w:rFonts w:ascii="Times New Roman" w:hAnsi="Times New Roman"/>
          <w:noProof/>
        </w:rPr>
        <w:drawing>
          <wp:inline distT="0" distB="0" distL="0" distR="0">
            <wp:extent cx="3874770" cy="2472055"/>
            <wp:effectExtent l="19050" t="0" r="0" b="0"/>
            <wp:docPr id="5" name="Picture 2" descr="Description: Macintosh HD:Users:Karolis:Downloads:kai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acintosh HD:Users:Karolis:Downloads:kain2.GIF"/>
                    <pic:cNvPicPr>
                      <a:picLocks noChangeAspect="1" noChangeArrowheads="1"/>
                    </pic:cNvPicPr>
                  </pic:nvPicPr>
                  <pic:blipFill>
                    <a:blip r:embed="rId13" cstate="print"/>
                    <a:srcRect/>
                    <a:stretch>
                      <a:fillRect/>
                    </a:stretch>
                  </pic:blipFill>
                  <pic:spPr bwMode="auto">
                    <a:xfrm>
                      <a:off x="0" y="0"/>
                      <a:ext cx="3874770" cy="2472055"/>
                    </a:xfrm>
                    <a:prstGeom prst="rect">
                      <a:avLst/>
                    </a:prstGeom>
                    <a:noFill/>
                    <a:ln w="9525">
                      <a:noFill/>
                      <a:miter lim="800000"/>
                      <a:headEnd/>
                      <a:tailEnd/>
                    </a:ln>
                  </pic:spPr>
                </pic:pic>
              </a:graphicData>
            </a:graphic>
          </wp:inline>
        </w:drawing>
      </w:r>
    </w:p>
    <w:p w:rsidR="00A22CF8" w:rsidRPr="000B544A" w:rsidRDefault="00F54846" w:rsidP="00F54846">
      <w:pPr>
        <w:pStyle w:val="Caption"/>
        <w:jc w:val="center"/>
        <w:rPr>
          <w:rFonts w:ascii="Times New Roman" w:hAnsi="Times New Roman"/>
          <w:b w:val="0"/>
          <w:lang w:val="lt-LT"/>
        </w:rPr>
      </w:pPr>
      <w:r w:rsidRPr="000B544A">
        <w:rPr>
          <w:rFonts w:ascii="Times New Roman" w:hAnsi="Times New Roman"/>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Figure \* ARABIC </w:instrText>
      </w:r>
      <w:r w:rsidR="00A56BC3" w:rsidRPr="000B544A">
        <w:rPr>
          <w:rFonts w:ascii="Times New Roman" w:hAnsi="Times New Roman"/>
          <w:b w:val="0"/>
          <w:lang w:val="lt-LT"/>
        </w:rPr>
        <w:fldChar w:fldCharType="separate"/>
      </w:r>
      <w:bookmarkStart w:id="16" w:name="_Toc311718697"/>
      <w:r w:rsidR="00C53DDD">
        <w:rPr>
          <w:rFonts w:ascii="Times New Roman" w:hAnsi="Times New Roman"/>
          <w:b w:val="0"/>
          <w:noProof/>
          <w:lang w:val="lt-LT"/>
        </w:rPr>
        <w:t>6</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pav. </w:t>
      </w:r>
      <w:r w:rsidRPr="000B544A">
        <w:rPr>
          <w:rFonts w:ascii="Times New Roman" w:hAnsi="Times New Roman"/>
          <w:lang w:val="lt-LT"/>
        </w:rPr>
        <w:t>Krentanti rinkos kryptis</w:t>
      </w:r>
      <w:bookmarkEnd w:id="16"/>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 xml:space="preserve">Kaip ir kylančioje rinkoje, taip ir krentančioje kaina nejuda tiese. Rinka nekrenta visu dydžiu iš karto žemyn, o juda etapais, kartas nuo karto </w:t>
      </w:r>
      <w:r w:rsidR="00452C36" w:rsidRPr="000B544A">
        <w:rPr>
          <w:rFonts w:ascii="Times New Roman" w:hAnsi="Times New Roman"/>
          <w:lang w:val="lt-LT"/>
        </w:rPr>
        <w:t>pasikoreguodama</w:t>
      </w:r>
      <w:r w:rsidR="000D6416" w:rsidRPr="000B544A">
        <w:rPr>
          <w:rFonts w:ascii="Times New Roman" w:hAnsi="Times New Roman"/>
          <w:lang w:val="lt-LT"/>
        </w:rPr>
        <w:t>. Tai parodyta 6</w:t>
      </w:r>
      <w:r w:rsidRPr="000B544A">
        <w:rPr>
          <w:rFonts w:ascii="Times New Roman" w:hAnsi="Times New Roman"/>
          <w:lang w:val="lt-LT"/>
        </w:rPr>
        <w:t xml:space="preserve"> paveikslėlyje, kuriame rinkos judesiai sužymėti skaitmenimis nuo 1 iki 6.</w:t>
      </w:r>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lastRenderedPageBreak/>
        <w:t>Rinka krinta arba kyla tokiais etapais iki kol pasikeitus ekonomikos ir verslo sąlygoms rinka apsisuka</w:t>
      </w:r>
      <w:r w:rsidR="00050CB0" w:rsidRPr="000B544A">
        <w:rPr>
          <w:rFonts w:ascii="Times New Roman" w:hAnsi="Times New Roman"/>
          <w:lang w:val="lt-LT"/>
        </w:rPr>
        <w:t>[42</w:t>
      </w:r>
      <w:r w:rsidR="0031079F" w:rsidRPr="000B544A">
        <w:rPr>
          <w:rFonts w:ascii="Times New Roman" w:hAnsi="Times New Roman"/>
          <w:lang w:val="lt-LT"/>
        </w:rPr>
        <w:t>]</w:t>
      </w:r>
      <w:r w:rsidRPr="000B544A">
        <w:rPr>
          <w:rFonts w:ascii="Times New Roman" w:hAnsi="Times New Roman"/>
          <w:lang w:val="lt-LT"/>
        </w:rPr>
        <w:t>. Apsisukimas įvyksta tada, kai rinka nebesugeba pasiekti naujos aukštumos (kylančios rinkos atveju) ir naujos žemumos (krintančios rinkos atveju). Grafiškai apsisukimas iš kyl</w:t>
      </w:r>
      <w:r w:rsidR="0074229F" w:rsidRPr="000B544A">
        <w:rPr>
          <w:rFonts w:ascii="Times New Roman" w:hAnsi="Times New Roman"/>
          <w:lang w:val="lt-LT"/>
        </w:rPr>
        <w:t>ančios rinkos į krentančią rinką</w:t>
      </w:r>
      <w:r w:rsidRPr="000B544A">
        <w:rPr>
          <w:rFonts w:ascii="Times New Roman" w:hAnsi="Times New Roman"/>
          <w:lang w:val="lt-LT"/>
        </w:rPr>
        <w:t xml:space="preserve"> atrodo taip, kaip parodyta </w:t>
      </w:r>
      <w:r w:rsidR="000D6416" w:rsidRPr="000B544A">
        <w:rPr>
          <w:rFonts w:ascii="Times New Roman" w:hAnsi="Times New Roman"/>
          <w:lang w:val="lt-LT"/>
        </w:rPr>
        <w:t>7</w:t>
      </w:r>
      <w:r w:rsidRPr="000B544A">
        <w:rPr>
          <w:rFonts w:ascii="Times New Roman" w:hAnsi="Times New Roman"/>
          <w:lang w:val="lt-LT"/>
        </w:rPr>
        <w:t xml:space="preserve"> paveikslėlyje. </w:t>
      </w:r>
    </w:p>
    <w:p w:rsidR="00F54846" w:rsidRPr="000B544A" w:rsidRDefault="00B542BF" w:rsidP="00F54846">
      <w:pPr>
        <w:keepNext/>
        <w:spacing w:after="0" w:line="360" w:lineRule="auto"/>
        <w:ind w:firstLine="567"/>
        <w:jc w:val="center"/>
        <w:rPr>
          <w:rFonts w:ascii="Times New Roman" w:hAnsi="Times New Roman"/>
          <w:lang w:val="lt-LT"/>
        </w:rPr>
      </w:pPr>
      <w:r w:rsidRPr="000B544A">
        <w:rPr>
          <w:rFonts w:ascii="Times New Roman" w:hAnsi="Times New Roman"/>
          <w:noProof/>
        </w:rPr>
        <w:drawing>
          <wp:inline distT="0" distB="0" distL="0" distR="0">
            <wp:extent cx="3463925" cy="2247265"/>
            <wp:effectExtent l="19050" t="0" r="3175" b="0"/>
            <wp:docPr id="6" name="Picture 4" descr="Description: Macintosh HD:Users:Karolis:Downloads:apsisu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acintosh HD:Users:Karolis:Downloads:apsisuk.GIF"/>
                    <pic:cNvPicPr>
                      <a:picLocks noChangeAspect="1" noChangeArrowheads="1"/>
                    </pic:cNvPicPr>
                  </pic:nvPicPr>
                  <pic:blipFill>
                    <a:blip r:embed="rId14" cstate="print"/>
                    <a:srcRect/>
                    <a:stretch>
                      <a:fillRect/>
                    </a:stretch>
                  </pic:blipFill>
                  <pic:spPr bwMode="auto">
                    <a:xfrm>
                      <a:off x="0" y="0"/>
                      <a:ext cx="3463925" cy="2247265"/>
                    </a:xfrm>
                    <a:prstGeom prst="rect">
                      <a:avLst/>
                    </a:prstGeom>
                    <a:noFill/>
                    <a:ln w="9525">
                      <a:noFill/>
                      <a:miter lim="800000"/>
                      <a:headEnd/>
                      <a:tailEnd/>
                    </a:ln>
                  </pic:spPr>
                </pic:pic>
              </a:graphicData>
            </a:graphic>
          </wp:inline>
        </w:drawing>
      </w:r>
    </w:p>
    <w:p w:rsidR="00A22CF8" w:rsidRPr="000B544A" w:rsidRDefault="00F54846" w:rsidP="00F54846">
      <w:pPr>
        <w:pStyle w:val="Caption"/>
        <w:jc w:val="center"/>
        <w:rPr>
          <w:rFonts w:ascii="Times New Roman" w:hAnsi="Times New Roman"/>
          <w:b w:val="0"/>
          <w:lang w:val="lt-LT"/>
        </w:rPr>
      </w:pPr>
      <w:r w:rsidRPr="000B544A">
        <w:rPr>
          <w:rFonts w:ascii="Times New Roman" w:hAnsi="Times New Roman"/>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Figure \* ARABIC </w:instrText>
      </w:r>
      <w:r w:rsidR="00A56BC3" w:rsidRPr="000B544A">
        <w:rPr>
          <w:rFonts w:ascii="Times New Roman" w:hAnsi="Times New Roman"/>
          <w:b w:val="0"/>
          <w:lang w:val="lt-LT"/>
        </w:rPr>
        <w:fldChar w:fldCharType="separate"/>
      </w:r>
      <w:bookmarkStart w:id="17" w:name="_Toc311718698"/>
      <w:r w:rsidR="00C53DDD">
        <w:rPr>
          <w:rFonts w:ascii="Times New Roman" w:hAnsi="Times New Roman"/>
          <w:b w:val="0"/>
          <w:noProof/>
          <w:lang w:val="lt-LT"/>
        </w:rPr>
        <w:t>7</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pav. </w:t>
      </w:r>
      <w:r w:rsidRPr="000B544A">
        <w:rPr>
          <w:rFonts w:ascii="Times New Roman" w:hAnsi="Times New Roman"/>
          <w:lang w:val="lt-LT"/>
        </w:rPr>
        <w:t>Rinkos apsisukimas</w:t>
      </w:r>
      <w:bookmarkEnd w:id="17"/>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Apsisukimas iš krintančios rinkos į kylančią rinką vyksta labai panašiai, tik grafikas prasideda krintančia rinka, o baigiasi kylančia.</w:t>
      </w:r>
    </w:p>
    <w:p w:rsidR="00D508F5" w:rsidRPr="000B544A" w:rsidRDefault="00D508F5" w:rsidP="00D508F5">
      <w:pPr>
        <w:spacing w:after="0" w:line="360" w:lineRule="auto"/>
        <w:ind w:firstLine="567"/>
        <w:jc w:val="both"/>
        <w:rPr>
          <w:rFonts w:ascii="Times New Roman" w:hAnsi="Times New Roman"/>
          <w:lang w:val="lt-LT"/>
        </w:rPr>
      </w:pPr>
      <w:r w:rsidRPr="000B544A">
        <w:rPr>
          <w:rFonts w:ascii="Times New Roman" w:hAnsi="Times New Roman"/>
          <w:lang w:val="lt-LT"/>
        </w:rPr>
        <w:t>Dow teorija buvo pradžia tam, ką šiandien vadiname technine analize. Iš šios teorijos buvo išvestos kitos teorijos, tokios kaip Elioto bangų teorija. Šios teorijos trūkumu galime laikyti griežtus reikalavimus apsisukimui. Tik aiškiais signalais matant apsisukimą galima įeiti į rinką, nors rinka dažnai jau būna ženkliai pajudėjusi. Kitas teorijos trūkumas yra</w:t>
      </w:r>
      <w:r w:rsidR="0074229F" w:rsidRPr="000B544A">
        <w:rPr>
          <w:rFonts w:ascii="Times New Roman" w:hAnsi="Times New Roman"/>
          <w:lang w:val="lt-LT"/>
        </w:rPr>
        <w:t xml:space="preserve"> tas, kad per ilgą</w:t>
      </w:r>
      <w:r w:rsidRPr="000B544A">
        <w:rPr>
          <w:rFonts w:ascii="Times New Roman" w:hAnsi="Times New Roman"/>
          <w:lang w:val="lt-LT"/>
        </w:rPr>
        <w:t xml:space="preserve"> laiko tarpą nuo jos sukūrimo daug kas pasikeitė. Gamyba ir transportas nėra du pagrindiniai ekonomikos sektoriai. Indeksai taip pat pasikeitė ir neteko savo unikalaus ryšio. Taigi padaugėjus ekonomikos sektorių ir kiekvienam iš jų turint savo ciklą tapo nebeefektyvu laukti, kol visų sektorių indeksai parodys vienodus signalus. </w:t>
      </w:r>
    </w:p>
    <w:p w:rsidR="00D508F5" w:rsidRPr="000B544A" w:rsidRDefault="00D508F5" w:rsidP="00757EAA">
      <w:pPr>
        <w:spacing w:after="0" w:line="360" w:lineRule="auto"/>
        <w:ind w:firstLine="567"/>
        <w:jc w:val="both"/>
        <w:rPr>
          <w:rFonts w:ascii="Times New Roman" w:hAnsi="Times New Roman"/>
          <w:lang w:val="lt-LT"/>
        </w:rPr>
      </w:pPr>
      <w:r w:rsidRPr="000B544A">
        <w:rPr>
          <w:rFonts w:ascii="Times New Roman" w:hAnsi="Times New Roman"/>
          <w:lang w:val="lt-LT"/>
        </w:rPr>
        <w:t xml:space="preserve">Nepaisant to, Dow teorija yra pamatas techninei analizei ir ji visada bus svarbi investuotojams. </w:t>
      </w:r>
    </w:p>
    <w:p w:rsidR="007E339E" w:rsidRPr="000B544A" w:rsidRDefault="001E21E1" w:rsidP="001E21E1">
      <w:pPr>
        <w:pStyle w:val="Heading2"/>
        <w:spacing w:before="0" w:line="360" w:lineRule="auto"/>
        <w:rPr>
          <w:rFonts w:ascii="Times New Roman" w:hAnsi="Times New Roman"/>
          <w:color w:val="auto"/>
          <w:lang w:val="lt-LT"/>
        </w:rPr>
      </w:pPr>
      <w:bookmarkStart w:id="18" w:name="_Toc312047635"/>
      <w:r w:rsidRPr="000B544A">
        <w:rPr>
          <w:rFonts w:ascii="Times New Roman" w:hAnsi="Times New Roman"/>
          <w:color w:val="auto"/>
          <w:lang w:val="lt-LT"/>
        </w:rPr>
        <w:t>1.3</w:t>
      </w:r>
      <w:r w:rsidR="00D4254D" w:rsidRPr="000B544A">
        <w:rPr>
          <w:rFonts w:ascii="Times New Roman" w:hAnsi="Times New Roman"/>
          <w:color w:val="auto"/>
          <w:lang w:val="lt-LT"/>
        </w:rPr>
        <w:t xml:space="preserve"> </w:t>
      </w:r>
      <w:r w:rsidR="007E339E" w:rsidRPr="000B544A">
        <w:rPr>
          <w:rFonts w:ascii="Times New Roman" w:hAnsi="Times New Roman"/>
          <w:color w:val="auto"/>
          <w:lang w:val="lt-LT"/>
        </w:rPr>
        <w:t>Techninės analizės indikatori</w:t>
      </w:r>
      <w:r w:rsidR="00D919BD" w:rsidRPr="000B544A">
        <w:rPr>
          <w:rFonts w:ascii="Times New Roman" w:hAnsi="Times New Roman"/>
          <w:color w:val="auto"/>
          <w:lang w:val="lt-LT"/>
        </w:rPr>
        <w:t>ų klasifikacija</w:t>
      </w:r>
      <w:bookmarkEnd w:id="18"/>
    </w:p>
    <w:p w:rsidR="009E30B9" w:rsidRPr="000B544A" w:rsidRDefault="007E339E" w:rsidP="00D508F5">
      <w:pPr>
        <w:spacing w:after="0" w:line="360" w:lineRule="auto"/>
        <w:ind w:firstLine="567"/>
        <w:jc w:val="both"/>
        <w:rPr>
          <w:rFonts w:ascii="Times New Roman" w:hAnsi="Times New Roman"/>
          <w:lang w:val="lt-LT"/>
        </w:rPr>
      </w:pPr>
      <w:r w:rsidRPr="000B544A">
        <w:rPr>
          <w:rFonts w:ascii="Times New Roman" w:hAnsi="Times New Roman"/>
          <w:lang w:val="lt-LT"/>
        </w:rPr>
        <w:t>Vystantis techninei analizei sukurta daug įvairių indikatorių, kurie padeda analitikui suprasti rinką ir prognozuoti ateities kainas.</w:t>
      </w:r>
      <w:r w:rsidR="00D919BD" w:rsidRPr="000B544A">
        <w:rPr>
          <w:rFonts w:ascii="Times New Roman" w:hAnsi="Times New Roman"/>
          <w:lang w:val="lt-LT"/>
        </w:rPr>
        <w:t xml:space="preserve"> Techninės analizės pradžioje buvo piešiama „ant“ kainų grafikų, taip pažymint įvairias kombinacijas, kurios yra pastebėtos anksčiau. </w:t>
      </w:r>
      <w:r w:rsidR="00050CB0" w:rsidRPr="000B544A">
        <w:rPr>
          <w:rFonts w:ascii="Times New Roman" w:hAnsi="Times New Roman"/>
          <w:lang w:val="lt-LT"/>
        </w:rPr>
        <w:t>Yra</w:t>
      </w:r>
      <w:r w:rsidR="00D919BD" w:rsidRPr="000B544A">
        <w:rPr>
          <w:rFonts w:ascii="Times New Roman" w:hAnsi="Times New Roman"/>
          <w:lang w:val="lt-LT"/>
        </w:rPr>
        <w:t xml:space="preserve"> naudojami ir matematiniai skaičiavimai</w:t>
      </w:r>
      <w:r w:rsidR="009E30B9" w:rsidRPr="000B544A">
        <w:rPr>
          <w:rFonts w:ascii="Times New Roman" w:hAnsi="Times New Roman"/>
          <w:lang w:val="lt-LT"/>
        </w:rPr>
        <w:t xml:space="preserve"> kainų grafikuose, pagal kuriuos buvo nustatomos kainos apsisukimo ribos.</w:t>
      </w:r>
      <w:r w:rsidRPr="000B544A">
        <w:rPr>
          <w:rFonts w:ascii="Times New Roman" w:hAnsi="Times New Roman"/>
          <w:lang w:val="lt-LT"/>
        </w:rPr>
        <w:t xml:space="preserve"> </w:t>
      </w:r>
      <w:r w:rsidR="009E30B9" w:rsidRPr="000B544A">
        <w:rPr>
          <w:rFonts w:ascii="Times New Roman" w:hAnsi="Times New Roman"/>
          <w:lang w:val="lt-LT"/>
        </w:rPr>
        <w:t xml:space="preserve">Naujausi </w:t>
      </w:r>
      <w:r w:rsidRPr="000B544A">
        <w:rPr>
          <w:rFonts w:ascii="Times New Roman" w:hAnsi="Times New Roman"/>
          <w:lang w:val="lt-LT"/>
        </w:rPr>
        <w:t xml:space="preserve">indikatoriai </w:t>
      </w:r>
      <w:r w:rsidR="00D919BD" w:rsidRPr="000B544A">
        <w:rPr>
          <w:rFonts w:ascii="Times New Roman" w:hAnsi="Times New Roman"/>
          <w:lang w:val="lt-LT"/>
        </w:rPr>
        <w:t>yra</w:t>
      </w:r>
      <w:r w:rsidR="00050CB0" w:rsidRPr="000B544A">
        <w:rPr>
          <w:rFonts w:ascii="Times New Roman" w:hAnsi="Times New Roman"/>
          <w:lang w:val="lt-LT"/>
        </w:rPr>
        <w:t xml:space="preserve"> mišrūs -</w:t>
      </w:r>
      <w:r w:rsidR="00D919BD" w:rsidRPr="000B544A">
        <w:rPr>
          <w:rFonts w:ascii="Times New Roman" w:hAnsi="Times New Roman"/>
          <w:lang w:val="lt-LT"/>
        </w:rPr>
        <w:t xml:space="preserve"> </w:t>
      </w:r>
      <w:r w:rsidRPr="000B544A">
        <w:rPr>
          <w:rFonts w:ascii="Times New Roman" w:hAnsi="Times New Roman"/>
          <w:lang w:val="lt-LT"/>
        </w:rPr>
        <w:t>sudėting</w:t>
      </w:r>
      <w:r w:rsidR="00481376" w:rsidRPr="000B544A">
        <w:rPr>
          <w:rFonts w:ascii="Times New Roman" w:hAnsi="Times New Roman"/>
          <w:lang w:val="lt-LT"/>
        </w:rPr>
        <w:t>i ir atliekami su kompiuteriais</w:t>
      </w:r>
      <w:r w:rsidR="00FE0CF8" w:rsidRPr="000B544A">
        <w:rPr>
          <w:rFonts w:ascii="Times New Roman" w:hAnsi="Times New Roman"/>
          <w:lang w:val="lt-LT"/>
        </w:rPr>
        <w:t xml:space="preserve"> [33]</w:t>
      </w:r>
      <w:r w:rsidRPr="000B544A">
        <w:rPr>
          <w:rFonts w:ascii="Times New Roman" w:hAnsi="Times New Roman"/>
          <w:lang w:val="lt-LT"/>
        </w:rPr>
        <w:t>.</w:t>
      </w:r>
      <w:r w:rsidR="00481376" w:rsidRPr="000B544A">
        <w:rPr>
          <w:rFonts w:ascii="Times New Roman" w:hAnsi="Times New Roman"/>
          <w:lang w:val="lt-LT"/>
        </w:rPr>
        <w:t xml:space="preserve"> </w:t>
      </w:r>
    </w:p>
    <w:p w:rsidR="009E30B9" w:rsidRPr="000B544A" w:rsidRDefault="009E30B9" w:rsidP="009E30B9">
      <w:pPr>
        <w:spacing w:after="0" w:line="360" w:lineRule="auto"/>
        <w:ind w:firstLine="567"/>
        <w:jc w:val="center"/>
        <w:rPr>
          <w:rFonts w:ascii="Times New Roman" w:hAnsi="Times New Roman"/>
          <w:lang w:val="lt-LT"/>
        </w:rPr>
      </w:pPr>
      <w:r w:rsidRPr="000B544A">
        <w:rPr>
          <w:rFonts w:ascii="Times New Roman" w:hAnsi="Times New Roman"/>
          <w:noProof/>
        </w:rPr>
        <w:lastRenderedPageBreak/>
        <w:drawing>
          <wp:inline distT="0" distB="0" distL="0" distR="0">
            <wp:extent cx="3419475" cy="2690170"/>
            <wp:effectExtent l="19050" t="0" r="9525" b="0"/>
            <wp:docPr id="8" name="Picture 7" descr="TA METOD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 METODAI.jpg"/>
                    <pic:cNvPicPr/>
                  </pic:nvPicPr>
                  <pic:blipFill>
                    <a:blip r:embed="rId15" cstate="print"/>
                    <a:stretch>
                      <a:fillRect/>
                    </a:stretch>
                  </pic:blipFill>
                  <pic:spPr>
                    <a:xfrm>
                      <a:off x="0" y="0"/>
                      <a:ext cx="3427918" cy="2696812"/>
                    </a:xfrm>
                    <a:prstGeom prst="rect">
                      <a:avLst/>
                    </a:prstGeom>
                  </pic:spPr>
                </pic:pic>
              </a:graphicData>
            </a:graphic>
          </wp:inline>
        </w:drawing>
      </w:r>
    </w:p>
    <w:p w:rsidR="009E30B9" w:rsidRPr="000B544A" w:rsidRDefault="009E30B9" w:rsidP="009E30B9">
      <w:pPr>
        <w:pStyle w:val="Caption"/>
        <w:jc w:val="center"/>
        <w:rPr>
          <w:rFonts w:ascii="Times New Roman" w:hAnsi="Times New Roman"/>
          <w:lang w:val="lt-LT"/>
        </w:rPr>
      </w:pPr>
      <w:r w:rsidRPr="000B544A">
        <w:rPr>
          <w:rFonts w:ascii="Times New Roman" w:hAnsi="Times New Roman"/>
          <w:b w:val="0"/>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Figure \* ARABIC </w:instrText>
      </w:r>
      <w:r w:rsidR="00A56BC3" w:rsidRPr="000B544A">
        <w:rPr>
          <w:rFonts w:ascii="Times New Roman" w:hAnsi="Times New Roman"/>
          <w:b w:val="0"/>
          <w:lang w:val="lt-LT"/>
        </w:rPr>
        <w:fldChar w:fldCharType="separate"/>
      </w:r>
      <w:bookmarkStart w:id="19" w:name="_Toc311718699"/>
      <w:r w:rsidR="00C53DDD">
        <w:rPr>
          <w:rFonts w:ascii="Times New Roman" w:hAnsi="Times New Roman"/>
          <w:b w:val="0"/>
          <w:noProof/>
          <w:lang w:val="lt-LT"/>
        </w:rPr>
        <w:t>8</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pav.</w:t>
      </w:r>
      <w:r w:rsidRPr="000B544A">
        <w:rPr>
          <w:rFonts w:ascii="Times New Roman" w:hAnsi="Times New Roman"/>
          <w:lang w:val="lt-LT"/>
        </w:rPr>
        <w:t xml:space="preserve"> Techninės analizės metodų klasifikacija</w:t>
      </w:r>
      <w:bookmarkEnd w:id="19"/>
    </w:p>
    <w:p w:rsidR="00481376" w:rsidRPr="000B544A" w:rsidRDefault="00481376" w:rsidP="00D508F5">
      <w:pPr>
        <w:spacing w:after="0" w:line="360" w:lineRule="auto"/>
        <w:ind w:firstLine="567"/>
        <w:jc w:val="both"/>
        <w:rPr>
          <w:rFonts w:ascii="Times New Roman" w:hAnsi="Times New Roman"/>
          <w:lang w:val="lt-LT"/>
        </w:rPr>
      </w:pPr>
      <w:r w:rsidRPr="000B544A">
        <w:rPr>
          <w:rFonts w:ascii="Times New Roman" w:hAnsi="Times New Roman"/>
          <w:lang w:val="lt-LT"/>
        </w:rPr>
        <w:t xml:space="preserve">Taigi techninė analizė yra </w:t>
      </w:r>
      <w:r w:rsidR="009E30B9" w:rsidRPr="000B544A">
        <w:rPr>
          <w:rFonts w:ascii="Times New Roman" w:hAnsi="Times New Roman"/>
          <w:lang w:val="lt-LT"/>
        </w:rPr>
        <w:t>trijų krypčių (žr. 8 pav.): 1. p</w:t>
      </w:r>
      <w:r w:rsidRPr="000B544A">
        <w:rPr>
          <w:rFonts w:ascii="Times New Roman" w:hAnsi="Times New Roman"/>
          <w:lang w:val="lt-LT"/>
        </w:rPr>
        <w:t>asipriešinimo ir palaikymo lygių</w:t>
      </w:r>
      <w:r w:rsidR="009E30B9" w:rsidRPr="000B544A">
        <w:rPr>
          <w:rFonts w:ascii="Times New Roman" w:hAnsi="Times New Roman"/>
          <w:lang w:val="lt-LT"/>
        </w:rPr>
        <w:t>,</w:t>
      </w:r>
      <w:r w:rsidRPr="000B544A">
        <w:rPr>
          <w:rFonts w:ascii="Times New Roman" w:hAnsi="Times New Roman"/>
          <w:lang w:val="lt-LT"/>
        </w:rPr>
        <w:t xml:space="preserve"> </w:t>
      </w:r>
      <w:r w:rsidR="009E30B9" w:rsidRPr="000B544A">
        <w:rPr>
          <w:rFonts w:ascii="Times New Roman" w:hAnsi="Times New Roman"/>
          <w:lang w:val="lt-LT"/>
        </w:rPr>
        <w:t xml:space="preserve">krypčių </w:t>
      </w:r>
      <w:r w:rsidRPr="000B544A">
        <w:rPr>
          <w:rFonts w:ascii="Times New Roman" w:hAnsi="Times New Roman"/>
          <w:lang w:val="lt-LT"/>
        </w:rPr>
        <w:t>ar</w:t>
      </w:r>
      <w:r w:rsidR="009E30B9" w:rsidRPr="000B544A">
        <w:rPr>
          <w:rFonts w:ascii="Times New Roman" w:hAnsi="Times New Roman"/>
          <w:lang w:val="lt-LT"/>
        </w:rPr>
        <w:t xml:space="preserve"> kombinacijų</w:t>
      </w:r>
      <w:r w:rsidRPr="000B544A">
        <w:rPr>
          <w:rFonts w:ascii="Times New Roman" w:hAnsi="Times New Roman"/>
          <w:lang w:val="lt-LT"/>
        </w:rPr>
        <w:t xml:space="preserve"> </w:t>
      </w:r>
      <w:r w:rsidR="009E30B9" w:rsidRPr="000B544A">
        <w:rPr>
          <w:rFonts w:ascii="Times New Roman" w:hAnsi="Times New Roman"/>
          <w:lang w:val="lt-LT"/>
        </w:rPr>
        <w:t>piešimas ant grafiko, 2, matemat</w:t>
      </w:r>
      <w:r w:rsidR="00050CB0" w:rsidRPr="000B544A">
        <w:rPr>
          <w:rFonts w:ascii="Times New Roman" w:hAnsi="Times New Roman"/>
          <w:lang w:val="lt-LT"/>
        </w:rPr>
        <w:t>inių skaičiavimų pritaikymas gra</w:t>
      </w:r>
      <w:r w:rsidR="009E30B9" w:rsidRPr="000B544A">
        <w:rPr>
          <w:rFonts w:ascii="Times New Roman" w:hAnsi="Times New Roman"/>
          <w:lang w:val="lt-LT"/>
        </w:rPr>
        <w:t>fikams ir 3. t</w:t>
      </w:r>
      <w:r w:rsidRPr="000B544A">
        <w:rPr>
          <w:rFonts w:ascii="Times New Roman" w:hAnsi="Times New Roman"/>
          <w:lang w:val="lt-LT"/>
        </w:rPr>
        <w:t>echninės analizės indikatorių</w:t>
      </w:r>
      <w:r w:rsidR="009E30B9" w:rsidRPr="000B544A">
        <w:rPr>
          <w:rFonts w:ascii="Times New Roman" w:hAnsi="Times New Roman"/>
          <w:lang w:val="lt-LT"/>
        </w:rPr>
        <w:t xml:space="preserve"> matematinių</w:t>
      </w:r>
      <w:r w:rsidRPr="000B544A">
        <w:rPr>
          <w:rFonts w:ascii="Times New Roman" w:hAnsi="Times New Roman"/>
          <w:lang w:val="lt-LT"/>
        </w:rPr>
        <w:t xml:space="preserve"> reikšmių interpretavimas. Daugiausiai mokslininkai nagrinėja </w:t>
      </w:r>
      <w:r w:rsidR="009E30B9" w:rsidRPr="000B544A">
        <w:rPr>
          <w:rFonts w:ascii="Times New Roman" w:hAnsi="Times New Roman"/>
          <w:lang w:val="lt-LT"/>
        </w:rPr>
        <w:t>trečią</w:t>
      </w:r>
      <w:r w:rsidRPr="000B544A">
        <w:rPr>
          <w:rFonts w:ascii="Times New Roman" w:hAnsi="Times New Roman"/>
          <w:lang w:val="lt-LT"/>
        </w:rPr>
        <w:t xml:space="preserve"> kryptį – techninės analizės indikatorių generuojamus signalus</w:t>
      </w:r>
      <w:r w:rsidR="0074229F" w:rsidRPr="000B544A">
        <w:rPr>
          <w:rFonts w:ascii="Times New Roman" w:hAnsi="Times New Roman"/>
          <w:lang w:val="lt-LT"/>
        </w:rPr>
        <w:t>.</w:t>
      </w:r>
      <w:r w:rsidRPr="000B544A">
        <w:rPr>
          <w:rFonts w:ascii="Times New Roman" w:hAnsi="Times New Roman"/>
          <w:lang w:val="lt-LT"/>
        </w:rPr>
        <w:t xml:space="preserve"> </w:t>
      </w:r>
      <w:r w:rsidR="0074229F" w:rsidRPr="000B544A">
        <w:rPr>
          <w:rFonts w:ascii="Times New Roman" w:hAnsi="Times New Roman"/>
          <w:lang w:val="lt-LT"/>
        </w:rPr>
        <w:t>K</w:t>
      </w:r>
      <w:r w:rsidRPr="000B544A">
        <w:rPr>
          <w:rFonts w:ascii="Times New Roman" w:hAnsi="Times New Roman"/>
          <w:lang w:val="lt-LT"/>
        </w:rPr>
        <w:t>adangi šie signalai gaunami matematiškai ir yra suprantami vienodai. Techninės analizės „piešimas“ ant grafiko yra labiau subjektyvi analizė ir ji per daug priklauso nuo analitiko savybių, interpretacijų.</w:t>
      </w:r>
    </w:p>
    <w:p w:rsidR="007E339E" w:rsidRPr="000B544A" w:rsidRDefault="00481376" w:rsidP="00D508F5">
      <w:pPr>
        <w:spacing w:after="0" w:line="360" w:lineRule="auto"/>
        <w:ind w:firstLine="567"/>
        <w:jc w:val="both"/>
        <w:rPr>
          <w:rFonts w:ascii="Times New Roman" w:hAnsi="Times New Roman"/>
          <w:lang w:val="lt-LT"/>
        </w:rPr>
      </w:pPr>
      <w:r w:rsidRPr="000B544A">
        <w:rPr>
          <w:rFonts w:ascii="Times New Roman" w:hAnsi="Times New Roman"/>
          <w:lang w:val="lt-LT"/>
        </w:rPr>
        <w:t xml:space="preserve">Techninės analizės indikatoriai savo formulėse </w:t>
      </w:r>
      <w:r w:rsidR="007D54D6" w:rsidRPr="000B544A">
        <w:rPr>
          <w:rFonts w:ascii="Times New Roman" w:hAnsi="Times New Roman"/>
          <w:lang w:val="lt-LT"/>
        </w:rPr>
        <w:t>skaičiuoja</w:t>
      </w:r>
      <w:r w:rsidRPr="000B544A">
        <w:rPr>
          <w:rFonts w:ascii="Times New Roman" w:hAnsi="Times New Roman"/>
          <w:lang w:val="lt-LT"/>
        </w:rPr>
        <w:t xml:space="preserve"> įvairius duomenis</w:t>
      </w:r>
      <w:r w:rsidR="007E339E" w:rsidRPr="000B544A">
        <w:rPr>
          <w:rFonts w:ascii="Times New Roman" w:hAnsi="Times New Roman"/>
          <w:lang w:val="lt-LT"/>
        </w:rPr>
        <w:t xml:space="preserve"> </w:t>
      </w:r>
      <w:r w:rsidR="007D54D6" w:rsidRPr="000B544A">
        <w:rPr>
          <w:rFonts w:ascii="Times New Roman" w:hAnsi="Times New Roman"/>
          <w:lang w:val="lt-LT"/>
        </w:rPr>
        <w:t>susijusius su akcijos pirkimu-pardavimu. Kai kuriems indikatoriams reikalingos tik uždarymo kainos, kitiems reikia daugiau duomenų: atidarymo, aukščiausios, žemiausios ir uždarymo kainos, taip pat apyvartos a</w:t>
      </w:r>
      <w:r w:rsidR="007F10A6" w:rsidRPr="000B544A">
        <w:rPr>
          <w:rFonts w:ascii="Times New Roman" w:hAnsi="Times New Roman"/>
          <w:lang w:val="lt-LT"/>
        </w:rPr>
        <w:t xml:space="preserve">r kitos informacijos. Iš pavienių duomenų prognozuoti negalima, per mažai informacijos. Prognozavimui, indikatorių signalams reikia daugiau </w:t>
      </w:r>
      <w:r w:rsidR="00776E2A" w:rsidRPr="000B544A">
        <w:rPr>
          <w:rFonts w:ascii="Times New Roman" w:hAnsi="Times New Roman"/>
          <w:lang w:val="lt-LT"/>
        </w:rPr>
        <w:t>duomenų. Dažnai yra lyginamos praeities ir dabarties kainos, jų tendencijos.</w:t>
      </w:r>
    </w:p>
    <w:p w:rsidR="00776E2A" w:rsidRPr="000B544A" w:rsidRDefault="00776E2A" w:rsidP="00D508F5">
      <w:pPr>
        <w:spacing w:after="0" w:line="360" w:lineRule="auto"/>
        <w:ind w:firstLine="567"/>
        <w:jc w:val="both"/>
        <w:rPr>
          <w:rFonts w:ascii="Times New Roman" w:hAnsi="Times New Roman"/>
          <w:lang w:val="lt-LT"/>
        </w:rPr>
      </w:pPr>
      <w:r w:rsidRPr="000B544A">
        <w:rPr>
          <w:rFonts w:ascii="Times New Roman" w:hAnsi="Times New Roman"/>
          <w:lang w:val="lt-LT"/>
        </w:rPr>
        <w:t xml:space="preserve">Techninės analizės indikatoriai sukuria kitokį </w:t>
      </w:r>
      <w:r w:rsidR="00CE0407" w:rsidRPr="000B544A">
        <w:rPr>
          <w:rFonts w:ascii="Times New Roman" w:hAnsi="Times New Roman"/>
          <w:lang w:val="lt-LT"/>
        </w:rPr>
        <w:t>pagrindą prognozei, nei vien ti</w:t>
      </w:r>
      <w:r w:rsidRPr="000B544A">
        <w:rPr>
          <w:rFonts w:ascii="Times New Roman" w:hAnsi="Times New Roman"/>
          <w:lang w:val="lt-LT"/>
        </w:rPr>
        <w:t>k kainos grafikas. Indikatoriais bandoma atvaizduoti kainos elgesį, o kartais net ir investuotojų psichologiją. Ka</w:t>
      </w:r>
      <w:r w:rsidR="0074229F" w:rsidRPr="000B544A">
        <w:rPr>
          <w:rFonts w:ascii="Times New Roman" w:hAnsi="Times New Roman"/>
          <w:lang w:val="lt-LT"/>
        </w:rPr>
        <w:t>i kurie indikatoriai (pvz. p</w:t>
      </w:r>
      <w:r w:rsidRPr="000B544A">
        <w:rPr>
          <w:rFonts w:ascii="Times New Roman" w:hAnsi="Times New Roman"/>
          <w:lang w:val="lt-LT"/>
        </w:rPr>
        <w:t>aprastas slankusis vidurkis) yra skaičiuojami paprasta (pvz. vidurkio) fo</w:t>
      </w:r>
      <w:r w:rsidR="0074229F" w:rsidRPr="000B544A">
        <w:rPr>
          <w:rFonts w:ascii="Times New Roman" w:hAnsi="Times New Roman"/>
          <w:lang w:val="lt-LT"/>
        </w:rPr>
        <w:t>rmule. Kiti indikatoriai (pvz. p</w:t>
      </w:r>
      <w:r w:rsidRPr="000B544A">
        <w:rPr>
          <w:rFonts w:ascii="Times New Roman" w:hAnsi="Times New Roman"/>
          <w:lang w:val="lt-LT"/>
        </w:rPr>
        <w:t>inigų srauto indeksas) skaičiuojami ne taip paprastai, naudoja</w:t>
      </w:r>
      <w:r w:rsidR="0074229F" w:rsidRPr="000B544A">
        <w:rPr>
          <w:rFonts w:ascii="Times New Roman" w:hAnsi="Times New Roman"/>
          <w:lang w:val="lt-LT"/>
        </w:rPr>
        <w:t>nt</w:t>
      </w:r>
      <w:r w:rsidRPr="000B544A">
        <w:rPr>
          <w:rFonts w:ascii="Times New Roman" w:hAnsi="Times New Roman"/>
          <w:lang w:val="lt-LT"/>
        </w:rPr>
        <w:t xml:space="preserve"> kompleksą formulių. Indikatoriais siekiama palengvinti ateities kainų prognozavimą, todėl daug investuotojų analizuoja įvairius, individualiai strategijai tinkamus indikatorius.</w:t>
      </w:r>
    </w:p>
    <w:p w:rsidR="007E339E" w:rsidRPr="000B544A" w:rsidRDefault="00835070" w:rsidP="00757EAA">
      <w:pPr>
        <w:spacing w:after="0" w:line="360" w:lineRule="auto"/>
        <w:ind w:firstLine="567"/>
        <w:jc w:val="both"/>
        <w:rPr>
          <w:rFonts w:ascii="Times New Roman" w:hAnsi="Times New Roman"/>
          <w:lang w:val="lt-LT"/>
        </w:rPr>
      </w:pPr>
      <w:r w:rsidRPr="000B544A">
        <w:rPr>
          <w:rFonts w:ascii="Times New Roman" w:hAnsi="Times New Roman"/>
          <w:lang w:val="lt-LT"/>
        </w:rPr>
        <w:t xml:space="preserve">Vieningos techninės analizės indikatorių klasifikacijos nėra, todėl indikatoriai gali būti skirstomi ir </w:t>
      </w:r>
      <w:r w:rsidR="00776E2A" w:rsidRPr="000B544A">
        <w:rPr>
          <w:rFonts w:ascii="Times New Roman" w:hAnsi="Times New Roman"/>
          <w:lang w:val="lt-LT"/>
        </w:rPr>
        <w:t xml:space="preserve">į dvi pagrindines grupes: 1. osciliatorius ar pirmaujančius indikatorius ir 2. </w:t>
      </w:r>
      <w:r w:rsidR="00D919BD" w:rsidRPr="000B544A">
        <w:rPr>
          <w:rFonts w:ascii="Times New Roman" w:hAnsi="Times New Roman"/>
          <w:lang w:val="lt-LT"/>
        </w:rPr>
        <w:t>a</w:t>
      </w:r>
      <w:r w:rsidR="00776E2A" w:rsidRPr="000B544A">
        <w:rPr>
          <w:rFonts w:ascii="Times New Roman" w:hAnsi="Times New Roman"/>
          <w:lang w:val="lt-LT"/>
        </w:rPr>
        <w:t>tsiliekančius indikatorius.</w:t>
      </w:r>
      <w:r w:rsidR="008D3760" w:rsidRPr="000B544A">
        <w:rPr>
          <w:rFonts w:ascii="Times New Roman" w:hAnsi="Times New Roman"/>
          <w:lang w:val="lt-LT"/>
        </w:rPr>
        <w:t>[30]</w:t>
      </w:r>
      <w:r w:rsidR="00776E2A" w:rsidRPr="000B544A">
        <w:rPr>
          <w:rFonts w:ascii="Times New Roman" w:hAnsi="Times New Roman"/>
          <w:lang w:val="lt-LT"/>
        </w:rPr>
        <w:t xml:space="preserve"> </w:t>
      </w:r>
      <w:r w:rsidR="00E40C27" w:rsidRPr="000B544A">
        <w:rPr>
          <w:rFonts w:ascii="Times New Roman" w:hAnsi="Times New Roman"/>
          <w:lang w:val="lt-LT"/>
        </w:rPr>
        <w:t xml:space="preserve">Pirmaujantys indikatoriai atspindi kainos judėjimo kombinacijas per pasirinktą laikotarpį ir jų pagalba ieškoma rinkos krypties pasikeitimų. Atsiliekantys indikatoriai taip pat seka kainos judėjimą ir dažnai naudojami </w:t>
      </w:r>
      <w:r w:rsidR="004A4D65" w:rsidRPr="000B544A">
        <w:rPr>
          <w:rFonts w:ascii="Times New Roman" w:hAnsi="Times New Roman"/>
          <w:lang w:val="lt-LT"/>
        </w:rPr>
        <w:t>kartu su osciliatoriais, nes šie indikatoriai patvirtina kryptį. Pagal atsiliekančius indikatorius galima atsakyti į klausimą: ar rinkos kryptis stipri ir tęsis toliau, todėl laikoma, kad jie geriausiai veikia kryptingose rinkose.</w:t>
      </w:r>
    </w:p>
    <w:p w:rsidR="00CE0407" w:rsidRPr="000B544A" w:rsidRDefault="00A24E03" w:rsidP="00D508F5">
      <w:pPr>
        <w:spacing w:after="0" w:line="360" w:lineRule="auto"/>
        <w:ind w:firstLine="567"/>
        <w:jc w:val="both"/>
        <w:rPr>
          <w:rFonts w:ascii="Times New Roman" w:hAnsi="Times New Roman"/>
          <w:lang w:val="lt-LT"/>
        </w:rPr>
      </w:pPr>
      <w:r w:rsidRPr="000B544A">
        <w:rPr>
          <w:rFonts w:ascii="Times New Roman" w:hAnsi="Times New Roman"/>
          <w:lang w:val="lt-LT"/>
        </w:rPr>
        <w:lastRenderedPageBreak/>
        <w:t xml:space="preserve">Pirmieji techninės analizės </w:t>
      </w:r>
      <w:r w:rsidR="00683EFA" w:rsidRPr="000B544A">
        <w:rPr>
          <w:rFonts w:ascii="Times New Roman" w:hAnsi="Times New Roman"/>
          <w:lang w:val="lt-LT"/>
        </w:rPr>
        <w:t>vartotojai ir vystytojai pastebėjo ir suskirstė sandorių duomenis. Ta</w:t>
      </w:r>
      <w:r w:rsidR="0074229F" w:rsidRPr="000B544A">
        <w:rPr>
          <w:rFonts w:ascii="Times New Roman" w:hAnsi="Times New Roman"/>
          <w:lang w:val="lt-LT"/>
        </w:rPr>
        <w:t>da jie pastebėjo besikartojančiu</w:t>
      </w:r>
      <w:r w:rsidR="00683EFA" w:rsidRPr="000B544A">
        <w:rPr>
          <w:rFonts w:ascii="Times New Roman" w:hAnsi="Times New Roman"/>
          <w:lang w:val="lt-LT"/>
        </w:rPr>
        <w:t xml:space="preserve">s kainos modelius ir taip atsirado pirmosios techninės analizės teorijos. Kainos kryptis (aukštyn, žemyn ar dešinėn) </w:t>
      </w:r>
      <w:r w:rsidR="002A5B50" w:rsidRPr="000B544A">
        <w:rPr>
          <w:rFonts w:ascii="Times New Roman" w:hAnsi="Times New Roman"/>
          <w:lang w:val="lt-LT"/>
        </w:rPr>
        <w:t>tapo pirminiu</w:t>
      </w:r>
      <w:r w:rsidR="007B2ECC" w:rsidRPr="000B544A">
        <w:rPr>
          <w:rFonts w:ascii="Times New Roman" w:hAnsi="Times New Roman"/>
          <w:lang w:val="lt-LT"/>
        </w:rPr>
        <w:t xml:space="preserve"> techninės analizės </w:t>
      </w:r>
      <w:r w:rsidR="002A5B50" w:rsidRPr="000B544A">
        <w:rPr>
          <w:rFonts w:ascii="Times New Roman" w:hAnsi="Times New Roman"/>
          <w:lang w:val="lt-LT"/>
        </w:rPr>
        <w:t>prioritetu.</w:t>
      </w:r>
      <w:r w:rsidR="00865C78" w:rsidRPr="000B544A">
        <w:rPr>
          <w:rFonts w:ascii="Times New Roman" w:hAnsi="Times New Roman"/>
          <w:lang w:val="lt-LT"/>
        </w:rPr>
        <w:t xml:space="preserve"> </w:t>
      </w:r>
      <w:r w:rsidR="008D3760" w:rsidRPr="000B544A">
        <w:rPr>
          <w:rFonts w:ascii="Times New Roman" w:hAnsi="Times New Roman"/>
          <w:lang w:val="lt-LT"/>
        </w:rPr>
        <w:t>[32]</w:t>
      </w:r>
      <w:r w:rsidR="002A5B50" w:rsidRPr="000B544A">
        <w:rPr>
          <w:rFonts w:ascii="Times New Roman" w:hAnsi="Times New Roman"/>
          <w:lang w:val="lt-LT"/>
        </w:rPr>
        <w:t xml:space="preserve"> </w:t>
      </w:r>
      <w:r w:rsidR="00865C78" w:rsidRPr="000B544A">
        <w:rPr>
          <w:rFonts w:ascii="Times New Roman" w:hAnsi="Times New Roman"/>
          <w:lang w:val="lt-LT"/>
        </w:rPr>
        <w:t>Viena iš pagrindinių taisyklių techninėje analizėje yra prekiauti pagal kainos kryptį. Tai reiškia, kad jei manome, kad kaina kils arba kris, turime pasitikrinti ar mūsų prognozė sutampa su kainos kryptimi. Prekiauti „einant prieš rinką“ yra nerekomenduojama.</w:t>
      </w:r>
    </w:p>
    <w:p w:rsidR="002A5B50" w:rsidRPr="000B544A" w:rsidRDefault="00736C2E" w:rsidP="00D508F5">
      <w:pPr>
        <w:spacing w:after="0" w:line="360" w:lineRule="auto"/>
        <w:ind w:firstLine="567"/>
        <w:jc w:val="both"/>
        <w:rPr>
          <w:rFonts w:ascii="Times New Roman" w:hAnsi="Times New Roman"/>
          <w:lang w:val="lt-LT"/>
        </w:rPr>
      </w:pPr>
      <w:r w:rsidRPr="000B544A">
        <w:rPr>
          <w:rFonts w:ascii="Times New Roman" w:hAnsi="Times New Roman"/>
          <w:lang w:val="lt-LT"/>
        </w:rPr>
        <w:t xml:space="preserve">Pokyčio indikatoriai, kurie padeda nustatyti kainos greitį (angl. Price velocity), </w:t>
      </w:r>
      <w:r w:rsidR="007528ED" w:rsidRPr="000B544A">
        <w:rPr>
          <w:rFonts w:ascii="Times New Roman" w:hAnsi="Times New Roman"/>
          <w:lang w:val="lt-LT"/>
        </w:rPr>
        <w:t xml:space="preserve">kainos pasikeitimo mastą (angl. Rate of change of price movement) </w:t>
      </w:r>
      <w:r w:rsidR="008D3760" w:rsidRPr="000B544A">
        <w:rPr>
          <w:rFonts w:ascii="Times New Roman" w:hAnsi="Times New Roman"/>
          <w:lang w:val="lt-LT"/>
        </w:rPr>
        <w:t>[32]</w:t>
      </w:r>
      <w:r w:rsidR="0074229F" w:rsidRPr="000B544A">
        <w:rPr>
          <w:rFonts w:ascii="Times New Roman" w:hAnsi="Times New Roman"/>
          <w:lang w:val="lt-LT"/>
        </w:rPr>
        <w:t>. Šio tipo indikatoriai yra pirmaujantys indik</w:t>
      </w:r>
      <w:r w:rsidR="007528ED" w:rsidRPr="000B544A">
        <w:rPr>
          <w:rFonts w:ascii="Times New Roman" w:hAnsi="Times New Roman"/>
          <w:lang w:val="lt-LT"/>
        </w:rPr>
        <w:t>atoriai, kuri</w:t>
      </w:r>
      <w:r w:rsidR="0074229F" w:rsidRPr="000B544A">
        <w:rPr>
          <w:rFonts w:ascii="Times New Roman" w:hAnsi="Times New Roman"/>
          <w:lang w:val="lt-LT"/>
        </w:rPr>
        <w:t>e</w:t>
      </w:r>
      <w:r w:rsidR="007528ED" w:rsidRPr="000B544A">
        <w:rPr>
          <w:rFonts w:ascii="Times New Roman" w:hAnsi="Times New Roman"/>
          <w:lang w:val="lt-LT"/>
        </w:rPr>
        <w:t xml:space="preserve"> padeda atpažinti būsimus kainos krypties pasikeitimus. Pokyčio indikatoriaus pasikeitimas dažnai reiškia ir krypties pasikeitimą </w:t>
      </w:r>
      <w:r w:rsidR="008D3760" w:rsidRPr="000B544A">
        <w:rPr>
          <w:rFonts w:ascii="Times New Roman" w:hAnsi="Times New Roman"/>
          <w:lang w:val="lt-LT"/>
        </w:rPr>
        <w:t>[32]</w:t>
      </w:r>
      <w:r w:rsidR="007528ED" w:rsidRPr="000B544A">
        <w:rPr>
          <w:rFonts w:ascii="Times New Roman" w:hAnsi="Times New Roman"/>
          <w:lang w:val="lt-LT"/>
        </w:rPr>
        <w:t>. Tipiniame pagrindiniame rinkos cikle</w:t>
      </w:r>
      <w:r w:rsidR="004C5940" w:rsidRPr="000B544A">
        <w:rPr>
          <w:rFonts w:ascii="Times New Roman" w:hAnsi="Times New Roman"/>
          <w:lang w:val="lt-LT"/>
        </w:rPr>
        <w:t xml:space="preserve"> nauja kryptis prasideda kartu su aukštu ir didėjančiu pokyčio indikatoriumi. Tai vadinama naujos bulių rinkos signalu. Per kelis </w:t>
      </w:r>
      <w:r w:rsidR="0074229F" w:rsidRPr="000B544A">
        <w:rPr>
          <w:rFonts w:ascii="Times New Roman" w:hAnsi="Times New Roman"/>
          <w:lang w:val="lt-LT"/>
        </w:rPr>
        <w:t xml:space="preserve">kitus </w:t>
      </w:r>
      <w:r w:rsidR="004C5940" w:rsidRPr="000B544A">
        <w:rPr>
          <w:rFonts w:ascii="Times New Roman" w:hAnsi="Times New Roman"/>
          <w:lang w:val="lt-LT"/>
        </w:rPr>
        <w:t>mėnesius ar net metus šis teigiamas greitis sumažėja</w:t>
      </w:r>
      <w:r w:rsidR="00792967" w:rsidRPr="000B544A">
        <w:rPr>
          <w:rFonts w:ascii="Times New Roman" w:hAnsi="Times New Roman"/>
          <w:lang w:val="lt-LT"/>
        </w:rPr>
        <w:t xml:space="preserve"> ir kainos grafiko kreivė </w:t>
      </w:r>
      <w:r w:rsidR="00D94576" w:rsidRPr="000B544A">
        <w:rPr>
          <w:rFonts w:ascii="Times New Roman" w:hAnsi="Times New Roman"/>
          <w:lang w:val="lt-LT"/>
        </w:rPr>
        <w:t>lėkštėja. Taip pat pokyčio indikatoriai pasiekia savo didžiausią reikšmę pirmiau nei kaina</w:t>
      </w:r>
      <w:r w:rsidR="00835070" w:rsidRPr="000B544A">
        <w:rPr>
          <w:rFonts w:ascii="Times New Roman" w:hAnsi="Times New Roman"/>
          <w:lang w:val="lt-LT"/>
        </w:rPr>
        <w:t>[24]</w:t>
      </w:r>
      <w:r w:rsidR="00D94576" w:rsidRPr="000B544A">
        <w:rPr>
          <w:rFonts w:ascii="Times New Roman" w:hAnsi="Times New Roman"/>
          <w:lang w:val="lt-LT"/>
        </w:rPr>
        <w:t>. Sumažėjus kainos judėjimo greičiui kaina visdar kyla, bet nebe taip greitai iki kol pasiekia aukščiausią tašką (arba žemiausią bulių rinkoje) ir pakeičia kryptį.</w:t>
      </w:r>
      <w:r w:rsidR="00993A4C" w:rsidRPr="000B544A">
        <w:rPr>
          <w:rFonts w:ascii="Times New Roman" w:hAnsi="Times New Roman"/>
          <w:lang w:val="lt-LT"/>
        </w:rPr>
        <w:t xml:space="preserve"> Investuotojai, techninės analizės vartotojai laukia, kol kaina, pasiekusi aukščiausią tašką šiek tiek nukris žemyn ir tada vėl kildama pasieks naują aukščiausią tašką. Tuo pat metu žiūrima į pokyčio indikatorius</w:t>
      </w:r>
      <w:r w:rsidR="002E2EF2" w:rsidRPr="000B544A">
        <w:rPr>
          <w:rFonts w:ascii="Times New Roman" w:hAnsi="Times New Roman"/>
          <w:lang w:val="lt-LT"/>
        </w:rPr>
        <w:t xml:space="preserve"> ir jei šių reikšmė kainai pasiekus aukščiausią tašką nebūna didesnė už prieš tai buvusios bangos reikšmes, tuomet gaunamas signalas, kad kaina apsisuka. Nors kaina dar</w:t>
      </w:r>
      <w:r w:rsidR="0074229F" w:rsidRPr="000B544A">
        <w:rPr>
          <w:rFonts w:ascii="Times New Roman" w:hAnsi="Times New Roman"/>
          <w:lang w:val="lt-LT"/>
        </w:rPr>
        <w:t xml:space="preserve"> tik</w:t>
      </w:r>
      <w:r w:rsidR="002E2EF2" w:rsidRPr="000B544A">
        <w:rPr>
          <w:rFonts w:ascii="Times New Roman" w:hAnsi="Times New Roman"/>
          <w:lang w:val="lt-LT"/>
        </w:rPr>
        <w:t xml:space="preserve"> pakilo į naujas aukštumas, bet pokyčio indikatoriaus reikšmė neberodo tokio stipraus kilimo ir iš to galima </w:t>
      </w:r>
      <w:r w:rsidR="0074229F" w:rsidRPr="000B544A">
        <w:rPr>
          <w:rFonts w:ascii="Times New Roman" w:hAnsi="Times New Roman"/>
          <w:lang w:val="lt-LT"/>
        </w:rPr>
        <w:t>s</w:t>
      </w:r>
      <w:r w:rsidR="002E2EF2" w:rsidRPr="000B544A">
        <w:rPr>
          <w:rFonts w:ascii="Times New Roman" w:hAnsi="Times New Roman"/>
          <w:lang w:val="lt-LT"/>
        </w:rPr>
        <w:t>pręsti, kad keičiasi kryptis. Tai vadinama neigiama divergencija</w:t>
      </w:r>
      <w:r w:rsidR="00835070" w:rsidRPr="000B544A">
        <w:rPr>
          <w:rFonts w:ascii="Times New Roman" w:hAnsi="Times New Roman"/>
          <w:lang w:val="lt-LT"/>
        </w:rPr>
        <w:t xml:space="preserve"> [12]</w:t>
      </w:r>
      <w:r w:rsidR="002E2EF2" w:rsidRPr="000B544A">
        <w:rPr>
          <w:rFonts w:ascii="Times New Roman" w:hAnsi="Times New Roman"/>
          <w:lang w:val="lt-LT"/>
        </w:rPr>
        <w:t>. Galima ir priešinga situacija. Jei kaina krenta</w:t>
      </w:r>
      <w:r w:rsidR="0074229F" w:rsidRPr="000B544A">
        <w:rPr>
          <w:rFonts w:ascii="Times New Roman" w:hAnsi="Times New Roman"/>
          <w:lang w:val="lt-LT"/>
        </w:rPr>
        <w:t>,</w:t>
      </w:r>
      <w:r w:rsidR="002E2EF2" w:rsidRPr="000B544A">
        <w:rPr>
          <w:rFonts w:ascii="Times New Roman" w:hAnsi="Times New Roman"/>
          <w:lang w:val="lt-LT"/>
        </w:rPr>
        <w:t xml:space="preserve"> pokyčio indikatoriai ta</w:t>
      </w:r>
      <w:r w:rsidR="0074229F" w:rsidRPr="000B544A">
        <w:rPr>
          <w:rFonts w:ascii="Times New Roman" w:hAnsi="Times New Roman"/>
          <w:lang w:val="lt-LT"/>
        </w:rPr>
        <w:t>ip pat krenta. Tada šiek tiek pa</w:t>
      </w:r>
      <w:r w:rsidR="002E2EF2" w:rsidRPr="000B544A">
        <w:rPr>
          <w:rFonts w:ascii="Times New Roman" w:hAnsi="Times New Roman"/>
          <w:lang w:val="lt-LT"/>
        </w:rPr>
        <w:t>kilusi kaina nukrenta iki žemesnio lygio, nei buvo prieš tai, o pokyčio indikatorių reikšmės nebenukrenta že</w:t>
      </w:r>
      <w:r w:rsidR="0042428E" w:rsidRPr="000B544A">
        <w:rPr>
          <w:rFonts w:ascii="Times New Roman" w:hAnsi="Times New Roman"/>
          <w:lang w:val="lt-LT"/>
        </w:rPr>
        <w:t>miau prieš tai buvusio lygio. T</w:t>
      </w:r>
      <w:r w:rsidR="002E2EF2" w:rsidRPr="000B544A">
        <w:rPr>
          <w:rFonts w:ascii="Times New Roman" w:hAnsi="Times New Roman"/>
          <w:lang w:val="lt-LT"/>
        </w:rPr>
        <w:t>okia situacija vadinama teigiama divergencija.</w:t>
      </w:r>
      <w:r w:rsidR="006D038E" w:rsidRPr="000B544A">
        <w:rPr>
          <w:rFonts w:ascii="Times New Roman" w:hAnsi="Times New Roman"/>
          <w:lang w:val="lt-LT"/>
        </w:rPr>
        <w:t xml:space="preserve"> Net ir kainai nei kylant nei krentant, o laikantis panašiame lygyje kaina ankščiau ar vėliau įgauna kryptį ir pasiekia naujus lygius. Kaina pasiekia naujus lygius kartu su didelėmis apyvartomis ir dideliu kainos greičiu, tai ir yra tie signalai, dėl kurių pokyčio indikatoriai yra vertinami.</w:t>
      </w:r>
    </w:p>
    <w:p w:rsidR="006D038E" w:rsidRPr="000B544A" w:rsidRDefault="00E731EA" w:rsidP="00D508F5">
      <w:pPr>
        <w:spacing w:after="0" w:line="360" w:lineRule="auto"/>
        <w:ind w:firstLine="567"/>
        <w:jc w:val="both"/>
        <w:rPr>
          <w:rFonts w:ascii="Times New Roman" w:hAnsi="Times New Roman"/>
          <w:lang w:val="lt-LT"/>
        </w:rPr>
      </w:pPr>
      <w:r w:rsidRPr="000B544A">
        <w:rPr>
          <w:rFonts w:ascii="Times New Roman" w:hAnsi="Times New Roman"/>
          <w:lang w:val="lt-LT"/>
        </w:rPr>
        <w:t>Rinkos nuotaikų (angl. Sentiment) indikatoriai yra pagrįsti priešingos nuomonės teorija (angl. Theory of Contrary Opinion)</w:t>
      </w:r>
      <w:r w:rsidR="00AD2515" w:rsidRPr="000B544A">
        <w:rPr>
          <w:rFonts w:ascii="Times New Roman" w:hAnsi="Times New Roman"/>
          <w:lang w:val="lt-LT"/>
        </w:rPr>
        <w:t>[45]</w:t>
      </w:r>
      <w:r w:rsidRPr="000B544A">
        <w:rPr>
          <w:rFonts w:ascii="Times New Roman" w:hAnsi="Times New Roman"/>
          <w:lang w:val="lt-LT"/>
        </w:rPr>
        <w:t>. Kai investuotojai tampa „pakylėti“ emociškai ir pradeda tikėti, kad rinkos kils amžinai, tuomet pagal šią teoriją investuotojai perdeda ir elgiasi neprotingai. Šiuose indikatoriuose naudojamos trumpos pozicijos (angl. Short sales), pasiūla, paklausa ir investicijų patarėjų</w:t>
      </w:r>
      <w:r w:rsidR="0074229F" w:rsidRPr="000B544A">
        <w:rPr>
          <w:rFonts w:ascii="Times New Roman" w:hAnsi="Times New Roman"/>
          <w:lang w:val="lt-LT"/>
        </w:rPr>
        <w:t xml:space="preserve"> nuomonė. Rinkos nuotaikos indik</w:t>
      </w:r>
      <w:r w:rsidRPr="000B544A">
        <w:rPr>
          <w:rFonts w:ascii="Times New Roman" w:hAnsi="Times New Roman"/>
          <w:lang w:val="lt-LT"/>
        </w:rPr>
        <w:t xml:space="preserve">atoriai išryškina </w:t>
      </w:r>
      <w:r w:rsidR="00494246" w:rsidRPr="000B544A">
        <w:rPr>
          <w:rFonts w:ascii="Times New Roman" w:hAnsi="Times New Roman"/>
          <w:lang w:val="lt-LT"/>
        </w:rPr>
        <w:t>bulių perteklių (perpirkta rinka) ir meškų perteklių (perparduota rinka).</w:t>
      </w:r>
    </w:p>
    <w:p w:rsidR="001A464F" w:rsidRPr="000B544A" w:rsidRDefault="00BE08AB" w:rsidP="00875C12">
      <w:pPr>
        <w:spacing w:after="0" w:line="360" w:lineRule="auto"/>
        <w:ind w:firstLine="567"/>
        <w:jc w:val="both"/>
        <w:rPr>
          <w:rFonts w:ascii="Times New Roman" w:hAnsi="Times New Roman"/>
          <w:lang w:val="lt-LT"/>
        </w:rPr>
      </w:pPr>
      <w:r w:rsidRPr="000B544A">
        <w:rPr>
          <w:rFonts w:ascii="Times New Roman" w:hAnsi="Times New Roman"/>
          <w:lang w:val="lt-LT"/>
        </w:rPr>
        <w:t>Kitų rūšių indikatoriai nepriskiriami prie techninių indikatorių, bet yra plačiai naudojami akcijų rinkos prognozavime. Fundamentalūs indikatoriai taip pat gali duoti naudą investuotojui. Juos taip pat galima tikrinti pagal tokią pačią metodiką, kaip ir techninius indikatorius.</w:t>
      </w:r>
    </w:p>
    <w:p w:rsidR="00875C12" w:rsidRPr="000B544A" w:rsidRDefault="00875C12" w:rsidP="00875C12">
      <w:pPr>
        <w:pStyle w:val="Heading2"/>
        <w:spacing w:before="0" w:line="360" w:lineRule="auto"/>
        <w:rPr>
          <w:rFonts w:ascii="Times New Roman" w:hAnsi="Times New Roman"/>
          <w:color w:val="auto"/>
          <w:szCs w:val="26"/>
          <w:lang w:val="lt-LT"/>
        </w:rPr>
      </w:pPr>
      <w:bookmarkStart w:id="20" w:name="_Toc312047636"/>
      <w:r w:rsidRPr="000B544A">
        <w:rPr>
          <w:rFonts w:ascii="Times New Roman" w:hAnsi="Times New Roman"/>
          <w:color w:val="auto"/>
          <w:szCs w:val="26"/>
          <w:lang w:val="lt-LT"/>
        </w:rPr>
        <w:lastRenderedPageBreak/>
        <w:t>1.</w:t>
      </w:r>
      <w:r w:rsidR="00015BEB" w:rsidRPr="000B544A">
        <w:rPr>
          <w:rFonts w:ascii="Times New Roman" w:hAnsi="Times New Roman"/>
          <w:color w:val="auto"/>
          <w:szCs w:val="26"/>
          <w:lang w:val="lt-LT"/>
        </w:rPr>
        <w:t>4</w:t>
      </w:r>
      <w:r w:rsidRPr="000B544A">
        <w:rPr>
          <w:rFonts w:ascii="Times New Roman" w:hAnsi="Times New Roman"/>
          <w:color w:val="auto"/>
          <w:szCs w:val="26"/>
          <w:lang w:val="lt-LT"/>
        </w:rPr>
        <w:t xml:space="preserve"> Techninės analizės kritika</w:t>
      </w:r>
      <w:bookmarkEnd w:id="20"/>
    </w:p>
    <w:p w:rsidR="00DF3812" w:rsidRPr="000B544A" w:rsidRDefault="00C402CA" w:rsidP="006C2128">
      <w:pPr>
        <w:spacing w:after="0" w:line="360" w:lineRule="auto"/>
        <w:ind w:firstLine="567"/>
        <w:jc w:val="both"/>
        <w:rPr>
          <w:rFonts w:ascii="Times New Roman" w:hAnsi="Times New Roman"/>
          <w:lang w:val="lt-LT"/>
        </w:rPr>
      </w:pPr>
      <w:r w:rsidRPr="000B544A">
        <w:rPr>
          <w:rFonts w:ascii="Times New Roman" w:hAnsi="Times New Roman"/>
          <w:lang w:val="lt-LT"/>
        </w:rPr>
        <w:t>Y</w:t>
      </w:r>
      <w:r w:rsidR="001D4A02" w:rsidRPr="000B544A">
        <w:rPr>
          <w:rFonts w:ascii="Times New Roman" w:hAnsi="Times New Roman"/>
          <w:lang w:val="lt-LT"/>
        </w:rPr>
        <w:t>ra du pagrindiniai klausimai, kurie neduoda ramybės techninės analizės srityje. Vienas yra savaime išsipildanti pranašystė (angl. Self-fulfilling prophecy), o kitas klausimas ar gali praeities kainos padėti prognozuoti ateitį</w:t>
      </w:r>
      <w:r w:rsidR="00DF3812" w:rsidRPr="000B544A">
        <w:rPr>
          <w:rFonts w:ascii="Times New Roman" w:hAnsi="Times New Roman"/>
          <w:lang w:val="lt-LT"/>
        </w:rPr>
        <w:t xml:space="preserve"> [13]</w:t>
      </w:r>
      <w:r w:rsidR="001D4A02" w:rsidRPr="000B544A">
        <w:rPr>
          <w:rFonts w:ascii="Times New Roman" w:hAnsi="Times New Roman"/>
          <w:lang w:val="lt-LT"/>
        </w:rPr>
        <w:t>. Kritikai dažnai sako, kad „iš grafikų galima pasakyti, kokia kaina buvo, bet negali pasakyti, kurlink kaina juda“. Atkirtis kritikai dažnai nuskamba taip: „iš grafikų nesužinosi nieko, jei nemoki jų skaityti“.</w:t>
      </w:r>
      <w:r w:rsidR="00DF3812" w:rsidRPr="000B544A">
        <w:rPr>
          <w:rFonts w:ascii="Times New Roman" w:hAnsi="Times New Roman"/>
          <w:lang w:val="lt-LT"/>
        </w:rPr>
        <w:t xml:space="preserve"> Atsitiktinio judėjimo teorija (angl. Random walk theory) abejoja bet kokiomis prognozavimo metodikomis, kurios galėtų rezultatais pralenkti paprastą „pirk ir laikyk“ strategiją.</w:t>
      </w:r>
      <w:r w:rsidR="006C2128" w:rsidRPr="000B544A">
        <w:rPr>
          <w:rFonts w:ascii="Times New Roman" w:hAnsi="Times New Roman"/>
          <w:lang w:val="lt-LT"/>
        </w:rPr>
        <w:t>[34]</w:t>
      </w:r>
    </w:p>
    <w:p w:rsidR="001D4A02" w:rsidRPr="000B544A" w:rsidRDefault="006C2128" w:rsidP="00875C12">
      <w:pPr>
        <w:spacing w:after="0" w:line="360" w:lineRule="auto"/>
        <w:ind w:firstLine="567"/>
        <w:jc w:val="both"/>
        <w:rPr>
          <w:rFonts w:ascii="Times New Roman" w:hAnsi="Times New Roman"/>
          <w:lang w:val="lt-LT"/>
        </w:rPr>
      </w:pPr>
      <w:r w:rsidRPr="000B544A">
        <w:rPr>
          <w:rFonts w:ascii="Times New Roman" w:hAnsi="Times New Roman"/>
          <w:lang w:val="lt-LT"/>
        </w:rPr>
        <w:t>Klausimas dėl savaime išsipildančios pranašystės yra labai aktualus, nes jis keliamas labai dažnai.</w:t>
      </w:r>
      <w:r w:rsidR="002C6ED5" w:rsidRPr="000B544A">
        <w:rPr>
          <w:rFonts w:ascii="Times New Roman" w:hAnsi="Times New Roman"/>
          <w:lang w:val="lt-LT"/>
        </w:rPr>
        <w:t xml:space="preserve"> Geriausias būdas išaiškinti jį </w:t>
      </w:r>
      <w:r w:rsidR="00C402CA" w:rsidRPr="000B544A">
        <w:rPr>
          <w:rFonts w:ascii="Times New Roman" w:hAnsi="Times New Roman"/>
          <w:lang w:val="lt-LT"/>
        </w:rPr>
        <w:t>-</w:t>
      </w:r>
      <w:r w:rsidR="002C6ED5" w:rsidRPr="000B544A">
        <w:rPr>
          <w:rFonts w:ascii="Times New Roman" w:hAnsi="Times New Roman"/>
          <w:lang w:val="lt-LT"/>
        </w:rPr>
        <w:t xml:space="preserve"> pradėti aiškinti nuo grafikų analizės trūkumų:</w:t>
      </w:r>
    </w:p>
    <w:p w:rsidR="002C6ED5" w:rsidRPr="000B544A" w:rsidRDefault="002C6ED5" w:rsidP="002C6ED5">
      <w:pPr>
        <w:numPr>
          <w:ilvl w:val="0"/>
          <w:numId w:val="22"/>
        </w:numPr>
        <w:spacing w:after="0" w:line="360" w:lineRule="auto"/>
        <w:jc w:val="both"/>
        <w:rPr>
          <w:rFonts w:ascii="Times New Roman" w:hAnsi="Times New Roman"/>
          <w:lang w:val="lt-LT"/>
        </w:rPr>
      </w:pPr>
      <w:r w:rsidRPr="000B544A">
        <w:rPr>
          <w:rFonts w:ascii="Times New Roman" w:hAnsi="Times New Roman"/>
          <w:lang w:val="lt-LT"/>
        </w:rPr>
        <w:t>Kainų modelių naudojimas yra labai plačiai pa</w:t>
      </w:r>
      <w:r w:rsidR="00C402CA" w:rsidRPr="000B544A">
        <w:rPr>
          <w:rFonts w:ascii="Times New Roman" w:hAnsi="Times New Roman"/>
          <w:lang w:val="lt-LT"/>
        </w:rPr>
        <w:t>p</w:t>
      </w:r>
      <w:r w:rsidRPr="000B544A">
        <w:rPr>
          <w:rFonts w:ascii="Times New Roman" w:hAnsi="Times New Roman"/>
          <w:lang w:val="lt-LT"/>
        </w:rPr>
        <w:t xml:space="preserve">litęs ir </w:t>
      </w:r>
      <w:r w:rsidR="00F631D5" w:rsidRPr="000B544A">
        <w:rPr>
          <w:rFonts w:ascii="Times New Roman" w:hAnsi="Times New Roman"/>
          <w:lang w:val="lt-LT"/>
        </w:rPr>
        <w:t>dauguma analitikų ir investuotojų žino šiuos modelius. Kadangi dauguma investuotojų juos žino ir taiko, tai tokie patys veiksmai atliekami daugelio investuotojų</w:t>
      </w:r>
      <w:r w:rsidR="00C402CA" w:rsidRPr="000B544A">
        <w:rPr>
          <w:rFonts w:ascii="Times New Roman" w:hAnsi="Times New Roman"/>
          <w:lang w:val="lt-LT"/>
        </w:rPr>
        <w:t>,</w:t>
      </w:r>
      <w:r w:rsidR="00F631D5" w:rsidRPr="000B544A">
        <w:rPr>
          <w:rFonts w:ascii="Times New Roman" w:hAnsi="Times New Roman"/>
          <w:lang w:val="lt-LT"/>
        </w:rPr>
        <w:t xml:space="preserve"> sukuria savaime išsipildančią pranašystę, kai pirkimo ar pardavimo sandorių antplūdžiai sukuria laukiamą efektą.</w:t>
      </w:r>
    </w:p>
    <w:p w:rsidR="00F631D5" w:rsidRPr="000B544A" w:rsidRDefault="00F631D5" w:rsidP="002C6ED5">
      <w:pPr>
        <w:numPr>
          <w:ilvl w:val="0"/>
          <w:numId w:val="22"/>
        </w:numPr>
        <w:spacing w:after="0" w:line="360" w:lineRule="auto"/>
        <w:jc w:val="both"/>
        <w:rPr>
          <w:rFonts w:ascii="Times New Roman" w:hAnsi="Times New Roman"/>
          <w:lang w:val="lt-LT"/>
        </w:rPr>
      </w:pPr>
      <w:r w:rsidRPr="000B544A">
        <w:rPr>
          <w:rFonts w:ascii="Times New Roman" w:hAnsi="Times New Roman"/>
          <w:lang w:val="lt-LT"/>
        </w:rPr>
        <w:t>Kainų modeliai yra labai subjektyvus analizės metodas. Dar nebuvo nei vienos studijos, kuri matematiškai įrodytų jų veikimą [13]. Šie kainų modeliai yra analitikų pas</w:t>
      </w:r>
      <w:r w:rsidR="00C402CA" w:rsidRPr="000B544A">
        <w:rPr>
          <w:rFonts w:ascii="Times New Roman" w:hAnsi="Times New Roman"/>
          <w:lang w:val="lt-LT"/>
        </w:rPr>
        <w:t>ą</w:t>
      </w:r>
      <w:r w:rsidRPr="000B544A">
        <w:rPr>
          <w:rFonts w:ascii="Times New Roman" w:hAnsi="Times New Roman"/>
          <w:lang w:val="lt-LT"/>
        </w:rPr>
        <w:t>monėje ir jie yra įžvelgiami subjektyviai</w:t>
      </w:r>
      <w:r w:rsidR="006E5559" w:rsidRPr="000B544A">
        <w:rPr>
          <w:rFonts w:ascii="Times New Roman" w:hAnsi="Times New Roman"/>
          <w:lang w:val="lt-LT"/>
        </w:rPr>
        <w:t xml:space="preserve"> kiekvieno savaip.</w:t>
      </w:r>
    </w:p>
    <w:p w:rsidR="00787C9C" w:rsidRPr="000B544A" w:rsidRDefault="00590E6C" w:rsidP="00787C9C">
      <w:pPr>
        <w:spacing w:after="0" w:line="360" w:lineRule="auto"/>
        <w:ind w:firstLine="567"/>
        <w:jc w:val="both"/>
        <w:rPr>
          <w:rFonts w:ascii="Times New Roman" w:hAnsi="Times New Roman"/>
          <w:lang w:val="lt-LT"/>
        </w:rPr>
      </w:pPr>
      <w:r w:rsidRPr="000B544A">
        <w:rPr>
          <w:rFonts w:ascii="Times New Roman" w:hAnsi="Times New Roman"/>
          <w:lang w:val="lt-LT"/>
        </w:rPr>
        <w:t>Šios dvi kritikos prieštarauja viena kitai. Jei kainų modeliai yra pilnai subjektyvūs ir priklauso nuo analitiko, tai sunku įsivaizduoti, kaip visi analitikai gali matyti „tą patį“, kas ir yra savaime išsipildanti pranašystė</w:t>
      </w:r>
      <w:r w:rsidR="00787C9C" w:rsidRPr="000B544A">
        <w:rPr>
          <w:rFonts w:ascii="Times New Roman" w:hAnsi="Times New Roman"/>
          <w:lang w:val="lt-LT"/>
        </w:rPr>
        <w:t xml:space="preserve"> [13]</w:t>
      </w:r>
      <w:r w:rsidRPr="000B544A">
        <w:rPr>
          <w:rFonts w:ascii="Times New Roman" w:hAnsi="Times New Roman"/>
          <w:lang w:val="lt-LT"/>
        </w:rPr>
        <w:t>. Kritikai negali kritikuoti techninės analizės dėl subjektyvumo ar objektyvumo tuo pačiu metu. Jei jie kritikuoja techninę analizę dėl subjektyvumo, kad kiekvienas analitikas grafikuose kainų modelius gali įžvelgti savaip, tai ši kritika prieštarauja kitai techninės analizės kritikai, kuri teigia, jog visi investuotojai</w:t>
      </w:r>
      <w:r w:rsidR="00C402CA" w:rsidRPr="000B544A">
        <w:rPr>
          <w:rFonts w:ascii="Times New Roman" w:hAnsi="Times New Roman"/>
          <w:lang w:val="lt-LT"/>
        </w:rPr>
        <w:t>,</w:t>
      </w:r>
      <w:r w:rsidRPr="000B544A">
        <w:rPr>
          <w:rFonts w:ascii="Times New Roman" w:hAnsi="Times New Roman"/>
          <w:lang w:val="lt-LT"/>
        </w:rPr>
        <w:t xml:space="preserve"> matydami tokią pačią situaciją</w:t>
      </w:r>
      <w:r w:rsidR="00C402CA" w:rsidRPr="000B544A">
        <w:rPr>
          <w:rFonts w:ascii="Times New Roman" w:hAnsi="Times New Roman"/>
          <w:lang w:val="lt-LT"/>
        </w:rPr>
        <w:t>,</w:t>
      </w:r>
      <w:r w:rsidRPr="000B544A">
        <w:rPr>
          <w:rFonts w:ascii="Times New Roman" w:hAnsi="Times New Roman"/>
          <w:lang w:val="lt-LT"/>
        </w:rPr>
        <w:t xml:space="preserve"> veikia vienodai ir dėl šios vienybės nukreipia kainą reikiama linkme. </w:t>
      </w:r>
    </w:p>
    <w:p w:rsidR="00787C9C" w:rsidRPr="000B544A" w:rsidRDefault="00787C9C" w:rsidP="00787C9C">
      <w:pPr>
        <w:spacing w:after="0" w:line="360" w:lineRule="auto"/>
        <w:ind w:firstLine="567"/>
        <w:jc w:val="both"/>
        <w:rPr>
          <w:rFonts w:ascii="Times New Roman" w:hAnsi="Times New Roman"/>
          <w:lang w:val="lt-LT"/>
        </w:rPr>
      </w:pPr>
      <w:r w:rsidRPr="000B544A">
        <w:rPr>
          <w:rFonts w:ascii="Times New Roman" w:hAnsi="Times New Roman"/>
          <w:lang w:val="lt-LT"/>
        </w:rPr>
        <w:t>Iš tikrųjų, grafikų analizė yra labai subjektyvi. Dažnai galima sutikti pasakymą, kad „grafikų analizė yra menas“. Grafikų kainų modeliai retai būna aiškūs, kad net patyrę analitikai</w:t>
      </w:r>
      <w:r w:rsidR="00CE2B2B" w:rsidRPr="000B544A">
        <w:rPr>
          <w:rFonts w:ascii="Times New Roman" w:hAnsi="Times New Roman"/>
          <w:lang w:val="lt-LT"/>
        </w:rPr>
        <w:t xml:space="preserve"> tam pritaria. Visada būna kažkas, kas verčia abejoti ar tai tikrai yra tas modelis.</w:t>
      </w:r>
    </w:p>
    <w:p w:rsidR="00CE2B2B" w:rsidRPr="000B544A" w:rsidRDefault="00CE2B2B" w:rsidP="00787C9C">
      <w:pPr>
        <w:spacing w:after="0" w:line="360" w:lineRule="auto"/>
        <w:ind w:firstLine="567"/>
        <w:jc w:val="both"/>
        <w:rPr>
          <w:rFonts w:ascii="Times New Roman" w:hAnsi="Times New Roman"/>
          <w:lang w:val="lt-LT"/>
        </w:rPr>
      </w:pPr>
      <w:r w:rsidRPr="000B544A">
        <w:rPr>
          <w:rFonts w:ascii="Times New Roman" w:hAnsi="Times New Roman"/>
          <w:lang w:val="lt-LT"/>
        </w:rPr>
        <w:t>Net jei ir techninės analizės šalininkai sutinka su rinkos prognoze, jie nebūtinai visi įeis į rinką tuo pačiu metu ir tokiu pačiu sandoriu [13]. Vieni gali bandyti užbėgti rinkai už akių ir atidaryti poziciją anksčiau. Kiti palauks ilgiau ir</w:t>
      </w:r>
      <w:r w:rsidR="00C402CA" w:rsidRPr="000B544A">
        <w:rPr>
          <w:rFonts w:ascii="Times New Roman" w:hAnsi="Times New Roman"/>
          <w:lang w:val="lt-LT"/>
        </w:rPr>
        <w:t xml:space="preserve"> tik</w:t>
      </w:r>
      <w:r w:rsidRPr="000B544A">
        <w:rPr>
          <w:rFonts w:ascii="Times New Roman" w:hAnsi="Times New Roman"/>
          <w:lang w:val="lt-LT"/>
        </w:rPr>
        <w:t xml:space="preserve"> įsitikinę rinkos pasikeitimo faktu, bei sulaukę patvirtinimo</w:t>
      </w:r>
      <w:r w:rsidR="00C402CA" w:rsidRPr="000B544A">
        <w:rPr>
          <w:rFonts w:ascii="Times New Roman" w:hAnsi="Times New Roman"/>
          <w:lang w:val="lt-LT"/>
        </w:rPr>
        <w:t>,</w:t>
      </w:r>
      <w:r w:rsidRPr="000B544A">
        <w:rPr>
          <w:rFonts w:ascii="Times New Roman" w:hAnsi="Times New Roman"/>
          <w:lang w:val="lt-LT"/>
        </w:rPr>
        <w:t xml:space="preserve"> vėluodami atliks sandorį. Dar kiti gali įeiti į rinką tarp šių kraštutinių investuotojų. Kai kurie investuotojai laikosi agresyvios strate</w:t>
      </w:r>
      <w:r w:rsidR="00C402CA" w:rsidRPr="000B544A">
        <w:rPr>
          <w:rFonts w:ascii="Times New Roman" w:hAnsi="Times New Roman"/>
          <w:lang w:val="lt-LT"/>
        </w:rPr>
        <w:t>gijos, kiti yra konservatyvesni</w:t>
      </w:r>
      <w:r w:rsidRPr="000B544A">
        <w:rPr>
          <w:rFonts w:ascii="Times New Roman" w:hAnsi="Times New Roman"/>
          <w:lang w:val="lt-LT"/>
        </w:rPr>
        <w:t xml:space="preserve">, kai kurie naudoja iš anksto nustatomus sandorius, kuriuos kompiuteris vykdo automatiškai kainai pasiekus tam tikrą ribą, kiti mėgsta atidaryti sandorius patys, tada kada jiems atrodo geriausias laikas. Yra daug skirtingų investuotojų su savo skirtingomis savybėmis, tikslais ir strategijomis, todėl </w:t>
      </w:r>
      <w:r w:rsidR="00A11529" w:rsidRPr="000B544A">
        <w:rPr>
          <w:rFonts w:ascii="Times New Roman" w:hAnsi="Times New Roman"/>
          <w:lang w:val="lt-LT"/>
        </w:rPr>
        <w:t>investuotojų reagavimas į tam tikrus kainos modelius negali būti toks pat ir tuo pačiu metu.</w:t>
      </w:r>
    </w:p>
    <w:p w:rsidR="00A11529" w:rsidRPr="000B544A" w:rsidRDefault="00796606" w:rsidP="00787C9C">
      <w:pPr>
        <w:spacing w:after="0" w:line="360" w:lineRule="auto"/>
        <w:ind w:firstLine="567"/>
        <w:jc w:val="both"/>
        <w:rPr>
          <w:rFonts w:ascii="Times New Roman" w:hAnsi="Times New Roman"/>
          <w:lang w:val="lt-LT"/>
        </w:rPr>
      </w:pPr>
      <w:r w:rsidRPr="000B544A">
        <w:rPr>
          <w:rFonts w:ascii="Times New Roman" w:hAnsi="Times New Roman"/>
          <w:lang w:val="lt-LT"/>
        </w:rPr>
        <w:lastRenderedPageBreak/>
        <w:t>Teoriškai vadinamą savaime išsip</w:t>
      </w:r>
      <w:r w:rsidR="00C402CA" w:rsidRPr="000B544A">
        <w:rPr>
          <w:rFonts w:ascii="Times New Roman" w:hAnsi="Times New Roman"/>
          <w:lang w:val="lt-LT"/>
        </w:rPr>
        <w:t>ildančia</w:t>
      </w:r>
      <w:r w:rsidRPr="000B544A">
        <w:rPr>
          <w:rFonts w:ascii="Times New Roman" w:hAnsi="Times New Roman"/>
          <w:lang w:val="lt-LT"/>
        </w:rPr>
        <w:t xml:space="preserve"> pranašyst</w:t>
      </w:r>
      <w:r w:rsidR="00C402CA" w:rsidRPr="000B544A">
        <w:rPr>
          <w:rFonts w:ascii="Times New Roman" w:hAnsi="Times New Roman"/>
          <w:lang w:val="lt-LT"/>
        </w:rPr>
        <w:t>e</w:t>
      </w:r>
      <w:r w:rsidRPr="000B544A">
        <w:rPr>
          <w:rFonts w:ascii="Times New Roman" w:hAnsi="Times New Roman"/>
          <w:lang w:val="lt-LT"/>
        </w:rPr>
        <w:t xml:space="preserve"> praktiškai</w:t>
      </w:r>
      <w:r w:rsidR="00D6309C" w:rsidRPr="000B544A">
        <w:rPr>
          <w:rFonts w:ascii="Times New Roman" w:hAnsi="Times New Roman"/>
          <w:lang w:val="lt-LT"/>
        </w:rPr>
        <w:t xml:space="preserve"> reikėtų pavadinti pasitaisančia</w:t>
      </w:r>
      <w:r w:rsidRPr="000B544A">
        <w:rPr>
          <w:rFonts w:ascii="Times New Roman" w:hAnsi="Times New Roman"/>
          <w:lang w:val="lt-LT"/>
        </w:rPr>
        <w:t xml:space="preserve"> savaim</w:t>
      </w:r>
      <w:r w:rsidR="00C402CA" w:rsidRPr="000B544A">
        <w:rPr>
          <w:rFonts w:ascii="Times New Roman" w:hAnsi="Times New Roman"/>
          <w:lang w:val="lt-LT"/>
        </w:rPr>
        <w:t>in</w:t>
      </w:r>
      <w:r w:rsidRPr="000B544A">
        <w:rPr>
          <w:rFonts w:ascii="Times New Roman" w:hAnsi="Times New Roman"/>
          <w:lang w:val="lt-LT"/>
        </w:rPr>
        <w:t xml:space="preserve">e pranašyste (angl. self-correcting prophency) [13]. Investuotojai tikės rinka, kol visų jų veiksmai paveiks rinką. Kai investuotojai pastebės, kad jie paveikia rinką, nebelieka rinkos efektyvumo jie </w:t>
      </w:r>
      <w:r w:rsidR="00AC65F4" w:rsidRPr="000B544A">
        <w:rPr>
          <w:rFonts w:ascii="Times New Roman" w:hAnsi="Times New Roman"/>
          <w:lang w:val="lt-LT"/>
        </w:rPr>
        <w:t>arba nustos</w:t>
      </w:r>
      <w:r w:rsidRPr="000B544A">
        <w:rPr>
          <w:rFonts w:ascii="Times New Roman" w:hAnsi="Times New Roman"/>
          <w:lang w:val="lt-LT"/>
        </w:rPr>
        <w:t xml:space="preserve"> naudoti grafikų analizės metodus</w:t>
      </w:r>
      <w:r w:rsidR="00AC65F4" w:rsidRPr="000B544A">
        <w:rPr>
          <w:rFonts w:ascii="Times New Roman" w:hAnsi="Times New Roman"/>
          <w:lang w:val="lt-LT"/>
        </w:rPr>
        <w:t xml:space="preserve"> ar</w:t>
      </w:r>
      <w:r w:rsidR="00C402CA" w:rsidRPr="000B544A">
        <w:rPr>
          <w:rFonts w:ascii="Times New Roman" w:hAnsi="Times New Roman"/>
          <w:lang w:val="lt-LT"/>
        </w:rPr>
        <w:t>ba</w:t>
      </w:r>
      <w:r w:rsidR="00AC65F4" w:rsidRPr="000B544A">
        <w:rPr>
          <w:rFonts w:ascii="Times New Roman" w:hAnsi="Times New Roman"/>
          <w:lang w:val="lt-LT"/>
        </w:rPr>
        <w:t xml:space="preserve"> prisitaikys prie naujų sąlygų [13].</w:t>
      </w:r>
      <w:r w:rsidR="00BD5EFA" w:rsidRPr="000B544A">
        <w:rPr>
          <w:rFonts w:ascii="Times New Roman" w:hAnsi="Times New Roman"/>
          <w:lang w:val="lt-LT"/>
        </w:rPr>
        <w:t xml:space="preserve"> Arba jie stengsis pradėti veikti prieš kitus, labiau rizikuodami</w:t>
      </w:r>
      <w:r w:rsidR="00C402CA" w:rsidRPr="000B544A">
        <w:rPr>
          <w:rFonts w:ascii="Times New Roman" w:hAnsi="Times New Roman"/>
          <w:lang w:val="lt-LT"/>
        </w:rPr>
        <w:t>,</w:t>
      </w:r>
      <w:r w:rsidR="00BD5EFA" w:rsidRPr="000B544A">
        <w:rPr>
          <w:rFonts w:ascii="Times New Roman" w:hAnsi="Times New Roman"/>
          <w:lang w:val="lt-LT"/>
        </w:rPr>
        <w:t xml:space="preserve"> arba lauks tvirtesnių patvirtinimo ženklų. Taigi net jei ir savaime išsipildanti pranašystė taptų problema, ji pati save ir išspręstų.</w:t>
      </w:r>
    </w:p>
    <w:p w:rsidR="00BD5EFA" w:rsidRPr="000B544A" w:rsidRDefault="00BD5EFA" w:rsidP="00787C9C">
      <w:pPr>
        <w:spacing w:after="0" w:line="360" w:lineRule="auto"/>
        <w:ind w:firstLine="567"/>
        <w:jc w:val="both"/>
        <w:rPr>
          <w:rFonts w:ascii="Times New Roman" w:hAnsi="Times New Roman"/>
          <w:lang w:val="lt-LT"/>
        </w:rPr>
      </w:pPr>
      <w:r w:rsidRPr="000B544A">
        <w:rPr>
          <w:rFonts w:ascii="Times New Roman" w:hAnsi="Times New Roman"/>
          <w:lang w:val="lt-LT"/>
        </w:rPr>
        <w:t>Svarbu paminėti, kad bulių ir meškų rinkos atsiranda dėl pasiūlos ir paklausos. Techninės analizės šalininkai negali paveikti pagrindinių krypčių savo pirkimais ir pardavimais. Jei techninės analizės šalininkai galėtų paveikti pagrindines rinkos kryptis, jie labai greitai taptų turtingi.</w:t>
      </w:r>
    </w:p>
    <w:p w:rsidR="006171EA" w:rsidRPr="000B544A" w:rsidRDefault="006171EA" w:rsidP="006171EA">
      <w:pPr>
        <w:spacing w:after="0" w:line="360" w:lineRule="auto"/>
        <w:ind w:firstLine="567"/>
        <w:jc w:val="both"/>
        <w:rPr>
          <w:rFonts w:ascii="Times New Roman" w:hAnsi="Times New Roman"/>
          <w:lang w:val="lt-LT"/>
        </w:rPr>
      </w:pPr>
      <w:r w:rsidRPr="000B544A">
        <w:rPr>
          <w:rFonts w:ascii="Times New Roman" w:hAnsi="Times New Roman"/>
          <w:lang w:val="lt-LT"/>
        </w:rPr>
        <w:t>Didesnį susirūpinimą už grafikų analizę kelia didžiulis kompiu</w:t>
      </w:r>
      <w:r w:rsidR="00C402CA" w:rsidRPr="000B544A">
        <w:rPr>
          <w:rFonts w:ascii="Times New Roman" w:hAnsi="Times New Roman"/>
          <w:lang w:val="lt-LT"/>
        </w:rPr>
        <w:t>terinės techninės prekybos siste</w:t>
      </w:r>
      <w:r w:rsidRPr="000B544A">
        <w:rPr>
          <w:rFonts w:ascii="Times New Roman" w:hAnsi="Times New Roman"/>
          <w:lang w:val="lt-LT"/>
        </w:rPr>
        <w:t>mų augimas ateities sandorių rinkoje. Šios sistemos yra suprogramuotos su tikslu identifikuoti pagrindines kryptis ir prekiauti pagal jas</w:t>
      </w:r>
      <w:r w:rsidR="00C402CA" w:rsidRPr="000B544A">
        <w:rPr>
          <w:rFonts w:ascii="Times New Roman" w:hAnsi="Times New Roman"/>
          <w:lang w:val="lt-LT"/>
        </w:rPr>
        <w:t xml:space="preserve"> -</w:t>
      </w:r>
      <w:r w:rsidRPr="000B544A">
        <w:rPr>
          <w:rFonts w:ascii="Times New Roman" w:hAnsi="Times New Roman"/>
          <w:lang w:val="lt-LT"/>
        </w:rPr>
        <w:t xml:space="preserve"> </w:t>
      </w:r>
      <w:r w:rsidR="00C402CA" w:rsidRPr="000B544A">
        <w:rPr>
          <w:rFonts w:ascii="Times New Roman" w:hAnsi="Times New Roman"/>
          <w:lang w:val="lt-LT"/>
        </w:rPr>
        <w:t>išaugus</w:t>
      </w:r>
      <w:r w:rsidRPr="000B544A">
        <w:rPr>
          <w:rFonts w:ascii="Times New Roman" w:hAnsi="Times New Roman"/>
          <w:lang w:val="lt-LT"/>
        </w:rPr>
        <w:t xml:space="preserve"> profesionaliam pinigų valdymui ateities sandorių rinkoje, </w:t>
      </w:r>
      <w:r w:rsidR="00C402CA" w:rsidRPr="000B544A">
        <w:rPr>
          <w:rFonts w:ascii="Times New Roman" w:hAnsi="Times New Roman"/>
          <w:lang w:val="lt-LT"/>
        </w:rPr>
        <w:t>išpopuliarėjo multimilijoniniai</w:t>
      </w:r>
      <w:r w:rsidRPr="000B544A">
        <w:rPr>
          <w:rFonts w:ascii="Times New Roman" w:hAnsi="Times New Roman"/>
          <w:lang w:val="lt-LT"/>
        </w:rPr>
        <w:t xml:space="preserve"> vieš</w:t>
      </w:r>
      <w:r w:rsidR="00C402CA" w:rsidRPr="000B544A">
        <w:rPr>
          <w:rFonts w:ascii="Times New Roman" w:hAnsi="Times New Roman"/>
          <w:lang w:val="lt-LT"/>
        </w:rPr>
        <w:t>i ir privatūs</w:t>
      </w:r>
      <w:r w:rsidRPr="000B544A">
        <w:rPr>
          <w:rFonts w:ascii="Times New Roman" w:hAnsi="Times New Roman"/>
          <w:lang w:val="lt-LT"/>
        </w:rPr>
        <w:t xml:space="preserve"> fond</w:t>
      </w:r>
      <w:r w:rsidR="00C402CA" w:rsidRPr="000B544A">
        <w:rPr>
          <w:rFonts w:ascii="Times New Roman" w:hAnsi="Times New Roman"/>
          <w:lang w:val="lt-LT"/>
        </w:rPr>
        <w:t>ai</w:t>
      </w:r>
      <w:r w:rsidRPr="000B544A">
        <w:rPr>
          <w:rFonts w:ascii="Times New Roman" w:hAnsi="Times New Roman"/>
          <w:lang w:val="lt-LT"/>
        </w:rPr>
        <w:t xml:space="preserve">, kurių dauguma naudoja techninę analizę. Didžiulė pinigų koncentracija vaikosi saujelę egzistuojančių krypčių [13]. </w:t>
      </w:r>
    </w:p>
    <w:p w:rsidR="006171EA" w:rsidRPr="000B544A" w:rsidRDefault="009A6AC2" w:rsidP="006171EA">
      <w:pPr>
        <w:spacing w:after="0" w:line="360" w:lineRule="auto"/>
        <w:ind w:firstLine="567"/>
        <w:jc w:val="both"/>
        <w:rPr>
          <w:rFonts w:ascii="Times New Roman" w:hAnsi="Times New Roman"/>
          <w:lang w:val="lt-LT"/>
        </w:rPr>
      </w:pPr>
      <w:r w:rsidRPr="000B544A">
        <w:rPr>
          <w:rFonts w:ascii="Times New Roman" w:hAnsi="Times New Roman"/>
          <w:lang w:val="lt-LT"/>
        </w:rPr>
        <w:t>Taigi ir vėl koncentruotų pinigų sumų problema</w:t>
      </w:r>
      <w:r w:rsidR="00C402CA" w:rsidRPr="000B544A">
        <w:rPr>
          <w:rFonts w:ascii="Times New Roman" w:hAnsi="Times New Roman"/>
          <w:lang w:val="lt-LT"/>
        </w:rPr>
        <w:t>,</w:t>
      </w:r>
      <w:r w:rsidRPr="000B544A">
        <w:rPr>
          <w:rFonts w:ascii="Times New Roman" w:hAnsi="Times New Roman"/>
          <w:lang w:val="lt-LT"/>
        </w:rPr>
        <w:t xml:space="preserve"> naudojanti techninę analizę</w:t>
      </w:r>
      <w:r w:rsidR="00C402CA" w:rsidRPr="000B544A">
        <w:rPr>
          <w:rFonts w:ascii="Times New Roman" w:hAnsi="Times New Roman"/>
          <w:lang w:val="lt-LT"/>
        </w:rPr>
        <w:t>,</w:t>
      </w:r>
      <w:r w:rsidRPr="000B544A">
        <w:rPr>
          <w:rFonts w:ascii="Times New Roman" w:hAnsi="Times New Roman"/>
          <w:lang w:val="lt-LT"/>
        </w:rPr>
        <w:t xml:space="preserve"> yra save taisanti (angl. Self-correcting). Jei visos kartu šios sistemos pradėtų atlikinėti tokias pačias operacijas tuo pačiu metu, kiti investuotojai prisitaikytų prie naujos situacijos finansų rinkose.</w:t>
      </w:r>
    </w:p>
    <w:p w:rsidR="009A6AC2" w:rsidRPr="000B544A" w:rsidRDefault="009A6AC2" w:rsidP="006171EA">
      <w:pPr>
        <w:spacing w:after="0" w:line="360" w:lineRule="auto"/>
        <w:ind w:firstLine="567"/>
        <w:jc w:val="both"/>
        <w:rPr>
          <w:rFonts w:ascii="Times New Roman" w:hAnsi="Times New Roman"/>
          <w:lang w:val="lt-LT"/>
        </w:rPr>
      </w:pPr>
      <w:r w:rsidRPr="000B544A">
        <w:rPr>
          <w:rFonts w:ascii="Times New Roman" w:hAnsi="Times New Roman"/>
          <w:lang w:val="lt-LT"/>
        </w:rPr>
        <w:t>Savaime išsipildanti pranašystė yra laikoma techninės analizės kritika. Tai būtų galima suprasti kaip komplimentą. Nepaisant to, jei bet kokia prognozavimo metodika pasiektų tokį lygį, kad galėtų daryti įtaką rinkai, tai ši metodika turėtų būti tikrai gera.</w:t>
      </w:r>
    </w:p>
    <w:p w:rsidR="00D65A3C" w:rsidRPr="000B544A" w:rsidRDefault="0071715A" w:rsidP="006171EA">
      <w:pPr>
        <w:spacing w:after="0" w:line="360" w:lineRule="auto"/>
        <w:ind w:firstLine="567"/>
        <w:jc w:val="both"/>
        <w:rPr>
          <w:rFonts w:ascii="Times New Roman" w:hAnsi="Times New Roman"/>
          <w:lang w:val="lt-LT"/>
        </w:rPr>
      </w:pPr>
      <w:r w:rsidRPr="000B544A">
        <w:rPr>
          <w:rFonts w:ascii="Times New Roman" w:hAnsi="Times New Roman"/>
          <w:lang w:val="lt-LT"/>
        </w:rPr>
        <w:t>Kitas dažnai keliamas klausimas yra susijęs su p</w:t>
      </w:r>
      <w:r w:rsidR="00C402CA" w:rsidRPr="000B544A">
        <w:rPr>
          <w:rFonts w:ascii="Times New Roman" w:hAnsi="Times New Roman"/>
          <w:lang w:val="lt-LT"/>
        </w:rPr>
        <w:t>raeities kainų duomenų naudojimu,</w:t>
      </w:r>
      <w:r w:rsidRPr="000B544A">
        <w:rPr>
          <w:rFonts w:ascii="Times New Roman" w:hAnsi="Times New Roman"/>
          <w:lang w:val="lt-LT"/>
        </w:rPr>
        <w:t xml:space="preserve"> prognozuojant ateities kainas. Techninės analizės šalininkai dažnai kelia šį klausimą, nors visi žinomi prognozavimo metodai, nuo orų prognozavimo iki fundamentalios analizės paremti praeities duomenų analize</w:t>
      </w:r>
      <w:r w:rsidR="00673064" w:rsidRPr="000B544A">
        <w:rPr>
          <w:rFonts w:ascii="Times New Roman" w:hAnsi="Times New Roman"/>
          <w:lang w:val="lt-LT"/>
        </w:rPr>
        <w:t xml:space="preserve"> [13]</w:t>
      </w:r>
      <w:r w:rsidRPr="000B544A">
        <w:rPr>
          <w:rFonts w:ascii="Times New Roman" w:hAnsi="Times New Roman"/>
          <w:lang w:val="lt-LT"/>
        </w:rPr>
        <w:t>. Kitų duomenų (ne praeities) tiesiog nėra.</w:t>
      </w:r>
    </w:p>
    <w:p w:rsidR="004B5E67" w:rsidRPr="000B544A" w:rsidRDefault="0069081B" w:rsidP="006171EA">
      <w:pPr>
        <w:spacing w:after="0" w:line="360" w:lineRule="auto"/>
        <w:ind w:firstLine="567"/>
        <w:jc w:val="both"/>
        <w:rPr>
          <w:rFonts w:ascii="Times New Roman" w:hAnsi="Times New Roman"/>
          <w:lang w:val="lt-LT"/>
        </w:rPr>
      </w:pPr>
      <w:r w:rsidRPr="000B544A">
        <w:rPr>
          <w:rFonts w:ascii="Times New Roman" w:hAnsi="Times New Roman"/>
          <w:lang w:val="lt-LT"/>
        </w:rPr>
        <w:t>Statistika yra skirstoma į aprašomąją statistiką ir induktyvinę statistiką</w:t>
      </w:r>
      <w:r w:rsidR="00673064" w:rsidRPr="000B544A">
        <w:rPr>
          <w:rFonts w:ascii="Times New Roman" w:hAnsi="Times New Roman"/>
          <w:lang w:val="lt-LT"/>
        </w:rPr>
        <w:t xml:space="preserve"> [13]</w:t>
      </w:r>
      <w:r w:rsidRPr="000B544A">
        <w:rPr>
          <w:rFonts w:ascii="Times New Roman" w:hAnsi="Times New Roman"/>
          <w:lang w:val="lt-LT"/>
        </w:rPr>
        <w:t xml:space="preserve">. Aprašomoji statistika tai grafinis duomenų atvaizdavimas, pvz. </w:t>
      </w:r>
      <w:r w:rsidR="00C402CA" w:rsidRPr="000B544A">
        <w:rPr>
          <w:rFonts w:ascii="Times New Roman" w:hAnsi="Times New Roman"/>
          <w:lang w:val="lt-LT"/>
        </w:rPr>
        <w:t>k</w:t>
      </w:r>
      <w:r w:rsidRPr="000B544A">
        <w:rPr>
          <w:rFonts w:ascii="Times New Roman" w:hAnsi="Times New Roman"/>
          <w:lang w:val="lt-LT"/>
        </w:rPr>
        <w:t>ainos vaizdavimas žvakių grafike. In</w:t>
      </w:r>
      <w:r w:rsidR="00C402CA" w:rsidRPr="000B544A">
        <w:rPr>
          <w:rFonts w:ascii="Times New Roman" w:hAnsi="Times New Roman"/>
          <w:lang w:val="lt-LT"/>
        </w:rPr>
        <w:t>du</w:t>
      </w:r>
      <w:r w:rsidRPr="000B544A">
        <w:rPr>
          <w:rFonts w:ascii="Times New Roman" w:hAnsi="Times New Roman"/>
          <w:lang w:val="lt-LT"/>
        </w:rPr>
        <w:t xml:space="preserve">ktyvinei statistikai priskiriama apibendrinimas, prognozė ar ekstrapoliacija. </w:t>
      </w:r>
      <w:r w:rsidR="004B5E67" w:rsidRPr="000B544A">
        <w:rPr>
          <w:rFonts w:ascii="Times New Roman" w:hAnsi="Times New Roman"/>
          <w:lang w:val="lt-LT"/>
        </w:rPr>
        <w:t>Kainos grafikai priskiriami prie aprašomosios statistikos, bet kai šiuos duomenis analitikai ima analizuoti, ieškoti modelių, skaičiuoti indikatorius, tai visa tai pavirsta induktyvine statistika.</w:t>
      </w:r>
    </w:p>
    <w:p w:rsidR="0071715A" w:rsidRPr="000B544A" w:rsidRDefault="00673064" w:rsidP="006171EA">
      <w:pPr>
        <w:spacing w:after="0" w:line="360" w:lineRule="auto"/>
        <w:ind w:firstLine="567"/>
        <w:jc w:val="both"/>
        <w:rPr>
          <w:rFonts w:ascii="Times New Roman" w:hAnsi="Times New Roman"/>
          <w:lang w:val="lt-LT"/>
        </w:rPr>
      </w:pPr>
      <w:r w:rsidRPr="000B544A">
        <w:rPr>
          <w:rFonts w:ascii="Times New Roman" w:hAnsi="Times New Roman"/>
          <w:lang w:val="lt-LT"/>
        </w:rPr>
        <w:t>Grafikų analizė yra tik kita forma laiko eilučių analizės, paremtos praeities studijavimu, kas ir yra daroma visose laiko eilučių analizės formose [13]. Vienintelis duomenų tipas, kuriuos galime naudoti</w:t>
      </w:r>
      <w:r w:rsidR="00C402CA" w:rsidRPr="000B544A">
        <w:rPr>
          <w:rFonts w:ascii="Times New Roman" w:hAnsi="Times New Roman"/>
          <w:lang w:val="lt-LT"/>
        </w:rPr>
        <w:t>,</w:t>
      </w:r>
      <w:r w:rsidRPr="000B544A">
        <w:rPr>
          <w:rFonts w:ascii="Times New Roman" w:hAnsi="Times New Roman"/>
          <w:lang w:val="lt-LT"/>
        </w:rPr>
        <w:t xml:space="preserve"> yra praeities duomenys. Ateitį galime projektuoti praeities modelius pritaikant ateičiai.</w:t>
      </w:r>
    </w:p>
    <w:p w:rsidR="00673064" w:rsidRPr="000B544A" w:rsidRDefault="00673064" w:rsidP="006171EA">
      <w:pPr>
        <w:spacing w:after="0" w:line="360" w:lineRule="auto"/>
        <w:ind w:firstLine="567"/>
        <w:jc w:val="both"/>
        <w:rPr>
          <w:rFonts w:ascii="Times New Roman" w:hAnsi="Times New Roman"/>
          <w:lang w:val="lt-LT"/>
        </w:rPr>
      </w:pPr>
      <w:r w:rsidRPr="000B544A">
        <w:rPr>
          <w:rFonts w:ascii="Times New Roman" w:hAnsi="Times New Roman"/>
          <w:lang w:val="lt-LT"/>
        </w:rPr>
        <w:t xml:space="preserve">Taigi, atrodo, kad techninės analizės metodas  </w:t>
      </w:r>
      <w:r w:rsidR="00C402CA" w:rsidRPr="000B544A">
        <w:rPr>
          <w:rFonts w:ascii="Times New Roman" w:hAnsi="Times New Roman"/>
          <w:lang w:val="lt-LT"/>
        </w:rPr>
        <w:t>(</w:t>
      </w:r>
      <w:r w:rsidRPr="000B544A">
        <w:rPr>
          <w:rFonts w:ascii="Times New Roman" w:hAnsi="Times New Roman"/>
          <w:lang w:val="lt-LT"/>
        </w:rPr>
        <w:t xml:space="preserve">naudoti praeities duomenis </w:t>
      </w:r>
      <w:r w:rsidR="008D2813" w:rsidRPr="000B544A">
        <w:rPr>
          <w:rFonts w:ascii="Times New Roman" w:hAnsi="Times New Roman"/>
          <w:lang w:val="lt-LT"/>
        </w:rPr>
        <w:t>ateities</w:t>
      </w:r>
      <w:r w:rsidRPr="000B544A">
        <w:rPr>
          <w:rFonts w:ascii="Times New Roman" w:hAnsi="Times New Roman"/>
          <w:lang w:val="lt-LT"/>
        </w:rPr>
        <w:t xml:space="preserve"> prognozei</w:t>
      </w:r>
      <w:r w:rsidR="00C402CA" w:rsidRPr="000B544A">
        <w:rPr>
          <w:rFonts w:ascii="Times New Roman" w:hAnsi="Times New Roman"/>
          <w:lang w:val="lt-LT"/>
        </w:rPr>
        <w:t>)</w:t>
      </w:r>
      <w:r w:rsidRPr="000B544A">
        <w:rPr>
          <w:rFonts w:ascii="Times New Roman" w:hAnsi="Times New Roman"/>
          <w:lang w:val="lt-LT"/>
        </w:rPr>
        <w:t xml:space="preserve"> yra paimtas iš bendros statistikos koncepcijos. Jei kas nors bando kritikuoti techninę analizę dėl to, kad ji naudoja praeities duomenis ateities prognozavimui, tai ši kritika lygiai taip pat tinka ir visiems kitiems prognozės ir analizės metodams, kurie remiasi istoriniais duomenimis.</w:t>
      </w:r>
    </w:p>
    <w:p w:rsidR="00252F1D" w:rsidRPr="000B544A" w:rsidRDefault="004B7FBF" w:rsidP="006D4610">
      <w:pPr>
        <w:pStyle w:val="Heading1"/>
        <w:pageBreakBefore/>
        <w:jc w:val="center"/>
        <w:rPr>
          <w:rFonts w:ascii="Times New Roman" w:hAnsi="Times New Roman"/>
          <w:sz w:val="28"/>
          <w:szCs w:val="28"/>
          <w:lang w:val="lt-LT"/>
        </w:rPr>
      </w:pPr>
      <w:bookmarkStart w:id="21" w:name="_Toc165971247"/>
      <w:bookmarkStart w:id="22" w:name="_Toc312047637"/>
      <w:r w:rsidRPr="000B544A">
        <w:rPr>
          <w:rFonts w:ascii="Times New Roman" w:hAnsi="Times New Roman"/>
          <w:sz w:val="28"/>
          <w:szCs w:val="28"/>
          <w:lang w:val="lt-LT"/>
        </w:rPr>
        <w:lastRenderedPageBreak/>
        <w:t>2</w:t>
      </w:r>
      <w:r w:rsidR="00252F1D" w:rsidRPr="000B544A">
        <w:rPr>
          <w:rFonts w:ascii="Times New Roman" w:hAnsi="Times New Roman"/>
          <w:sz w:val="28"/>
          <w:szCs w:val="28"/>
          <w:lang w:val="lt-LT"/>
        </w:rPr>
        <w:t xml:space="preserve">. TECHNINĖS ANALIZĖS </w:t>
      </w:r>
      <w:bookmarkEnd w:id="21"/>
      <w:r w:rsidR="00FD008D" w:rsidRPr="000B544A">
        <w:rPr>
          <w:rFonts w:ascii="Times New Roman" w:hAnsi="Times New Roman"/>
          <w:sz w:val="28"/>
          <w:szCs w:val="28"/>
          <w:lang w:val="lt-LT"/>
        </w:rPr>
        <w:t xml:space="preserve">INDIKATORIŲ </w:t>
      </w:r>
      <w:r w:rsidR="00015BEB" w:rsidRPr="000B544A">
        <w:rPr>
          <w:rFonts w:ascii="Times New Roman" w:hAnsi="Times New Roman"/>
          <w:sz w:val="28"/>
          <w:szCs w:val="28"/>
          <w:lang w:val="lt-LT"/>
        </w:rPr>
        <w:t>PRITAIKYMAS BALTIJOS ŠALIŲ AKCIJŲ RINKAI</w:t>
      </w:r>
      <w:bookmarkEnd w:id="22"/>
    </w:p>
    <w:p w:rsidR="00C4133A" w:rsidRPr="000B544A" w:rsidRDefault="00C4133A" w:rsidP="00C4133A">
      <w:pPr>
        <w:pStyle w:val="Heading2"/>
        <w:spacing w:line="360" w:lineRule="auto"/>
        <w:rPr>
          <w:rFonts w:ascii="Times New Roman" w:hAnsi="Times New Roman"/>
          <w:color w:val="auto"/>
          <w:lang w:val="lt-LT"/>
        </w:rPr>
      </w:pPr>
      <w:bookmarkStart w:id="23" w:name="_Toc298435320"/>
      <w:bookmarkStart w:id="24" w:name="_Toc312047638"/>
      <w:bookmarkStart w:id="25" w:name="_Toc165971248"/>
      <w:r w:rsidRPr="000B544A">
        <w:rPr>
          <w:rFonts w:ascii="Times New Roman" w:hAnsi="Times New Roman"/>
          <w:color w:val="auto"/>
          <w:lang w:val="lt-LT"/>
        </w:rPr>
        <w:t xml:space="preserve">2.1 </w:t>
      </w:r>
      <w:bookmarkEnd w:id="23"/>
      <w:r w:rsidRPr="000B544A">
        <w:rPr>
          <w:rFonts w:ascii="Times New Roman" w:hAnsi="Times New Roman"/>
          <w:color w:val="auto"/>
          <w:lang w:val="lt-LT"/>
        </w:rPr>
        <w:t>Baltijos šalių akcijų rinkos pagrindiniai bruožai</w:t>
      </w:r>
      <w:bookmarkEnd w:id="24"/>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 xml:space="preserve">Pagal Lietuvos Respublikos vertybinių popierių rinkos įstatymą, vertybinių popierių rinka – tai vieta, kur vyksta organizuota prekyba vertybiniais popieriais. [20] </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 xml:space="preserve">Vertybinių popierių </w:t>
      </w:r>
      <w:r w:rsidR="00C402CA" w:rsidRPr="000B544A">
        <w:rPr>
          <w:rFonts w:ascii="Times New Roman" w:hAnsi="Times New Roman"/>
          <w:lang w:val="lt-LT"/>
        </w:rPr>
        <w:t>rinka skirstoma į pirminę ir an</w:t>
      </w:r>
      <w:r w:rsidRPr="000B544A">
        <w:rPr>
          <w:rFonts w:ascii="Times New Roman" w:hAnsi="Times New Roman"/>
          <w:lang w:val="lt-LT"/>
        </w:rPr>
        <w:t>trinę rinką. Pirminėje vertybinių popierių rinkoje vyksta pirminė vertybinių popierių apyvarta, kurią LR vertybinių popierių įstatymas apibrėžia taip: emitento arba vertybinių popierių viešosios apyvartos tarpininko pasiūlymas įsigyti vertybinių popierių bei jų perleidimas jų išleidimo metu.[20] Antrinėje vertybinių popierių rinkoje vyksta antrinė vertybinių popierių apyvarta, kuri apibrėžiama taip: pasiūlymas įsigyti vertybinių popierių ir jų perleidimas pasibaigus pirminei apyvartai.[20]</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Kitaip tariant pirminėje rinkoje emitentas perleidžia vertybinius popierius investuotojams, o antrinėje rinkoje investuotojai perleidž</w:t>
      </w:r>
      <w:r w:rsidR="00C402CA" w:rsidRPr="000B544A">
        <w:rPr>
          <w:rFonts w:ascii="Times New Roman" w:hAnsi="Times New Roman"/>
          <w:lang w:val="lt-LT"/>
        </w:rPr>
        <w:t>ia vertybinius</w:t>
      </w:r>
      <w:r w:rsidRPr="000B544A">
        <w:rPr>
          <w:rFonts w:ascii="Times New Roman" w:hAnsi="Times New Roman"/>
          <w:lang w:val="lt-LT"/>
        </w:rPr>
        <w:t xml:space="preserve"> popierius vieni kitiems. Pirminėje rinkoje vertybiniai </w:t>
      </w:r>
      <w:r w:rsidR="008D2813" w:rsidRPr="000B544A">
        <w:rPr>
          <w:rFonts w:ascii="Times New Roman" w:hAnsi="Times New Roman"/>
          <w:lang w:val="lt-LT"/>
        </w:rPr>
        <w:t>popieriai</w:t>
      </w:r>
      <w:r w:rsidRPr="000B544A">
        <w:rPr>
          <w:rFonts w:ascii="Times New Roman" w:hAnsi="Times New Roman"/>
          <w:lang w:val="lt-LT"/>
        </w:rPr>
        <w:t xml:space="preserve"> išleidžiami ir parduodami pirmą kartą, o antrinėje rinkoje – perparduodami. Antrinės rinkos poreikis grindžiamas tuo, kad investuotojas savo investuotas lėšas gali atgauti tik pardavęs turimus vertybinius popierius.[16] Pvz. Investuotojas</w:t>
      </w:r>
      <w:r w:rsidR="009F4BFE" w:rsidRPr="000B544A">
        <w:rPr>
          <w:rFonts w:ascii="Times New Roman" w:hAnsi="Times New Roman"/>
          <w:lang w:val="lt-LT"/>
        </w:rPr>
        <w:t>,</w:t>
      </w:r>
      <w:r w:rsidRPr="000B544A">
        <w:rPr>
          <w:rFonts w:ascii="Times New Roman" w:hAnsi="Times New Roman"/>
          <w:lang w:val="lt-LT"/>
        </w:rPr>
        <w:t xml:space="preserve"> nenorėdamas laukti vertybinio popieriaus išpirkimo datos</w:t>
      </w:r>
      <w:r w:rsidR="009F4BFE" w:rsidRPr="000B544A">
        <w:rPr>
          <w:rFonts w:ascii="Times New Roman" w:hAnsi="Times New Roman"/>
          <w:lang w:val="lt-LT"/>
        </w:rPr>
        <w:t>,</w:t>
      </w:r>
      <w:r w:rsidRPr="000B544A">
        <w:rPr>
          <w:rFonts w:ascii="Times New Roman" w:hAnsi="Times New Roman"/>
          <w:lang w:val="lt-LT"/>
        </w:rPr>
        <w:t xml:space="preserve"> antrinėje rinkoje gali parduoti vertybinį popierių ir atgauti pinigus dabar. Arba investuotojas įsigijęs nuosavybė</w:t>
      </w:r>
      <w:r w:rsidR="009F4BFE" w:rsidRPr="000B544A">
        <w:rPr>
          <w:rFonts w:ascii="Times New Roman" w:hAnsi="Times New Roman"/>
          <w:lang w:val="lt-LT"/>
        </w:rPr>
        <w:t>n</w:t>
      </w:r>
      <w:r w:rsidRPr="000B544A">
        <w:rPr>
          <w:rFonts w:ascii="Times New Roman" w:hAnsi="Times New Roman"/>
          <w:lang w:val="lt-LT"/>
        </w:rPr>
        <w:t xml:space="preserve"> vertybinių popierių</w:t>
      </w:r>
      <w:r w:rsidR="009F4BFE" w:rsidRPr="000B544A">
        <w:rPr>
          <w:rFonts w:ascii="Times New Roman" w:hAnsi="Times New Roman"/>
          <w:lang w:val="lt-LT"/>
        </w:rPr>
        <w:t xml:space="preserve">, gali </w:t>
      </w:r>
      <w:r w:rsidRPr="000B544A">
        <w:rPr>
          <w:rFonts w:ascii="Times New Roman" w:hAnsi="Times New Roman"/>
          <w:lang w:val="lt-LT"/>
        </w:rPr>
        <w:t xml:space="preserve">būti </w:t>
      </w:r>
      <w:r w:rsidR="009F4BFE" w:rsidRPr="000B544A">
        <w:rPr>
          <w:rFonts w:ascii="Times New Roman" w:hAnsi="Times New Roman"/>
          <w:lang w:val="lt-LT"/>
        </w:rPr>
        <w:t>ne</w:t>
      </w:r>
      <w:r w:rsidRPr="000B544A">
        <w:rPr>
          <w:rFonts w:ascii="Times New Roman" w:hAnsi="Times New Roman"/>
          <w:lang w:val="lt-LT"/>
        </w:rPr>
        <w:t>patenkintas šios įmonės mokamu dividendų dydžiu ir</w:t>
      </w:r>
      <w:r w:rsidR="009F4BFE" w:rsidRPr="000B544A">
        <w:rPr>
          <w:rFonts w:ascii="Times New Roman" w:hAnsi="Times New Roman"/>
          <w:lang w:val="lt-LT"/>
        </w:rPr>
        <w:t>,</w:t>
      </w:r>
      <w:r w:rsidRPr="000B544A">
        <w:rPr>
          <w:rFonts w:ascii="Times New Roman" w:hAnsi="Times New Roman"/>
          <w:lang w:val="lt-LT"/>
        </w:rPr>
        <w:t xml:space="preserve"> pardavęs turimas akcijas</w:t>
      </w:r>
      <w:r w:rsidR="009F4BFE" w:rsidRPr="000B544A">
        <w:rPr>
          <w:rFonts w:ascii="Times New Roman" w:hAnsi="Times New Roman"/>
          <w:lang w:val="lt-LT"/>
        </w:rPr>
        <w:t>,</w:t>
      </w:r>
      <w:r w:rsidRPr="000B544A">
        <w:rPr>
          <w:rFonts w:ascii="Times New Roman" w:hAnsi="Times New Roman"/>
          <w:lang w:val="lt-LT"/>
        </w:rPr>
        <w:t xml:space="preserve"> gali nusipirkti kitos įmonės, geriau atitinkančios jo lūkesčius, akcijų antrinėje rinkoje. Kitas antrinės rinkos privalumas yra tas, kad ten kasdien nusistovi vertybinių popierių kaina ir tai leidžia nustatyti turimų investicijų ar pačios įmonės vertę.</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S. Pečiulis ir S. Šiaudinis savo knygoje išskiria dar vieną vertybinių popierių rinkos klasifikavimo būdą. Rinką galima klasifikuoti į diskretinę ir tęstinę. Diskretinėje rinkoje prekyba vyksta tam tikru laiko momentu (kai vykdomas viešasis pirminis siūlymas) ir yra vienkartinio kotiravimo. Kartais diskretinėje rinkoje iš anksto būna nustatytos kainos, o rinkos dalyviai tik pateikia vertybinių popierių kiekį, kokį nori įsigyti. Tęstinėje rinkoje kotiravimas vyksta nenutrūkstamai ir kaina nusistato pagal paklausą ir pasiūlą. [16]</w:t>
      </w:r>
    </w:p>
    <w:p w:rsidR="00C4133A" w:rsidRPr="000B544A" w:rsidRDefault="00C4133A" w:rsidP="00C4133A">
      <w:pPr>
        <w:pStyle w:val="Heading3"/>
        <w:spacing w:line="360" w:lineRule="auto"/>
        <w:rPr>
          <w:rFonts w:ascii="Times New Roman" w:hAnsi="Times New Roman"/>
          <w:lang w:val="lt-LT"/>
        </w:rPr>
      </w:pPr>
      <w:bookmarkStart w:id="26" w:name="_Toc298435321"/>
      <w:bookmarkStart w:id="27" w:name="_Toc312047639"/>
      <w:r w:rsidRPr="000B544A">
        <w:rPr>
          <w:rFonts w:ascii="Times New Roman" w:hAnsi="Times New Roman"/>
          <w:lang w:val="lt-LT"/>
        </w:rPr>
        <w:t>2.1.1 Lietuvos akcijų rink</w:t>
      </w:r>
      <w:bookmarkEnd w:id="26"/>
      <w:r w:rsidRPr="000B544A">
        <w:rPr>
          <w:rFonts w:ascii="Times New Roman" w:hAnsi="Times New Roman"/>
          <w:lang w:val="lt-LT"/>
        </w:rPr>
        <w:t>os istorija</w:t>
      </w:r>
      <w:bookmarkEnd w:id="27"/>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Akcijos Lietuvoje imtos platinti XIX a. pirmoje pusėje, Klaipėdoje įsteigus pirmąją akcinę bendrovę, tačiau vertybinių popierių rinka susiformavo tik XIX a. pabaigoje, kai visoje šalyje masiškai pradėjo steigtis akcinės bendrovės. Parodos chronologiniai rėmai apėmė laikotarpį nuo 1872 m., kai buvo įsteigta pirmoji akcinė bendrovė Vilniuje - Žemės bankas, iki 1940 m., kai TSRS okupavo Lietuvą ir buvo nacionalizuotos visos kredito įstaigos, pramonės, prekybos ir kitos įmonės.[31]</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lastRenderedPageBreak/>
        <w:t>1923-</w:t>
      </w:r>
      <w:smartTag w:uri="urn:schemas-microsoft-com:office:smarttags" w:element="metricconverter">
        <w:smartTagPr>
          <w:attr w:name="ProductID" w:val="1940 m"/>
        </w:smartTagPr>
        <w:r w:rsidRPr="000B544A">
          <w:rPr>
            <w:rFonts w:ascii="Times New Roman" w:hAnsi="Times New Roman"/>
            <w:lang w:val="lt-LT"/>
          </w:rPr>
          <w:t>1940 m</w:t>
        </w:r>
      </w:smartTag>
      <w:r w:rsidRPr="000B544A">
        <w:rPr>
          <w:rFonts w:ascii="Times New Roman" w:hAnsi="Times New Roman"/>
          <w:lang w:val="lt-LT"/>
        </w:rPr>
        <w:t>. Lietuvoje veikė Vertybinių popierių ir valiutų birža. Iš pradžių buvo kotiruojamos užsienio valiutos, kai kurie valstybės išleidžiami vertybiniai popieriai. 1935-</w:t>
      </w:r>
      <w:smartTag w:uri="urn:schemas-microsoft-com:office:smarttags" w:element="metricconverter">
        <w:smartTagPr>
          <w:attr w:name="ProductID" w:val="1937 m"/>
        </w:smartTagPr>
        <w:r w:rsidRPr="000B544A">
          <w:rPr>
            <w:rFonts w:ascii="Times New Roman" w:hAnsi="Times New Roman"/>
            <w:lang w:val="lt-LT"/>
          </w:rPr>
          <w:t>1937 m</w:t>
        </w:r>
      </w:smartTag>
      <w:r w:rsidRPr="000B544A">
        <w:rPr>
          <w:rFonts w:ascii="Times New Roman" w:hAnsi="Times New Roman"/>
          <w:lang w:val="lt-LT"/>
        </w:rPr>
        <w:t xml:space="preserve">. biržoje buvo pertrauka ir prekiaujama nebuvo. </w:t>
      </w:r>
      <w:smartTag w:uri="urn:schemas-microsoft-com:office:smarttags" w:element="metricconverter">
        <w:smartTagPr>
          <w:attr w:name="ProductID" w:val="1935 m"/>
        </w:smartTagPr>
        <w:r w:rsidRPr="000B544A">
          <w:rPr>
            <w:rFonts w:ascii="Times New Roman" w:hAnsi="Times New Roman"/>
            <w:lang w:val="lt-LT"/>
          </w:rPr>
          <w:t>1935 m</w:t>
        </w:r>
      </w:smartTag>
      <w:r w:rsidRPr="000B544A">
        <w:rPr>
          <w:rFonts w:ascii="Times New Roman" w:hAnsi="Times New Roman"/>
          <w:lang w:val="lt-LT"/>
        </w:rPr>
        <w:t xml:space="preserve">. Lietuvos bankas pradėjo nustatinėti užsienio valiutų kursą, todėl nuo to laiko biržoje valiutomis nebebuvo prekiaujama, buvo prekiaujama tik vertybiniais popieriais.[15] </w:t>
      </w:r>
    </w:p>
    <w:p w:rsidR="00C4133A" w:rsidRPr="000B544A" w:rsidRDefault="00C4133A" w:rsidP="00C4133A">
      <w:pPr>
        <w:spacing w:after="0" w:line="360" w:lineRule="auto"/>
        <w:ind w:firstLine="567"/>
        <w:jc w:val="both"/>
        <w:rPr>
          <w:rFonts w:ascii="Times New Roman" w:hAnsi="Times New Roman"/>
          <w:lang w:val="lt-LT"/>
        </w:rPr>
      </w:pPr>
      <w:smartTag w:uri="urn:schemas-microsoft-com:office:smarttags" w:element="metricconverter">
        <w:smartTagPr>
          <w:attr w:name="ProductID" w:val="1990 m"/>
        </w:smartTagPr>
        <w:r w:rsidRPr="000B544A">
          <w:rPr>
            <w:rFonts w:ascii="Times New Roman" w:hAnsi="Times New Roman"/>
            <w:lang w:val="lt-LT"/>
          </w:rPr>
          <w:t>1990 m</w:t>
        </w:r>
      </w:smartTag>
      <w:r w:rsidRPr="000B544A">
        <w:rPr>
          <w:rFonts w:ascii="Times New Roman" w:hAnsi="Times New Roman"/>
          <w:lang w:val="lt-LT"/>
        </w:rPr>
        <w:t xml:space="preserve">. Lietuvai atkūrus nepriklausomybę buvo pradėta kurti vertybinių popierių birža. Pirmieji steigėjai buvo: Finansų ministerija, Investicijų bankas, “Lietuvos birža” ir “Baltijos birža”. Įsteigus biržą  ir kitas reikalingas institucijas </w:t>
      </w:r>
      <w:smartTag w:uri="urn:schemas-microsoft-com:office:smarttags" w:element="metricconverter">
        <w:smartTagPr>
          <w:attr w:name="ProductID" w:val="1993 m"/>
        </w:smartTagPr>
        <w:r w:rsidRPr="000B544A">
          <w:rPr>
            <w:rFonts w:ascii="Times New Roman" w:hAnsi="Times New Roman"/>
            <w:lang w:val="lt-LT"/>
          </w:rPr>
          <w:t>1993 m</w:t>
        </w:r>
      </w:smartTag>
      <w:r w:rsidRPr="000B544A">
        <w:rPr>
          <w:rFonts w:ascii="Times New Roman" w:hAnsi="Times New Roman"/>
          <w:lang w:val="lt-LT"/>
        </w:rPr>
        <w:t>. rugsėjo 14 d. vyko pirmoji biržos prekybos sesija. Tuo metu buvo galima prekiauti 19 bendrovių vertybiniais popieriais. Per pirmąją prekybos sesiją buvo parduota 368 akcijos, o biržos apyvarta sudarė 1 630,50 Lt. [15]</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 xml:space="preserve">Tuo metu įsteigta birža veikė pagal Prancūzijos biržos modelį. Šis modelis buvo vienas pažangiausių pasaulyje ir jį jau buvo pripažinusios Varšuvos ir Prahos vertybinių popierių biržos. Biržą atidaryti padėjo specialistai iš Prancūzijos. </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 xml:space="preserve">Prekybos sesija akcijomis. Kadangi prekybos sesija vyko fiksuota kaina, tai visi prekybos sesijos metu vykdomi sandoriai vyko vienoda kaina.[15] Kaina buvo nustatoma pagal tos dienos pasiūlą ir paklausą, siekiant kuo didesnės apyvartos (turi būti parduotas didžiausias vertybinių popierių skaičius), minimalaus skirtumo tarp siūlomų pirkti ir parduoti VP skaičiaus, minimalaus einamojo ir anksčiau buvusio vertybinių popierių kurso skirtumo principų, jei kursas nebuvo nustatytas ankstesniu principu. </w:t>
      </w:r>
    </w:p>
    <w:p w:rsidR="00C4133A" w:rsidRPr="000B544A" w:rsidRDefault="00C4133A" w:rsidP="00C4133A">
      <w:pPr>
        <w:spacing w:after="0" w:line="360" w:lineRule="auto"/>
        <w:jc w:val="both"/>
        <w:rPr>
          <w:rFonts w:ascii="Times New Roman" w:hAnsi="Times New Roman"/>
          <w:lang w:val="lt-LT"/>
        </w:rPr>
      </w:pPr>
      <w:r w:rsidRPr="000B544A">
        <w:rPr>
          <w:rFonts w:ascii="Times New Roman" w:hAnsi="Times New Roman"/>
          <w:lang w:val="lt-LT"/>
        </w:rPr>
        <w:t>Pavedimai turėjo būti pateikiami iki kotiravimo pradžios ir prekybos metu makleris negalėjo paveikti kainų.</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Sukūrus Vertybinių popierių biržą, kaip ir daugumoje besivystančių šalių, atsirado trys pagrindinės problemos[17]:</w:t>
      </w:r>
    </w:p>
    <w:p w:rsidR="00C4133A" w:rsidRPr="000B544A" w:rsidRDefault="00C4133A" w:rsidP="00C4133A">
      <w:pPr>
        <w:pStyle w:val="ListParagraph"/>
        <w:numPr>
          <w:ilvl w:val="0"/>
          <w:numId w:val="1"/>
        </w:numPr>
        <w:spacing w:after="0" w:line="360" w:lineRule="auto"/>
        <w:jc w:val="both"/>
        <w:rPr>
          <w:rFonts w:ascii="Times New Roman" w:hAnsi="Times New Roman"/>
          <w:lang w:val="lt-LT"/>
        </w:rPr>
      </w:pPr>
      <w:r w:rsidRPr="000B544A">
        <w:rPr>
          <w:rFonts w:ascii="Times New Roman" w:hAnsi="Times New Roman"/>
          <w:lang w:val="lt-LT"/>
        </w:rPr>
        <w:t>Pasiūlos rinka.</w:t>
      </w:r>
    </w:p>
    <w:p w:rsidR="00C4133A" w:rsidRPr="000B544A" w:rsidRDefault="00C4133A" w:rsidP="00C4133A">
      <w:pPr>
        <w:pStyle w:val="ListParagraph"/>
        <w:numPr>
          <w:ilvl w:val="0"/>
          <w:numId w:val="1"/>
        </w:numPr>
        <w:spacing w:after="0" w:line="360" w:lineRule="auto"/>
        <w:jc w:val="both"/>
        <w:rPr>
          <w:rFonts w:ascii="Times New Roman" w:hAnsi="Times New Roman"/>
          <w:lang w:val="lt-LT"/>
        </w:rPr>
      </w:pPr>
      <w:r w:rsidRPr="000B544A">
        <w:rPr>
          <w:rFonts w:ascii="Times New Roman" w:hAnsi="Times New Roman"/>
          <w:lang w:val="lt-LT"/>
        </w:rPr>
        <w:t>Žemas likvidumas.</w:t>
      </w:r>
    </w:p>
    <w:p w:rsidR="00C4133A" w:rsidRPr="000B544A" w:rsidRDefault="00C4133A" w:rsidP="00C4133A">
      <w:pPr>
        <w:pStyle w:val="ListParagraph"/>
        <w:numPr>
          <w:ilvl w:val="0"/>
          <w:numId w:val="1"/>
        </w:numPr>
        <w:spacing w:after="0" w:line="360" w:lineRule="auto"/>
        <w:jc w:val="both"/>
        <w:rPr>
          <w:rFonts w:ascii="Times New Roman" w:hAnsi="Times New Roman"/>
          <w:lang w:val="lt-LT"/>
        </w:rPr>
      </w:pPr>
      <w:r w:rsidRPr="000B544A">
        <w:rPr>
          <w:rFonts w:ascii="Times New Roman" w:hAnsi="Times New Roman"/>
          <w:lang w:val="lt-LT"/>
        </w:rPr>
        <w:t>Tiesioginių sandorių rinka.</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Pasiūlos rinka yra vadinama tokia rinka, kurioje vyrauja pardav</w:t>
      </w:r>
      <w:r w:rsidR="009F4BFE" w:rsidRPr="000B544A">
        <w:rPr>
          <w:rFonts w:ascii="Times New Roman" w:hAnsi="Times New Roman"/>
          <w:lang w:val="lt-LT"/>
        </w:rPr>
        <w:t>ėjai. Žmonės gavę akcijų (pvz. d</w:t>
      </w:r>
      <w:r w:rsidRPr="000B544A">
        <w:rPr>
          <w:rFonts w:ascii="Times New Roman" w:hAnsi="Times New Roman"/>
          <w:lang w:val="lt-LT"/>
        </w:rPr>
        <w:t>arbuotojams buvo duodamos akcijos) nori jas realizuoti rinkoje ir gauti pinigus dabar. Tai buvo barjeras smulkiems investuotojams, nes buvo sunku surasti, kas nupirks jų akcijas. Stambieji vykdydavo tiesioginius sandoriu</w:t>
      </w:r>
      <w:r w:rsidR="009F4BFE" w:rsidRPr="000B544A">
        <w:rPr>
          <w:rFonts w:ascii="Times New Roman" w:hAnsi="Times New Roman"/>
          <w:lang w:val="lt-LT"/>
        </w:rPr>
        <w:t>s</w:t>
      </w:r>
      <w:r w:rsidRPr="000B544A">
        <w:rPr>
          <w:rFonts w:ascii="Times New Roman" w:hAnsi="Times New Roman"/>
          <w:lang w:val="lt-LT"/>
        </w:rPr>
        <w:t>, ne per biržą. Stambiesiems investuotojams tai buvo būdas išvengti likvidumo rizikos</w:t>
      </w:r>
      <w:r w:rsidR="009F4BFE" w:rsidRPr="000B544A">
        <w:rPr>
          <w:rFonts w:ascii="Times New Roman" w:hAnsi="Times New Roman"/>
          <w:lang w:val="lt-LT"/>
        </w:rPr>
        <w:t>,</w:t>
      </w:r>
      <w:r w:rsidRPr="000B544A">
        <w:rPr>
          <w:rFonts w:ascii="Times New Roman" w:hAnsi="Times New Roman"/>
          <w:lang w:val="lt-LT"/>
        </w:rPr>
        <w:t xml:space="preserve"> pirkėją surandant patiems tiesiogiai.</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 xml:space="preserve">Žemas likvidumas susijęs su pasiūlos rinka, nes yra sunku rasti pirkėją. [15] Negalint parduoti akcijų pradedama nepasitikėti birža ir vertybiniais popieriais. Negalint parduoti akcijų per biržą akcijų savininkams tenka ieškoti tiesioginių sandorių, tada iškyla klausimas, kam reikalinga birža? Akcijų pirkimo – pardavimo sandoris įvykdomas tiesiogiai, o apie tai tik informuojama birža. Tokie sandoriai tapo labai populiarūs ir dauguma sandorių buvo atliekama tiesiogiai. Kadangi vertybiniais popieriais daugiausiai prekiaujama tiesiogiai, tai tapo nebegalima nustatyti VP vertės. [15] Jeigu tampa sunku </w:t>
      </w:r>
      <w:r w:rsidRPr="000B544A">
        <w:rPr>
          <w:rFonts w:ascii="Times New Roman" w:hAnsi="Times New Roman"/>
          <w:lang w:val="lt-LT"/>
        </w:rPr>
        <w:lastRenderedPageBreak/>
        <w:t>parduoti VP žmonės nebenori investuoti į juos, nes kai reikės parduoti</w:t>
      </w:r>
      <w:r w:rsidR="009F4BFE" w:rsidRPr="000B544A">
        <w:rPr>
          <w:rFonts w:ascii="Times New Roman" w:hAnsi="Times New Roman"/>
          <w:lang w:val="lt-LT"/>
        </w:rPr>
        <w:t>,</w:t>
      </w:r>
      <w:r w:rsidRPr="000B544A">
        <w:rPr>
          <w:rFonts w:ascii="Times New Roman" w:hAnsi="Times New Roman"/>
          <w:lang w:val="lt-LT"/>
        </w:rPr>
        <w:t xml:space="preserve"> jie to padaryti nebegalės. Čia atsiranda investavimo rizika ir tai paaiškina žemą likvidumą. </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Šių problemų atsiradimą įtakojo pagrinde trys veiksniai. Pirmas veiksnys yra stiprus ekonominis nuosmukis. [15] Atgavus nepriklausomybę</w:t>
      </w:r>
      <w:r w:rsidR="009F4BFE" w:rsidRPr="000B544A">
        <w:rPr>
          <w:rFonts w:ascii="Times New Roman" w:hAnsi="Times New Roman"/>
          <w:lang w:val="lt-LT"/>
        </w:rPr>
        <w:t>,</w:t>
      </w:r>
      <w:r w:rsidRPr="000B544A">
        <w:rPr>
          <w:rFonts w:ascii="Times New Roman" w:hAnsi="Times New Roman"/>
          <w:lang w:val="lt-LT"/>
        </w:rPr>
        <w:t xml:space="preserve"> Lietuvoje veikusi sistema žlugo. Viską reikėjo pastatyti ir sukurti iš naujo. Vyriausybės sprendimų keitinėjimas taip pat sukėlė nepasitikėjimą ja.</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Antra priežastis buvo ta, kad Vertybinių popierių rinka daugumai buvo nauja sritis i</w:t>
      </w:r>
      <w:r w:rsidR="009F4BFE" w:rsidRPr="000B544A">
        <w:rPr>
          <w:rFonts w:ascii="Times New Roman" w:hAnsi="Times New Roman"/>
          <w:lang w:val="lt-LT"/>
        </w:rPr>
        <w:t xml:space="preserve">r žmonės nežinodami kas tai yra, </w:t>
      </w:r>
      <w:r w:rsidRPr="000B544A">
        <w:rPr>
          <w:rFonts w:ascii="Times New Roman" w:hAnsi="Times New Roman"/>
          <w:lang w:val="lt-LT"/>
        </w:rPr>
        <w:t>bijojo investuoti. [15]</w:t>
      </w:r>
      <w:r w:rsidR="009F4BFE" w:rsidRPr="000B544A">
        <w:rPr>
          <w:rFonts w:ascii="Times New Roman" w:hAnsi="Times New Roman"/>
          <w:lang w:val="lt-LT"/>
        </w:rPr>
        <w:t xml:space="preserve"> Net ir tie, kurie</w:t>
      </w:r>
      <w:r w:rsidRPr="000B544A">
        <w:rPr>
          <w:rFonts w:ascii="Times New Roman" w:hAnsi="Times New Roman"/>
          <w:lang w:val="lt-LT"/>
        </w:rPr>
        <w:t xml:space="preserve"> suprato, kaip tai veikia, nesiryžo joje “lošti”, kadangi atprasti nuo centralizuotos sistemos buvo gana sunku. </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Informacijos trūkumu galime pavadinti trečią veiksnį. [15] Niekas nieko nežinojo apie vertybinių popierių rinką, o novatorišką požiūrį turinti</w:t>
      </w:r>
      <w:r w:rsidR="008D2813">
        <w:rPr>
          <w:rFonts w:ascii="Times New Roman" w:hAnsi="Times New Roman"/>
          <w:lang w:val="lt-LT"/>
        </w:rPr>
        <w:t>ems žmonė</w:t>
      </w:r>
      <w:r w:rsidRPr="000B544A">
        <w:rPr>
          <w:rFonts w:ascii="Times New Roman" w:hAnsi="Times New Roman"/>
          <w:lang w:val="lt-LT"/>
        </w:rPr>
        <w:t>ms trūko informacijos. Nebuvo pakankamai informacijos, kad būtų buvę galima pasiskaityti ir sužinoti apie biržos veikimą kitose šalyse, ypatumus, galimybes ir galimus scenarijus.</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Lietuvos biržos kūrimosi etapai</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1993-</w:t>
      </w:r>
      <w:smartTag w:uri="urn:schemas-microsoft-com:office:smarttags" w:element="metricconverter">
        <w:smartTagPr>
          <w:attr w:name="ProductID" w:val="1994 m"/>
        </w:smartTagPr>
        <w:r w:rsidRPr="000B544A">
          <w:rPr>
            <w:rFonts w:ascii="Times New Roman" w:hAnsi="Times New Roman"/>
            <w:lang w:val="lt-LT"/>
          </w:rPr>
          <w:t>1994 m</w:t>
        </w:r>
      </w:smartTag>
      <w:r w:rsidRPr="000B544A">
        <w:rPr>
          <w:rFonts w:ascii="Times New Roman" w:hAnsi="Times New Roman"/>
          <w:lang w:val="lt-LT"/>
        </w:rPr>
        <w:t xml:space="preserve">. Kūrimosi etapas. Šiame etape buvo kuriama birža, mokomi darbuotojai, investuotojai. Tuo metu prekyba biržoje veikė kartą per savaitę ir tai pilnai patenkino tuometinį poreikį. Taip pat buvo kuriama ir tobulinama įstatyminė bazė. Buvo nustatyta, kad kaina negali nukrypti daugiau nei 60 proc. nuo savo emisijos kainos. Vyriausybei apribojus tiesioginius sandorius, padidinus jiems reikalavimus, sumažėjo apyvarta vertybiniais popieriais. [15] Tada buvo imtasi gerinti sąlygas prekybai ir įdiegta kompiuterinė biržos prekybos sistema. Įdiegus šią sistemą birža galėjo apdoroti daugiau pavedimų, tai paspartino biržos darbą. Taip pat pagyvėjo prekyba ir kartu likvidumas. </w:t>
      </w:r>
      <w:smartTag w:uri="urn:schemas-microsoft-com:office:smarttags" w:element="metricconverter">
        <w:smartTagPr>
          <w:attr w:name="ProductID" w:val="1994 m"/>
        </w:smartTagPr>
        <w:r w:rsidRPr="000B544A">
          <w:rPr>
            <w:rFonts w:ascii="Times New Roman" w:hAnsi="Times New Roman"/>
            <w:lang w:val="lt-LT"/>
          </w:rPr>
          <w:t>1994 m</w:t>
        </w:r>
      </w:smartTag>
      <w:r w:rsidRPr="000B544A">
        <w:rPr>
          <w:rFonts w:ascii="Times New Roman" w:hAnsi="Times New Roman"/>
          <w:lang w:val="lt-LT"/>
        </w:rPr>
        <w:t>. vyriausybė išleido vertybinius popierius, kuriais</w:t>
      </w:r>
      <w:r w:rsidR="009F4BFE" w:rsidRPr="000B544A">
        <w:rPr>
          <w:rFonts w:ascii="Times New Roman" w:hAnsi="Times New Roman"/>
          <w:lang w:val="lt-LT"/>
        </w:rPr>
        <w:t xml:space="preserve"> buvo</w:t>
      </w:r>
      <w:r w:rsidRPr="000B544A">
        <w:rPr>
          <w:rFonts w:ascii="Times New Roman" w:hAnsi="Times New Roman"/>
          <w:lang w:val="lt-LT"/>
        </w:rPr>
        <w:t xml:space="preserve"> prekiaujama biržoje ir tai turėjo tapti gera alternatyva akcijoms. Šie VVP buvo pelningesni, saugesni ir likvidesni nei bet kurie kiti tuo metu. [15] Šie vertybiniai popieriai netapo populiariais iš karto dėl Finansų ministerijos nustatytų maksimalių palūkanų normų. Įsitikinus Valstybės patikimumu ir jos pažadų vykdymu prekyba suklestėjo. </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Mažą sandorių skaičių įtakojo ir tai, kad nebuvo prekiaujama spekuliaciniais tikslais. [15] Tuo metu vykstant privatizavimui</w:t>
      </w:r>
      <w:r w:rsidR="009015E3">
        <w:rPr>
          <w:rFonts w:ascii="Times New Roman" w:hAnsi="Times New Roman"/>
          <w:lang w:val="lt-LT"/>
        </w:rPr>
        <w:t>,</w:t>
      </w:r>
      <w:r w:rsidRPr="000B544A">
        <w:rPr>
          <w:rFonts w:ascii="Times New Roman" w:hAnsi="Times New Roman"/>
          <w:lang w:val="lt-LT"/>
        </w:rPr>
        <w:t xml:space="preserve"> dauguma žmonių </w:t>
      </w:r>
      <w:r w:rsidR="009015E3">
        <w:rPr>
          <w:rFonts w:ascii="Times New Roman" w:hAnsi="Times New Roman"/>
          <w:lang w:val="lt-LT"/>
        </w:rPr>
        <w:t>įsigijo</w:t>
      </w:r>
      <w:r w:rsidRPr="000B544A">
        <w:rPr>
          <w:rFonts w:ascii="Times New Roman" w:hAnsi="Times New Roman"/>
          <w:lang w:val="lt-LT"/>
        </w:rPr>
        <w:t xml:space="preserve"> akcijas, kaip dalį įmonės. Privačios įmonės nėjo į biržą dėl kai kurių steigimo ir valdymo problemų. Nors birža buvo aktyviai pertvarkoma, bet tai nepadėjo jai pritraukti investuotojų. Tuo metu tiesiog nebuvo patrauklių investicijoms įmonių</w:t>
      </w:r>
      <w:r w:rsidR="009F4BFE" w:rsidRPr="000B544A">
        <w:rPr>
          <w:rFonts w:ascii="Times New Roman" w:hAnsi="Times New Roman"/>
          <w:lang w:val="lt-LT"/>
        </w:rPr>
        <w:t>,</w:t>
      </w:r>
      <w:r w:rsidRPr="000B544A">
        <w:rPr>
          <w:rFonts w:ascii="Times New Roman" w:hAnsi="Times New Roman"/>
          <w:lang w:val="lt-LT"/>
        </w:rPr>
        <w:t xml:space="preserve"> </w:t>
      </w:r>
      <w:r w:rsidR="009F4BFE" w:rsidRPr="000B544A">
        <w:rPr>
          <w:rFonts w:ascii="Times New Roman" w:hAnsi="Times New Roman"/>
          <w:lang w:val="lt-LT"/>
        </w:rPr>
        <w:t>nes</w:t>
      </w:r>
      <w:r w:rsidRPr="000B544A">
        <w:rPr>
          <w:rFonts w:ascii="Times New Roman" w:hAnsi="Times New Roman"/>
          <w:lang w:val="lt-LT"/>
        </w:rPr>
        <w:t xml:space="preserve"> ekonominis sunkmetis nebuvo dar praėjęs.</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Antrasis rinkos vystymosi etapas. Šio etapo bruožas yra rinkos aktyvumas. Šiame etape apie du kartus išaugo emitentų ir emisijų skaičius, apie tris kartus padaugėjo sandorių, o pačių sandorių vertė taip pat padidėjo. Biržos kapitalizacija padidėjo beveik du kartus (nuo 1,5 proc. iki 2,8 proc.</w:t>
      </w:r>
      <w:r w:rsidR="009F4BFE" w:rsidRPr="000B544A">
        <w:rPr>
          <w:rFonts w:ascii="Times New Roman" w:hAnsi="Times New Roman"/>
          <w:lang w:val="lt-LT"/>
        </w:rPr>
        <w:t>,</w:t>
      </w:r>
      <w:r w:rsidRPr="000B544A">
        <w:rPr>
          <w:rFonts w:ascii="Times New Roman" w:hAnsi="Times New Roman"/>
          <w:lang w:val="lt-LT"/>
        </w:rPr>
        <w:t xml:space="preserve"> lyginant su BVP). [15]</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 xml:space="preserve">Kita antro etapo ypatybė buvo ta, kad Lietuvos vertybinių popierių rinka buvo Vyriausybės vertybinių popierių rinka. Nuo </w:t>
      </w:r>
      <w:smartTag w:uri="urn:schemas-microsoft-com:office:smarttags" w:element="metricconverter">
        <w:smartTagPr>
          <w:attr w:name="ProductID" w:val="1994 m"/>
        </w:smartTagPr>
        <w:r w:rsidRPr="000B544A">
          <w:rPr>
            <w:rFonts w:ascii="Times New Roman" w:hAnsi="Times New Roman"/>
            <w:lang w:val="lt-LT"/>
          </w:rPr>
          <w:t>1994 m</w:t>
        </w:r>
      </w:smartTag>
      <w:r w:rsidRPr="000B544A">
        <w:rPr>
          <w:rFonts w:ascii="Times New Roman" w:hAnsi="Times New Roman"/>
          <w:lang w:val="lt-LT"/>
        </w:rPr>
        <w:t xml:space="preserve">. gruodžio iki </w:t>
      </w:r>
      <w:smartTag w:uri="urn:schemas-microsoft-com:office:smarttags" w:element="metricconverter">
        <w:smartTagPr>
          <w:attr w:name="ProductID" w:val="1996 m"/>
        </w:smartTagPr>
        <w:r w:rsidRPr="000B544A">
          <w:rPr>
            <w:rFonts w:ascii="Times New Roman" w:hAnsi="Times New Roman"/>
            <w:lang w:val="lt-LT"/>
          </w:rPr>
          <w:t>1996 m</w:t>
        </w:r>
      </w:smartTag>
      <w:r w:rsidRPr="000B544A">
        <w:rPr>
          <w:rFonts w:ascii="Times New Roman" w:hAnsi="Times New Roman"/>
          <w:lang w:val="lt-LT"/>
        </w:rPr>
        <w:t xml:space="preserve">. pabaigos didžiąją biržos apyvartos dalį </w:t>
      </w:r>
      <w:r w:rsidRPr="000B544A">
        <w:rPr>
          <w:rFonts w:ascii="Times New Roman" w:hAnsi="Times New Roman"/>
          <w:lang w:val="lt-LT"/>
        </w:rPr>
        <w:lastRenderedPageBreak/>
        <w:t xml:space="preserve">sudarė Vyriausybės vertybiniai popieriai. [15] Ekonomikos stabilizavimasis ir pasitikėjimas Vyriausybe padidino vertybinių popierių paklausą. Taip pat nuo </w:t>
      </w:r>
      <w:smartTag w:uri="urn:schemas-microsoft-com:office:smarttags" w:element="metricconverter">
        <w:smartTagPr>
          <w:attr w:name="ProductID" w:val="1995 m"/>
        </w:smartTagPr>
        <w:r w:rsidRPr="000B544A">
          <w:rPr>
            <w:rFonts w:ascii="Times New Roman" w:hAnsi="Times New Roman"/>
            <w:lang w:val="lt-LT"/>
          </w:rPr>
          <w:t>1995 m</w:t>
        </w:r>
      </w:smartTag>
      <w:r w:rsidRPr="000B544A">
        <w:rPr>
          <w:rFonts w:ascii="Times New Roman" w:hAnsi="Times New Roman"/>
          <w:lang w:val="lt-LT"/>
        </w:rPr>
        <w:t>. sausio 31 d. buvo leista registruoti sandorius biržoje ne tik antradieniais, kuriais vykdavo prekybos sesija, bet kiekvieną dieną. Taip pat svarbus postūmis antrinės rinkos išjudinimo link buvo Lietuvos banko ir Vertybinių popierių komisijos susitarimas dėl finansų maklerio įmonių steigimo komerciniuose bankuose. Finansiškai stiprūs bankai išjudino antrinę rinką ir poveikis pasirodė jau per ketvirtį. Apyvarta išaugo 207 proc. Vyriausybės vertybiniais popieria</w:t>
      </w:r>
      <w:r w:rsidR="009F4BFE" w:rsidRPr="000B544A">
        <w:rPr>
          <w:rFonts w:ascii="Times New Roman" w:hAnsi="Times New Roman"/>
          <w:lang w:val="lt-LT"/>
        </w:rPr>
        <w:t>is. Apyvartai didėjant kiekvieną</w:t>
      </w:r>
      <w:r w:rsidRPr="000B544A">
        <w:rPr>
          <w:rFonts w:ascii="Times New Roman" w:hAnsi="Times New Roman"/>
          <w:lang w:val="lt-LT"/>
        </w:rPr>
        <w:t xml:space="preserve"> mėnesį</w:t>
      </w:r>
      <w:r w:rsidR="009F4BFE" w:rsidRPr="000B544A">
        <w:rPr>
          <w:rFonts w:ascii="Times New Roman" w:hAnsi="Times New Roman"/>
          <w:lang w:val="lt-LT"/>
        </w:rPr>
        <w:t>,</w:t>
      </w:r>
      <w:r w:rsidRPr="000B544A">
        <w:rPr>
          <w:rFonts w:ascii="Times New Roman" w:hAnsi="Times New Roman"/>
          <w:lang w:val="lt-LT"/>
        </w:rPr>
        <w:t xml:space="preserve"> Vyriausybės vertybiniais popieriais pradėta prekiauti kiekvieną darbo dieną nuo </w:t>
      </w:r>
      <w:smartTag w:uri="urn:schemas-microsoft-com:office:smarttags" w:element="metricconverter">
        <w:smartTagPr>
          <w:attr w:name="ProductID" w:val="1995 m"/>
        </w:smartTagPr>
        <w:r w:rsidRPr="000B544A">
          <w:rPr>
            <w:rFonts w:ascii="Times New Roman" w:hAnsi="Times New Roman"/>
            <w:lang w:val="lt-LT"/>
          </w:rPr>
          <w:t>1995 m</w:t>
        </w:r>
      </w:smartTag>
      <w:r w:rsidRPr="000B544A">
        <w:rPr>
          <w:rFonts w:ascii="Times New Roman" w:hAnsi="Times New Roman"/>
          <w:lang w:val="lt-LT"/>
        </w:rPr>
        <w:t>. rugsėjo vidurio. [15] Sandoriai pradėti registruoti du kartu</w:t>
      </w:r>
      <w:r w:rsidR="009F4BFE" w:rsidRPr="000B544A">
        <w:rPr>
          <w:rFonts w:ascii="Times New Roman" w:hAnsi="Times New Roman"/>
          <w:lang w:val="lt-LT"/>
        </w:rPr>
        <w:t>s</w:t>
      </w:r>
      <w:r w:rsidRPr="000B544A">
        <w:rPr>
          <w:rFonts w:ascii="Times New Roman" w:hAnsi="Times New Roman"/>
          <w:lang w:val="lt-LT"/>
        </w:rPr>
        <w:t xml:space="preserve"> per prekybos sesiją elektroniniu paštu. Smulkiesiems investuotojams buvo gerinamos sąlygos pakeičiant kainos nustatymo sistemą. Nuo </w:t>
      </w:r>
      <w:smartTag w:uri="urn:schemas-microsoft-com:office:smarttags" w:element="metricconverter">
        <w:smartTagPr>
          <w:attr w:name="ProductID" w:val="1995 m"/>
        </w:smartTagPr>
        <w:r w:rsidRPr="000B544A">
          <w:rPr>
            <w:rFonts w:ascii="Times New Roman" w:hAnsi="Times New Roman"/>
            <w:lang w:val="lt-LT"/>
          </w:rPr>
          <w:t>1995 m</w:t>
        </w:r>
      </w:smartTag>
      <w:r w:rsidRPr="000B544A">
        <w:rPr>
          <w:rFonts w:ascii="Times New Roman" w:hAnsi="Times New Roman"/>
          <w:lang w:val="lt-LT"/>
        </w:rPr>
        <w:t>. gruodžio 11 d. kaina nustatoma pagal pirkėjo pasiūlytąją. [15]</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 xml:space="preserve">Nuo </w:t>
      </w:r>
      <w:smartTag w:uri="urn:schemas-microsoft-com:office:smarttags" w:element="metricconverter">
        <w:smartTagPr>
          <w:attr w:name="ProductID" w:val="1994 m"/>
        </w:smartTagPr>
        <w:r w:rsidRPr="000B544A">
          <w:rPr>
            <w:rFonts w:ascii="Times New Roman" w:hAnsi="Times New Roman"/>
            <w:lang w:val="lt-LT"/>
          </w:rPr>
          <w:t>1994 m</w:t>
        </w:r>
      </w:smartTag>
      <w:r w:rsidRPr="000B544A">
        <w:rPr>
          <w:rFonts w:ascii="Times New Roman" w:hAnsi="Times New Roman"/>
          <w:lang w:val="lt-LT"/>
        </w:rPr>
        <w:t xml:space="preserve">. lapkričio 9 d. prekybos sąrašas buvo suskirstytas į dvi grupes. Pirmoji grupė – A – tai įmonės, kurių akcijos turi rinkos kainą, jomis buvo prekiauta ar bent pasiūlyta pirkti </w:t>
      </w:r>
      <w:r w:rsidR="009F4BFE" w:rsidRPr="000B544A">
        <w:rPr>
          <w:rFonts w:ascii="Times New Roman" w:hAnsi="Times New Roman"/>
          <w:lang w:val="lt-LT"/>
        </w:rPr>
        <w:t>-</w:t>
      </w:r>
      <w:r w:rsidRPr="000B544A">
        <w:rPr>
          <w:rFonts w:ascii="Times New Roman" w:hAnsi="Times New Roman"/>
          <w:lang w:val="lt-LT"/>
        </w:rPr>
        <w:t xml:space="preserve"> parduoti per pas</w:t>
      </w:r>
      <w:r w:rsidR="009F4BFE" w:rsidRPr="000B544A">
        <w:rPr>
          <w:rFonts w:ascii="Times New Roman" w:hAnsi="Times New Roman"/>
          <w:lang w:val="lt-LT"/>
        </w:rPr>
        <w:t>k</w:t>
      </w:r>
      <w:r w:rsidRPr="000B544A">
        <w:rPr>
          <w:rFonts w:ascii="Times New Roman" w:hAnsi="Times New Roman"/>
          <w:lang w:val="lt-LT"/>
        </w:rPr>
        <w:t>utinius tris mėnesius ir šių akcijų emitentų finansinė ir ekonominė padėtis yra teigiama. V</w:t>
      </w:r>
      <w:r w:rsidR="009F4BFE" w:rsidRPr="000B544A">
        <w:rPr>
          <w:rFonts w:ascii="Times New Roman" w:hAnsi="Times New Roman"/>
          <w:lang w:val="lt-LT"/>
        </w:rPr>
        <w:t>isos kitos pateko į antrą sąrašą</w:t>
      </w:r>
      <w:r w:rsidRPr="000B544A">
        <w:rPr>
          <w:rFonts w:ascii="Times New Roman" w:hAnsi="Times New Roman"/>
          <w:lang w:val="lt-LT"/>
        </w:rPr>
        <w:t xml:space="preserve"> – B. [15]</w:t>
      </w:r>
    </w:p>
    <w:p w:rsidR="00C4133A" w:rsidRPr="000B544A" w:rsidRDefault="009F4BFE" w:rsidP="00C4133A">
      <w:pPr>
        <w:spacing w:after="0" w:line="360" w:lineRule="auto"/>
        <w:ind w:firstLine="567"/>
        <w:jc w:val="both"/>
        <w:rPr>
          <w:rFonts w:ascii="Times New Roman" w:hAnsi="Times New Roman"/>
          <w:lang w:val="lt-LT"/>
        </w:rPr>
      </w:pPr>
      <w:r w:rsidRPr="000B544A">
        <w:rPr>
          <w:rFonts w:ascii="Times New Roman" w:hAnsi="Times New Roman"/>
          <w:lang w:val="lt-LT"/>
        </w:rPr>
        <w:t xml:space="preserve">Krizės neigiamai paveikia </w:t>
      </w:r>
      <w:r w:rsidR="00C4133A" w:rsidRPr="000B544A">
        <w:rPr>
          <w:rFonts w:ascii="Times New Roman" w:hAnsi="Times New Roman"/>
          <w:lang w:val="lt-LT"/>
        </w:rPr>
        <w:t xml:space="preserve">biržą. </w:t>
      </w:r>
      <w:smartTag w:uri="urn:schemas-microsoft-com:office:smarttags" w:element="metricconverter">
        <w:smartTagPr>
          <w:attr w:name="ProductID" w:val="1995 m"/>
        </w:smartTagPr>
        <w:r w:rsidR="00C4133A" w:rsidRPr="000B544A">
          <w:rPr>
            <w:rFonts w:ascii="Times New Roman" w:hAnsi="Times New Roman"/>
            <w:lang w:val="lt-LT"/>
          </w:rPr>
          <w:t>1995 m</w:t>
        </w:r>
      </w:smartTag>
      <w:r w:rsidR="00C4133A" w:rsidRPr="000B544A">
        <w:rPr>
          <w:rFonts w:ascii="Times New Roman" w:hAnsi="Times New Roman"/>
          <w:lang w:val="lt-LT"/>
        </w:rPr>
        <w:t>. prasidėjusi bankų krizė ženkliai sumažino biržos apyvartas. Tai parodė, kad bankai Lietuvoje yra ekonomikos barometras.  Kalbos apie lito devalvavimą analogiškai paveikė biržą. Imta nepasitikėti Vyriausybe ir nebepirkti jos verty</w:t>
      </w:r>
      <w:r w:rsidRPr="000B544A">
        <w:rPr>
          <w:rFonts w:ascii="Times New Roman" w:hAnsi="Times New Roman"/>
          <w:lang w:val="lt-LT"/>
        </w:rPr>
        <w:t>b</w:t>
      </w:r>
      <w:r w:rsidR="00C4133A" w:rsidRPr="000B544A">
        <w:rPr>
          <w:rFonts w:ascii="Times New Roman" w:hAnsi="Times New Roman"/>
          <w:lang w:val="lt-LT"/>
        </w:rPr>
        <w:t>inių popierių. Dėl to biržoje turėjo padidėti VP pelningumas, kad vėl juos pirktų. Padidėjęs VVP pelningumas padėjo bankams įveikti krizę. Po šio įvykio depozitoriumas perėmė iš bankų vertybinių popierių apskaitą siekdamas apsaugoti investuotojus.</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Trečiasis etapas. Šiame etape įvyko daug pokyčių rinkoje, suaktyvėjo prekyba centrinėje rinkoje. Po bankų krizės rinka atsigavinėjo, didėjo apyvarta. Akcijų paklausa išaugo 4,6 karto, o prekyba tiesioginiais sandoriais sumažėjo per pusę. [15] Tai reiškė spekuliacijų atėjimą į rinką. Apyvarta per centrinę prekybos sist</w:t>
      </w:r>
      <w:r w:rsidR="009F4BFE" w:rsidRPr="000B544A">
        <w:rPr>
          <w:rFonts w:ascii="Times New Roman" w:hAnsi="Times New Roman"/>
          <w:lang w:val="lt-LT"/>
        </w:rPr>
        <w:t>emą toliau augo, nors rinka ruoš</w:t>
      </w:r>
      <w:r w:rsidRPr="000B544A">
        <w:rPr>
          <w:rFonts w:ascii="Times New Roman" w:hAnsi="Times New Roman"/>
          <w:lang w:val="lt-LT"/>
        </w:rPr>
        <w:t xml:space="preserve">ėsi </w:t>
      </w:r>
      <w:smartTag w:uri="urn:schemas-microsoft-com:office:smarttags" w:element="metricconverter">
        <w:smartTagPr>
          <w:attr w:name="ProductID" w:val="1996 m"/>
        </w:smartTagPr>
        <w:r w:rsidRPr="000B544A">
          <w:rPr>
            <w:rFonts w:ascii="Times New Roman" w:hAnsi="Times New Roman"/>
            <w:lang w:val="lt-LT"/>
          </w:rPr>
          <w:t>1996 m</w:t>
        </w:r>
      </w:smartTag>
      <w:r w:rsidRPr="000B544A">
        <w:rPr>
          <w:rFonts w:ascii="Times New Roman" w:hAnsi="Times New Roman"/>
          <w:lang w:val="lt-LT"/>
        </w:rPr>
        <w:t>. rudenį vyksian</w:t>
      </w:r>
      <w:r w:rsidR="009F4BFE" w:rsidRPr="000B544A">
        <w:rPr>
          <w:rFonts w:ascii="Times New Roman" w:hAnsi="Times New Roman"/>
          <w:lang w:val="lt-LT"/>
        </w:rPr>
        <w:t>tiems Seimo rinkimams</w:t>
      </w:r>
      <w:r w:rsidRPr="000B544A">
        <w:rPr>
          <w:rFonts w:ascii="Times New Roman" w:hAnsi="Times New Roman"/>
          <w:lang w:val="lt-LT"/>
        </w:rPr>
        <w:t>. [15] Augimą lėmė tobulėjanti prekybos sistema, mažėjanti infliacija ir gamybos plėtra. Visi šie veiksniai formavo optimistinius ateities lūkesčius.</w:t>
      </w:r>
    </w:p>
    <w:p w:rsidR="00C4133A" w:rsidRPr="000B544A" w:rsidRDefault="00C4133A" w:rsidP="00C4133A">
      <w:pPr>
        <w:spacing w:after="0" w:line="360" w:lineRule="auto"/>
        <w:ind w:firstLine="567"/>
        <w:jc w:val="both"/>
        <w:rPr>
          <w:rFonts w:ascii="Times New Roman" w:hAnsi="Times New Roman"/>
          <w:lang w:val="lt-LT"/>
        </w:rPr>
      </w:pPr>
      <w:smartTag w:uri="urn:schemas-microsoft-com:office:smarttags" w:element="metricconverter">
        <w:smartTagPr>
          <w:attr w:name="ProductID" w:val="1996 m"/>
        </w:smartTagPr>
        <w:r w:rsidRPr="000B544A">
          <w:rPr>
            <w:rFonts w:ascii="Times New Roman" w:hAnsi="Times New Roman"/>
            <w:lang w:val="lt-LT"/>
          </w:rPr>
          <w:t>1996 m</w:t>
        </w:r>
      </w:smartTag>
      <w:r w:rsidRPr="000B544A">
        <w:rPr>
          <w:rFonts w:ascii="Times New Roman" w:hAnsi="Times New Roman"/>
          <w:lang w:val="lt-LT"/>
        </w:rPr>
        <w:t xml:space="preserve">. vyko antrasis privatizavimo etapas, jis vyko per biržą ir tai rodė pasitikėjimą birža ir skatino jos aktyvumą. Tais pačiais metais Lietuvos VP birža buvo pripažinta Tarptautinės finansų </w:t>
      </w:r>
      <w:r w:rsidR="009015E3" w:rsidRPr="000B544A">
        <w:rPr>
          <w:rFonts w:ascii="Times New Roman" w:hAnsi="Times New Roman"/>
          <w:lang w:val="lt-LT"/>
        </w:rPr>
        <w:t>korporacijos</w:t>
      </w:r>
      <w:r w:rsidRPr="000B544A">
        <w:rPr>
          <w:rFonts w:ascii="Times New Roman" w:hAnsi="Times New Roman"/>
          <w:lang w:val="lt-LT"/>
        </w:rPr>
        <w:t xml:space="preserve"> (IFC), </w:t>
      </w:r>
      <w:r w:rsidR="009F4BFE" w:rsidRPr="000B544A">
        <w:rPr>
          <w:rFonts w:ascii="Times New Roman" w:hAnsi="Times New Roman"/>
          <w:lang w:val="lt-LT"/>
        </w:rPr>
        <w:t>kur</w:t>
      </w:r>
      <w:r w:rsidRPr="000B544A">
        <w:rPr>
          <w:rFonts w:ascii="Times New Roman" w:hAnsi="Times New Roman"/>
          <w:lang w:val="lt-LT"/>
        </w:rPr>
        <w:t xml:space="preserve"> įtraukė Lietuvos biržą į savo leidžiamą Besivystančių vertybinių popierių rinkų apžvalgą. [15] </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Tuo metu buvo akivaizdu, kad Lietuvos vertybinių popierių biržai reikia stambių užsienio investuotojų, kad rinka suklestėtų, išaugtų likvidumas ir apyvarta. Dar daug kas bijojo eiti į šią niekam nežinomą rinką, nors pasauliniu mastu jau buvo skelbiama apžvalga. Pirmieji užsienio vertybinių popierių emitentai buvo Japonijos tarptautinis investicijų bankas “Nomura International plc” ir JAV tarptautinis investicijų fondas “CS Boston”.</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lastRenderedPageBreak/>
        <w:t xml:space="preserve">Prekybos sistema buvo ir toliau tobulinama. Pakeistas kainos nustatymo principas, kuris leido makleriams prieš prekybos sesiją matyti visus iki tol pateiktus pavedimus rinkai ir iki sesijos pradžios galėjo keisti savo pavedimus. [15] Taip pat, nuo </w:t>
      </w:r>
      <w:smartTag w:uri="urn:schemas-microsoft-com:office:smarttags" w:element="metricconverter">
        <w:smartTagPr>
          <w:attr w:name="ProductID" w:val="1996 m"/>
        </w:smartTagPr>
        <w:r w:rsidRPr="000B544A">
          <w:rPr>
            <w:rFonts w:ascii="Times New Roman" w:hAnsi="Times New Roman"/>
            <w:lang w:val="lt-LT"/>
          </w:rPr>
          <w:t>1996 m</w:t>
        </w:r>
      </w:smartTag>
      <w:r w:rsidRPr="000B544A">
        <w:rPr>
          <w:rFonts w:ascii="Times New Roman" w:hAnsi="Times New Roman"/>
          <w:lang w:val="lt-LT"/>
        </w:rPr>
        <w:t>. gruodžio 2 d. A sąrašo vertybiniais popieriais pradėta prekiauti kasdien. [15] Tai patenkino vis didėjantį investuotojų aktyvumą.</w:t>
      </w:r>
    </w:p>
    <w:p w:rsidR="00C4133A" w:rsidRPr="000B544A" w:rsidRDefault="00C4133A" w:rsidP="00C4133A">
      <w:pPr>
        <w:spacing w:after="0" w:line="360" w:lineRule="auto"/>
        <w:ind w:firstLine="567"/>
        <w:jc w:val="both"/>
        <w:rPr>
          <w:rFonts w:ascii="Times New Roman" w:hAnsi="Times New Roman"/>
          <w:lang w:val="lt-LT"/>
        </w:rPr>
      </w:pPr>
      <w:smartTag w:uri="urn:schemas-microsoft-com:office:smarttags" w:element="metricconverter">
        <w:smartTagPr>
          <w:attr w:name="ProductID" w:val="1996 m"/>
        </w:smartTagPr>
        <w:r w:rsidRPr="000B544A">
          <w:rPr>
            <w:rFonts w:ascii="Times New Roman" w:hAnsi="Times New Roman"/>
            <w:lang w:val="lt-LT"/>
          </w:rPr>
          <w:t>1996 m</w:t>
        </w:r>
      </w:smartTag>
      <w:r w:rsidRPr="000B544A">
        <w:rPr>
          <w:rFonts w:ascii="Times New Roman" w:hAnsi="Times New Roman"/>
          <w:lang w:val="lt-LT"/>
        </w:rPr>
        <w:t xml:space="preserve"> spalio </w:t>
      </w:r>
      <w:r w:rsidR="009F4BFE" w:rsidRPr="000B544A">
        <w:rPr>
          <w:rFonts w:ascii="Times New Roman" w:hAnsi="Times New Roman"/>
          <w:lang w:val="lt-LT"/>
        </w:rPr>
        <w:t>mėn. p</w:t>
      </w:r>
      <w:r w:rsidRPr="000B544A">
        <w:rPr>
          <w:rFonts w:ascii="Times New Roman" w:hAnsi="Times New Roman"/>
          <w:lang w:val="lt-LT"/>
        </w:rPr>
        <w:t>radėta skaičiuoti ir s</w:t>
      </w:r>
      <w:r w:rsidR="009F4BFE" w:rsidRPr="000B544A">
        <w:rPr>
          <w:rFonts w:ascii="Times New Roman" w:hAnsi="Times New Roman"/>
          <w:lang w:val="lt-LT"/>
        </w:rPr>
        <w:t>kelbti tris indeksus: LITIN-A (e</w:t>
      </w:r>
      <w:r w:rsidRPr="000B544A">
        <w:rPr>
          <w:rFonts w:ascii="Times New Roman" w:hAnsi="Times New Roman"/>
          <w:lang w:val="lt-LT"/>
        </w:rPr>
        <w:t>inamojo prekybos sąrašo A grupės įmonėms), LITIN-VVP (Vyriausybės vertyb</w:t>
      </w:r>
      <w:r w:rsidR="009F4BFE" w:rsidRPr="000B544A">
        <w:rPr>
          <w:rFonts w:ascii="Times New Roman" w:hAnsi="Times New Roman"/>
          <w:lang w:val="lt-LT"/>
        </w:rPr>
        <w:t>iniams popieriams) ir LITIN-G (v</w:t>
      </w:r>
      <w:r w:rsidRPr="000B544A">
        <w:rPr>
          <w:rFonts w:ascii="Times New Roman" w:hAnsi="Times New Roman"/>
          <w:lang w:val="lt-LT"/>
        </w:rPr>
        <w:t>isoms per pastaruosius tris mėnesius kotiruotoms akcijoms, be investicinių akcinių bendrovių). [15]</w:t>
      </w:r>
    </w:p>
    <w:p w:rsidR="00C4133A" w:rsidRPr="000B544A" w:rsidRDefault="00C4133A" w:rsidP="00C4133A">
      <w:pPr>
        <w:pStyle w:val="Heading3"/>
        <w:spacing w:line="360" w:lineRule="auto"/>
        <w:rPr>
          <w:rFonts w:ascii="Times New Roman" w:hAnsi="Times New Roman"/>
          <w:lang w:val="lt-LT"/>
        </w:rPr>
      </w:pPr>
      <w:bookmarkStart w:id="28" w:name="_Toc298435322"/>
      <w:bookmarkStart w:id="29" w:name="_Toc312047640"/>
      <w:r w:rsidRPr="000B544A">
        <w:rPr>
          <w:rFonts w:ascii="Times New Roman" w:hAnsi="Times New Roman"/>
          <w:lang w:val="lt-LT"/>
        </w:rPr>
        <w:t>2.1.2 Baltijos šalių birž</w:t>
      </w:r>
      <w:bookmarkEnd w:id="28"/>
      <w:r w:rsidR="00155D3E" w:rsidRPr="000B544A">
        <w:rPr>
          <w:rFonts w:ascii="Times New Roman" w:hAnsi="Times New Roman"/>
          <w:lang w:val="lt-LT"/>
        </w:rPr>
        <w:t>os šiandien</w:t>
      </w:r>
      <w:bookmarkEnd w:id="29"/>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 xml:space="preserve">Lietuvos, Latvijos ir Estijos biržų operatorė yra Nasdaq OMX Group, Inc. Tai yra didžiausia biržų operatorė pasaulyje. Ši operatorė siūlo savo paslaugas šešiuose žemynuose, prekybos sąrašuose turi virš 3900 bendrovių ir yra pirma pasaulyje pagal listinguojamų bendrovių skaičių. </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 xml:space="preserve">Baltijos šalių biržos OMX </w:t>
      </w:r>
      <w:smartTag w:uri="urn:schemas-microsoft-com:office:smarttags" w:element="metricconverter">
        <w:smartTagPr>
          <w:attr w:name="ProductID" w:val="2008 m"/>
        </w:smartTagPr>
        <w:r w:rsidRPr="000B544A">
          <w:rPr>
            <w:rFonts w:ascii="Times New Roman" w:hAnsi="Times New Roman"/>
            <w:lang w:val="lt-LT"/>
          </w:rPr>
          <w:t>2008 m</w:t>
        </w:r>
      </w:smartTag>
      <w:r w:rsidRPr="000B544A">
        <w:rPr>
          <w:rFonts w:ascii="Times New Roman" w:hAnsi="Times New Roman"/>
          <w:lang w:val="lt-LT"/>
        </w:rPr>
        <w:t xml:space="preserve">. vasario 27 d. susijungė su NASDAQ. [18] Šis susijungimas įvedė naujų pokyčių į Baltijos šalių rinkas. Siekiant sumažinti skirtumus tarp Lietuvos, Latvijos ir Estijos vertybinių popierių rinkų, bei palengvinti prekybą vertybiniais  popieriais buvo suformuota bendra Baltijos rinka. Iki šiol visos trys Baltijos šalių biržos veikė atskirai, todėl šis susijungimas sukūrė bendrą, didesnę rinką. Dabar investuotojai gali investuoti į visų trijų šalių emitentus vienoje biržoje. Pačios biržos liko </w:t>
      </w:r>
      <w:r w:rsidR="009015E3">
        <w:rPr>
          <w:rFonts w:ascii="Times New Roman" w:hAnsi="Times New Roman"/>
          <w:lang w:val="lt-LT"/>
        </w:rPr>
        <w:t>trys: Vilniaus, Rygos ir Talino</w:t>
      </w:r>
      <w:r w:rsidRPr="000B544A">
        <w:rPr>
          <w:rFonts w:ascii="Times New Roman" w:hAnsi="Times New Roman"/>
          <w:lang w:val="lt-LT"/>
        </w:rPr>
        <w:t xml:space="preserve">, bet NASDAQ sujungė šių biržų </w:t>
      </w:r>
      <w:r w:rsidR="00CE0A7F" w:rsidRPr="000B544A">
        <w:rPr>
          <w:rFonts w:ascii="Times New Roman" w:hAnsi="Times New Roman"/>
          <w:lang w:val="lt-LT"/>
        </w:rPr>
        <w:t>p</w:t>
      </w:r>
      <w:r w:rsidRPr="000B544A">
        <w:rPr>
          <w:rFonts w:ascii="Times New Roman" w:hAnsi="Times New Roman"/>
          <w:lang w:val="lt-LT"/>
        </w:rPr>
        <w:t>rekybą į bendrą. Taip pat šios biržos naudoja tą pačią prekybos sistemą, suderintas prekybos taisykles ir prekybos praktiką. V</w:t>
      </w:r>
      <w:r w:rsidR="009F4BFE" w:rsidRPr="000B544A">
        <w:rPr>
          <w:rFonts w:ascii="Times New Roman" w:hAnsi="Times New Roman"/>
          <w:lang w:val="lt-LT"/>
        </w:rPr>
        <w:t>isa tai turėtų sumažinti sąnauda</w:t>
      </w:r>
      <w:r w:rsidRPr="000B544A">
        <w:rPr>
          <w:rFonts w:ascii="Times New Roman" w:hAnsi="Times New Roman"/>
          <w:lang w:val="lt-LT"/>
        </w:rPr>
        <w:t>s prekybos Baltijos šalyse ir pritraukti naujų investicijų į šį regioną.</w:t>
      </w:r>
    </w:p>
    <w:p w:rsidR="00C4133A" w:rsidRPr="000B544A" w:rsidRDefault="00C4133A" w:rsidP="00C4133A">
      <w:pPr>
        <w:spacing w:after="0" w:line="360" w:lineRule="auto"/>
        <w:ind w:firstLine="567"/>
        <w:jc w:val="both"/>
        <w:rPr>
          <w:rFonts w:ascii="Times New Roman" w:hAnsi="Times New Roman"/>
          <w:lang w:val="lt-LT"/>
        </w:rPr>
      </w:pPr>
      <w:smartTag w:uri="urn:schemas-microsoft-com:office:smarttags" w:element="metricconverter">
        <w:smartTagPr>
          <w:attr w:name="ProductID" w:val="2010 m"/>
        </w:smartTagPr>
        <w:r w:rsidRPr="000B544A">
          <w:rPr>
            <w:rFonts w:ascii="Times New Roman" w:hAnsi="Times New Roman"/>
            <w:lang w:val="lt-LT"/>
          </w:rPr>
          <w:t>2010 m</w:t>
        </w:r>
      </w:smartTag>
      <w:r w:rsidRPr="000B544A">
        <w:rPr>
          <w:rFonts w:ascii="Times New Roman" w:hAnsi="Times New Roman"/>
          <w:lang w:val="lt-LT"/>
        </w:rPr>
        <w:t>. lapkričio 22 d. Baltijos šalių biržoje buvo įvesta bendra valiuta – euras. [18] Šiuo pokyčiu siekiama pritraukti daugiau investuotojų į biržą, kuri taps patrauklesnė užsienio investuotojams. Lietuvos investuotojams tai taip pat teigiamas pasikeitimas</w:t>
      </w:r>
      <w:r w:rsidR="00364D40" w:rsidRPr="000B544A">
        <w:rPr>
          <w:rFonts w:ascii="Times New Roman" w:hAnsi="Times New Roman"/>
          <w:lang w:val="lt-LT"/>
        </w:rPr>
        <w:t>. T</w:t>
      </w:r>
      <w:r w:rsidRPr="000B544A">
        <w:rPr>
          <w:rFonts w:ascii="Times New Roman" w:hAnsi="Times New Roman"/>
          <w:lang w:val="lt-LT"/>
        </w:rPr>
        <w:t>iems, kas investuoja ne tik Lietuvos biržoje, sumažėja valiutos keitimo išlaidos ir palengvinama vertybinių popierių apskaita, vertės paskaičiavimas. Estija, įsivedusi eurą, kaip nacionalinę valiutą, pajus dar didesnę naudą, kadangi savo valiuta galės investuoti į Lietuvos ir Latvijos emitentus.</w:t>
      </w:r>
    </w:p>
    <w:p w:rsidR="00C4133A" w:rsidRPr="000B544A" w:rsidRDefault="005829BD" w:rsidP="00C4133A">
      <w:pPr>
        <w:spacing w:after="0" w:line="360" w:lineRule="auto"/>
        <w:ind w:firstLine="567"/>
        <w:jc w:val="both"/>
        <w:rPr>
          <w:rFonts w:ascii="Times New Roman" w:hAnsi="Times New Roman"/>
          <w:lang w:val="lt-LT"/>
        </w:rPr>
      </w:pPr>
      <w:r w:rsidRPr="000B544A">
        <w:rPr>
          <w:rFonts w:ascii="Times New Roman" w:hAnsi="Times New Roman"/>
          <w:lang w:val="lt-LT"/>
        </w:rPr>
        <w:t>Pagal 2011</w:t>
      </w:r>
      <w:r w:rsidR="00C4133A" w:rsidRPr="000B544A">
        <w:rPr>
          <w:rFonts w:ascii="Times New Roman" w:hAnsi="Times New Roman"/>
          <w:lang w:val="lt-LT"/>
        </w:rPr>
        <w:t xml:space="preserve"> m </w:t>
      </w:r>
      <w:r w:rsidRPr="000B544A">
        <w:rPr>
          <w:rFonts w:ascii="Times New Roman" w:hAnsi="Times New Roman"/>
          <w:lang w:val="lt-LT"/>
        </w:rPr>
        <w:t>lapkričio</w:t>
      </w:r>
      <w:r w:rsidR="00C4133A" w:rsidRPr="000B544A">
        <w:rPr>
          <w:rFonts w:ascii="Times New Roman" w:hAnsi="Times New Roman"/>
          <w:lang w:val="lt-LT"/>
        </w:rPr>
        <w:t xml:space="preserve"> mėnesio NASDAQ skelbiamą biržos biuletenį</w:t>
      </w:r>
      <w:r w:rsidR="00364D40" w:rsidRPr="000B544A">
        <w:rPr>
          <w:rFonts w:ascii="Times New Roman" w:hAnsi="Times New Roman"/>
          <w:lang w:val="lt-LT"/>
        </w:rPr>
        <w:t>,</w:t>
      </w:r>
      <w:r w:rsidR="00C4133A" w:rsidRPr="000B544A">
        <w:rPr>
          <w:rFonts w:ascii="Times New Roman" w:hAnsi="Times New Roman"/>
          <w:lang w:val="lt-LT"/>
        </w:rPr>
        <w:t xml:space="preserve"> Baltijos rinkoje buvo prekiaujama 8</w:t>
      </w:r>
      <w:r w:rsidRPr="000B544A">
        <w:rPr>
          <w:rFonts w:ascii="Times New Roman" w:hAnsi="Times New Roman"/>
          <w:lang w:val="lt-LT"/>
        </w:rPr>
        <w:t>3</w:t>
      </w:r>
      <w:r w:rsidR="00C4133A" w:rsidRPr="000B544A">
        <w:rPr>
          <w:rFonts w:ascii="Times New Roman" w:hAnsi="Times New Roman"/>
          <w:lang w:val="lt-LT"/>
        </w:rPr>
        <w:t xml:space="preserve"> įmonių akcijomis. Iš kurių </w:t>
      </w:r>
      <w:r w:rsidRPr="000B544A">
        <w:rPr>
          <w:rFonts w:ascii="Times New Roman" w:hAnsi="Times New Roman"/>
          <w:lang w:val="lt-LT"/>
        </w:rPr>
        <w:t>36</w:t>
      </w:r>
      <w:r w:rsidR="00C4133A" w:rsidRPr="000B544A">
        <w:rPr>
          <w:rFonts w:ascii="Times New Roman" w:hAnsi="Times New Roman"/>
          <w:lang w:val="lt-LT"/>
        </w:rPr>
        <w:t xml:space="preserve"> Lietuvos įmonės, 3</w:t>
      </w:r>
      <w:r w:rsidRPr="000B544A">
        <w:rPr>
          <w:rFonts w:ascii="Times New Roman" w:hAnsi="Times New Roman"/>
          <w:lang w:val="lt-LT"/>
        </w:rPr>
        <w:t>2</w:t>
      </w:r>
      <w:r w:rsidR="00C4133A" w:rsidRPr="000B544A">
        <w:rPr>
          <w:rFonts w:ascii="Times New Roman" w:hAnsi="Times New Roman"/>
          <w:lang w:val="lt-LT"/>
        </w:rPr>
        <w:t xml:space="preserve"> Latvijos ir 15 Estijos įmonių. Pagal vidutinį sandorių skaičių per prekybos sesiją </w:t>
      </w:r>
      <w:r w:rsidRPr="000B544A">
        <w:rPr>
          <w:rFonts w:ascii="Times New Roman" w:hAnsi="Times New Roman"/>
          <w:lang w:val="lt-LT"/>
        </w:rPr>
        <w:t>lapkričio</w:t>
      </w:r>
      <w:r w:rsidR="00C4133A" w:rsidRPr="000B544A">
        <w:rPr>
          <w:rFonts w:ascii="Times New Roman" w:hAnsi="Times New Roman"/>
          <w:lang w:val="lt-LT"/>
        </w:rPr>
        <w:t xml:space="preserve"> mėnesį Lietuvos Nasdaq OMX Vilnius birža buvo pirma su </w:t>
      </w:r>
      <w:r w:rsidRPr="000B544A">
        <w:rPr>
          <w:rFonts w:ascii="Times New Roman" w:hAnsi="Times New Roman"/>
          <w:lang w:val="lt-LT"/>
        </w:rPr>
        <w:t>567</w:t>
      </w:r>
      <w:r w:rsidR="00C4133A" w:rsidRPr="000B544A">
        <w:rPr>
          <w:rFonts w:ascii="Times New Roman" w:hAnsi="Times New Roman"/>
          <w:lang w:val="lt-LT"/>
        </w:rPr>
        <w:t xml:space="preserve"> sandorių per dieną. Talino biržoje buvo atliekami </w:t>
      </w:r>
      <w:r w:rsidRPr="000B544A">
        <w:rPr>
          <w:rFonts w:ascii="Times New Roman" w:hAnsi="Times New Roman"/>
          <w:lang w:val="lt-LT"/>
        </w:rPr>
        <w:t>296</w:t>
      </w:r>
      <w:r w:rsidR="00C4133A" w:rsidRPr="000B544A">
        <w:rPr>
          <w:rFonts w:ascii="Times New Roman" w:hAnsi="Times New Roman"/>
          <w:lang w:val="lt-LT"/>
        </w:rPr>
        <w:t xml:space="preserve"> sandoriai per dieną, o Rygos – 7</w:t>
      </w:r>
      <w:r w:rsidRPr="000B544A">
        <w:rPr>
          <w:rFonts w:ascii="Times New Roman" w:hAnsi="Times New Roman"/>
          <w:lang w:val="lt-LT"/>
        </w:rPr>
        <w:t>2</w:t>
      </w:r>
      <w:r w:rsidR="00C4133A" w:rsidRPr="000B544A">
        <w:rPr>
          <w:rFonts w:ascii="Times New Roman" w:hAnsi="Times New Roman"/>
          <w:lang w:val="lt-LT"/>
        </w:rPr>
        <w:t xml:space="preserve"> sandoriai per dieną.[21] Pagal šiuos duomenis Lietuvos birža yra didžiausia ir aktyviausia Baltijos šalių rinkoje.  </w:t>
      </w:r>
    </w:p>
    <w:p w:rsidR="00AB50DF" w:rsidRPr="000B544A" w:rsidRDefault="00AB50DF" w:rsidP="00C4133A">
      <w:pPr>
        <w:spacing w:after="0" w:line="360" w:lineRule="auto"/>
        <w:ind w:firstLine="567"/>
        <w:jc w:val="both"/>
        <w:rPr>
          <w:rFonts w:ascii="Times New Roman" w:hAnsi="Times New Roman"/>
          <w:lang w:val="lt-LT"/>
        </w:rPr>
      </w:pPr>
    </w:p>
    <w:p w:rsidR="00AB50DF" w:rsidRPr="000B544A" w:rsidRDefault="00AB50DF" w:rsidP="00C4133A">
      <w:pPr>
        <w:spacing w:after="0" w:line="360" w:lineRule="auto"/>
        <w:ind w:firstLine="567"/>
        <w:jc w:val="both"/>
        <w:rPr>
          <w:rFonts w:ascii="Times New Roman" w:hAnsi="Times New Roman"/>
          <w:lang w:val="lt-LT"/>
        </w:rPr>
      </w:pPr>
    </w:p>
    <w:p w:rsidR="00C4133A" w:rsidRPr="000B544A" w:rsidRDefault="00C4133A" w:rsidP="00C4133A">
      <w:pPr>
        <w:pStyle w:val="Caption"/>
        <w:keepNext/>
        <w:jc w:val="center"/>
        <w:rPr>
          <w:rFonts w:ascii="Times New Roman" w:hAnsi="Times New Roman"/>
          <w:b w:val="0"/>
          <w:lang w:val="lt-LT"/>
        </w:rPr>
      </w:pPr>
      <w:r w:rsidRPr="000B544A">
        <w:rPr>
          <w:rFonts w:ascii="Times New Roman" w:hAnsi="Times New Roman"/>
          <w:b w:val="0"/>
          <w:lang w:val="lt-LT"/>
        </w:rPr>
        <w:lastRenderedPageBreak/>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30" w:name="_Toc311718667"/>
      <w:r w:rsidR="00C53DDD">
        <w:rPr>
          <w:rFonts w:ascii="Times New Roman" w:hAnsi="Times New Roman"/>
          <w:b w:val="0"/>
          <w:noProof/>
          <w:lang w:val="lt-LT"/>
        </w:rPr>
        <w:t>1</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 </w:t>
      </w:r>
      <w:r w:rsidRPr="000B544A">
        <w:rPr>
          <w:rFonts w:ascii="Times New Roman" w:hAnsi="Times New Roman"/>
          <w:lang w:val="lt-LT"/>
        </w:rPr>
        <w:t>Bendrieji 2005-2010 m. Reguliuojamos rinkos Nasdaq OMX Vilnius rodikliai</w:t>
      </w:r>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247"/>
        <w:gridCol w:w="709"/>
        <w:gridCol w:w="709"/>
        <w:gridCol w:w="709"/>
        <w:gridCol w:w="708"/>
        <w:gridCol w:w="709"/>
        <w:gridCol w:w="809"/>
      </w:tblGrid>
      <w:tr w:rsidR="00C4133A" w:rsidRPr="000B544A" w:rsidTr="003A4414">
        <w:trPr>
          <w:jc w:val="center"/>
        </w:trPr>
        <w:tc>
          <w:tcPr>
            <w:tcW w:w="531"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Nr.</w:t>
            </w:r>
          </w:p>
        </w:tc>
        <w:tc>
          <w:tcPr>
            <w:tcW w:w="5247"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Rodiklis</w:t>
            </w:r>
          </w:p>
        </w:tc>
        <w:tc>
          <w:tcPr>
            <w:tcW w:w="7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2005</w:t>
            </w:r>
          </w:p>
        </w:tc>
        <w:tc>
          <w:tcPr>
            <w:tcW w:w="7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2006</w:t>
            </w:r>
          </w:p>
        </w:tc>
        <w:tc>
          <w:tcPr>
            <w:tcW w:w="7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2007</w:t>
            </w:r>
          </w:p>
        </w:tc>
        <w:tc>
          <w:tcPr>
            <w:tcW w:w="708"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2008</w:t>
            </w:r>
          </w:p>
        </w:tc>
        <w:tc>
          <w:tcPr>
            <w:tcW w:w="7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2009</w:t>
            </w:r>
          </w:p>
        </w:tc>
        <w:tc>
          <w:tcPr>
            <w:tcW w:w="8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2010</w:t>
            </w:r>
          </w:p>
        </w:tc>
      </w:tr>
      <w:tr w:rsidR="00C4133A" w:rsidRPr="000B544A" w:rsidTr="003A4414">
        <w:trPr>
          <w:jc w:val="center"/>
        </w:trPr>
        <w:tc>
          <w:tcPr>
            <w:tcW w:w="531"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1</w:t>
            </w:r>
          </w:p>
        </w:tc>
        <w:tc>
          <w:tcPr>
            <w:tcW w:w="5247"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Nasdaq OMX Vilnius kapitalizacija mlrd. Lt.</w:t>
            </w:r>
          </w:p>
        </w:tc>
        <w:tc>
          <w:tcPr>
            <w:tcW w:w="7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28,2</w:t>
            </w:r>
          </w:p>
        </w:tc>
        <w:tc>
          <w:tcPr>
            <w:tcW w:w="7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30,0</w:t>
            </w:r>
          </w:p>
        </w:tc>
        <w:tc>
          <w:tcPr>
            <w:tcW w:w="7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26,9</w:t>
            </w:r>
          </w:p>
        </w:tc>
        <w:tc>
          <w:tcPr>
            <w:tcW w:w="708"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12,0</w:t>
            </w:r>
          </w:p>
        </w:tc>
        <w:tc>
          <w:tcPr>
            <w:tcW w:w="7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14,9</w:t>
            </w:r>
          </w:p>
        </w:tc>
        <w:tc>
          <w:tcPr>
            <w:tcW w:w="8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18,8</w:t>
            </w:r>
          </w:p>
        </w:tc>
      </w:tr>
      <w:tr w:rsidR="00C4133A" w:rsidRPr="000B544A" w:rsidTr="003A4414">
        <w:trPr>
          <w:jc w:val="center"/>
        </w:trPr>
        <w:tc>
          <w:tcPr>
            <w:tcW w:w="531"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2</w:t>
            </w:r>
          </w:p>
        </w:tc>
        <w:tc>
          <w:tcPr>
            <w:tcW w:w="5247"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Nasdaq OMX Vilnius kapitalizacijos ir BVP santykis, proc.</w:t>
            </w:r>
          </w:p>
        </w:tc>
        <w:tc>
          <w:tcPr>
            <w:tcW w:w="7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39,1</w:t>
            </w:r>
          </w:p>
        </w:tc>
        <w:tc>
          <w:tcPr>
            <w:tcW w:w="7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36,3</w:t>
            </w:r>
          </w:p>
        </w:tc>
        <w:tc>
          <w:tcPr>
            <w:tcW w:w="7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27,4</w:t>
            </w:r>
          </w:p>
        </w:tc>
        <w:tc>
          <w:tcPr>
            <w:tcW w:w="708"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10,8</w:t>
            </w:r>
          </w:p>
        </w:tc>
        <w:tc>
          <w:tcPr>
            <w:tcW w:w="7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16,1</w:t>
            </w:r>
          </w:p>
        </w:tc>
        <w:tc>
          <w:tcPr>
            <w:tcW w:w="8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20,0</w:t>
            </w:r>
          </w:p>
        </w:tc>
      </w:tr>
      <w:tr w:rsidR="00C4133A" w:rsidRPr="000B544A" w:rsidTr="003A4414">
        <w:trPr>
          <w:jc w:val="center"/>
        </w:trPr>
        <w:tc>
          <w:tcPr>
            <w:tcW w:w="531"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3</w:t>
            </w:r>
          </w:p>
        </w:tc>
        <w:tc>
          <w:tcPr>
            <w:tcW w:w="5247"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Nasdaq OMX Vilnius apyvarta mlrd. Lt.</w:t>
            </w:r>
          </w:p>
        </w:tc>
        <w:tc>
          <w:tcPr>
            <w:tcW w:w="7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4,0</w:t>
            </w:r>
          </w:p>
        </w:tc>
        <w:tc>
          <w:tcPr>
            <w:tcW w:w="7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7,1</w:t>
            </w:r>
          </w:p>
        </w:tc>
        <w:tc>
          <w:tcPr>
            <w:tcW w:w="7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3,9</w:t>
            </w:r>
          </w:p>
        </w:tc>
        <w:tc>
          <w:tcPr>
            <w:tcW w:w="708"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1,8</w:t>
            </w:r>
          </w:p>
        </w:tc>
        <w:tc>
          <w:tcPr>
            <w:tcW w:w="7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3,2</w:t>
            </w:r>
          </w:p>
        </w:tc>
        <w:tc>
          <w:tcPr>
            <w:tcW w:w="8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4,0</w:t>
            </w:r>
          </w:p>
        </w:tc>
      </w:tr>
      <w:tr w:rsidR="00C4133A" w:rsidRPr="000B544A" w:rsidTr="003A4414">
        <w:trPr>
          <w:jc w:val="center"/>
        </w:trPr>
        <w:tc>
          <w:tcPr>
            <w:tcW w:w="531"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4</w:t>
            </w:r>
          </w:p>
        </w:tc>
        <w:tc>
          <w:tcPr>
            <w:tcW w:w="5247"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Nasdaq OMX Vilnius apyvartos ir kapitalizacijos santykis, proc.</w:t>
            </w:r>
          </w:p>
        </w:tc>
        <w:tc>
          <w:tcPr>
            <w:tcW w:w="7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14,2</w:t>
            </w:r>
          </w:p>
        </w:tc>
        <w:tc>
          <w:tcPr>
            <w:tcW w:w="7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23,6</w:t>
            </w:r>
          </w:p>
        </w:tc>
        <w:tc>
          <w:tcPr>
            <w:tcW w:w="7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14,5</w:t>
            </w:r>
          </w:p>
        </w:tc>
        <w:tc>
          <w:tcPr>
            <w:tcW w:w="708"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14,8</w:t>
            </w:r>
          </w:p>
        </w:tc>
        <w:tc>
          <w:tcPr>
            <w:tcW w:w="7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21,7</w:t>
            </w:r>
          </w:p>
        </w:tc>
        <w:tc>
          <w:tcPr>
            <w:tcW w:w="809" w:type="dxa"/>
            <w:vAlign w:val="center"/>
          </w:tcPr>
          <w:p w:rsidR="00C4133A" w:rsidRPr="000B544A" w:rsidRDefault="00C4133A" w:rsidP="003A4414">
            <w:pPr>
              <w:spacing w:after="0" w:line="360" w:lineRule="auto"/>
              <w:jc w:val="center"/>
              <w:rPr>
                <w:rFonts w:ascii="Times New Roman" w:hAnsi="Times New Roman"/>
                <w:sz w:val="22"/>
                <w:szCs w:val="22"/>
                <w:lang w:val="lt-LT"/>
              </w:rPr>
            </w:pPr>
            <w:r w:rsidRPr="000B544A">
              <w:rPr>
                <w:rFonts w:ascii="Times New Roman" w:hAnsi="Times New Roman"/>
                <w:sz w:val="22"/>
                <w:szCs w:val="22"/>
                <w:lang w:val="lt-LT"/>
              </w:rPr>
              <w:t>21,1</w:t>
            </w:r>
          </w:p>
        </w:tc>
      </w:tr>
    </w:tbl>
    <w:p w:rsidR="00C4133A" w:rsidRPr="000B544A" w:rsidRDefault="00C4133A" w:rsidP="00C4133A">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AB, „Nasdaq OMX Vilnius“</w:t>
      </w:r>
    </w:p>
    <w:p w:rsidR="00C4133A" w:rsidRPr="000B544A" w:rsidRDefault="00C4133A" w:rsidP="00C4133A">
      <w:pPr>
        <w:spacing w:after="0" w:line="360" w:lineRule="auto"/>
        <w:ind w:firstLine="567"/>
        <w:jc w:val="both"/>
        <w:rPr>
          <w:rFonts w:ascii="Times New Roman" w:hAnsi="Times New Roman"/>
          <w:lang w:val="lt-LT"/>
        </w:rPr>
      </w:pPr>
      <w:r w:rsidRPr="000B544A">
        <w:rPr>
          <w:rFonts w:ascii="Times New Roman" w:hAnsi="Times New Roman"/>
          <w:lang w:val="lt-LT"/>
        </w:rPr>
        <w:t>Lentelėje pateikti Nasdaq OMX Vilnius rodikliai 2005-2010 m. Lentelėje pateikti rodikliai geriausius rezultatus rodė 2006 m. Tuo metu buvo didžiausia Nasdaq OMX Vilnius kapitalizacija, apyvarta ir apyvartos ir kapitalizacijos santykis. Blogiausi metai Nasdaq OMX Vilnius biržai buvo - 2008 m. Tam labai daug įtakos turėjo 2008 m. pasaulinio masto finansų krizė.</w:t>
      </w:r>
    </w:p>
    <w:p w:rsidR="00C4133A" w:rsidRPr="000B544A" w:rsidRDefault="00C4133A" w:rsidP="00F1114B">
      <w:pPr>
        <w:spacing w:line="360" w:lineRule="auto"/>
        <w:ind w:firstLine="567"/>
        <w:jc w:val="both"/>
        <w:rPr>
          <w:rFonts w:ascii="Times New Roman" w:hAnsi="Times New Roman"/>
          <w:lang w:val="lt-LT"/>
        </w:rPr>
      </w:pPr>
    </w:p>
    <w:p w:rsidR="00C4133A" w:rsidRPr="000B544A" w:rsidRDefault="00C4133A" w:rsidP="00C4133A">
      <w:pPr>
        <w:pStyle w:val="Heading2"/>
        <w:spacing w:before="0" w:line="360" w:lineRule="auto"/>
        <w:rPr>
          <w:rFonts w:ascii="Times New Roman" w:hAnsi="Times New Roman"/>
          <w:color w:val="auto"/>
          <w:lang w:val="lt-LT"/>
        </w:rPr>
      </w:pPr>
      <w:bookmarkStart w:id="31" w:name="_Toc312047641"/>
      <w:r w:rsidRPr="000B544A">
        <w:rPr>
          <w:rFonts w:ascii="Times New Roman" w:hAnsi="Times New Roman"/>
          <w:color w:val="auto"/>
          <w:lang w:val="lt-LT"/>
        </w:rPr>
        <w:t>2.2 Techninės analizės indikatori</w:t>
      </w:r>
      <w:r w:rsidR="00456371" w:rsidRPr="000B544A">
        <w:rPr>
          <w:rFonts w:ascii="Times New Roman" w:hAnsi="Times New Roman"/>
          <w:color w:val="auto"/>
          <w:lang w:val="lt-LT"/>
        </w:rPr>
        <w:t>ai ir jų taikymas</w:t>
      </w:r>
      <w:bookmarkEnd w:id="31"/>
    </w:p>
    <w:p w:rsidR="004B7FBF" w:rsidRPr="000B544A" w:rsidRDefault="00CF3BF5" w:rsidP="00AB50DF">
      <w:pPr>
        <w:spacing w:after="120" w:line="360" w:lineRule="auto"/>
        <w:ind w:firstLine="567"/>
        <w:jc w:val="both"/>
        <w:rPr>
          <w:rFonts w:ascii="Times New Roman" w:hAnsi="Times New Roman"/>
          <w:lang w:val="lt-LT"/>
        </w:rPr>
      </w:pPr>
      <w:r w:rsidRPr="000B544A">
        <w:rPr>
          <w:rFonts w:ascii="Times New Roman" w:hAnsi="Times New Roman"/>
          <w:lang w:val="lt-LT"/>
        </w:rPr>
        <w:t>Siekiant prognozuoti, kokios akcijų kainos bus ateityje</w:t>
      </w:r>
      <w:r w:rsidR="00364D40" w:rsidRPr="000B544A">
        <w:rPr>
          <w:rFonts w:ascii="Times New Roman" w:hAnsi="Times New Roman"/>
          <w:lang w:val="lt-LT"/>
        </w:rPr>
        <w:t>,</w:t>
      </w:r>
      <w:r w:rsidRPr="000B544A">
        <w:rPr>
          <w:rFonts w:ascii="Times New Roman" w:hAnsi="Times New Roman"/>
          <w:lang w:val="lt-LT"/>
        </w:rPr>
        <w:t xml:space="preserve"> yra sukurta daug įvairių tech</w:t>
      </w:r>
      <w:r w:rsidR="005F2E4C" w:rsidRPr="000B544A">
        <w:rPr>
          <w:rFonts w:ascii="Times New Roman" w:hAnsi="Times New Roman"/>
          <w:lang w:val="lt-LT"/>
        </w:rPr>
        <w:t xml:space="preserve">ninės analizės indikatorių. Šių indikatorių generuojamos skaitinės reikšmės </w:t>
      </w:r>
      <w:r w:rsidR="00F1114B" w:rsidRPr="000B544A">
        <w:rPr>
          <w:rFonts w:ascii="Times New Roman" w:hAnsi="Times New Roman"/>
          <w:lang w:val="lt-LT"/>
        </w:rPr>
        <w:t>signalizuoja investuotojui apie kainos kryptis ar krypčių pasikeitimą. Investuotojas</w:t>
      </w:r>
      <w:r w:rsidR="00364D40" w:rsidRPr="000B544A">
        <w:rPr>
          <w:rFonts w:ascii="Times New Roman" w:hAnsi="Times New Roman"/>
          <w:lang w:val="lt-LT"/>
        </w:rPr>
        <w:t>,</w:t>
      </w:r>
      <w:r w:rsidR="00F1114B" w:rsidRPr="000B544A">
        <w:rPr>
          <w:rFonts w:ascii="Times New Roman" w:hAnsi="Times New Roman"/>
          <w:lang w:val="lt-LT"/>
        </w:rPr>
        <w:t xml:space="preserve"> matydamas indikatorių rodomus signalus gali prognozuoti būsimas akcijų kainas.</w:t>
      </w:r>
    </w:p>
    <w:p w:rsidR="007D4D24" w:rsidRPr="000B544A" w:rsidRDefault="00F1114B" w:rsidP="00AB50DF">
      <w:pPr>
        <w:spacing w:after="120" w:line="360" w:lineRule="auto"/>
        <w:ind w:firstLine="567"/>
        <w:jc w:val="both"/>
        <w:rPr>
          <w:rFonts w:ascii="Times New Roman" w:hAnsi="Times New Roman"/>
          <w:lang w:val="lt-LT"/>
        </w:rPr>
      </w:pPr>
      <w:r w:rsidRPr="000B544A">
        <w:rPr>
          <w:rFonts w:ascii="Times New Roman" w:hAnsi="Times New Roman"/>
          <w:lang w:val="lt-LT"/>
        </w:rPr>
        <w:t>Šioje darbo dalyje aprašysiu ir ištirsiu 10 techninės analizės indikatorių:</w:t>
      </w:r>
    </w:p>
    <w:p w:rsidR="00F54846" w:rsidRPr="000B544A" w:rsidRDefault="00F54846" w:rsidP="00AB50DF">
      <w:pPr>
        <w:pStyle w:val="Caption"/>
        <w:keepNext/>
        <w:spacing w:after="120"/>
        <w:jc w:val="center"/>
        <w:rPr>
          <w:rFonts w:ascii="Times New Roman" w:hAnsi="Times New Roman"/>
          <w:b w:val="0"/>
          <w:lang w:val="lt-LT"/>
        </w:rPr>
      </w:pPr>
      <w:r w:rsidRPr="000B544A">
        <w:rPr>
          <w:rFonts w:ascii="Times New Roman" w:hAnsi="Times New Roman"/>
          <w:b w:val="0"/>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32" w:name="_Toc311718668"/>
      <w:r w:rsidR="00C53DDD">
        <w:rPr>
          <w:rFonts w:ascii="Times New Roman" w:hAnsi="Times New Roman"/>
          <w:b w:val="0"/>
          <w:noProof/>
          <w:lang w:val="lt-LT"/>
        </w:rPr>
        <w:t>2</w:t>
      </w:r>
      <w:r w:rsidR="00A56BC3" w:rsidRPr="000B544A">
        <w:rPr>
          <w:rFonts w:ascii="Times New Roman" w:hAnsi="Times New Roman"/>
          <w:b w:val="0"/>
          <w:lang w:val="lt-LT"/>
        </w:rPr>
        <w:fldChar w:fldCharType="end"/>
      </w:r>
      <w:r w:rsidR="006D4610" w:rsidRPr="000B544A">
        <w:rPr>
          <w:rFonts w:ascii="Times New Roman" w:hAnsi="Times New Roman"/>
          <w:b w:val="0"/>
          <w:lang w:val="lt-LT"/>
        </w:rPr>
        <w:t xml:space="preserve"> L</w:t>
      </w:r>
      <w:r w:rsidRPr="000B544A">
        <w:rPr>
          <w:rFonts w:ascii="Times New Roman" w:hAnsi="Times New Roman"/>
          <w:b w:val="0"/>
          <w:lang w:val="lt-LT"/>
        </w:rPr>
        <w:t xml:space="preserve">entelė. </w:t>
      </w:r>
      <w:r w:rsidRPr="000B544A">
        <w:rPr>
          <w:rFonts w:ascii="Times New Roman" w:hAnsi="Times New Roman"/>
          <w:lang w:val="lt-LT"/>
        </w:rPr>
        <w:t>Techninės analizės indikatoriai</w:t>
      </w:r>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
        <w:gridCol w:w="4628"/>
        <w:gridCol w:w="3724"/>
      </w:tblGrid>
      <w:tr w:rsidR="00D03482" w:rsidRPr="000B544A" w:rsidTr="003F4996">
        <w:trPr>
          <w:trHeight w:val="286"/>
          <w:jc w:val="center"/>
        </w:trPr>
        <w:tc>
          <w:tcPr>
            <w:tcW w:w="495"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Nr.</w:t>
            </w:r>
          </w:p>
        </w:tc>
        <w:tc>
          <w:tcPr>
            <w:tcW w:w="4628"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Pavadinimas</w:t>
            </w:r>
          </w:p>
        </w:tc>
        <w:tc>
          <w:tcPr>
            <w:tcW w:w="3724"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Angliškas pavadinimas</w:t>
            </w:r>
          </w:p>
        </w:tc>
      </w:tr>
      <w:tr w:rsidR="00D03482" w:rsidRPr="000B544A" w:rsidTr="003F4996">
        <w:trPr>
          <w:trHeight w:val="355"/>
          <w:jc w:val="center"/>
        </w:trPr>
        <w:tc>
          <w:tcPr>
            <w:tcW w:w="495"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1</w:t>
            </w:r>
          </w:p>
        </w:tc>
        <w:tc>
          <w:tcPr>
            <w:tcW w:w="4628"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Bolingerio juostos</w:t>
            </w:r>
          </w:p>
        </w:tc>
        <w:tc>
          <w:tcPr>
            <w:tcW w:w="3724"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Bollinger Bands (</w:t>
            </w:r>
            <w:r w:rsidR="003D3C7A" w:rsidRPr="000B544A">
              <w:rPr>
                <w:rFonts w:ascii="Times New Roman" w:hAnsi="Times New Roman"/>
                <w:sz w:val="22"/>
                <w:szCs w:val="22"/>
                <w:lang w:val="lt-LT"/>
              </w:rPr>
              <w:t xml:space="preserve">angl. </w:t>
            </w:r>
            <w:r w:rsidRPr="000B544A">
              <w:rPr>
                <w:rFonts w:ascii="Times New Roman" w:hAnsi="Times New Roman"/>
                <w:sz w:val="22"/>
                <w:szCs w:val="22"/>
                <w:lang w:val="lt-LT"/>
              </w:rPr>
              <w:t>trump. BB)</w:t>
            </w:r>
          </w:p>
        </w:tc>
      </w:tr>
      <w:tr w:rsidR="00D03482" w:rsidRPr="000B544A" w:rsidTr="003F4996">
        <w:trPr>
          <w:trHeight w:val="471"/>
          <w:jc w:val="center"/>
        </w:trPr>
        <w:tc>
          <w:tcPr>
            <w:tcW w:w="495"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2</w:t>
            </w:r>
          </w:p>
        </w:tc>
        <w:tc>
          <w:tcPr>
            <w:tcW w:w="4628"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Slankiųjų vidurkių konvergencija - divergencija</w:t>
            </w:r>
          </w:p>
        </w:tc>
        <w:tc>
          <w:tcPr>
            <w:tcW w:w="3724"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Moving Average Convergence – Divergence (</w:t>
            </w:r>
            <w:r w:rsidR="003D3C7A" w:rsidRPr="000B544A">
              <w:rPr>
                <w:rFonts w:ascii="Times New Roman" w:hAnsi="Times New Roman"/>
                <w:sz w:val="22"/>
                <w:szCs w:val="22"/>
                <w:lang w:val="lt-LT"/>
              </w:rPr>
              <w:t xml:space="preserve">angl. </w:t>
            </w:r>
            <w:r w:rsidRPr="000B544A">
              <w:rPr>
                <w:rFonts w:ascii="Times New Roman" w:hAnsi="Times New Roman"/>
                <w:sz w:val="22"/>
                <w:szCs w:val="22"/>
                <w:lang w:val="lt-LT"/>
              </w:rPr>
              <w:t>trump. MACD)</w:t>
            </w:r>
          </w:p>
        </w:tc>
      </w:tr>
      <w:tr w:rsidR="00D03482" w:rsidRPr="000B544A" w:rsidTr="003F4996">
        <w:trPr>
          <w:trHeight w:val="278"/>
          <w:jc w:val="center"/>
        </w:trPr>
        <w:tc>
          <w:tcPr>
            <w:tcW w:w="495"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3</w:t>
            </w:r>
          </w:p>
        </w:tc>
        <w:tc>
          <w:tcPr>
            <w:tcW w:w="4628"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Lyginamosios jėgos indeksas</w:t>
            </w:r>
          </w:p>
        </w:tc>
        <w:tc>
          <w:tcPr>
            <w:tcW w:w="3724"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Relative Strength Index (trump. RSI)</w:t>
            </w:r>
          </w:p>
        </w:tc>
      </w:tr>
      <w:tr w:rsidR="00D03482" w:rsidRPr="000B544A" w:rsidTr="003F4996">
        <w:trPr>
          <w:trHeight w:val="388"/>
          <w:jc w:val="center"/>
        </w:trPr>
        <w:tc>
          <w:tcPr>
            <w:tcW w:w="495"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4</w:t>
            </w:r>
          </w:p>
        </w:tc>
        <w:tc>
          <w:tcPr>
            <w:tcW w:w="4628"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Eksponentinis ir paprastas slankusis vidurkis</w:t>
            </w:r>
          </w:p>
        </w:tc>
        <w:tc>
          <w:tcPr>
            <w:tcW w:w="3724"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Exponential Moving Average (</w:t>
            </w:r>
            <w:r w:rsidR="003D3C7A" w:rsidRPr="000B544A">
              <w:rPr>
                <w:rFonts w:ascii="Times New Roman" w:hAnsi="Times New Roman"/>
                <w:sz w:val="22"/>
                <w:szCs w:val="22"/>
                <w:lang w:val="lt-LT"/>
              </w:rPr>
              <w:t xml:space="preserve">angl. </w:t>
            </w:r>
            <w:r w:rsidRPr="000B544A">
              <w:rPr>
                <w:rFonts w:ascii="Times New Roman" w:hAnsi="Times New Roman"/>
                <w:sz w:val="22"/>
                <w:szCs w:val="22"/>
                <w:lang w:val="lt-LT"/>
              </w:rPr>
              <w:t>trump. EMA); Simple Moving Average (</w:t>
            </w:r>
            <w:r w:rsidR="003D3C7A" w:rsidRPr="000B544A">
              <w:rPr>
                <w:rFonts w:ascii="Times New Roman" w:hAnsi="Times New Roman"/>
                <w:sz w:val="22"/>
                <w:szCs w:val="22"/>
                <w:lang w:val="lt-LT"/>
              </w:rPr>
              <w:t xml:space="preserve">angl. </w:t>
            </w:r>
            <w:r w:rsidRPr="000B544A">
              <w:rPr>
                <w:rFonts w:ascii="Times New Roman" w:hAnsi="Times New Roman"/>
                <w:sz w:val="22"/>
                <w:szCs w:val="22"/>
                <w:lang w:val="lt-LT"/>
              </w:rPr>
              <w:t>trump. SMA)</w:t>
            </w:r>
          </w:p>
        </w:tc>
      </w:tr>
      <w:tr w:rsidR="00D03482" w:rsidRPr="000B544A" w:rsidTr="003F4996">
        <w:trPr>
          <w:trHeight w:val="284"/>
          <w:jc w:val="center"/>
        </w:trPr>
        <w:tc>
          <w:tcPr>
            <w:tcW w:w="495"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5</w:t>
            </w:r>
          </w:p>
        </w:tc>
        <w:tc>
          <w:tcPr>
            <w:tcW w:w="4628"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Pokyčio indikatorius</w:t>
            </w:r>
          </w:p>
        </w:tc>
        <w:tc>
          <w:tcPr>
            <w:tcW w:w="3724"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Momentum</w:t>
            </w:r>
          </w:p>
        </w:tc>
      </w:tr>
      <w:tr w:rsidR="00D03482" w:rsidRPr="000B544A" w:rsidTr="003F4996">
        <w:trPr>
          <w:trHeight w:val="284"/>
          <w:jc w:val="center"/>
        </w:trPr>
        <w:tc>
          <w:tcPr>
            <w:tcW w:w="495"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6</w:t>
            </w:r>
          </w:p>
        </w:tc>
        <w:tc>
          <w:tcPr>
            <w:tcW w:w="4628" w:type="dxa"/>
            <w:shd w:val="clear" w:color="auto" w:fill="auto"/>
          </w:tcPr>
          <w:p w:rsidR="00D03482" w:rsidRPr="000B544A" w:rsidRDefault="003D3C7A" w:rsidP="003F4996">
            <w:pPr>
              <w:jc w:val="center"/>
              <w:rPr>
                <w:rFonts w:ascii="Times New Roman" w:hAnsi="Times New Roman"/>
                <w:sz w:val="22"/>
                <w:szCs w:val="22"/>
                <w:lang w:val="lt-LT"/>
              </w:rPr>
            </w:pPr>
            <w:r w:rsidRPr="000B544A">
              <w:rPr>
                <w:rFonts w:ascii="Times New Roman" w:hAnsi="Times New Roman"/>
                <w:sz w:val="22"/>
                <w:szCs w:val="22"/>
                <w:lang w:val="lt-LT"/>
              </w:rPr>
              <w:t>Pasikeitimo masto</w:t>
            </w:r>
            <w:r w:rsidR="00D03482" w:rsidRPr="000B544A">
              <w:rPr>
                <w:rFonts w:ascii="Times New Roman" w:hAnsi="Times New Roman"/>
                <w:sz w:val="22"/>
                <w:szCs w:val="22"/>
                <w:lang w:val="lt-LT"/>
              </w:rPr>
              <w:t xml:space="preserve"> indikatorius</w:t>
            </w:r>
          </w:p>
        </w:tc>
        <w:tc>
          <w:tcPr>
            <w:tcW w:w="3724"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Rate Of Change (</w:t>
            </w:r>
            <w:r w:rsidR="003D3C7A" w:rsidRPr="000B544A">
              <w:rPr>
                <w:rFonts w:ascii="Times New Roman" w:hAnsi="Times New Roman"/>
                <w:sz w:val="22"/>
                <w:szCs w:val="22"/>
                <w:lang w:val="lt-LT"/>
              </w:rPr>
              <w:t xml:space="preserve">angl. </w:t>
            </w:r>
            <w:r w:rsidRPr="000B544A">
              <w:rPr>
                <w:rFonts w:ascii="Times New Roman" w:hAnsi="Times New Roman"/>
                <w:sz w:val="22"/>
                <w:szCs w:val="22"/>
                <w:lang w:val="lt-LT"/>
              </w:rPr>
              <w:t>trump. ROC)</w:t>
            </w:r>
          </w:p>
        </w:tc>
      </w:tr>
      <w:tr w:rsidR="00D03482" w:rsidRPr="000B544A" w:rsidTr="003F4996">
        <w:trPr>
          <w:trHeight w:val="278"/>
          <w:jc w:val="center"/>
        </w:trPr>
        <w:tc>
          <w:tcPr>
            <w:tcW w:w="495"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7</w:t>
            </w:r>
          </w:p>
        </w:tc>
        <w:tc>
          <w:tcPr>
            <w:tcW w:w="4628"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Stochastinis osciliatorius</w:t>
            </w:r>
          </w:p>
        </w:tc>
        <w:tc>
          <w:tcPr>
            <w:tcW w:w="3724"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Stochastic Oscillator (</w:t>
            </w:r>
            <w:r w:rsidR="003D3C7A" w:rsidRPr="000B544A">
              <w:rPr>
                <w:rFonts w:ascii="Times New Roman" w:hAnsi="Times New Roman"/>
                <w:sz w:val="22"/>
                <w:szCs w:val="22"/>
                <w:lang w:val="lt-LT"/>
              </w:rPr>
              <w:t xml:space="preserve">angl. </w:t>
            </w:r>
            <w:r w:rsidRPr="000B544A">
              <w:rPr>
                <w:rFonts w:ascii="Times New Roman" w:hAnsi="Times New Roman"/>
                <w:sz w:val="22"/>
                <w:szCs w:val="22"/>
                <w:lang w:val="lt-LT"/>
              </w:rPr>
              <w:t>trump. SO)</w:t>
            </w:r>
          </w:p>
        </w:tc>
      </w:tr>
      <w:tr w:rsidR="00D03482" w:rsidRPr="000B544A" w:rsidTr="003F4996">
        <w:trPr>
          <w:trHeight w:val="284"/>
          <w:jc w:val="center"/>
        </w:trPr>
        <w:tc>
          <w:tcPr>
            <w:tcW w:w="495"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8</w:t>
            </w:r>
          </w:p>
        </w:tc>
        <w:tc>
          <w:tcPr>
            <w:tcW w:w="4628" w:type="dxa"/>
            <w:shd w:val="clear" w:color="auto" w:fill="auto"/>
          </w:tcPr>
          <w:p w:rsidR="00D03482" w:rsidRPr="000B544A" w:rsidRDefault="00D03482" w:rsidP="00225BF6">
            <w:pPr>
              <w:jc w:val="center"/>
              <w:rPr>
                <w:rFonts w:ascii="Times New Roman" w:hAnsi="Times New Roman"/>
                <w:sz w:val="22"/>
                <w:szCs w:val="22"/>
                <w:lang w:val="lt-LT"/>
              </w:rPr>
            </w:pPr>
            <w:r w:rsidRPr="000B544A">
              <w:rPr>
                <w:rFonts w:ascii="Times New Roman" w:hAnsi="Times New Roman"/>
                <w:sz w:val="22"/>
                <w:szCs w:val="22"/>
                <w:lang w:val="lt-LT"/>
              </w:rPr>
              <w:t xml:space="preserve">Procentinis Viljamso </w:t>
            </w:r>
            <w:r w:rsidR="00225BF6" w:rsidRPr="000B544A">
              <w:rPr>
                <w:rFonts w:ascii="Times New Roman" w:hAnsi="Times New Roman"/>
                <w:sz w:val="22"/>
                <w:szCs w:val="22"/>
                <w:lang w:val="lt-LT"/>
              </w:rPr>
              <w:t>indikatorius</w:t>
            </w:r>
          </w:p>
        </w:tc>
        <w:tc>
          <w:tcPr>
            <w:tcW w:w="3724"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Williams %R</w:t>
            </w:r>
          </w:p>
        </w:tc>
      </w:tr>
      <w:tr w:rsidR="00D03482" w:rsidRPr="000B544A" w:rsidTr="003F4996">
        <w:trPr>
          <w:trHeight w:val="278"/>
          <w:jc w:val="center"/>
        </w:trPr>
        <w:tc>
          <w:tcPr>
            <w:tcW w:w="495"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9</w:t>
            </w:r>
          </w:p>
        </w:tc>
        <w:tc>
          <w:tcPr>
            <w:tcW w:w="4628"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Pinigų srauto indeksas</w:t>
            </w:r>
          </w:p>
        </w:tc>
        <w:tc>
          <w:tcPr>
            <w:tcW w:w="3724"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Money Flow Index (</w:t>
            </w:r>
            <w:r w:rsidR="003D3C7A" w:rsidRPr="000B544A">
              <w:rPr>
                <w:rFonts w:ascii="Times New Roman" w:hAnsi="Times New Roman"/>
                <w:sz w:val="22"/>
                <w:szCs w:val="22"/>
                <w:lang w:val="lt-LT"/>
              </w:rPr>
              <w:t xml:space="preserve">angl. </w:t>
            </w:r>
            <w:r w:rsidRPr="000B544A">
              <w:rPr>
                <w:rFonts w:ascii="Times New Roman" w:hAnsi="Times New Roman"/>
                <w:sz w:val="22"/>
                <w:szCs w:val="22"/>
                <w:lang w:val="lt-LT"/>
              </w:rPr>
              <w:t>trump. MFI)</w:t>
            </w:r>
          </w:p>
        </w:tc>
      </w:tr>
      <w:tr w:rsidR="00D03482" w:rsidRPr="000B544A" w:rsidTr="003F4996">
        <w:trPr>
          <w:trHeight w:val="179"/>
          <w:jc w:val="center"/>
        </w:trPr>
        <w:tc>
          <w:tcPr>
            <w:tcW w:w="495"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10</w:t>
            </w:r>
          </w:p>
        </w:tc>
        <w:tc>
          <w:tcPr>
            <w:tcW w:w="4628"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Dončiano kanalas</w:t>
            </w:r>
          </w:p>
        </w:tc>
        <w:tc>
          <w:tcPr>
            <w:tcW w:w="3724" w:type="dxa"/>
            <w:shd w:val="clear" w:color="auto" w:fill="auto"/>
          </w:tcPr>
          <w:p w:rsidR="00D03482" w:rsidRPr="000B544A" w:rsidRDefault="00D03482" w:rsidP="003F4996">
            <w:pPr>
              <w:jc w:val="center"/>
              <w:rPr>
                <w:rFonts w:ascii="Times New Roman" w:hAnsi="Times New Roman"/>
                <w:sz w:val="22"/>
                <w:szCs w:val="22"/>
                <w:lang w:val="lt-LT"/>
              </w:rPr>
            </w:pPr>
            <w:r w:rsidRPr="000B544A">
              <w:rPr>
                <w:rFonts w:ascii="Times New Roman" w:hAnsi="Times New Roman"/>
                <w:sz w:val="22"/>
                <w:szCs w:val="22"/>
                <w:lang w:val="lt-LT"/>
              </w:rPr>
              <w:t>Donchian Channel</w:t>
            </w:r>
          </w:p>
        </w:tc>
      </w:tr>
    </w:tbl>
    <w:p w:rsidR="007411A2" w:rsidRPr="000B544A" w:rsidRDefault="00520F7B" w:rsidP="00520F7B">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95493F" w:rsidRPr="000B544A" w:rsidRDefault="00E46A24" w:rsidP="00111802">
      <w:pPr>
        <w:spacing w:line="360" w:lineRule="auto"/>
        <w:ind w:firstLine="567"/>
        <w:jc w:val="both"/>
        <w:rPr>
          <w:rFonts w:ascii="Times New Roman" w:hAnsi="Times New Roman"/>
          <w:lang w:val="lt-LT"/>
        </w:rPr>
      </w:pPr>
      <w:r w:rsidRPr="000B544A">
        <w:rPr>
          <w:rFonts w:ascii="Times New Roman" w:hAnsi="Times New Roman"/>
          <w:lang w:val="lt-LT"/>
        </w:rPr>
        <w:lastRenderedPageBreak/>
        <w:t>Siekdamas nustatyti šių indikatorių tinkamumą Nasdaq OMX Baltic biržoje listinguojamoms akcijoms</w:t>
      </w:r>
      <w:r w:rsidR="00364D40" w:rsidRPr="000B544A">
        <w:rPr>
          <w:rFonts w:ascii="Times New Roman" w:hAnsi="Times New Roman"/>
          <w:lang w:val="lt-LT"/>
        </w:rPr>
        <w:t>,</w:t>
      </w:r>
      <w:r w:rsidRPr="000B544A">
        <w:rPr>
          <w:rFonts w:ascii="Times New Roman" w:hAnsi="Times New Roman"/>
          <w:lang w:val="lt-LT"/>
        </w:rPr>
        <w:t xml:space="preserve"> kiekvieną iš jų pritaikysiu 10-čiai likvidžiausių Baltijos šalių biržos akcijų. </w:t>
      </w:r>
      <w:r w:rsidR="0095493F" w:rsidRPr="000B544A">
        <w:rPr>
          <w:rFonts w:ascii="Times New Roman" w:hAnsi="Times New Roman"/>
          <w:lang w:val="lt-LT"/>
        </w:rPr>
        <w:t>Šios akcijos atrenkamos pagal Nasdaq OMX Baltic parengtą metodiką. Ši metodika skirta „OMX Baltic 10“ indekso skaičiavimui.</w:t>
      </w:r>
      <w:r w:rsidR="001B7141" w:rsidRPr="000B544A">
        <w:rPr>
          <w:rFonts w:ascii="Times New Roman" w:hAnsi="Times New Roman"/>
          <w:lang w:val="lt-LT"/>
        </w:rPr>
        <w:t xml:space="preserve"> Šis indeksas susideda iš 10 pačių likvidžiausių Baltijos šalių biržų prekybos sąrašuose esanč</w:t>
      </w:r>
      <w:r w:rsidR="003D773B" w:rsidRPr="000B544A">
        <w:rPr>
          <w:rFonts w:ascii="Times New Roman" w:hAnsi="Times New Roman"/>
          <w:lang w:val="lt-LT"/>
        </w:rPr>
        <w:t xml:space="preserve">ių bendrovių akcijų, todėl indekse naudojamos akcijos gali būti laikomos to laikotarpio pačiomis likvidžiausiomis akcijomis </w:t>
      </w:r>
      <w:r w:rsidR="00F035D3" w:rsidRPr="000B544A">
        <w:rPr>
          <w:rFonts w:ascii="Times New Roman" w:hAnsi="Times New Roman"/>
          <w:lang w:val="lt-LT"/>
        </w:rPr>
        <w:t>[19]</w:t>
      </w:r>
      <w:r w:rsidR="003D773B" w:rsidRPr="000B544A">
        <w:rPr>
          <w:rFonts w:ascii="Times New Roman" w:hAnsi="Times New Roman"/>
          <w:lang w:val="lt-LT"/>
        </w:rPr>
        <w:t>.</w:t>
      </w:r>
    </w:p>
    <w:p w:rsidR="00F1114B" w:rsidRPr="000B544A" w:rsidRDefault="00E46A24" w:rsidP="00111802">
      <w:pPr>
        <w:spacing w:line="360" w:lineRule="auto"/>
        <w:ind w:firstLine="567"/>
        <w:jc w:val="both"/>
        <w:rPr>
          <w:rFonts w:ascii="Times New Roman" w:hAnsi="Times New Roman"/>
          <w:lang w:val="lt-LT"/>
        </w:rPr>
      </w:pPr>
      <w:r w:rsidRPr="000B544A">
        <w:rPr>
          <w:rFonts w:ascii="Times New Roman" w:hAnsi="Times New Roman"/>
          <w:lang w:val="lt-LT"/>
        </w:rPr>
        <w:t>Kadangi tarp likvidžiausių akcijų yra įmonių, kurios listinguojamos dar gan</w:t>
      </w:r>
      <w:r w:rsidR="00364D40" w:rsidRPr="000B544A">
        <w:rPr>
          <w:rFonts w:ascii="Times New Roman" w:hAnsi="Times New Roman"/>
          <w:lang w:val="lt-LT"/>
        </w:rPr>
        <w:t>a</w:t>
      </w:r>
      <w:r w:rsidRPr="000B544A">
        <w:rPr>
          <w:rFonts w:ascii="Times New Roman" w:hAnsi="Times New Roman"/>
          <w:lang w:val="lt-LT"/>
        </w:rPr>
        <w:t xml:space="preserve"> trumpą laiką, pasirinkau laikotarpį nuo </w:t>
      </w:r>
      <w:smartTag w:uri="urn:schemas-microsoft-com:office:smarttags" w:element="metricconverter">
        <w:smartTagPr>
          <w:attr w:name="ProductID" w:val="2010 m"/>
        </w:smartTagPr>
        <w:r w:rsidRPr="000B544A">
          <w:rPr>
            <w:rFonts w:ascii="Times New Roman" w:hAnsi="Times New Roman"/>
            <w:lang w:val="lt-LT"/>
          </w:rPr>
          <w:t>2010 m</w:t>
        </w:r>
      </w:smartTag>
      <w:r w:rsidRPr="000B544A">
        <w:rPr>
          <w:rFonts w:ascii="Times New Roman" w:hAnsi="Times New Roman"/>
          <w:lang w:val="lt-LT"/>
        </w:rPr>
        <w:t xml:space="preserve">. vasario 17 d. iki </w:t>
      </w:r>
      <w:smartTag w:uri="urn:schemas-microsoft-com:office:smarttags" w:element="metricconverter">
        <w:smartTagPr>
          <w:attr w:name="ProductID" w:val="2011 m"/>
        </w:smartTagPr>
        <w:r w:rsidRPr="000B544A">
          <w:rPr>
            <w:rFonts w:ascii="Times New Roman" w:hAnsi="Times New Roman"/>
            <w:lang w:val="lt-LT"/>
          </w:rPr>
          <w:t>2011 m</w:t>
        </w:r>
      </w:smartTag>
      <w:r w:rsidRPr="000B544A">
        <w:rPr>
          <w:rFonts w:ascii="Times New Roman" w:hAnsi="Times New Roman"/>
          <w:lang w:val="lt-LT"/>
        </w:rPr>
        <w:t>. balandžio 14 d. Šiame laikotarpyje buvo listinguo</w:t>
      </w:r>
      <w:r w:rsidR="00111802" w:rsidRPr="000B544A">
        <w:rPr>
          <w:rFonts w:ascii="Times New Roman" w:hAnsi="Times New Roman"/>
          <w:lang w:val="lt-LT"/>
        </w:rPr>
        <w:t xml:space="preserve">jamos visos mano tyrime naudojamos įmonių akcijos. </w:t>
      </w:r>
    </w:p>
    <w:p w:rsidR="00F54846" w:rsidRPr="000B544A" w:rsidRDefault="00F54846" w:rsidP="00F54846">
      <w:pPr>
        <w:pStyle w:val="Caption"/>
        <w:keepNext/>
        <w:jc w:val="center"/>
        <w:rPr>
          <w:rFonts w:ascii="Times New Roman" w:hAnsi="Times New Roman"/>
          <w:b w:val="0"/>
          <w:lang w:val="lt-LT"/>
        </w:rPr>
      </w:pPr>
      <w:r w:rsidRPr="000B544A">
        <w:rPr>
          <w:rFonts w:ascii="Times New Roman" w:hAnsi="Times New Roman"/>
          <w:b w:val="0"/>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33" w:name="_Toc311718669"/>
      <w:r w:rsidR="00C53DDD">
        <w:rPr>
          <w:rFonts w:ascii="Times New Roman" w:hAnsi="Times New Roman"/>
          <w:b w:val="0"/>
          <w:noProof/>
          <w:lang w:val="lt-LT"/>
        </w:rPr>
        <w:t>3</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 </w:t>
      </w:r>
      <w:r w:rsidRPr="000B544A">
        <w:rPr>
          <w:rFonts w:ascii="Times New Roman" w:hAnsi="Times New Roman"/>
          <w:lang w:val="lt-LT"/>
        </w:rPr>
        <w:t>10 likvidžiausių akcijų Nasdaq OMX Baltic biržoje</w:t>
      </w:r>
      <w:bookmarkEnd w:id="33"/>
    </w:p>
    <w:tbl>
      <w:tblPr>
        <w:tblW w:w="6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7"/>
        <w:gridCol w:w="2214"/>
        <w:gridCol w:w="3145"/>
      </w:tblGrid>
      <w:tr w:rsidR="00192AD6" w:rsidRPr="000B544A" w:rsidTr="003F4996">
        <w:trPr>
          <w:trHeight w:val="179"/>
          <w:jc w:val="center"/>
        </w:trPr>
        <w:tc>
          <w:tcPr>
            <w:tcW w:w="687"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Nr.</w:t>
            </w:r>
          </w:p>
        </w:tc>
        <w:tc>
          <w:tcPr>
            <w:tcW w:w="2214"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Trumpinys</w:t>
            </w:r>
          </w:p>
        </w:tc>
        <w:tc>
          <w:tcPr>
            <w:tcW w:w="3145"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Pavadinimas</w:t>
            </w:r>
          </w:p>
        </w:tc>
      </w:tr>
      <w:tr w:rsidR="00192AD6" w:rsidRPr="000B544A" w:rsidTr="003F4996">
        <w:trPr>
          <w:trHeight w:val="179"/>
          <w:jc w:val="center"/>
        </w:trPr>
        <w:tc>
          <w:tcPr>
            <w:tcW w:w="687"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1</w:t>
            </w:r>
          </w:p>
        </w:tc>
        <w:tc>
          <w:tcPr>
            <w:tcW w:w="2214"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APG1L</w:t>
            </w:r>
          </w:p>
        </w:tc>
        <w:tc>
          <w:tcPr>
            <w:tcW w:w="3145"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Apranga</w:t>
            </w:r>
          </w:p>
        </w:tc>
      </w:tr>
      <w:tr w:rsidR="00192AD6" w:rsidRPr="000B544A" w:rsidTr="003F4996">
        <w:trPr>
          <w:trHeight w:val="179"/>
          <w:jc w:val="center"/>
        </w:trPr>
        <w:tc>
          <w:tcPr>
            <w:tcW w:w="687"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2</w:t>
            </w:r>
          </w:p>
        </w:tc>
        <w:tc>
          <w:tcPr>
            <w:tcW w:w="2214"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LNA1L</w:t>
            </w:r>
          </w:p>
        </w:tc>
        <w:tc>
          <w:tcPr>
            <w:tcW w:w="3145" w:type="dxa"/>
            <w:noWrap/>
          </w:tcPr>
          <w:p w:rsidR="00192AD6" w:rsidRPr="000B544A" w:rsidRDefault="00192AD6" w:rsidP="003F4996">
            <w:pPr>
              <w:tabs>
                <w:tab w:val="center" w:pos="1224"/>
              </w:tabs>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Linas Agro Group</w:t>
            </w:r>
          </w:p>
        </w:tc>
      </w:tr>
      <w:tr w:rsidR="00192AD6" w:rsidRPr="000B544A" w:rsidTr="003F4996">
        <w:trPr>
          <w:trHeight w:val="179"/>
          <w:jc w:val="center"/>
        </w:trPr>
        <w:tc>
          <w:tcPr>
            <w:tcW w:w="687"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3</w:t>
            </w:r>
          </w:p>
        </w:tc>
        <w:tc>
          <w:tcPr>
            <w:tcW w:w="2214"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NCN1T</w:t>
            </w:r>
          </w:p>
        </w:tc>
        <w:tc>
          <w:tcPr>
            <w:tcW w:w="3145"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Nordecon AS</w:t>
            </w:r>
          </w:p>
        </w:tc>
      </w:tr>
      <w:tr w:rsidR="00192AD6" w:rsidRPr="000B544A" w:rsidTr="003F4996">
        <w:trPr>
          <w:trHeight w:val="179"/>
          <w:jc w:val="center"/>
        </w:trPr>
        <w:tc>
          <w:tcPr>
            <w:tcW w:w="687"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4</w:t>
            </w:r>
          </w:p>
        </w:tc>
        <w:tc>
          <w:tcPr>
            <w:tcW w:w="2214"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OEG1T</w:t>
            </w:r>
          </w:p>
        </w:tc>
        <w:tc>
          <w:tcPr>
            <w:tcW w:w="3145"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Olympic Entertainment Group</w:t>
            </w:r>
          </w:p>
        </w:tc>
      </w:tr>
      <w:tr w:rsidR="00192AD6" w:rsidRPr="000B544A" w:rsidTr="003F4996">
        <w:trPr>
          <w:trHeight w:val="179"/>
          <w:jc w:val="center"/>
        </w:trPr>
        <w:tc>
          <w:tcPr>
            <w:tcW w:w="687"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5</w:t>
            </w:r>
          </w:p>
        </w:tc>
        <w:tc>
          <w:tcPr>
            <w:tcW w:w="2214"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PTR1L</w:t>
            </w:r>
          </w:p>
        </w:tc>
        <w:tc>
          <w:tcPr>
            <w:tcW w:w="3145"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Panevėžio statybos trestas</w:t>
            </w:r>
          </w:p>
        </w:tc>
      </w:tr>
      <w:tr w:rsidR="00192AD6" w:rsidRPr="000B544A" w:rsidTr="003F4996">
        <w:trPr>
          <w:trHeight w:val="179"/>
          <w:jc w:val="center"/>
        </w:trPr>
        <w:tc>
          <w:tcPr>
            <w:tcW w:w="687"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6</w:t>
            </w:r>
          </w:p>
        </w:tc>
        <w:tc>
          <w:tcPr>
            <w:tcW w:w="2214"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TAL1T</w:t>
            </w:r>
          </w:p>
        </w:tc>
        <w:tc>
          <w:tcPr>
            <w:tcW w:w="3145"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Tallink Grupp</w:t>
            </w:r>
          </w:p>
        </w:tc>
      </w:tr>
      <w:tr w:rsidR="00192AD6" w:rsidRPr="000B544A" w:rsidTr="003F4996">
        <w:trPr>
          <w:trHeight w:val="179"/>
          <w:jc w:val="center"/>
        </w:trPr>
        <w:tc>
          <w:tcPr>
            <w:tcW w:w="687"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7</w:t>
            </w:r>
          </w:p>
        </w:tc>
        <w:tc>
          <w:tcPr>
            <w:tcW w:w="2214"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TEO1L</w:t>
            </w:r>
          </w:p>
        </w:tc>
        <w:tc>
          <w:tcPr>
            <w:tcW w:w="3145"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TEO LT</w:t>
            </w:r>
          </w:p>
        </w:tc>
      </w:tr>
      <w:tr w:rsidR="00192AD6" w:rsidRPr="000B544A" w:rsidTr="003F4996">
        <w:trPr>
          <w:trHeight w:val="179"/>
          <w:jc w:val="center"/>
        </w:trPr>
        <w:tc>
          <w:tcPr>
            <w:tcW w:w="687"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8</w:t>
            </w:r>
          </w:p>
        </w:tc>
        <w:tc>
          <w:tcPr>
            <w:tcW w:w="2214"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TKM1T</w:t>
            </w:r>
          </w:p>
        </w:tc>
        <w:tc>
          <w:tcPr>
            <w:tcW w:w="3145"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Tallinna Kaubamaja</w:t>
            </w:r>
          </w:p>
        </w:tc>
      </w:tr>
      <w:tr w:rsidR="00192AD6" w:rsidRPr="000B544A" w:rsidTr="003F4996">
        <w:trPr>
          <w:trHeight w:val="179"/>
          <w:jc w:val="center"/>
        </w:trPr>
        <w:tc>
          <w:tcPr>
            <w:tcW w:w="687"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9</w:t>
            </w:r>
          </w:p>
        </w:tc>
        <w:tc>
          <w:tcPr>
            <w:tcW w:w="2214"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TVEAT</w:t>
            </w:r>
          </w:p>
        </w:tc>
        <w:tc>
          <w:tcPr>
            <w:tcW w:w="3145"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Tallinna Vesi</w:t>
            </w:r>
          </w:p>
        </w:tc>
      </w:tr>
      <w:tr w:rsidR="00192AD6" w:rsidRPr="000B544A" w:rsidTr="003F4996">
        <w:trPr>
          <w:trHeight w:val="179"/>
          <w:jc w:val="center"/>
        </w:trPr>
        <w:tc>
          <w:tcPr>
            <w:tcW w:w="687"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10</w:t>
            </w:r>
          </w:p>
        </w:tc>
        <w:tc>
          <w:tcPr>
            <w:tcW w:w="2214"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UKB1L</w:t>
            </w:r>
          </w:p>
        </w:tc>
        <w:tc>
          <w:tcPr>
            <w:tcW w:w="3145" w:type="dxa"/>
            <w:noWrap/>
          </w:tcPr>
          <w:p w:rsidR="00192AD6" w:rsidRPr="000B544A" w:rsidRDefault="00192AD6" w:rsidP="003F4996">
            <w:pPr>
              <w:jc w:val="center"/>
              <w:rPr>
                <w:rStyle w:val="Strong"/>
                <w:rFonts w:ascii="Times New Roman" w:hAnsi="Times New Roman"/>
                <w:b w:val="0"/>
                <w:bCs/>
                <w:sz w:val="22"/>
                <w:szCs w:val="22"/>
                <w:lang w:val="lt-LT"/>
              </w:rPr>
            </w:pPr>
            <w:r w:rsidRPr="000B544A">
              <w:rPr>
                <w:rStyle w:val="Strong"/>
                <w:rFonts w:ascii="Times New Roman" w:hAnsi="Times New Roman"/>
                <w:b w:val="0"/>
                <w:bCs/>
                <w:sz w:val="22"/>
                <w:szCs w:val="22"/>
                <w:lang w:val="lt-LT"/>
              </w:rPr>
              <w:t>Ūkio bankas</w:t>
            </w:r>
          </w:p>
        </w:tc>
      </w:tr>
    </w:tbl>
    <w:p w:rsidR="00192AD6" w:rsidRPr="000B544A" w:rsidRDefault="00520F7B" w:rsidP="00520F7B">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447D86" w:rsidRPr="000B544A" w:rsidRDefault="00E36E1C" w:rsidP="00111802">
      <w:pPr>
        <w:spacing w:line="360" w:lineRule="auto"/>
        <w:ind w:firstLine="567"/>
        <w:jc w:val="both"/>
        <w:rPr>
          <w:rFonts w:ascii="Times New Roman" w:hAnsi="Times New Roman"/>
          <w:lang w:val="lt-LT"/>
        </w:rPr>
      </w:pPr>
      <w:r w:rsidRPr="000B544A">
        <w:rPr>
          <w:rFonts w:ascii="Times New Roman" w:hAnsi="Times New Roman"/>
          <w:lang w:val="lt-LT"/>
        </w:rPr>
        <w:t xml:space="preserve">Indikatorių tinkamumo Baltijos šalių akcijų rinkos 10-čiai likvidžiausių bendrovių akcijoms tikrinimas vyko sekančia tvarka. Pirmiausiai parsisiunčiami istoriniai akcijų kainų duomenys, kurie atspindi laikotarpį nuo 2010-02-17 iki 2011-04-14. Tuomet skaičiuojami indikatoriai, kurių reikšmės pasiekusios tam tikras ribas reiškia pirkimo, pardavimo ar laikymo signalus. Pirkimo sandoriai atliekami, kai indikatoriaus reikšmė pasiekia ribą, kuri reiškia pirkimo signalą. Indikatoriaus reikšmei pasiekus lygmenį, kuris interpretuojamas kaip pardavimo ar sandorių uždarymo signalas suskaičiuojamas kainų skirtumas tarp pirkimo ir pardavimo (sandorio uždarymo) kainų ir </w:t>
      </w:r>
      <w:r w:rsidR="00447D86" w:rsidRPr="000B544A">
        <w:rPr>
          <w:rFonts w:ascii="Times New Roman" w:hAnsi="Times New Roman"/>
          <w:lang w:val="lt-LT"/>
        </w:rPr>
        <w:t>gautas rezultatas padalijamas iš</w:t>
      </w:r>
      <w:r w:rsidRPr="000B544A">
        <w:rPr>
          <w:rFonts w:ascii="Times New Roman" w:hAnsi="Times New Roman"/>
          <w:lang w:val="lt-LT"/>
        </w:rPr>
        <w:t xml:space="preserve"> pirkimo kainos. Taip suskaičiuotas procentinis sandorio rezultatas. Be pirkimo sandorių skaičiuojami ir pardavimo sandoriai (angl. </w:t>
      </w:r>
      <w:r w:rsidR="0020082D">
        <w:rPr>
          <w:rFonts w:ascii="Times New Roman" w:hAnsi="Times New Roman"/>
          <w:lang w:val="lt-LT"/>
        </w:rPr>
        <w:t>Short selling). Šie sandoriai bū</w:t>
      </w:r>
      <w:r w:rsidRPr="000B544A">
        <w:rPr>
          <w:rFonts w:ascii="Times New Roman" w:hAnsi="Times New Roman"/>
          <w:lang w:val="lt-LT"/>
        </w:rPr>
        <w:t>na pelningi kai aktyvo kaina krenta. Todėl taip pat indikatoriaus signalai tikrinami  ir pardavimo sandoriams. Kai indikatoriaus reikšmė pasiekia ribą, kuri reiškia pard</w:t>
      </w:r>
      <w:r w:rsidR="00D7175D" w:rsidRPr="000B544A">
        <w:rPr>
          <w:rFonts w:ascii="Times New Roman" w:hAnsi="Times New Roman"/>
          <w:lang w:val="lt-LT"/>
        </w:rPr>
        <w:t>avimo signalą, tuomet buvo pasiž</w:t>
      </w:r>
      <w:r w:rsidRPr="000B544A">
        <w:rPr>
          <w:rFonts w:ascii="Times New Roman" w:hAnsi="Times New Roman"/>
          <w:lang w:val="lt-LT"/>
        </w:rPr>
        <w:t xml:space="preserve">ymima tos dienos kaina ir laukiama atpirkimo (sandorio uždarymo) kainos. </w:t>
      </w:r>
      <w:r w:rsidR="00D7175D" w:rsidRPr="000B544A">
        <w:rPr>
          <w:rFonts w:ascii="Times New Roman" w:hAnsi="Times New Roman"/>
          <w:lang w:val="lt-LT"/>
        </w:rPr>
        <w:t xml:space="preserve">Sulaukus signalo, kad aktyvo kaina </w:t>
      </w:r>
      <w:r w:rsidR="00D7175D" w:rsidRPr="000B544A">
        <w:rPr>
          <w:rFonts w:ascii="Times New Roman" w:hAnsi="Times New Roman"/>
          <w:lang w:val="lt-LT"/>
        </w:rPr>
        <w:lastRenderedPageBreak/>
        <w:t>yra per žema, atimama iš atpirkimo kainos pardavimo kaina ir padalijama iš atpirkimo kainos. Tokiu būdu gaunamas procentinis pardavimo sandorio rezultatas. Suskaičiavus visus sandorius atskirai sudedami pirkimo ir pardavimo sandorių rezultatai. Ši suma parodo indikatoriaus signalų naudingumą.</w:t>
      </w:r>
      <w:r w:rsidR="00447D86" w:rsidRPr="000B544A">
        <w:rPr>
          <w:rFonts w:ascii="Times New Roman" w:hAnsi="Times New Roman"/>
          <w:lang w:val="lt-LT"/>
        </w:rPr>
        <w:t xml:space="preserve"> Pirkimo ir pardavimo sandorių rezultatai sudedami ir gaunama bendra procentinė išraiška visų pirkimo ir visų pardavimo sandorių. Ši bendra visų pirkimo ar pardavimo sandorių suma reiškia visų buvusių sandorių rezultatų sumą per tiriamą laikotarpį, neatsižvelgiant į sandorių kiekį.</w:t>
      </w:r>
    </w:p>
    <w:p w:rsidR="00D7175D" w:rsidRPr="000B544A" w:rsidRDefault="00D7175D" w:rsidP="00111802">
      <w:pPr>
        <w:spacing w:line="360" w:lineRule="auto"/>
        <w:ind w:firstLine="567"/>
        <w:jc w:val="both"/>
        <w:rPr>
          <w:rFonts w:ascii="Times New Roman" w:hAnsi="Times New Roman"/>
          <w:lang w:val="lt-LT"/>
        </w:rPr>
      </w:pPr>
      <w:r w:rsidRPr="000B544A">
        <w:rPr>
          <w:rFonts w:ascii="Times New Roman" w:hAnsi="Times New Roman"/>
          <w:lang w:val="lt-LT"/>
        </w:rPr>
        <w:t xml:space="preserve"> Jei sandorių rezultatų suma yra neigiama, tai reiškia, kad</w:t>
      </w:r>
      <w:r w:rsidR="00364D40" w:rsidRPr="000B544A">
        <w:rPr>
          <w:rFonts w:ascii="Times New Roman" w:hAnsi="Times New Roman"/>
          <w:lang w:val="lt-LT"/>
        </w:rPr>
        <w:t>,</w:t>
      </w:r>
      <w:r w:rsidRPr="000B544A">
        <w:rPr>
          <w:rFonts w:ascii="Times New Roman" w:hAnsi="Times New Roman"/>
          <w:lang w:val="lt-LT"/>
        </w:rPr>
        <w:t xml:space="preserve"> investuojant pagal šio indikatoriaus signalus</w:t>
      </w:r>
      <w:r w:rsidR="00364D40" w:rsidRPr="000B544A">
        <w:rPr>
          <w:rFonts w:ascii="Times New Roman" w:hAnsi="Times New Roman"/>
          <w:lang w:val="lt-LT"/>
        </w:rPr>
        <w:t>,</w:t>
      </w:r>
      <w:r w:rsidRPr="000B544A">
        <w:rPr>
          <w:rFonts w:ascii="Times New Roman" w:hAnsi="Times New Roman"/>
          <w:lang w:val="lt-LT"/>
        </w:rPr>
        <w:t xml:space="preserve"> atitinkamą laikotarpį būtų turimas neigiamas investicijų rezultatas (nuostolis). Jei sandorių rezultatų suma yra teigiama, tai reiškia, kad</w:t>
      </w:r>
      <w:r w:rsidR="00364D40" w:rsidRPr="000B544A">
        <w:rPr>
          <w:rFonts w:ascii="Times New Roman" w:hAnsi="Times New Roman"/>
          <w:lang w:val="lt-LT"/>
        </w:rPr>
        <w:t>,</w:t>
      </w:r>
      <w:r w:rsidRPr="000B544A">
        <w:rPr>
          <w:rFonts w:ascii="Times New Roman" w:hAnsi="Times New Roman"/>
          <w:lang w:val="lt-LT"/>
        </w:rPr>
        <w:t xml:space="preserve"> jei investuotojas būtų investavęs pagal tik šio indikatoriaus rodomus signalus</w:t>
      </w:r>
      <w:r w:rsidR="00364D40" w:rsidRPr="000B544A">
        <w:rPr>
          <w:rFonts w:ascii="Times New Roman" w:hAnsi="Times New Roman"/>
          <w:lang w:val="lt-LT"/>
        </w:rPr>
        <w:t>,</w:t>
      </w:r>
      <w:r w:rsidRPr="000B544A">
        <w:rPr>
          <w:rFonts w:ascii="Times New Roman" w:hAnsi="Times New Roman"/>
          <w:lang w:val="lt-LT"/>
        </w:rPr>
        <w:t xml:space="preserve"> analizuojamame laikotarpyje būtų turėjęs teigiamą investicijų rezultatą. </w:t>
      </w:r>
    </w:p>
    <w:p w:rsidR="00192AD6" w:rsidRPr="000B544A" w:rsidRDefault="00D7175D" w:rsidP="00111802">
      <w:pPr>
        <w:spacing w:line="360" w:lineRule="auto"/>
        <w:ind w:firstLine="567"/>
        <w:jc w:val="both"/>
        <w:rPr>
          <w:rFonts w:ascii="Times New Roman" w:hAnsi="Times New Roman"/>
          <w:lang w:val="lt-LT"/>
        </w:rPr>
      </w:pPr>
      <w:r w:rsidRPr="000B544A">
        <w:rPr>
          <w:rFonts w:ascii="Times New Roman" w:hAnsi="Times New Roman"/>
          <w:lang w:val="lt-LT"/>
        </w:rPr>
        <w:t xml:space="preserve">Svarbu, kad šiuose skaičiavimuose nebuvo atsižvelgiama į sandorių vykdymo kaštus, skaičiavimai paremti atidarymo, žemiausia, aukščiausia ir uždarymo kainomis. </w:t>
      </w:r>
      <w:r w:rsidR="004C7D01" w:rsidRPr="000B544A">
        <w:rPr>
          <w:rFonts w:ascii="Times New Roman" w:hAnsi="Times New Roman"/>
          <w:lang w:val="lt-LT"/>
        </w:rPr>
        <w:t>Indikatorių reikšmėms suskaičiuoti dažniausiai naudojama uždarymo (paskutinė tos dienos) kaina. Jei indikatoriaus reikšmė pasiekia sandorio atidarymo ar uždarymo lygį, tuomet skaičiavimuose naudojama sekančios prekybos sesijos atidarymo kaina. Jei laikotarpio, kurio metu buvo analizuojami indikatoriai, pabaigoje buvo atidarytų sandorių, tai šių neuždarytų sandorių rezultatai nebuvo įskaičiuojami, kadangi sandoriai uždaromi tik gavus tam tikrą signalą.</w:t>
      </w:r>
    </w:p>
    <w:p w:rsidR="00252F1D" w:rsidRPr="000B544A" w:rsidRDefault="00111802" w:rsidP="0010532D">
      <w:pPr>
        <w:pStyle w:val="Heading3"/>
        <w:spacing w:line="360" w:lineRule="auto"/>
        <w:rPr>
          <w:rFonts w:ascii="Times New Roman" w:hAnsi="Times New Roman"/>
          <w:lang w:val="lt-LT"/>
        </w:rPr>
      </w:pPr>
      <w:bookmarkStart w:id="34" w:name="_Toc312047642"/>
      <w:r w:rsidRPr="000B544A">
        <w:rPr>
          <w:rFonts w:ascii="Times New Roman" w:hAnsi="Times New Roman"/>
          <w:lang w:val="lt-LT"/>
        </w:rPr>
        <w:t>2</w:t>
      </w:r>
      <w:r w:rsidR="0010532D" w:rsidRPr="000B544A">
        <w:rPr>
          <w:rFonts w:ascii="Times New Roman" w:hAnsi="Times New Roman"/>
          <w:lang w:val="lt-LT"/>
        </w:rPr>
        <w:t>.2</w:t>
      </w:r>
      <w:r w:rsidR="008E7C0F" w:rsidRPr="000B544A">
        <w:rPr>
          <w:rFonts w:ascii="Times New Roman" w:hAnsi="Times New Roman"/>
          <w:lang w:val="lt-LT"/>
        </w:rPr>
        <w:t>.1 Bo</w:t>
      </w:r>
      <w:r w:rsidR="00252F1D" w:rsidRPr="000B544A">
        <w:rPr>
          <w:rFonts w:ascii="Times New Roman" w:hAnsi="Times New Roman"/>
          <w:lang w:val="lt-LT"/>
        </w:rPr>
        <w:t>linger</w:t>
      </w:r>
      <w:r w:rsidR="008E7C0F" w:rsidRPr="000B544A">
        <w:rPr>
          <w:rFonts w:ascii="Times New Roman" w:hAnsi="Times New Roman"/>
          <w:lang w:val="lt-LT"/>
        </w:rPr>
        <w:t>io</w:t>
      </w:r>
      <w:r w:rsidR="00252F1D" w:rsidRPr="000B544A">
        <w:rPr>
          <w:rFonts w:ascii="Times New Roman" w:hAnsi="Times New Roman"/>
          <w:lang w:val="lt-LT"/>
        </w:rPr>
        <w:t xml:space="preserve"> juost</w:t>
      </w:r>
      <w:bookmarkEnd w:id="25"/>
      <w:r w:rsidR="008E7C0F" w:rsidRPr="000B544A">
        <w:rPr>
          <w:rFonts w:ascii="Times New Roman" w:hAnsi="Times New Roman"/>
          <w:lang w:val="lt-LT"/>
        </w:rPr>
        <w:t>ų indikatorius – kaina juda kanalu</w:t>
      </w:r>
      <w:bookmarkEnd w:id="34"/>
    </w:p>
    <w:p w:rsidR="00252F1D" w:rsidRPr="000B544A" w:rsidRDefault="00252F1D" w:rsidP="006566A3">
      <w:pPr>
        <w:spacing w:after="0" w:line="360" w:lineRule="auto"/>
        <w:ind w:firstLine="567"/>
        <w:jc w:val="both"/>
        <w:rPr>
          <w:rFonts w:ascii="Times New Roman" w:hAnsi="Times New Roman"/>
          <w:lang w:val="lt-LT"/>
        </w:rPr>
      </w:pPr>
      <w:r w:rsidRPr="000B544A">
        <w:rPr>
          <w:rFonts w:ascii="Times New Roman" w:hAnsi="Times New Roman"/>
          <w:lang w:val="lt-LT"/>
        </w:rPr>
        <w:t xml:space="preserve">John Bollinger sukūrė </w:t>
      </w:r>
      <w:r w:rsidR="00A02FA0" w:rsidRPr="000B544A">
        <w:rPr>
          <w:rFonts w:ascii="Times New Roman" w:hAnsi="Times New Roman"/>
          <w:lang w:val="lt-LT"/>
        </w:rPr>
        <w:t>šį indikatorių</w:t>
      </w:r>
      <w:r w:rsidRPr="000B544A">
        <w:rPr>
          <w:rFonts w:ascii="Times New Roman" w:hAnsi="Times New Roman"/>
          <w:lang w:val="lt-LT"/>
        </w:rPr>
        <w:t xml:space="preserve"> apie </w:t>
      </w:r>
      <w:smartTag w:uri="urn:schemas-microsoft-com:office:smarttags" w:element="metricconverter">
        <w:smartTagPr>
          <w:attr w:name="ProductID" w:val="1980 m"/>
        </w:smartTagPr>
        <w:r w:rsidRPr="000B544A">
          <w:rPr>
            <w:rFonts w:ascii="Times New Roman" w:hAnsi="Times New Roman"/>
            <w:lang w:val="lt-LT"/>
          </w:rPr>
          <w:t>1980 m</w:t>
        </w:r>
      </w:smartTag>
      <w:r w:rsidRPr="000B544A">
        <w:rPr>
          <w:rFonts w:ascii="Times New Roman" w:hAnsi="Times New Roman"/>
          <w:lang w:val="lt-LT"/>
        </w:rPr>
        <w:t>. Bollinger juostos sudar</w:t>
      </w:r>
      <w:r w:rsidR="00364D40" w:rsidRPr="000B544A">
        <w:rPr>
          <w:rFonts w:ascii="Times New Roman" w:hAnsi="Times New Roman"/>
          <w:lang w:val="lt-LT"/>
        </w:rPr>
        <w:t>o</w:t>
      </w:r>
      <w:r w:rsidRPr="000B544A">
        <w:rPr>
          <w:rFonts w:ascii="Times New Roman" w:hAnsi="Times New Roman"/>
          <w:lang w:val="lt-LT"/>
        </w:rPr>
        <w:t>mos piešiant dviejų standartinių nuokrypių pločio juostas virš ir po 20-ties dienų slankiojo vidurkio kreive</w:t>
      </w:r>
      <w:r w:rsidR="008600B2" w:rsidRPr="000B544A">
        <w:rPr>
          <w:rFonts w:ascii="Times New Roman" w:hAnsi="Times New Roman"/>
          <w:lang w:val="lt-LT"/>
        </w:rPr>
        <w:t xml:space="preserve"> [11]</w:t>
      </w:r>
      <w:r w:rsidRPr="000B544A">
        <w:rPr>
          <w:rFonts w:ascii="Times New Roman" w:hAnsi="Times New Roman"/>
          <w:lang w:val="lt-LT"/>
        </w:rPr>
        <w:t>. Kai aktyvo, kurio grafikas analizuojamas, kaina pakyla virš ar nukrenta žemiau šių ribų, laikoma, kad kaina nukrypo per daug ir todėl reikia laukti jos sugrįžimo prie vidurkio.</w:t>
      </w:r>
    </w:p>
    <w:p w:rsidR="00192AD6" w:rsidRPr="000B544A" w:rsidRDefault="00192AD6" w:rsidP="00192AD6">
      <w:pPr>
        <w:spacing w:after="0" w:line="360" w:lineRule="auto"/>
        <w:ind w:firstLine="567"/>
        <w:jc w:val="both"/>
        <w:rPr>
          <w:rFonts w:ascii="Times New Roman" w:hAnsi="Times New Roman"/>
          <w:lang w:val="lt-LT"/>
        </w:rPr>
      </w:pPr>
      <w:r w:rsidRPr="000B544A">
        <w:rPr>
          <w:rFonts w:ascii="Times New Roman" w:hAnsi="Times New Roman"/>
          <w:lang w:val="lt-LT"/>
        </w:rPr>
        <w:t>Naudojant Bollinger juostų metodą siekiama nustatyti instrumento aukščiausius ir žemiausius taškus. Kaina yra per didelė, kai ji paliečia Bollinger juostų viršutinę ribą. Kaina yra per žema, kai ji paliečia apatinę Bollinger juostų ribą. Bollinger juostų metodas susideda iš trijų pagrindinių ribų:</w:t>
      </w:r>
    </w:p>
    <w:p w:rsidR="00192AD6" w:rsidRPr="000B544A" w:rsidRDefault="00364D40" w:rsidP="00192AD6">
      <w:pPr>
        <w:spacing w:after="0" w:line="360" w:lineRule="auto"/>
        <w:ind w:firstLine="567"/>
        <w:jc w:val="both"/>
        <w:rPr>
          <w:rFonts w:ascii="Times New Roman" w:hAnsi="Times New Roman"/>
          <w:lang w:val="lt-LT"/>
        </w:rPr>
      </w:pPr>
      <w:r w:rsidRPr="000B544A">
        <w:rPr>
          <w:rFonts w:ascii="Times New Roman" w:hAnsi="Times New Roman"/>
          <w:lang w:val="lt-LT"/>
        </w:rPr>
        <w:t>Vidurinioji riba yra N per</w:t>
      </w:r>
      <w:r w:rsidR="00192AD6" w:rsidRPr="000B544A">
        <w:rPr>
          <w:rFonts w:ascii="Times New Roman" w:hAnsi="Times New Roman"/>
          <w:lang w:val="lt-LT"/>
        </w:rPr>
        <w:t>iodų paprastas slankusis vidurkis. Tai yra riba, pagal kurią skaičiuojamos viršutinė ir apatinė juostos.</w:t>
      </w:r>
    </w:p>
    <w:p w:rsidR="00192AD6" w:rsidRPr="000B544A" w:rsidRDefault="00192AD6" w:rsidP="00192AD6">
      <w:pPr>
        <w:spacing w:after="0" w:line="360" w:lineRule="auto"/>
        <w:ind w:firstLine="567"/>
        <w:jc w:val="both"/>
        <w:rPr>
          <w:rFonts w:ascii="Times New Roman" w:hAnsi="Times New Roman"/>
          <w:lang w:val="lt-LT"/>
        </w:rPr>
      </w:pPr>
    </w:p>
    <w:p w:rsidR="00192AD6" w:rsidRPr="000B544A" w:rsidRDefault="00B542BF" w:rsidP="00192AD6">
      <w:pPr>
        <w:spacing w:after="0" w:line="360" w:lineRule="auto"/>
        <w:ind w:firstLine="567"/>
        <w:jc w:val="center"/>
        <w:rPr>
          <w:rFonts w:ascii="Times New Roman" w:hAnsi="Times New Roman"/>
          <w:lang w:val="lt-LT"/>
        </w:rPr>
      </w:pPr>
      <m:oMath>
        <m:r>
          <w:rPr>
            <w:rFonts w:ascii="Cambria Math" w:hAnsi="Cambria Math"/>
            <w:lang w:val="lt-LT"/>
          </w:rPr>
          <m:t xml:space="preserve">Vidurinioji riba=SMA= </m:t>
        </m:r>
        <m:f>
          <m:fPr>
            <m:ctrlPr>
              <w:rPr>
                <w:rFonts w:ascii="Cambria Math" w:hAnsi="Cambria Math"/>
                <w:i/>
                <w:lang w:val="lt-LT"/>
              </w:rPr>
            </m:ctrlPr>
          </m:fPr>
          <m:num>
            <m:r>
              <w:rPr>
                <w:rFonts w:ascii="Cambria Math" w:hAnsi="Cambria Math"/>
                <w:lang w:val="lt-LT"/>
              </w:rPr>
              <m:t>1</m:t>
            </m:r>
          </m:num>
          <m:den>
            <m:r>
              <w:rPr>
                <w:rFonts w:ascii="Cambria Math" w:hAnsi="Cambria Math"/>
                <w:lang w:val="lt-LT"/>
              </w:rPr>
              <m:t>N</m:t>
            </m:r>
          </m:den>
        </m:f>
        <m:r>
          <w:rPr>
            <w:rFonts w:ascii="Cambria Math" w:hAnsi="Cambria Math"/>
            <w:lang w:val="lt-LT"/>
          </w:rPr>
          <m:t>*</m:t>
        </m:r>
        <m:nary>
          <m:naryPr>
            <m:chr m:val="∑"/>
            <m:limLoc m:val="undOvr"/>
            <m:ctrlPr>
              <w:rPr>
                <w:rFonts w:ascii="Cambria Math" w:hAnsi="Cambria Math"/>
                <w:i/>
                <w:lang w:val="lt-LT"/>
              </w:rPr>
            </m:ctrlPr>
          </m:naryPr>
          <m:sub>
            <m:r>
              <w:rPr>
                <w:rFonts w:ascii="Cambria Math" w:hAnsi="Cambria Math"/>
                <w:lang w:val="lt-LT"/>
              </w:rPr>
              <m:t>i=M-N</m:t>
            </m:r>
          </m:sub>
          <m:sup>
            <m:r>
              <w:rPr>
                <w:rFonts w:ascii="Cambria Math" w:hAnsi="Cambria Math"/>
                <w:lang w:val="lt-LT"/>
              </w:rPr>
              <m:t>M</m:t>
            </m:r>
          </m:sup>
          <m:e>
            <m:sSub>
              <m:sSubPr>
                <m:ctrlPr>
                  <w:rPr>
                    <w:rFonts w:ascii="Cambria Math" w:hAnsi="Cambria Math"/>
                    <w:i/>
                    <w:lang w:val="lt-LT"/>
                  </w:rPr>
                </m:ctrlPr>
              </m:sSubPr>
              <m:e>
                <m:r>
                  <w:rPr>
                    <w:rFonts w:ascii="Cambria Math" w:hAnsi="Cambria Math"/>
                    <w:lang w:val="lt-LT"/>
                  </w:rPr>
                  <m:t>χ</m:t>
                </m:r>
              </m:e>
              <m:sub>
                <m:r>
                  <w:rPr>
                    <w:rFonts w:ascii="Cambria Math" w:hAnsi="Cambria Math"/>
                    <w:lang w:val="lt-LT"/>
                  </w:rPr>
                  <m:t>i</m:t>
                </m:r>
              </m:sub>
            </m:sSub>
          </m:e>
        </m:nary>
      </m:oMath>
      <w:r w:rsidR="00192AD6" w:rsidRPr="000B544A">
        <w:rPr>
          <w:rFonts w:ascii="Times New Roman" w:hAnsi="Times New Roman"/>
          <w:lang w:val="lt-LT"/>
        </w:rPr>
        <w:t xml:space="preserve">   (1)</w:t>
      </w:r>
    </w:p>
    <w:p w:rsidR="00192AD6" w:rsidRPr="000B544A" w:rsidRDefault="00192AD6" w:rsidP="00192AD6">
      <w:pPr>
        <w:spacing w:after="0" w:line="360" w:lineRule="auto"/>
        <w:ind w:firstLine="567"/>
        <w:rPr>
          <w:rFonts w:ascii="Times New Roman" w:hAnsi="Times New Roman"/>
          <w:lang w:val="lt-LT"/>
        </w:rPr>
      </w:pPr>
      <w:r w:rsidRPr="000B544A">
        <w:rPr>
          <w:rFonts w:ascii="Times New Roman" w:hAnsi="Times New Roman"/>
          <w:lang w:val="lt-LT"/>
        </w:rPr>
        <w:t>M – stebėjimų skaičius;</w:t>
      </w:r>
    </w:p>
    <w:p w:rsidR="00192AD6" w:rsidRPr="000B544A" w:rsidRDefault="00A56BC3" w:rsidP="00192AD6">
      <w:pPr>
        <w:spacing w:after="0" w:line="360" w:lineRule="auto"/>
        <w:ind w:firstLine="567"/>
        <w:rPr>
          <w:rFonts w:ascii="Times New Roman" w:hAnsi="Times New Roman"/>
          <w:lang w:val="lt-LT"/>
        </w:rPr>
      </w:pPr>
      <m:oMath>
        <m:sSub>
          <m:sSubPr>
            <m:ctrlPr>
              <w:rPr>
                <w:rFonts w:ascii="Cambria Math" w:hAnsi="Cambria Math"/>
                <w:i/>
                <w:lang w:val="lt-LT"/>
              </w:rPr>
            </m:ctrlPr>
          </m:sSubPr>
          <m:e>
            <m:r>
              <w:rPr>
                <w:rFonts w:ascii="Cambria Math" w:hAnsi="Cambria Math"/>
                <w:lang w:val="lt-LT"/>
              </w:rPr>
              <m:t>χ</m:t>
            </m:r>
          </m:e>
          <m:sub>
            <m:r>
              <w:rPr>
                <w:rFonts w:ascii="Cambria Math" w:hAnsi="Cambria Math"/>
                <w:lang w:val="lt-LT"/>
              </w:rPr>
              <m:t>i</m:t>
            </m:r>
          </m:sub>
        </m:sSub>
      </m:oMath>
      <w:r w:rsidR="00192AD6" w:rsidRPr="000B544A">
        <w:rPr>
          <w:rFonts w:ascii="Times New Roman" w:hAnsi="Times New Roman"/>
          <w:lang w:val="lt-LT"/>
        </w:rPr>
        <w:t xml:space="preserve"> -  istorinių duomenų imtis</w:t>
      </w:r>
    </w:p>
    <w:p w:rsidR="00192AD6" w:rsidRPr="000B544A" w:rsidRDefault="00192AD6" w:rsidP="00192AD6">
      <w:pPr>
        <w:spacing w:after="0" w:line="360" w:lineRule="auto"/>
        <w:ind w:firstLine="567"/>
        <w:rPr>
          <w:rFonts w:ascii="Times New Roman" w:hAnsi="Times New Roman"/>
          <w:lang w:val="lt-LT"/>
        </w:rPr>
      </w:pPr>
    </w:p>
    <w:p w:rsidR="00192AD6" w:rsidRPr="000B544A" w:rsidRDefault="00192AD6" w:rsidP="00192AD6">
      <w:pPr>
        <w:spacing w:after="0" w:line="360" w:lineRule="auto"/>
        <w:ind w:firstLine="567"/>
        <w:rPr>
          <w:rFonts w:ascii="Times New Roman" w:hAnsi="Times New Roman"/>
          <w:lang w:val="lt-LT"/>
        </w:rPr>
      </w:pPr>
      <w:r w:rsidRPr="000B544A">
        <w:rPr>
          <w:rFonts w:ascii="Times New Roman" w:hAnsi="Times New Roman"/>
          <w:lang w:val="lt-LT"/>
        </w:rPr>
        <w:lastRenderedPageBreak/>
        <w:t>Viršutinė juosta žymi perpirktos kainos ribas. Ji apskaičiuojama prie viduriniosios ribos pridedant K standartinių nuokrypių:</w:t>
      </w:r>
    </w:p>
    <w:p w:rsidR="00192AD6" w:rsidRPr="000B544A" w:rsidRDefault="00192AD6" w:rsidP="00192AD6">
      <w:pPr>
        <w:spacing w:after="0" w:line="360" w:lineRule="auto"/>
        <w:ind w:firstLine="567"/>
        <w:rPr>
          <w:rFonts w:ascii="Times New Roman" w:hAnsi="Times New Roman"/>
          <w:lang w:val="lt-LT"/>
        </w:rPr>
      </w:pPr>
    </w:p>
    <w:p w:rsidR="00192AD6" w:rsidRPr="000B544A" w:rsidRDefault="00B542BF" w:rsidP="00192AD6">
      <w:pPr>
        <w:spacing w:after="0" w:line="360" w:lineRule="auto"/>
        <w:ind w:firstLine="567"/>
        <w:jc w:val="center"/>
        <w:rPr>
          <w:rFonts w:ascii="Times New Roman" w:hAnsi="Times New Roman"/>
          <w:lang w:val="lt-LT"/>
        </w:rPr>
      </w:pPr>
      <m:oMath>
        <m:r>
          <w:rPr>
            <w:rFonts w:ascii="Cambria Math" w:hAnsi="Cambria Math"/>
            <w:lang w:val="lt-LT"/>
          </w:rPr>
          <m:t xml:space="preserve">Viršutinė riba=SMA+K* </m:t>
        </m:r>
        <m:sSub>
          <m:sSubPr>
            <m:ctrlPr>
              <w:rPr>
                <w:rFonts w:ascii="Cambria Math" w:hAnsi="Cambria Math"/>
                <w:i/>
                <w:lang w:val="lt-LT"/>
              </w:rPr>
            </m:ctrlPr>
          </m:sSubPr>
          <m:e>
            <m:r>
              <w:rPr>
                <w:rFonts w:ascii="Cambria Math" w:hAnsi="Cambria Math"/>
                <w:lang w:val="lt-LT"/>
              </w:rPr>
              <m:t>σ</m:t>
            </m:r>
          </m:e>
          <m:sub>
            <m:r>
              <w:rPr>
                <w:rFonts w:ascii="Cambria Math" w:hAnsi="Cambria Math"/>
                <w:lang w:val="lt-LT"/>
              </w:rPr>
              <m:t>N,</m:t>
            </m:r>
          </m:sub>
        </m:sSub>
      </m:oMath>
      <w:r w:rsidR="00192AD6" w:rsidRPr="000B544A">
        <w:rPr>
          <w:rFonts w:ascii="Times New Roman" w:hAnsi="Times New Roman"/>
          <w:lang w:val="lt-LT"/>
        </w:rPr>
        <w:t xml:space="preserve">   (2)</w:t>
      </w:r>
    </w:p>
    <w:p w:rsidR="00192AD6" w:rsidRPr="000B544A" w:rsidRDefault="00192AD6" w:rsidP="00192AD6">
      <w:pPr>
        <w:spacing w:after="0" w:line="360" w:lineRule="auto"/>
        <w:ind w:firstLine="567"/>
        <w:jc w:val="center"/>
        <w:rPr>
          <w:rFonts w:ascii="Times New Roman" w:hAnsi="Times New Roman"/>
          <w:lang w:val="lt-LT"/>
        </w:rPr>
      </w:pPr>
      <w:r w:rsidRPr="000B544A">
        <w:rPr>
          <w:rFonts w:ascii="Times New Roman" w:hAnsi="Times New Roman"/>
          <w:lang w:val="lt-LT"/>
        </w:rPr>
        <w:t xml:space="preserve">Kai </w:t>
      </w:r>
      <m:oMath>
        <m:sSub>
          <m:sSubPr>
            <m:ctrlPr>
              <w:rPr>
                <w:rFonts w:ascii="Cambria Math" w:hAnsi="Cambria Math"/>
                <w:i/>
                <w:lang w:val="lt-LT"/>
              </w:rPr>
            </m:ctrlPr>
          </m:sSubPr>
          <m:e>
            <m:r>
              <w:rPr>
                <w:rFonts w:ascii="Cambria Math" w:hAnsi="Cambria Math"/>
                <w:lang w:val="lt-LT"/>
              </w:rPr>
              <m:t>σ</m:t>
            </m:r>
          </m:e>
          <m:sub>
            <m:r>
              <w:rPr>
                <w:rFonts w:ascii="Cambria Math" w:hAnsi="Cambria Math"/>
                <w:lang w:val="lt-LT"/>
              </w:rPr>
              <m:t>N</m:t>
            </m:r>
          </m:sub>
        </m:sSub>
        <m:r>
          <w:rPr>
            <w:rFonts w:ascii="Cambria Math" w:hAnsi="Cambria Math"/>
            <w:lang w:val="lt-LT"/>
          </w:rPr>
          <m:t xml:space="preserve">= </m:t>
        </m:r>
        <m:rad>
          <m:radPr>
            <m:degHide m:val="on"/>
            <m:ctrlPr>
              <w:rPr>
                <w:rFonts w:ascii="Cambria Math" w:hAnsi="Cambria Math"/>
                <w:i/>
                <w:lang w:val="lt-LT"/>
              </w:rPr>
            </m:ctrlPr>
          </m:radPr>
          <m:deg/>
          <m:e>
            <m:f>
              <m:fPr>
                <m:ctrlPr>
                  <w:rPr>
                    <w:rFonts w:ascii="Cambria Math" w:hAnsi="Cambria Math"/>
                    <w:i/>
                    <w:lang w:val="lt-LT"/>
                  </w:rPr>
                </m:ctrlPr>
              </m:fPr>
              <m:num>
                <m:r>
                  <w:rPr>
                    <w:rFonts w:ascii="Cambria Math" w:hAnsi="Cambria Math"/>
                    <w:lang w:val="lt-LT"/>
                  </w:rPr>
                  <m:t>1</m:t>
                </m:r>
              </m:num>
              <m:den>
                <m:r>
                  <w:rPr>
                    <w:rFonts w:ascii="Cambria Math" w:hAnsi="Cambria Math"/>
                    <w:lang w:val="lt-LT"/>
                  </w:rPr>
                  <m:t>N</m:t>
                </m:r>
              </m:den>
            </m:f>
            <m:r>
              <w:rPr>
                <w:rFonts w:ascii="Cambria Math" w:hAnsi="Cambria Math"/>
                <w:lang w:val="lt-LT"/>
              </w:rPr>
              <m:t>*</m:t>
            </m:r>
            <m:nary>
              <m:naryPr>
                <m:chr m:val="∑"/>
                <m:limLoc m:val="undOvr"/>
                <m:ctrlPr>
                  <w:rPr>
                    <w:rFonts w:ascii="Cambria Math" w:hAnsi="Cambria Math"/>
                    <w:i/>
                    <w:lang w:val="lt-LT"/>
                  </w:rPr>
                </m:ctrlPr>
              </m:naryPr>
              <m:sub>
                <m:r>
                  <w:rPr>
                    <w:rFonts w:ascii="Cambria Math" w:hAnsi="Cambria Math"/>
                    <w:lang w:val="lt-LT"/>
                  </w:rPr>
                  <m:t>i=M-N</m:t>
                </m:r>
              </m:sub>
              <m:sup>
                <m:r>
                  <w:rPr>
                    <w:rFonts w:ascii="Cambria Math" w:hAnsi="Cambria Math"/>
                    <w:lang w:val="lt-LT"/>
                  </w:rPr>
                  <m:t>M</m:t>
                </m:r>
              </m:sup>
              <m:e>
                <m:sSup>
                  <m:sSupPr>
                    <m:ctrlPr>
                      <w:rPr>
                        <w:rFonts w:ascii="Cambria Math" w:hAnsi="Cambria Math"/>
                        <w:i/>
                        <w:lang w:val="lt-LT"/>
                      </w:rPr>
                    </m:ctrlPr>
                  </m:sSupPr>
                  <m:e>
                    <m:r>
                      <w:rPr>
                        <w:rFonts w:ascii="Cambria Math" w:hAnsi="Cambria Math"/>
                        <w:lang w:val="lt-LT"/>
                      </w:rPr>
                      <m:t>(</m:t>
                    </m:r>
                    <m:sSub>
                      <m:sSubPr>
                        <m:ctrlPr>
                          <w:rPr>
                            <w:rFonts w:ascii="Cambria Math" w:hAnsi="Cambria Math"/>
                            <w:i/>
                            <w:lang w:val="lt-LT"/>
                          </w:rPr>
                        </m:ctrlPr>
                      </m:sSubPr>
                      <m:e>
                        <m:r>
                          <w:rPr>
                            <w:rFonts w:ascii="Cambria Math" w:hAnsi="Cambria Math"/>
                            <w:lang w:val="lt-LT"/>
                          </w:rPr>
                          <m:t>χ</m:t>
                        </m:r>
                      </m:e>
                      <m:sub>
                        <m:r>
                          <w:rPr>
                            <w:rFonts w:ascii="Cambria Math" w:hAnsi="Cambria Math"/>
                            <w:lang w:val="lt-LT"/>
                          </w:rPr>
                          <m:t>i</m:t>
                        </m:r>
                      </m:sub>
                    </m:sSub>
                    <m:r>
                      <w:rPr>
                        <w:rFonts w:ascii="Cambria Math" w:hAnsi="Cambria Math"/>
                        <w:lang w:val="lt-LT"/>
                      </w:rPr>
                      <m:t>-SMA)</m:t>
                    </m:r>
                  </m:e>
                  <m:sup>
                    <m:r>
                      <w:rPr>
                        <w:rFonts w:ascii="Cambria Math" w:hAnsi="Cambria Math"/>
                        <w:lang w:val="lt-LT"/>
                      </w:rPr>
                      <m:t>2</m:t>
                    </m:r>
                  </m:sup>
                </m:sSup>
              </m:e>
            </m:nary>
          </m:e>
        </m:rad>
      </m:oMath>
    </w:p>
    <w:p w:rsidR="00192AD6" w:rsidRPr="000B544A" w:rsidRDefault="00192AD6" w:rsidP="00192AD6">
      <w:pPr>
        <w:spacing w:after="0" w:line="360" w:lineRule="auto"/>
        <w:ind w:firstLine="567"/>
        <w:jc w:val="center"/>
        <w:rPr>
          <w:rFonts w:ascii="Times New Roman" w:hAnsi="Times New Roman"/>
          <w:lang w:val="lt-LT"/>
        </w:rPr>
      </w:pPr>
    </w:p>
    <w:p w:rsidR="00192AD6" w:rsidRPr="000B544A" w:rsidRDefault="00192AD6" w:rsidP="00192AD6">
      <w:pPr>
        <w:spacing w:after="0" w:line="360" w:lineRule="auto"/>
        <w:ind w:firstLine="567"/>
        <w:rPr>
          <w:rFonts w:ascii="Times New Roman" w:hAnsi="Times New Roman"/>
          <w:lang w:val="lt-LT"/>
        </w:rPr>
      </w:pPr>
      <w:r w:rsidRPr="000B544A">
        <w:rPr>
          <w:rFonts w:ascii="Times New Roman" w:hAnsi="Times New Roman"/>
          <w:lang w:val="lt-LT"/>
        </w:rPr>
        <w:t>Apatinė riba žymi perparduotą rinką. Ji apskaičiuojama iš viduriniosios ribos atimant K standartinių nuokrypių:</w:t>
      </w:r>
    </w:p>
    <w:p w:rsidR="00192AD6" w:rsidRPr="000B544A" w:rsidRDefault="00192AD6" w:rsidP="00192AD6">
      <w:pPr>
        <w:spacing w:after="0" w:line="360" w:lineRule="auto"/>
        <w:ind w:firstLine="567"/>
        <w:rPr>
          <w:rFonts w:ascii="Times New Roman" w:hAnsi="Times New Roman"/>
          <w:lang w:val="lt-LT"/>
        </w:rPr>
      </w:pPr>
    </w:p>
    <w:p w:rsidR="00192AD6" w:rsidRPr="000B544A" w:rsidRDefault="00B542BF" w:rsidP="00192AD6">
      <w:pPr>
        <w:spacing w:after="0" w:line="360" w:lineRule="auto"/>
        <w:ind w:firstLine="567"/>
        <w:jc w:val="center"/>
        <w:rPr>
          <w:rFonts w:ascii="Times New Roman" w:hAnsi="Times New Roman"/>
          <w:lang w:val="lt-LT"/>
        </w:rPr>
      </w:pPr>
      <m:oMath>
        <m:r>
          <w:rPr>
            <w:rFonts w:ascii="Cambria Math" w:hAnsi="Cambria Math"/>
            <w:lang w:val="lt-LT"/>
          </w:rPr>
          <m:t xml:space="preserve">Apatinė riba=SMA-K* </m:t>
        </m:r>
        <m:sSub>
          <m:sSubPr>
            <m:ctrlPr>
              <w:rPr>
                <w:rFonts w:ascii="Cambria Math" w:hAnsi="Cambria Math"/>
                <w:i/>
                <w:lang w:val="lt-LT"/>
              </w:rPr>
            </m:ctrlPr>
          </m:sSubPr>
          <m:e>
            <m:r>
              <w:rPr>
                <w:rFonts w:ascii="Cambria Math" w:hAnsi="Cambria Math"/>
                <w:lang w:val="lt-LT"/>
              </w:rPr>
              <m:t>σ</m:t>
            </m:r>
          </m:e>
          <m:sub>
            <m:r>
              <w:rPr>
                <w:rFonts w:ascii="Cambria Math" w:hAnsi="Cambria Math"/>
                <w:lang w:val="lt-LT"/>
              </w:rPr>
              <m:t>N,</m:t>
            </m:r>
          </m:sub>
        </m:sSub>
      </m:oMath>
      <w:r w:rsidR="00192AD6" w:rsidRPr="000B544A">
        <w:rPr>
          <w:rFonts w:ascii="Times New Roman" w:hAnsi="Times New Roman"/>
          <w:lang w:val="lt-LT"/>
        </w:rPr>
        <w:t xml:space="preserve">   (3)</w:t>
      </w:r>
    </w:p>
    <w:p w:rsidR="00192AD6" w:rsidRPr="000B544A" w:rsidRDefault="00192AD6" w:rsidP="00757EAA">
      <w:pPr>
        <w:spacing w:after="0" w:line="360" w:lineRule="auto"/>
        <w:jc w:val="both"/>
        <w:rPr>
          <w:rFonts w:ascii="Times New Roman" w:hAnsi="Times New Roman"/>
          <w:lang w:val="lt-LT"/>
        </w:rPr>
      </w:pPr>
    </w:p>
    <w:p w:rsidR="00A02FA0" w:rsidRPr="000B544A" w:rsidRDefault="00252F1D" w:rsidP="006566A3">
      <w:pPr>
        <w:spacing w:after="0" w:line="360" w:lineRule="auto"/>
        <w:ind w:firstLine="567"/>
        <w:jc w:val="both"/>
        <w:rPr>
          <w:rFonts w:ascii="Times New Roman" w:hAnsi="Times New Roman"/>
          <w:lang w:val="lt-LT"/>
        </w:rPr>
      </w:pPr>
      <w:r w:rsidRPr="000B544A">
        <w:rPr>
          <w:rFonts w:ascii="Times New Roman" w:hAnsi="Times New Roman"/>
          <w:lang w:val="lt-LT"/>
        </w:rPr>
        <w:t xml:space="preserve"> C. Lento ir kt. (</w:t>
      </w:r>
      <w:smartTag w:uri="urn:schemas-microsoft-com:office:smarttags" w:element="metricconverter">
        <w:smartTagPr>
          <w:attr w:name="ProductID" w:val="2007 m"/>
        </w:smartTagPr>
        <w:r w:rsidRPr="000B544A">
          <w:rPr>
            <w:rFonts w:ascii="Times New Roman" w:hAnsi="Times New Roman"/>
            <w:lang w:val="lt-LT"/>
          </w:rPr>
          <w:t>2007 m</w:t>
        </w:r>
      </w:smartTag>
      <w:r w:rsidRPr="000B544A">
        <w:rPr>
          <w:rFonts w:ascii="Times New Roman" w:hAnsi="Times New Roman"/>
          <w:lang w:val="lt-LT"/>
        </w:rPr>
        <w:t>.) ištyrė TSX (Toronto akcijų rinkos indeksą), DJIA (JAV pramonės sektoriaus akcijų indeksą), NASDAQ (JAV aukštųjų technologijų akcijų indeksą) ir Kanados / JAV dolerio valiutų poros spot kursą</w:t>
      </w:r>
      <w:r w:rsidR="00786477" w:rsidRPr="000B544A">
        <w:rPr>
          <w:rFonts w:ascii="Times New Roman" w:hAnsi="Times New Roman"/>
          <w:lang w:val="lt-LT"/>
        </w:rPr>
        <w:t>[7]</w:t>
      </w:r>
      <w:r w:rsidRPr="000B544A">
        <w:rPr>
          <w:rFonts w:ascii="Times New Roman" w:hAnsi="Times New Roman"/>
          <w:lang w:val="lt-LT"/>
        </w:rPr>
        <w:t xml:space="preserve">. Tyrimas apėmė periodą nuo </w:t>
      </w:r>
      <w:smartTag w:uri="urn:schemas-microsoft-com:office:smarttags" w:element="metricconverter">
        <w:smartTagPr>
          <w:attr w:name="ProductID" w:val="1995 m"/>
        </w:smartTagPr>
        <w:r w:rsidRPr="000B544A">
          <w:rPr>
            <w:rFonts w:ascii="Times New Roman" w:hAnsi="Times New Roman"/>
            <w:lang w:val="lt-LT"/>
          </w:rPr>
          <w:t>1995 m</w:t>
        </w:r>
      </w:smartTag>
      <w:r w:rsidR="00364D40" w:rsidRPr="000B544A">
        <w:rPr>
          <w:rFonts w:ascii="Times New Roman" w:hAnsi="Times New Roman"/>
          <w:lang w:val="lt-LT"/>
        </w:rPr>
        <w:t>. g</w:t>
      </w:r>
      <w:r w:rsidRPr="000B544A">
        <w:rPr>
          <w:rFonts w:ascii="Times New Roman" w:hAnsi="Times New Roman"/>
          <w:lang w:val="lt-LT"/>
        </w:rPr>
        <w:t xml:space="preserve">egužės 9 d. iki </w:t>
      </w:r>
      <w:smartTag w:uri="urn:schemas-microsoft-com:office:smarttags" w:element="metricconverter">
        <w:smartTagPr>
          <w:attr w:name="ProductID" w:val="2004 m"/>
        </w:smartTagPr>
        <w:r w:rsidRPr="000B544A">
          <w:rPr>
            <w:rFonts w:ascii="Times New Roman" w:hAnsi="Times New Roman"/>
            <w:lang w:val="lt-LT"/>
          </w:rPr>
          <w:t>2004 m</w:t>
        </w:r>
      </w:smartTag>
      <w:r w:rsidR="00364D40" w:rsidRPr="000B544A">
        <w:rPr>
          <w:rFonts w:ascii="Times New Roman" w:hAnsi="Times New Roman"/>
          <w:lang w:val="lt-LT"/>
        </w:rPr>
        <w:t>. g</w:t>
      </w:r>
      <w:r w:rsidRPr="000B544A">
        <w:rPr>
          <w:rFonts w:ascii="Times New Roman" w:hAnsi="Times New Roman"/>
          <w:lang w:val="lt-LT"/>
        </w:rPr>
        <w:t>ruodžio 31 d. Tyrimui panaudotos indeksų ir valiutų poros dienos uždarymo kainos. Tyrimas buvo atliekamas tris kartus su visais duomenimis</w:t>
      </w:r>
      <w:r w:rsidR="00364D40" w:rsidRPr="000B544A">
        <w:rPr>
          <w:rFonts w:ascii="Times New Roman" w:hAnsi="Times New Roman"/>
          <w:lang w:val="lt-LT"/>
        </w:rPr>
        <w:t>,</w:t>
      </w:r>
      <w:r w:rsidRPr="000B544A">
        <w:rPr>
          <w:rFonts w:ascii="Times New Roman" w:hAnsi="Times New Roman"/>
          <w:lang w:val="lt-LT"/>
        </w:rPr>
        <w:t xml:space="preserve"> naudojant skirtingus parametrus. Pirmame tyrime buvo naudojami 20 dienų slankusis vidurkis ir 2 standartinių nuokrypių dydžio juostos (20;2). Antrame tyrime buvo naudojama </w:t>
      </w:r>
      <w:r w:rsidR="00A02FA0" w:rsidRPr="000B544A">
        <w:rPr>
          <w:rFonts w:ascii="Times New Roman" w:hAnsi="Times New Roman"/>
          <w:lang w:val="lt-LT"/>
        </w:rPr>
        <w:t>- 20;1</w:t>
      </w:r>
      <w:r w:rsidRPr="000B544A">
        <w:rPr>
          <w:rFonts w:ascii="Times New Roman" w:hAnsi="Times New Roman"/>
          <w:lang w:val="lt-LT"/>
        </w:rPr>
        <w:t xml:space="preserve">. Trečiame tyrime naudota </w:t>
      </w:r>
      <w:r w:rsidR="00A02FA0" w:rsidRPr="000B544A">
        <w:rPr>
          <w:rFonts w:ascii="Times New Roman" w:hAnsi="Times New Roman"/>
          <w:lang w:val="lt-LT"/>
        </w:rPr>
        <w:t>- 30;2</w:t>
      </w:r>
      <w:r w:rsidRPr="000B544A">
        <w:rPr>
          <w:rFonts w:ascii="Times New Roman" w:hAnsi="Times New Roman"/>
          <w:lang w:val="lt-LT"/>
        </w:rPr>
        <w:t>. Bandymas nedavė jokių teigiamų rezultatų</w:t>
      </w:r>
      <w:r w:rsidR="00A02FA0" w:rsidRPr="000B544A">
        <w:rPr>
          <w:rFonts w:ascii="Times New Roman" w:hAnsi="Times New Roman"/>
          <w:lang w:val="lt-LT"/>
        </w:rPr>
        <w:t xml:space="preserve"> akcijų rinkose</w:t>
      </w:r>
      <w:r w:rsidRPr="000B544A">
        <w:rPr>
          <w:rFonts w:ascii="Times New Roman" w:hAnsi="Times New Roman"/>
          <w:lang w:val="lt-LT"/>
        </w:rPr>
        <w:t xml:space="preserve">. </w:t>
      </w:r>
      <w:r w:rsidR="00F60A1D" w:rsidRPr="000B544A">
        <w:rPr>
          <w:rFonts w:ascii="Times New Roman" w:hAnsi="Times New Roman"/>
          <w:lang w:val="lt-LT"/>
        </w:rPr>
        <w:t>Kitas C. Lento tyrimas (2009 m.) įrodė techninės analizės naudingumą, kai tyrė 9 techninės analizės metodus [8].</w:t>
      </w:r>
    </w:p>
    <w:p w:rsidR="00252F1D" w:rsidRPr="000B544A" w:rsidRDefault="00252F1D" w:rsidP="00192AD6">
      <w:pPr>
        <w:spacing w:after="0" w:line="360" w:lineRule="auto"/>
        <w:ind w:firstLine="567"/>
        <w:jc w:val="both"/>
        <w:rPr>
          <w:rFonts w:ascii="Times New Roman" w:hAnsi="Times New Roman"/>
          <w:lang w:val="lt-LT"/>
        </w:rPr>
      </w:pPr>
      <w:r w:rsidRPr="000B544A">
        <w:rPr>
          <w:rFonts w:ascii="Times New Roman" w:hAnsi="Times New Roman"/>
          <w:lang w:val="lt-LT"/>
        </w:rPr>
        <w:t xml:space="preserve">Baltijos šalių biržoje Bollinger juostų metodą tyrė Kabasinskas A. Ir Macys U. </w:t>
      </w:r>
      <w:smartTag w:uri="urn:schemas-microsoft-com:office:smarttags" w:element="metricconverter">
        <w:smartTagPr>
          <w:attr w:name="ProductID" w:val="2010 m"/>
        </w:smartTagPr>
        <w:r w:rsidRPr="000B544A">
          <w:rPr>
            <w:rFonts w:ascii="Times New Roman" w:hAnsi="Times New Roman"/>
            <w:lang w:val="lt-LT"/>
          </w:rPr>
          <w:t>2010 m</w:t>
        </w:r>
      </w:smartTag>
      <w:r w:rsidRPr="000B544A">
        <w:rPr>
          <w:rFonts w:ascii="Times New Roman" w:hAnsi="Times New Roman"/>
          <w:lang w:val="lt-LT"/>
        </w:rPr>
        <w:t xml:space="preserve">. Tyrime buvo naudojami įmonių “Baltika” (BLT1T) ir “Klaipėdos nafta” (KNF1L) akcijų kursai dienos uždarymo kainomis nuo </w:t>
      </w:r>
      <w:smartTag w:uri="urn:schemas-microsoft-com:office:smarttags" w:element="metricconverter">
        <w:smartTagPr>
          <w:attr w:name="ProductID" w:val="2009 m"/>
        </w:smartTagPr>
        <w:r w:rsidRPr="000B544A">
          <w:rPr>
            <w:rFonts w:ascii="Times New Roman" w:hAnsi="Times New Roman"/>
            <w:lang w:val="lt-LT"/>
          </w:rPr>
          <w:t>2009 m</w:t>
        </w:r>
      </w:smartTag>
      <w:r w:rsidRPr="000B544A">
        <w:rPr>
          <w:rFonts w:ascii="Times New Roman" w:hAnsi="Times New Roman"/>
          <w:lang w:val="lt-LT"/>
        </w:rPr>
        <w:t xml:space="preserve">. </w:t>
      </w:r>
      <w:r w:rsidR="00364D40" w:rsidRPr="000B544A">
        <w:rPr>
          <w:rFonts w:ascii="Times New Roman" w:hAnsi="Times New Roman"/>
          <w:lang w:val="lt-LT"/>
        </w:rPr>
        <w:t>k</w:t>
      </w:r>
      <w:r w:rsidRPr="000B544A">
        <w:rPr>
          <w:rFonts w:ascii="Times New Roman" w:hAnsi="Times New Roman"/>
          <w:lang w:val="lt-LT"/>
        </w:rPr>
        <w:t xml:space="preserve">ovo 12 d. iki </w:t>
      </w:r>
      <w:smartTag w:uri="urn:schemas-microsoft-com:office:smarttags" w:element="metricconverter">
        <w:smartTagPr>
          <w:attr w:name="ProductID" w:val="2009 m"/>
        </w:smartTagPr>
        <w:r w:rsidRPr="000B544A">
          <w:rPr>
            <w:rFonts w:ascii="Times New Roman" w:hAnsi="Times New Roman"/>
            <w:lang w:val="lt-LT"/>
          </w:rPr>
          <w:t>2009 m</w:t>
        </w:r>
      </w:smartTag>
      <w:r w:rsidRPr="000B544A">
        <w:rPr>
          <w:rFonts w:ascii="Times New Roman" w:hAnsi="Times New Roman"/>
          <w:lang w:val="lt-LT"/>
        </w:rPr>
        <w:t xml:space="preserve">. </w:t>
      </w:r>
      <w:r w:rsidR="00364D40" w:rsidRPr="000B544A">
        <w:rPr>
          <w:rFonts w:ascii="Times New Roman" w:hAnsi="Times New Roman"/>
          <w:lang w:val="lt-LT"/>
        </w:rPr>
        <w:t>g</w:t>
      </w:r>
      <w:r w:rsidRPr="000B544A">
        <w:rPr>
          <w:rFonts w:ascii="Times New Roman" w:hAnsi="Times New Roman"/>
          <w:lang w:val="lt-LT"/>
        </w:rPr>
        <w:t xml:space="preserve">egužės 14 d. Tyrimas buvo atliktas siekiant išsiaiškinti, kurie Bollinger juostų parametrai yra tinkamiausi trumpo laikotarpio investicijoms. Lyginami buvo (20;2), (10;1,8) ir  (5;1,6) parametrai ir nustatyta, kad geriausi signalai generuojami Bollinger juostų </w:t>
      </w:r>
      <w:r w:rsidR="0020082D" w:rsidRPr="000B544A">
        <w:rPr>
          <w:rFonts w:ascii="Times New Roman" w:hAnsi="Times New Roman"/>
          <w:lang w:val="lt-LT"/>
        </w:rPr>
        <w:t>indikatoriaus</w:t>
      </w:r>
      <w:r w:rsidRPr="000B544A">
        <w:rPr>
          <w:rFonts w:ascii="Times New Roman" w:hAnsi="Times New Roman"/>
          <w:lang w:val="lt-LT"/>
        </w:rPr>
        <w:t xml:space="preserve"> su (10;1,8) parametrais</w:t>
      </w:r>
      <w:r w:rsidR="00786477" w:rsidRPr="000B544A">
        <w:rPr>
          <w:rFonts w:ascii="Times New Roman" w:hAnsi="Times New Roman"/>
          <w:lang w:val="lt-LT"/>
        </w:rPr>
        <w:t>[5].</w:t>
      </w:r>
    </w:p>
    <w:p w:rsidR="00252F1D" w:rsidRPr="000B544A" w:rsidRDefault="00A02FA0" w:rsidP="00192AD6">
      <w:pPr>
        <w:spacing w:after="0" w:line="360" w:lineRule="auto"/>
        <w:ind w:firstLine="567"/>
        <w:jc w:val="both"/>
        <w:rPr>
          <w:rFonts w:ascii="Times New Roman" w:hAnsi="Times New Roman"/>
          <w:lang w:val="lt-LT"/>
        </w:rPr>
      </w:pPr>
      <w:r w:rsidRPr="000B544A">
        <w:rPr>
          <w:rFonts w:ascii="Times New Roman" w:hAnsi="Times New Roman"/>
          <w:lang w:val="lt-LT"/>
        </w:rPr>
        <w:t xml:space="preserve">Baltijos šalių akcijų rinkoje analizuojamu periodu Bolingerio juostų metodą naudojau du kartus – toms pačioms akcijoms, tuo pačiu laikotarpiu tik skirtingais parametrais. Kadangi </w:t>
      </w:r>
      <w:r w:rsidR="0020082D" w:rsidRPr="000B544A">
        <w:rPr>
          <w:rFonts w:ascii="Times New Roman" w:hAnsi="Times New Roman"/>
          <w:lang w:val="lt-LT"/>
        </w:rPr>
        <w:t>indikatoriaus</w:t>
      </w:r>
      <w:r w:rsidRPr="000B544A">
        <w:rPr>
          <w:rFonts w:ascii="Times New Roman" w:hAnsi="Times New Roman"/>
          <w:lang w:val="lt-LT"/>
        </w:rPr>
        <w:t xml:space="preserve"> kūrėjas siūlo 20 dienų vidurkį ir 2 standartinių nuokrypio pločio bangas</w:t>
      </w:r>
      <w:r w:rsidR="008E7F65" w:rsidRPr="000B544A">
        <w:rPr>
          <w:rFonts w:ascii="Times New Roman" w:hAnsi="Times New Roman"/>
          <w:lang w:val="lt-LT"/>
        </w:rPr>
        <w:t xml:space="preserve">, o ankstesni tyrimai nustatė, kad 10 dienų vidurkis ir 1,8 standartinis nuokrypis duoda geresnius rezultatus. </w:t>
      </w:r>
    </w:p>
    <w:p w:rsidR="00AB50DF" w:rsidRPr="000B544A" w:rsidRDefault="00AB50DF" w:rsidP="00192AD6">
      <w:pPr>
        <w:spacing w:after="0" w:line="360" w:lineRule="auto"/>
        <w:ind w:firstLine="567"/>
        <w:jc w:val="both"/>
        <w:rPr>
          <w:rFonts w:ascii="Times New Roman" w:hAnsi="Times New Roman"/>
          <w:lang w:val="lt-LT"/>
        </w:rPr>
      </w:pPr>
    </w:p>
    <w:p w:rsidR="00AB50DF" w:rsidRPr="000B544A" w:rsidRDefault="00AB50DF" w:rsidP="00192AD6">
      <w:pPr>
        <w:spacing w:after="0" w:line="360" w:lineRule="auto"/>
        <w:ind w:firstLine="567"/>
        <w:jc w:val="both"/>
        <w:rPr>
          <w:rFonts w:ascii="Times New Roman" w:hAnsi="Times New Roman"/>
          <w:lang w:val="lt-LT"/>
        </w:rPr>
      </w:pPr>
    </w:p>
    <w:p w:rsidR="00AB50DF" w:rsidRPr="000B544A" w:rsidRDefault="00AB50DF" w:rsidP="00192AD6">
      <w:pPr>
        <w:spacing w:after="0" w:line="360" w:lineRule="auto"/>
        <w:ind w:firstLine="567"/>
        <w:jc w:val="both"/>
        <w:rPr>
          <w:rFonts w:ascii="Times New Roman" w:hAnsi="Times New Roman"/>
          <w:lang w:val="lt-LT"/>
        </w:rPr>
      </w:pPr>
    </w:p>
    <w:p w:rsidR="00AB50DF" w:rsidRPr="000B544A" w:rsidRDefault="00AB50DF" w:rsidP="00192AD6">
      <w:pPr>
        <w:spacing w:after="0" w:line="360" w:lineRule="auto"/>
        <w:ind w:firstLine="567"/>
        <w:jc w:val="both"/>
        <w:rPr>
          <w:rFonts w:ascii="Times New Roman" w:hAnsi="Times New Roman"/>
          <w:lang w:val="lt-LT"/>
        </w:rPr>
      </w:pPr>
    </w:p>
    <w:p w:rsidR="00F54846" w:rsidRPr="000B544A" w:rsidRDefault="00F54846" w:rsidP="00F54846">
      <w:pPr>
        <w:pStyle w:val="Caption"/>
        <w:keepNext/>
        <w:jc w:val="center"/>
        <w:rPr>
          <w:rFonts w:ascii="Times New Roman" w:hAnsi="Times New Roman"/>
          <w:b w:val="0"/>
          <w:lang w:val="lt-LT"/>
        </w:rPr>
      </w:pPr>
      <w:r w:rsidRPr="000B544A">
        <w:rPr>
          <w:rFonts w:ascii="Times New Roman" w:hAnsi="Times New Roman"/>
          <w:b w:val="0"/>
          <w:lang w:val="lt-LT"/>
        </w:rPr>
        <w:lastRenderedPageBreak/>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35" w:name="_Toc311718670"/>
      <w:r w:rsidR="00C53DDD">
        <w:rPr>
          <w:rFonts w:ascii="Times New Roman" w:hAnsi="Times New Roman"/>
          <w:b w:val="0"/>
          <w:noProof/>
          <w:lang w:val="lt-LT"/>
        </w:rPr>
        <w:t>4</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w:t>
      </w:r>
      <w:r w:rsidR="00F035D3" w:rsidRPr="000B544A">
        <w:rPr>
          <w:rFonts w:ascii="Times New Roman" w:hAnsi="Times New Roman"/>
          <w:b w:val="0"/>
          <w:lang w:val="lt-LT"/>
        </w:rPr>
        <w:t>L</w:t>
      </w:r>
      <w:r w:rsidR="007441F1" w:rsidRPr="000B544A">
        <w:rPr>
          <w:rFonts w:ascii="Times New Roman" w:hAnsi="Times New Roman"/>
          <w:b w:val="0"/>
          <w:lang w:val="lt-LT"/>
        </w:rPr>
        <w:t xml:space="preserve">entelė. </w:t>
      </w:r>
      <w:r w:rsidRPr="000B544A">
        <w:rPr>
          <w:rFonts w:ascii="Times New Roman" w:hAnsi="Times New Roman"/>
          <w:lang w:val="lt-LT"/>
        </w:rPr>
        <w:t>Bolingerio juostų indikatoriaus rezultatai naudojant (20;2) parametrus</w:t>
      </w:r>
      <w:bookmarkEnd w:id="35"/>
    </w:p>
    <w:tbl>
      <w:tblPr>
        <w:tblW w:w="7209" w:type="dxa"/>
        <w:jc w:val="center"/>
        <w:tblInd w:w="2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0"/>
        <w:gridCol w:w="2855"/>
        <w:gridCol w:w="1952"/>
        <w:gridCol w:w="1872"/>
      </w:tblGrid>
      <w:tr w:rsidR="0000093B" w:rsidRPr="000B544A" w:rsidTr="00520F7B">
        <w:trPr>
          <w:trHeight w:val="205"/>
          <w:jc w:val="center"/>
        </w:trPr>
        <w:tc>
          <w:tcPr>
            <w:tcW w:w="530" w:type="dxa"/>
          </w:tcPr>
          <w:p w:rsidR="0000093B" w:rsidRPr="000B544A" w:rsidRDefault="0000093B" w:rsidP="0000093B">
            <w:pPr>
              <w:spacing w:after="0"/>
              <w:jc w:val="center"/>
              <w:rPr>
                <w:rFonts w:ascii="Times New Roman" w:hAnsi="Times New Roman"/>
                <w:lang w:val="lt-LT" w:eastAsia="lt-LT"/>
              </w:rPr>
            </w:pPr>
            <w:r w:rsidRPr="000B544A">
              <w:rPr>
                <w:rFonts w:ascii="Times New Roman" w:hAnsi="Times New Roman"/>
                <w:lang w:val="lt-LT" w:eastAsia="lt-LT"/>
              </w:rPr>
              <w:t>Nr.</w:t>
            </w:r>
          </w:p>
        </w:tc>
        <w:tc>
          <w:tcPr>
            <w:tcW w:w="2855"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p>
        </w:tc>
        <w:tc>
          <w:tcPr>
            <w:tcW w:w="1952" w:type="dxa"/>
            <w:shd w:val="clear" w:color="auto" w:fill="auto"/>
            <w:noWrap/>
            <w:vAlign w:val="bottom"/>
          </w:tcPr>
          <w:p w:rsidR="0000093B" w:rsidRPr="000B544A" w:rsidRDefault="0000093B" w:rsidP="00141B2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Pirkimas</w:t>
            </w:r>
          </w:p>
        </w:tc>
        <w:tc>
          <w:tcPr>
            <w:tcW w:w="1872" w:type="dxa"/>
            <w:shd w:val="clear" w:color="auto" w:fill="auto"/>
            <w:noWrap/>
            <w:vAlign w:val="bottom"/>
          </w:tcPr>
          <w:p w:rsidR="0000093B" w:rsidRPr="000B544A" w:rsidRDefault="0000093B" w:rsidP="00141B2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Pardavimas</w:t>
            </w:r>
          </w:p>
        </w:tc>
      </w:tr>
      <w:tr w:rsidR="0000093B" w:rsidRPr="000B544A" w:rsidTr="00520F7B">
        <w:trPr>
          <w:trHeight w:val="254"/>
          <w:jc w:val="center"/>
        </w:trPr>
        <w:tc>
          <w:tcPr>
            <w:tcW w:w="530" w:type="dxa"/>
          </w:tcPr>
          <w:p w:rsidR="0000093B" w:rsidRPr="000B544A" w:rsidRDefault="0000093B" w:rsidP="0000093B">
            <w:pPr>
              <w:spacing w:after="0"/>
              <w:jc w:val="center"/>
              <w:rPr>
                <w:rFonts w:ascii="Times New Roman" w:hAnsi="Times New Roman"/>
                <w:lang w:val="lt-LT" w:eastAsia="lt-LT"/>
              </w:rPr>
            </w:pPr>
            <w:r w:rsidRPr="000B544A">
              <w:rPr>
                <w:rFonts w:ascii="Times New Roman" w:hAnsi="Times New Roman"/>
                <w:lang w:val="lt-LT" w:eastAsia="lt-LT"/>
              </w:rPr>
              <w:t>1</w:t>
            </w:r>
          </w:p>
        </w:tc>
        <w:tc>
          <w:tcPr>
            <w:tcW w:w="2855" w:type="dxa"/>
            <w:shd w:val="clear" w:color="auto" w:fill="auto"/>
            <w:noWrap/>
            <w:vAlign w:val="center"/>
          </w:tcPr>
          <w:p w:rsidR="0000093B" w:rsidRPr="000B544A" w:rsidRDefault="0000093B" w:rsidP="00141B29">
            <w:pPr>
              <w:spacing w:after="0"/>
              <w:jc w:val="center"/>
              <w:rPr>
                <w:rFonts w:ascii="Times New Roman" w:hAnsi="Times New Roman"/>
                <w:sz w:val="22"/>
                <w:szCs w:val="22"/>
                <w:lang w:val="lt-LT" w:eastAsia="lt-LT"/>
              </w:rPr>
            </w:pPr>
            <w:r w:rsidRPr="000B544A">
              <w:rPr>
                <w:rFonts w:ascii="Times New Roman" w:hAnsi="Times New Roman"/>
                <w:bCs/>
                <w:sz w:val="22"/>
                <w:szCs w:val="22"/>
                <w:lang w:val="lt-LT" w:eastAsia="lt-LT"/>
              </w:rPr>
              <w:t>Apranga</w:t>
            </w:r>
          </w:p>
        </w:tc>
        <w:tc>
          <w:tcPr>
            <w:tcW w:w="1952"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r w:rsidRPr="000B544A">
              <w:rPr>
                <w:rFonts w:ascii="Times New Roman" w:hAnsi="Times New Roman"/>
                <w:sz w:val="20"/>
                <w:szCs w:val="20"/>
                <w:lang w:val="lt-LT" w:eastAsia="lt-LT"/>
              </w:rPr>
              <w:t>15,13%</w:t>
            </w:r>
          </w:p>
        </w:tc>
        <w:tc>
          <w:tcPr>
            <w:tcW w:w="1872"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r w:rsidRPr="000B544A">
              <w:rPr>
                <w:rFonts w:ascii="Times New Roman" w:hAnsi="Times New Roman"/>
                <w:sz w:val="20"/>
                <w:szCs w:val="20"/>
                <w:lang w:val="lt-LT" w:eastAsia="lt-LT"/>
              </w:rPr>
              <w:t>-31,52%</w:t>
            </w:r>
          </w:p>
        </w:tc>
      </w:tr>
      <w:tr w:rsidR="0000093B" w:rsidRPr="000B544A" w:rsidTr="00520F7B">
        <w:trPr>
          <w:trHeight w:val="254"/>
          <w:jc w:val="center"/>
        </w:trPr>
        <w:tc>
          <w:tcPr>
            <w:tcW w:w="530" w:type="dxa"/>
          </w:tcPr>
          <w:p w:rsidR="0000093B" w:rsidRPr="000B544A" w:rsidRDefault="0000093B" w:rsidP="0000093B">
            <w:pPr>
              <w:spacing w:after="0"/>
              <w:jc w:val="center"/>
              <w:rPr>
                <w:rFonts w:ascii="Times New Roman" w:hAnsi="Times New Roman"/>
                <w:lang w:val="lt-LT" w:eastAsia="lt-LT"/>
              </w:rPr>
            </w:pPr>
            <w:r w:rsidRPr="000B544A">
              <w:rPr>
                <w:rFonts w:ascii="Times New Roman" w:hAnsi="Times New Roman"/>
                <w:lang w:val="lt-LT" w:eastAsia="lt-LT"/>
              </w:rPr>
              <w:t>2</w:t>
            </w:r>
          </w:p>
        </w:tc>
        <w:tc>
          <w:tcPr>
            <w:tcW w:w="2855" w:type="dxa"/>
            <w:shd w:val="clear" w:color="auto" w:fill="auto"/>
            <w:noWrap/>
            <w:vAlign w:val="center"/>
          </w:tcPr>
          <w:p w:rsidR="0000093B" w:rsidRPr="000B544A" w:rsidRDefault="0000093B" w:rsidP="00141B29">
            <w:pPr>
              <w:spacing w:after="0"/>
              <w:jc w:val="center"/>
              <w:rPr>
                <w:rFonts w:ascii="Times New Roman" w:hAnsi="Times New Roman"/>
                <w:sz w:val="22"/>
                <w:szCs w:val="22"/>
                <w:lang w:val="lt-LT" w:eastAsia="lt-LT"/>
              </w:rPr>
            </w:pPr>
            <w:r w:rsidRPr="000B544A">
              <w:rPr>
                <w:rFonts w:ascii="Times New Roman" w:hAnsi="Times New Roman"/>
                <w:bCs/>
                <w:sz w:val="22"/>
                <w:szCs w:val="22"/>
                <w:lang w:val="lt-LT" w:eastAsia="lt-LT"/>
              </w:rPr>
              <w:t>Linas Agro Group</w:t>
            </w:r>
          </w:p>
        </w:tc>
        <w:tc>
          <w:tcPr>
            <w:tcW w:w="1952"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r w:rsidRPr="000B544A">
              <w:rPr>
                <w:rFonts w:ascii="Times New Roman" w:hAnsi="Times New Roman"/>
                <w:sz w:val="20"/>
                <w:szCs w:val="20"/>
                <w:lang w:val="lt-LT" w:eastAsia="lt-LT"/>
              </w:rPr>
              <w:t>3,52%</w:t>
            </w:r>
          </w:p>
        </w:tc>
        <w:tc>
          <w:tcPr>
            <w:tcW w:w="1872"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r w:rsidRPr="000B544A">
              <w:rPr>
                <w:rFonts w:ascii="Times New Roman" w:hAnsi="Times New Roman"/>
                <w:sz w:val="20"/>
                <w:szCs w:val="20"/>
                <w:lang w:val="lt-LT" w:eastAsia="lt-LT"/>
              </w:rPr>
              <w:t>13,53%</w:t>
            </w:r>
          </w:p>
        </w:tc>
      </w:tr>
      <w:tr w:rsidR="0000093B" w:rsidRPr="000B544A" w:rsidTr="00520F7B">
        <w:trPr>
          <w:trHeight w:val="254"/>
          <w:jc w:val="center"/>
        </w:trPr>
        <w:tc>
          <w:tcPr>
            <w:tcW w:w="530" w:type="dxa"/>
          </w:tcPr>
          <w:p w:rsidR="0000093B" w:rsidRPr="000B544A" w:rsidRDefault="0000093B" w:rsidP="0000093B">
            <w:pPr>
              <w:spacing w:after="0"/>
              <w:jc w:val="center"/>
              <w:rPr>
                <w:rFonts w:ascii="Times New Roman" w:hAnsi="Times New Roman"/>
                <w:lang w:val="lt-LT" w:eastAsia="lt-LT"/>
              </w:rPr>
            </w:pPr>
            <w:r w:rsidRPr="000B544A">
              <w:rPr>
                <w:rFonts w:ascii="Times New Roman" w:hAnsi="Times New Roman"/>
                <w:lang w:val="lt-LT" w:eastAsia="lt-LT"/>
              </w:rPr>
              <w:t>3</w:t>
            </w:r>
          </w:p>
        </w:tc>
        <w:tc>
          <w:tcPr>
            <w:tcW w:w="2855" w:type="dxa"/>
            <w:shd w:val="clear" w:color="auto" w:fill="auto"/>
            <w:noWrap/>
            <w:vAlign w:val="center"/>
          </w:tcPr>
          <w:p w:rsidR="0000093B" w:rsidRPr="000B544A" w:rsidRDefault="0000093B" w:rsidP="00141B29">
            <w:pPr>
              <w:spacing w:after="0"/>
              <w:jc w:val="center"/>
              <w:rPr>
                <w:rFonts w:ascii="Times New Roman" w:hAnsi="Times New Roman"/>
                <w:sz w:val="22"/>
                <w:szCs w:val="22"/>
                <w:lang w:val="lt-LT" w:eastAsia="lt-LT"/>
              </w:rPr>
            </w:pPr>
            <w:r w:rsidRPr="000B544A">
              <w:rPr>
                <w:rFonts w:ascii="Times New Roman" w:hAnsi="Times New Roman"/>
                <w:bCs/>
                <w:sz w:val="22"/>
                <w:szCs w:val="22"/>
                <w:lang w:val="lt-LT" w:eastAsia="lt-LT"/>
              </w:rPr>
              <w:t>Nordecon AS</w:t>
            </w:r>
          </w:p>
        </w:tc>
        <w:tc>
          <w:tcPr>
            <w:tcW w:w="1952"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r w:rsidRPr="000B544A">
              <w:rPr>
                <w:rFonts w:ascii="Times New Roman" w:hAnsi="Times New Roman"/>
                <w:sz w:val="20"/>
                <w:szCs w:val="20"/>
                <w:lang w:val="lt-LT" w:eastAsia="lt-LT"/>
              </w:rPr>
              <w:t>-17,28%</w:t>
            </w:r>
          </w:p>
        </w:tc>
        <w:tc>
          <w:tcPr>
            <w:tcW w:w="1872"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r w:rsidRPr="000B544A">
              <w:rPr>
                <w:rFonts w:ascii="Times New Roman" w:hAnsi="Times New Roman"/>
                <w:sz w:val="20"/>
                <w:szCs w:val="20"/>
                <w:lang w:val="lt-LT" w:eastAsia="lt-LT"/>
              </w:rPr>
              <w:t>-9,61%</w:t>
            </w:r>
          </w:p>
        </w:tc>
      </w:tr>
      <w:tr w:rsidR="0000093B" w:rsidRPr="000B544A" w:rsidTr="00520F7B">
        <w:trPr>
          <w:trHeight w:val="254"/>
          <w:jc w:val="center"/>
        </w:trPr>
        <w:tc>
          <w:tcPr>
            <w:tcW w:w="530" w:type="dxa"/>
          </w:tcPr>
          <w:p w:rsidR="0000093B" w:rsidRPr="000B544A" w:rsidRDefault="0000093B" w:rsidP="0000093B">
            <w:pPr>
              <w:spacing w:after="0"/>
              <w:jc w:val="center"/>
              <w:rPr>
                <w:rFonts w:ascii="Times New Roman" w:hAnsi="Times New Roman"/>
                <w:lang w:val="lt-LT" w:eastAsia="lt-LT"/>
              </w:rPr>
            </w:pPr>
            <w:r w:rsidRPr="000B544A">
              <w:rPr>
                <w:rFonts w:ascii="Times New Roman" w:hAnsi="Times New Roman"/>
                <w:lang w:val="lt-LT" w:eastAsia="lt-LT"/>
              </w:rPr>
              <w:t>4</w:t>
            </w:r>
          </w:p>
        </w:tc>
        <w:tc>
          <w:tcPr>
            <w:tcW w:w="2855" w:type="dxa"/>
            <w:shd w:val="clear" w:color="auto" w:fill="auto"/>
            <w:noWrap/>
            <w:vAlign w:val="center"/>
          </w:tcPr>
          <w:p w:rsidR="0000093B" w:rsidRPr="000B544A" w:rsidRDefault="0000093B" w:rsidP="00141B29">
            <w:pPr>
              <w:spacing w:after="0"/>
              <w:jc w:val="center"/>
              <w:rPr>
                <w:rFonts w:ascii="Times New Roman" w:hAnsi="Times New Roman"/>
                <w:sz w:val="22"/>
                <w:szCs w:val="22"/>
                <w:lang w:val="lt-LT" w:eastAsia="lt-LT"/>
              </w:rPr>
            </w:pPr>
            <w:r w:rsidRPr="000B544A">
              <w:rPr>
                <w:rFonts w:ascii="Times New Roman" w:hAnsi="Times New Roman"/>
                <w:bCs/>
                <w:sz w:val="22"/>
                <w:szCs w:val="22"/>
                <w:lang w:val="lt-LT" w:eastAsia="lt-LT"/>
              </w:rPr>
              <w:t>Olympic Entertainment Group</w:t>
            </w:r>
          </w:p>
        </w:tc>
        <w:tc>
          <w:tcPr>
            <w:tcW w:w="1952"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r w:rsidRPr="000B544A">
              <w:rPr>
                <w:rFonts w:ascii="Times New Roman" w:hAnsi="Times New Roman"/>
                <w:sz w:val="20"/>
                <w:szCs w:val="20"/>
                <w:lang w:val="lt-LT" w:eastAsia="lt-LT"/>
              </w:rPr>
              <w:t>-11,93%</w:t>
            </w:r>
          </w:p>
        </w:tc>
        <w:tc>
          <w:tcPr>
            <w:tcW w:w="1872"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r w:rsidRPr="000B544A">
              <w:rPr>
                <w:rFonts w:ascii="Times New Roman" w:hAnsi="Times New Roman"/>
                <w:sz w:val="20"/>
                <w:szCs w:val="20"/>
                <w:lang w:val="lt-LT" w:eastAsia="lt-LT"/>
              </w:rPr>
              <w:t>1,12%</w:t>
            </w:r>
          </w:p>
        </w:tc>
      </w:tr>
      <w:tr w:rsidR="0000093B" w:rsidRPr="000B544A" w:rsidTr="00520F7B">
        <w:trPr>
          <w:trHeight w:val="254"/>
          <w:jc w:val="center"/>
        </w:trPr>
        <w:tc>
          <w:tcPr>
            <w:tcW w:w="530" w:type="dxa"/>
          </w:tcPr>
          <w:p w:rsidR="0000093B" w:rsidRPr="000B544A" w:rsidRDefault="0000093B" w:rsidP="0000093B">
            <w:pPr>
              <w:spacing w:after="0"/>
              <w:jc w:val="center"/>
              <w:rPr>
                <w:rFonts w:ascii="Times New Roman" w:hAnsi="Times New Roman"/>
                <w:lang w:val="lt-LT" w:eastAsia="lt-LT"/>
              </w:rPr>
            </w:pPr>
            <w:r w:rsidRPr="000B544A">
              <w:rPr>
                <w:rFonts w:ascii="Times New Roman" w:hAnsi="Times New Roman"/>
                <w:lang w:val="lt-LT" w:eastAsia="lt-LT"/>
              </w:rPr>
              <w:t>5</w:t>
            </w:r>
          </w:p>
        </w:tc>
        <w:tc>
          <w:tcPr>
            <w:tcW w:w="2855" w:type="dxa"/>
            <w:shd w:val="clear" w:color="auto" w:fill="auto"/>
            <w:noWrap/>
            <w:vAlign w:val="center"/>
          </w:tcPr>
          <w:p w:rsidR="0000093B" w:rsidRPr="000B544A" w:rsidRDefault="0000093B" w:rsidP="00141B29">
            <w:pPr>
              <w:spacing w:after="0"/>
              <w:jc w:val="center"/>
              <w:rPr>
                <w:rFonts w:ascii="Times New Roman" w:hAnsi="Times New Roman"/>
                <w:sz w:val="22"/>
                <w:szCs w:val="22"/>
                <w:lang w:val="lt-LT" w:eastAsia="lt-LT"/>
              </w:rPr>
            </w:pPr>
            <w:r w:rsidRPr="000B544A">
              <w:rPr>
                <w:rFonts w:ascii="Times New Roman" w:hAnsi="Times New Roman"/>
                <w:bCs/>
                <w:sz w:val="22"/>
                <w:szCs w:val="22"/>
                <w:lang w:val="lt-LT" w:eastAsia="lt-LT"/>
              </w:rPr>
              <w:t>Panevėžio statybos trestas</w:t>
            </w:r>
          </w:p>
        </w:tc>
        <w:tc>
          <w:tcPr>
            <w:tcW w:w="1952"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r w:rsidRPr="000B544A">
              <w:rPr>
                <w:rFonts w:ascii="Times New Roman" w:hAnsi="Times New Roman"/>
                <w:sz w:val="20"/>
                <w:szCs w:val="20"/>
                <w:lang w:val="lt-LT" w:eastAsia="lt-LT"/>
              </w:rPr>
              <w:t>4,95%</w:t>
            </w:r>
          </w:p>
        </w:tc>
        <w:tc>
          <w:tcPr>
            <w:tcW w:w="1872"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r w:rsidRPr="000B544A">
              <w:rPr>
                <w:rFonts w:ascii="Times New Roman" w:hAnsi="Times New Roman"/>
                <w:sz w:val="20"/>
                <w:szCs w:val="20"/>
                <w:lang w:val="lt-LT" w:eastAsia="lt-LT"/>
              </w:rPr>
              <w:t>18,29%</w:t>
            </w:r>
          </w:p>
        </w:tc>
      </w:tr>
      <w:tr w:rsidR="0000093B" w:rsidRPr="000B544A" w:rsidTr="00520F7B">
        <w:trPr>
          <w:trHeight w:val="254"/>
          <w:jc w:val="center"/>
        </w:trPr>
        <w:tc>
          <w:tcPr>
            <w:tcW w:w="530" w:type="dxa"/>
          </w:tcPr>
          <w:p w:rsidR="0000093B" w:rsidRPr="000B544A" w:rsidRDefault="0000093B" w:rsidP="0000093B">
            <w:pPr>
              <w:spacing w:after="0"/>
              <w:jc w:val="center"/>
              <w:rPr>
                <w:rFonts w:ascii="Times New Roman" w:hAnsi="Times New Roman"/>
                <w:lang w:val="lt-LT" w:eastAsia="lt-LT"/>
              </w:rPr>
            </w:pPr>
            <w:r w:rsidRPr="000B544A">
              <w:rPr>
                <w:rFonts w:ascii="Times New Roman" w:hAnsi="Times New Roman"/>
                <w:lang w:val="lt-LT" w:eastAsia="lt-LT"/>
              </w:rPr>
              <w:t>6</w:t>
            </w:r>
          </w:p>
        </w:tc>
        <w:tc>
          <w:tcPr>
            <w:tcW w:w="2855" w:type="dxa"/>
            <w:shd w:val="clear" w:color="auto" w:fill="auto"/>
            <w:noWrap/>
            <w:vAlign w:val="center"/>
          </w:tcPr>
          <w:p w:rsidR="0000093B" w:rsidRPr="000B544A" w:rsidRDefault="0000093B" w:rsidP="00141B29">
            <w:pPr>
              <w:spacing w:after="0"/>
              <w:jc w:val="center"/>
              <w:rPr>
                <w:rFonts w:ascii="Times New Roman" w:hAnsi="Times New Roman"/>
                <w:sz w:val="22"/>
                <w:szCs w:val="22"/>
                <w:lang w:val="lt-LT" w:eastAsia="lt-LT"/>
              </w:rPr>
            </w:pPr>
            <w:r w:rsidRPr="000B544A">
              <w:rPr>
                <w:rFonts w:ascii="Times New Roman" w:hAnsi="Times New Roman"/>
                <w:bCs/>
                <w:sz w:val="22"/>
                <w:szCs w:val="22"/>
                <w:lang w:val="lt-LT" w:eastAsia="lt-LT"/>
              </w:rPr>
              <w:t>Tallink Grupp</w:t>
            </w:r>
          </w:p>
        </w:tc>
        <w:tc>
          <w:tcPr>
            <w:tcW w:w="1952"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r w:rsidRPr="000B544A">
              <w:rPr>
                <w:rFonts w:ascii="Times New Roman" w:hAnsi="Times New Roman"/>
                <w:sz w:val="20"/>
                <w:szCs w:val="20"/>
                <w:lang w:val="lt-LT" w:eastAsia="lt-LT"/>
              </w:rPr>
              <w:t>1,84%</w:t>
            </w:r>
          </w:p>
        </w:tc>
        <w:tc>
          <w:tcPr>
            <w:tcW w:w="1872"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r w:rsidRPr="000B544A">
              <w:rPr>
                <w:rFonts w:ascii="Times New Roman" w:hAnsi="Times New Roman"/>
                <w:sz w:val="20"/>
                <w:szCs w:val="20"/>
                <w:lang w:val="lt-LT" w:eastAsia="lt-LT"/>
              </w:rPr>
              <w:t>4,37%</w:t>
            </w:r>
          </w:p>
        </w:tc>
      </w:tr>
      <w:tr w:rsidR="0000093B" w:rsidRPr="000B544A" w:rsidTr="00520F7B">
        <w:trPr>
          <w:trHeight w:val="254"/>
          <w:jc w:val="center"/>
        </w:trPr>
        <w:tc>
          <w:tcPr>
            <w:tcW w:w="530" w:type="dxa"/>
          </w:tcPr>
          <w:p w:rsidR="0000093B" w:rsidRPr="000B544A" w:rsidRDefault="0000093B" w:rsidP="0000093B">
            <w:pPr>
              <w:spacing w:after="0"/>
              <w:jc w:val="center"/>
              <w:rPr>
                <w:rFonts w:ascii="Times New Roman" w:hAnsi="Times New Roman"/>
                <w:lang w:val="lt-LT" w:eastAsia="lt-LT"/>
              </w:rPr>
            </w:pPr>
            <w:r w:rsidRPr="000B544A">
              <w:rPr>
                <w:rFonts w:ascii="Times New Roman" w:hAnsi="Times New Roman"/>
                <w:lang w:val="lt-LT" w:eastAsia="lt-LT"/>
              </w:rPr>
              <w:t>7</w:t>
            </w:r>
          </w:p>
        </w:tc>
        <w:tc>
          <w:tcPr>
            <w:tcW w:w="2855" w:type="dxa"/>
            <w:shd w:val="clear" w:color="auto" w:fill="auto"/>
            <w:noWrap/>
            <w:vAlign w:val="center"/>
          </w:tcPr>
          <w:p w:rsidR="0000093B" w:rsidRPr="000B544A" w:rsidRDefault="0000093B" w:rsidP="00141B29">
            <w:pPr>
              <w:spacing w:after="0"/>
              <w:jc w:val="center"/>
              <w:rPr>
                <w:rFonts w:ascii="Times New Roman" w:hAnsi="Times New Roman"/>
                <w:sz w:val="22"/>
                <w:szCs w:val="22"/>
                <w:lang w:val="lt-LT" w:eastAsia="lt-LT"/>
              </w:rPr>
            </w:pPr>
            <w:r w:rsidRPr="000B544A">
              <w:rPr>
                <w:rFonts w:ascii="Times New Roman" w:hAnsi="Times New Roman"/>
                <w:bCs/>
                <w:sz w:val="22"/>
                <w:szCs w:val="22"/>
                <w:lang w:val="lt-LT" w:eastAsia="lt-LT"/>
              </w:rPr>
              <w:t>TEO LT</w:t>
            </w:r>
          </w:p>
        </w:tc>
        <w:tc>
          <w:tcPr>
            <w:tcW w:w="1952"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r w:rsidRPr="000B544A">
              <w:rPr>
                <w:rFonts w:ascii="Times New Roman" w:hAnsi="Times New Roman"/>
                <w:sz w:val="20"/>
                <w:szCs w:val="20"/>
                <w:lang w:val="lt-LT" w:eastAsia="lt-LT"/>
              </w:rPr>
              <w:t>-8,56%</w:t>
            </w:r>
          </w:p>
        </w:tc>
        <w:tc>
          <w:tcPr>
            <w:tcW w:w="1872"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r w:rsidRPr="000B544A">
              <w:rPr>
                <w:rFonts w:ascii="Times New Roman" w:hAnsi="Times New Roman"/>
                <w:sz w:val="20"/>
                <w:szCs w:val="20"/>
                <w:lang w:val="lt-LT" w:eastAsia="lt-LT"/>
              </w:rPr>
              <w:t>-11,28%</w:t>
            </w:r>
          </w:p>
        </w:tc>
      </w:tr>
      <w:tr w:rsidR="0000093B" w:rsidRPr="000B544A" w:rsidTr="00520F7B">
        <w:trPr>
          <w:trHeight w:val="254"/>
          <w:jc w:val="center"/>
        </w:trPr>
        <w:tc>
          <w:tcPr>
            <w:tcW w:w="530" w:type="dxa"/>
          </w:tcPr>
          <w:p w:rsidR="0000093B" w:rsidRPr="000B544A" w:rsidRDefault="0000093B" w:rsidP="0000093B">
            <w:pPr>
              <w:spacing w:after="0"/>
              <w:jc w:val="center"/>
              <w:rPr>
                <w:rFonts w:ascii="Times New Roman" w:hAnsi="Times New Roman"/>
                <w:lang w:val="lt-LT" w:eastAsia="lt-LT"/>
              </w:rPr>
            </w:pPr>
            <w:r w:rsidRPr="000B544A">
              <w:rPr>
                <w:rFonts w:ascii="Times New Roman" w:hAnsi="Times New Roman"/>
                <w:lang w:val="lt-LT" w:eastAsia="lt-LT"/>
              </w:rPr>
              <w:t>8</w:t>
            </w:r>
          </w:p>
        </w:tc>
        <w:tc>
          <w:tcPr>
            <w:tcW w:w="2855" w:type="dxa"/>
            <w:shd w:val="clear" w:color="auto" w:fill="auto"/>
            <w:noWrap/>
            <w:vAlign w:val="center"/>
          </w:tcPr>
          <w:p w:rsidR="0000093B" w:rsidRPr="000B544A" w:rsidRDefault="0000093B" w:rsidP="00141B29">
            <w:pPr>
              <w:spacing w:after="0"/>
              <w:jc w:val="center"/>
              <w:rPr>
                <w:rFonts w:ascii="Times New Roman" w:hAnsi="Times New Roman"/>
                <w:sz w:val="22"/>
                <w:szCs w:val="22"/>
                <w:lang w:val="lt-LT" w:eastAsia="lt-LT"/>
              </w:rPr>
            </w:pPr>
            <w:r w:rsidRPr="000B544A">
              <w:rPr>
                <w:rFonts w:ascii="Times New Roman" w:hAnsi="Times New Roman"/>
                <w:bCs/>
                <w:sz w:val="22"/>
                <w:szCs w:val="22"/>
                <w:lang w:val="lt-LT" w:eastAsia="lt-LT"/>
              </w:rPr>
              <w:t>Tallinna Kaubamaja</w:t>
            </w:r>
          </w:p>
        </w:tc>
        <w:tc>
          <w:tcPr>
            <w:tcW w:w="1952"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r w:rsidRPr="000B544A">
              <w:rPr>
                <w:rFonts w:ascii="Times New Roman" w:hAnsi="Times New Roman"/>
                <w:sz w:val="20"/>
                <w:szCs w:val="20"/>
                <w:lang w:val="lt-LT" w:eastAsia="lt-LT"/>
              </w:rPr>
              <w:t>-0,87%</w:t>
            </w:r>
          </w:p>
        </w:tc>
        <w:tc>
          <w:tcPr>
            <w:tcW w:w="1872"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r w:rsidRPr="000B544A">
              <w:rPr>
                <w:rFonts w:ascii="Times New Roman" w:hAnsi="Times New Roman"/>
                <w:sz w:val="20"/>
                <w:szCs w:val="20"/>
                <w:lang w:val="lt-LT" w:eastAsia="lt-LT"/>
              </w:rPr>
              <w:t>-11,82%</w:t>
            </w:r>
          </w:p>
        </w:tc>
      </w:tr>
      <w:tr w:rsidR="0000093B" w:rsidRPr="000B544A" w:rsidTr="00520F7B">
        <w:trPr>
          <w:trHeight w:val="254"/>
          <w:jc w:val="center"/>
        </w:trPr>
        <w:tc>
          <w:tcPr>
            <w:tcW w:w="530" w:type="dxa"/>
          </w:tcPr>
          <w:p w:rsidR="0000093B" w:rsidRPr="000B544A" w:rsidRDefault="0000093B" w:rsidP="0000093B">
            <w:pPr>
              <w:spacing w:after="0"/>
              <w:jc w:val="center"/>
              <w:rPr>
                <w:rFonts w:ascii="Times New Roman" w:hAnsi="Times New Roman"/>
                <w:lang w:val="lt-LT" w:eastAsia="lt-LT"/>
              </w:rPr>
            </w:pPr>
            <w:r w:rsidRPr="000B544A">
              <w:rPr>
                <w:rFonts w:ascii="Times New Roman" w:hAnsi="Times New Roman"/>
                <w:lang w:val="lt-LT" w:eastAsia="lt-LT"/>
              </w:rPr>
              <w:t>9</w:t>
            </w:r>
          </w:p>
        </w:tc>
        <w:tc>
          <w:tcPr>
            <w:tcW w:w="2855" w:type="dxa"/>
            <w:shd w:val="clear" w:color="auto" w:fill="auto"/>
            <w:noWrap/>
            <w:vAlign w:val="center"/>
          </w:tcPr>
          <w:p w:rsidR="0000093B" w:rsidRPr="000B544A" w:rsidRDefault="0000093B" w:rsidP="00141B29">
            <w:pPr>
              <w:spacing w:after="0"/>
              <w:jc w:val="center"/>
              <w:rPr>
                <w:rFonts w:ascii="Times New Roman" w:hAnsi="Times New Roman"/>
                <w:sz w:val="22"/>
                <w:szCs w:val="22"/>
                <w:lang w:val="lt-LT" w:eastAsia="lt-LT"/>
              </w:rPr>
            </w:pPr>
            <w:r w:rsidRPr="000B544A">
              <w:rPr>
                <w:rFonts w:ascii="Times New Roman" w:hAnsi="Times New Roman"/>
                <w:bCs/>
                <w:sz w:val="22"/>
                <w:szCs w:val="22"/>
                <w:lang w:val="lt-LT" w:eastAsia="lt-LT"/>
              </w:rPr>
              <w:t>Tallinna Vesi</w:t>
            </w:r>
          </w:p>
        </w:tc>
        <w:tc>
          <w:tcPr>
            <w:tcW w:w="1952"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r w:rsidRPr="000B544A">
              <w:rPr>
                <w:rFonts w:ascii="Times New Roman" w:hAnsi="Times New Roman"/>
                <w:sz w:val="20"/>
                <w:szCs w:val="20"/>
                <w:lang w:val="lt-LT" w:eastAsia="lt-LT"/>
              </w:rPr>
              <w:t>-0,34%</w:t>
            </w:r>
          </w:p>
        </w:tc>
        <w:tc>
          <w:tcPr>
            <w:tcW w:w="1872"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r w:rsidRPr="000B544A">
              <w:rPr>
                <w:rFonts w:ascii="Times New Roman" w:hAnsi="Times New Roman"/>
                <w:sz w:val="20"/>
                <w:szCs w:val="20"/>
                <w:lang w:val="lt-LT" w:eastAsia="lt-LT"/>
              </w:rPr>
              <w:t>-10,13%</w:t>
            </w:r>
          </w:p>
        </w:tc>
      </w:tr>
      <w:tr w:rsidR="0000093B" w:rsidRPr="000B544A" w:rsidTr="00520F7B">
        <w:trPr>
          <w:trHeight w:val="265"/>
          <w:jc w:val="center"/>
        </w:trPr>
        <w:tc>
          <w:tcPr>
            <w:tcW w:w="530" w:type="dxa"/>
          </w:tcPr>
          <w:p w:rsidR="0000093B" w:rsidRPr="000B544A" w:rsidRDefault="0000093B" w:rsidP="0000093B">
            <w:pPr>
              <w:spacing w:after="0"/>
              <w:jc w:val="center"/>
              <w:rPr>
                <w:rFonts w:ascii="Times New Roman" w:hAnsi="Times New Roman"/>
                <w:lang w:val="lt-LT" w:eastAsia="lt-LT"/>
              </w:rPr>
            </w:pPr>
            <w:r w:rsidRPr="000B544A">
              <w:rPr>
                <w:rFonts w:ascii="Times New Roman" w:hAnsi="Times New Roman"/>
                <w:lang w:val="lt-LT" w:eastAsia="lt-LT"/>
              </w:rPr>
              <w:t>10</w:t>
            </w:r>
          </w:p>
        </w:tc>
        <w:tc>
          <w:tcPr>
            <w:tcW w:w="2855" w:type="dxa"/>
            <w:shd w:val="clear" w:color="auto" w:fill="auto"/>
            <w:noWrap/>
            <w:vAlign w:val="center"/>
          </w:tcPr>
          <w:p w:rsidR="0000093B" w:rsidRPr="000B544A" w:rsidRDefault="0000093B" w:rsidP="00141B29">
            <w:pPr>
              <w:spacing w:after="0"/>
              <w:jc w:val="center"/>
              <w:rPr>
                <w:rFonts w:ascii="Times New Roman" w:hAnsi="Times New Roman"/>
                <w:sz w:val="22"/>
                <w:szCs w:val="22"/>
                <w:lang w:val="lt-LT" w:eastAsia="lt-LT"/>
              </w:rPr>
            </w:pPr>
            <w:r w:rsidRPr="000B544A">
              <w:rPr>
                <w:rFonts w:ascii="Times New Roman" w:hAnsi="Times New Roman"/>
                <w:bCs/>
                <w:sz w:val="22"/>
                <w:szCs w:val="22"/>
                <w:lang w:val="lt-LT" w:eastAsia="lt-LT"/>
              </w:rPr>
              <w:t>Ūkio bankas</w:t>
            </w:r>
          </w:p>
        </w:tc>
        <w:tc>
          <w:tcPr>
            <w:tcW w:w="1952"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r w:rsidRPr="000B544A">
              <w:rPr>
                <w:rFonts w:ascii="Times New Roman" w:hAnsi="Times New Roman"/>
                <w:sz w:val="20"/>
                <w:szCs w:val="20"/>
                <w:lang w:val="lt-LT" w:eastAsia="lt-LT"/>
              </w:rPr>
              <w:t>-7,94%</w:t>
            </w:r>
          </w:p>
        </w:tc>
        <w:tc>
          <w:tcPr>
            <w:tcW w:w="1872"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r w:rsidRPr="000B544A">
              <w:rPr>
                <w:rFonts w:ascii="Times New Roman" w:hAnsi="Times New Roman"/>
                <w:sz w:val="20"/>
                <w:szCs w:val="20"/>
                <w:lang w:val="lt-LT" w:eastAsia="lt-LT"/>
              </w:rPr>
              <w:t>5,52%</w:t>
            </w:r>
          </w:p>
        </w:tc>
      </w:tr>
      <w:tr w:rsidR="0000093B" w:rsidRPr="000B544A" w:rsidTr="00520F7B">
        <w:trPr>
          <w:trHeight w:val="205"/>
          <w:jc w:val="center"/>
        </w:trPr>
        <w:tc>
          <w:tcPr>
            <w:tcW w:w="530" w:type="dxa"/>
          </w:tcPr>
          <w:p w:rsidR="0000093B" w:rsidRPr="000B544A" w:rsidRDefault="0000093B" w:rsidP="00141B29">
            <w:pPr>
              <w:spacing w:after="0"/>
              <w:jc w:val="center"/>
              <w:rPr>
                <w:rFonts w:ascii="Times New Roman" w:hAnsi="Times New Roman"/>
                <w:sz w:val="22"/>
                <w:szCs w:val="22"/>
                <w:lang w:val="lt-LT" w:eastAsia="lt-LT"/>
              </w:rPr>
            </w:pPr>
          </w:p>
        </w:tc>
        <w:tc>
          <w:tcPr>
            <w:tcW w:w="2855" w:type="dxa"/>
            <w:shd w:val="clear" w:color="auto" w:fill="auto"/>
            <w:noWrap/>
            <w:vAlign w:val="bottom"/>
          </w:tcPr>
          <w:p w:rsidR="0000093B" w:rsidRPr="000B544A" w:rsidRDefault="0000093B" w:rsidP="00141B2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Suma</w:t>
            </w:r>
          </w:p>
        </w:tc>
        <w:tc>
          <w:tcPr>
            <w:tcW w:w="1952"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r w:rsidRPr="000B544A">
              <w:rPr>
                <w:rFonts w:ascii="Times New Roman" w:hAnsi="Times New Roman"/>
                <w:sz w:val="20"/>
                <w:szCs w:val="20"/>
                <w:lang w:val="lt-LT" w:eastAsia="lt-LT"/>
              </w:rPr>
              <w:t>-21,48%</w:t>
            </w:r>
          </w:p>
        </w:tc>
        <w:tc>
          <w:tcPr>
            <w:tcW w:w="1872" w:type="dxa"/>
            <w:shd w:val="clear" w:color="auto" w:fill="auto"/>
            <w:noWrap/>
            <w:vAlign w:val="bottom"/>
          </w:tcPr>
          <w:p w:rsidR="0000093B" w:rsidRPr="000B544A" w:rsidRDefault="0000093B" w:rsidP="00141B29">
            <w:pPr>
              <w:spacing w:after="0"/>
              <w:jc w:val="center"/>
              <w:rPr>
                <w:rFonts w:ascii="Times New Roman" w:hAnsi="Times New Roman"/>
                <w:sz w:val="20"/>
                <w:szCs w:val="20"/>
                <w:lang w:val="lt-LT" w:eastAsia="lt-LT"/>
              </w:rPr>
            </w:pPr>
            <w:r w:rsidRPr="000B544A">
              <w:rPr>
                <w:rFonts w:ascii="Times New Roman" w:hAnsi="Times New Roman"/>
                <w:sz w:val="20"/>
                <w:szCs w:val="20"/>
                <w:lang w:val="lt-LT" w:eastAsia="lt-LT"/>
              </w:rPr>
              <w:t>-31,52%</w:t>
            </w:r>
          </w:p>
        </w:tc>
      </w:tr>
    </w:tbl>
    <w:p w:rsidR="00150482" w:rsidRPr="000B544A" w:rsidRDefault="00520F7B" w:rsidP="00520F7B">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F54846" w:rsidRPr="000B544A" w:rsidRDefault="00F54846" w:rsidP="00F54846">
      <w:pPr>
        <w:pStyle w:val="Caption"/>
        <w:keepNext/>
        <w:jc w:val="center"/>
        <w:rPr>
          <w:rFonts w:ascii="Times New Roman" w:hAnsi="Times New Roman"/>
          <w:b w:val="0"/>
          <w:lang w:val="lt-LT"/>
        </w:rPr>
      </w:pPr>
      <w:r w:rsidRPr="000B544A">
        <w:rPr>
          <w:rFonts w:ascii="Times New Roman" w:hAnsi="Times New Roman"/>
          <w:b w:val="0"/>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36" w:name="_Toc311718671"/>
      <w:r w:rsidR="00C53DDD">
        <w:rPr>
          <w:rFonts w:ascii="Times New Roman" w:hAnsi="Times New Roman"/>
          <w:b w:val="0"/>
          <w:noProof/>
          <w:lang w:val="lt-LT"/>
        </w:rPr>
        <w:t>5</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 </w:t>
      </w:r>
      <w:r w:rsidRPr="000B544A">
        <w:rPr>
          <w:rFonts w:ascii="Times New Roman" w:hAnsi="Times New Roman"/>
          <w:lang w:val="lt-LT"/>
        </w:rPr>
        <w:t>Bolingerio juostų indikatoriaus rezultatai naudojant (10;1,8) parametrus</w:t>
      </w:r>
      <w:bookmarkEnd w:id="36"/>
    </w:p>
    <w:tbl>
      <w:tblPr>
        <w:tblW w:w="7316" w:type="dxa"/>
        <w:jc w:val="center"/>
        <w:tblInd w:w="2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0"/>
        <w:gridCol w:w="2756"/>
        <w:gridCol w:w="2160"/>
        <w:gridCol w:w="1870"/>
      </w:tblGrid>
      <w:tr w:rsidR="0000093B" w:rsidRPr="000B544A" w:rsidTr="00520F7B">
        <w:trPr>
          <w:trHeight w:val="276"/>
          <w:jc w:val="center"/>
        </w:trPr>
        <w:tc>
          <w:tcPr>
            <w:tcW w:w="530" w:type="dxa"/>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Nr.</w:t>
            </w:r>
          </w:p>
        </w:tc>
        <w:tc>
          <w:tcPr>
            <w:tcW w:w="2756"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p>
        </w:tc>
        <w:tc>
          <w:tcPr>
            <w:tcW w:w="216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Pirkimas</w:t>
            </w:r>
          </w:p>
        </w:tc>
        <w:tc>
          <w:tcPr>
            <w:tcW w:w="187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Pardavimas</w:t>
            </w:r>
          </w:p>
        </w:tc>
      </w:tr>
      <w:tr w:rsidR="0000093B" w:rsidRPr="000B544A" w:rsidTr="00520F7B">
        <w:trPr>
          <w:trHeight w:val="276"/>
          <w:jc w:val="center"/>
        </w:trPr>
        <w:tc>
          <w:tcPr>
            <w:tcW w:w="530" w:type="dxa"/>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w:t>
            </w:r>
          </w:p>
        </w:tc>
        <w:tc>
          <w:tcPr>
            <w:tcW w:w="2756" w:type="dxa"/>
            <w:shd w:val="clear" w:color="auto" w:fill="auto"/>
            <w:noWrap/>
            <w:vAlign w:val="center"/>
          </w:tcPr>
          <w:p w:rsidR="0000093B" w:rsidRPr="000B544A" w:rsidRDefault="0000093B" w:rsidP="0020114C">
            <w:pPr>
              <w:spacing w:after="0"/>
              <w:jc w:val="center"/>
              <w:rPr>
                <w:rFonts w:ascii="Times New Roman" w:hAnsi="Times New Roman"/>
                <w:sz w:val="22"/>
                <w:szCs w:val="22"/>
                <w:lang w:val="lt-LT" w:eastAsia="lt-LT"/>
              </w:rPr>
            </w:pPr>
            <w:r w:rsidRPr="000B544A">
              <w:rPr>
                <w:rFonts w:ascii="Times New Roman" w:hAnsi="Times New Roman"/>
                <w:bCs/>
                <w:sz w:val="22"/>
                <w:szCs w:val="22"/>
                <w:lang w:val="lt-LT" w:eastAsia="lt-LT"/>
              </w:rPr>
              <w:t>Apranga</w:t>
            </w:r>
          </w:p>
        </w:tc>
        <w:tc>
          <w:tcPr>
            <w:tcW w:w="216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25,55%</w:t>
            </w:r>
          </w:p>
        </w:tc>
        <w:tc>
          <w:tcPr>
            <w:tcW w:w="187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-19,09%</w:t>
            </w:r>
          </w:p>
        </w:tc>
      </w:tr>
      <w:tr w:rsidR="0000093B" w:rsidRPr="000B544A" w:rsidTr="00520F7B">
        <w:trPr>
          <w:trHeight w:val="276"/>
          <w:jc w:val="center"/>
        </w:trPr>
        <w:tc>
          <w:tcPr>
            <w:tcW w:w="530" w:type="dxa"/>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w:t>
            </w:r>
          </w:p>
        </w:tc>
        <w:tc>
          <w:tcPr>
            <w:tcW w:w="2756" w:type="dxa"/>
            <w:shd w:val="clear" w:color="auto" w:fill="auto"/>
            <w:noWrap/>
            <w:vAlign w:val="center"/>
          </w:tcPr>
          <w:p w:rsidR="0000093B" w:rsidRPr="000B544A" w:rsidRDefault="0000093B" w:rsidP="0020114C">
            <w:pPr>
              <w:spacing w:after="0"/>
              <w:jc w:val="center"/>
              <w:rPr>
                <w:rFonts w:ascii="Times New Roman" w:hAnsi="Times New Roman"/>
                <w:sz w:val="22"/>
                <w:szCs w:val="22"/>
                <w:lang w:val="lt-LT" w:eastAsia="lt-LT"/>
              </w:rPr>
            </w:pPr>
            <w:r w:rsidRPr="000B544A">
              <w:rPr>
                <w:rFonts w:ascii="Times New Roman" w:hAnsi="Times New Roman"/>
                <w:bCs/>
                <w:sz w:val="22"/>
                <w:szCs w:val="22"/>
                <w:lang w:val="lt-LT" w:eastAsia="lt-LT"/>
              </w:rPr>
              <w:t>Linas Agro Group</w:t>
            </w:r>
          </w:p>
        </w:tc>
        <w:tc>
          <w:tcPr>
            <w:tcW w:w="216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-9,31%</w:t>
            </w:r>
          </w:p>
        </w:tc>
        <w:tc>
          <w:tcPr>
            <w:tcW w:w="187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16,06%</w:t>
            </w:r>
          </w:p>
        </w:tc>
      </w:tr>
      <w:tr w:rsidR="0000093B" w:rsidRPr="000B544A" w:rsidTr="00520F7B">
        <w:trPr>
          <w:trHeight w:val="276"/>
          <w:jc w:val="center"/>
        </w:trPr>
        <w:tc>
          <w:tcPr>
            <w:tcW w:w="530" w:type="dxa"/>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w:t>
            </w:r>
          </w:p>
        </w:tc>
        <w:tc>
          <w:tcPr>
            <w:tcW w:w="2756" w:type="dxa"/>
            <w:shd w:val="clear" w:color="auto" w:fill="auto"/>
            <w:noWrap/>
            <w:vAlign w:val="center"/>
          </w:tcPr>
          <w:p w:rsidR="0000093B" w:rsidRPr="000B544A" w:rsidRDefault="0000093B" w:rsidP="0020114C">
            <w:pPr>
              <w:spacing w:after="0"/>
              <w:jc w:val="center"/>
              <w:rPr>
                <w:rFonts w:ascii="Times New Roman" w:hAnsi="Times New Roman"/>
                <w:sz w:val="22"/>
                <w:szCs w:val="22"/>
                <w:lang w:val="lt-LT" w:eastAsia="lt-LT"/>
              </w:rPr>
            </w:pPr>
            <w:r w:rsidRPr="000B544A">
              <w:rPr>
                <w:rFonts w:ascii="Times New Roman" w:hAnsi="Times New Roman"/>
                <w:bCs/>
                <w:sz w:val="22"/>
                <w:szCs w:val="22"/>
                <w:lang w:val="lt-LT" w:eastAsia="lt-LT"/>
              </w:rPr>
              <w:t>Nordecon AS</w:t>
            </w:r>
          </w:p>
        </w:tc>
        <w:tc>
          <w:tcPr>
            <w:tcW w:w="216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-30,09%</w:t>
            </w:r>
          </w:p>
        </w:tc>
        <w:tc>
          <w:tcPr>
            <w:tcW w:w="187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9,13%</w:t>
            </w:r>
          </w:p>
        </w:tc>
      </w:tr>
      <w:tr w:rsidR="0000093B" w:rsidRPr="000B544A" w:rsidTr="00520F7B">
        <w:trPr>
          <w:trHeight w:val="276"/>
          <w:jc w:val="center"/>
        </w:trPr>
        <w:tc>
          <w:tcPr>
            <w:tcW w:w="530" w:type="dxa"/>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4</w:t>
            </w:r>
          </w:p>
        </w:tc>
        <w:tc>
          <w:tcPr>
            <w:tcW w:w="2756" w:type="dxa"/>
            <w:shd w:val="clear" w:color="auto" w:fill="auto"/>
            <w:noWrap/>
            <w:vAlign w:val="center"/>
          </w:tcPr>
          <w:p w:rsidR="0000093B" w:rsidRPr="000B544A" w:rsidRDefault="0000093B" w:rsidP="0020114C">
            <w:pPr>
              <w:spacing w:after="0"/>
              <w:jc w:val="center"/>
              <w:rPr>
                <w:rFonts w:ascii="Times New Roman" w:hAnsi="Times New Roman"/>
                <w:sz w:val="22"/>
                <w:szCs w:val="22"/>
                <w:lang w:val="lt-LT" w:eastAsia="lt-LT"/>
              </w:rPr>
            </w:pPr>
            <w:r w:rsidRPr="000B544A">
              <w:rPr>
                <w:rFonts w:ascii="Times New Roman" w:hAnsi="Times New Roman"/>
                <w:bCs/>
                <w:sz w:val="22"/>
                <w:szCs w:val="22"/>
                <w:lang w:val="lt-LT" w:eastAsia="lt-LT"/>
              </w:rPr>
              <w:t>Olympic Entertainment Group</w:t>
            </w:r>
          </w:p>
        </w:tc>
        <w:tc>
          <w:tcPr>
            <w:tcW w:w="216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-11,10%</w:t>
            </w:r>
          </w:p>
        </w:tc>
        <w:tc>
          <w:tcPr>
            <w:tcW w:w="187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16,71%</w:t>
            </w:r>
          </w:p>
        </w:tc>
      </w:tr>
      <w:tr w:rsidR="0000093B" w:rsidRPr="000B544A" w:rsidTr="00520F7B">
        <w:trPr>
          <w:trHeight w:val="276"/>
          <w:jc w:val="center"/>
        </w:trPr>
        <w:tc>
          <w:tcPr>
            <w:tcW w:w="530" w:type="dxa"/>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w:t>
            </w:r>
          </w:p>
        </w:tc>
        <w:tc>
          <w:tcPr>
            <w:tcW w:w="2756" w:type="dxa"/>
            <w:shd w:val="clear" w:color="auto" w:fill="auto"/>
            <w:noWrap/>
            <w:vAlign w:val="center"/>
          </w:tcPr>
          <w:p w:rsidR="0000093B" w:rsidRPr="000B544A" w:rsidRDefault="0000093B" w:rsidP="0020114C">
            <w:pPr>
              <w:spacing w:after="0"/>
              <w:jc w:val="center"/>
              <w:rPr>
                <w:rFonts w:ascii="Times New Roman" w:hAnsi="Times New Roman"/>
                <w:sz w:val="22"/>
                <w:szCs w:val="22"/>
                <w:lang w:val="lt-LT" w:eastAsia="lt-LT"/>
              </w:rPr>
            </w:pPr>
            <w:r w:rsidRPr="000B544A">
              <w:rPr>
                <w:rFonts w:ascii="Times New Roman" w:hAnsi="Times New Roman"/>
                <w:bCs/>
                <w:sz w:val="22"/>
                <w:szCs w:val="22"/>
                <w:lang w:val="lt-LT" w:eastAsia="lt-LT"/>
              </w:rPr>
              <w:t>Panevėžio statybos trestas</w:t>
            </w:r>
          </w:p>
        </w:tc>
        <w:tc>
          <w:tcPr>
            <w:tcW w:w="216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21,62%</w:t>
            </w:r>
          </w:p>
        </w:tc>
        <w:tc>
          <w:tcPr>
            <w:tcW w:w="187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-6,38%</w:t>
            </w:r>
          </w:p>
        </w:tc>
      </w:tr>
      <w:tr w:rsidR="0000093B" w:rsidRPr="000B544A" w:rsidTr="00520F7B">
        <w:trPr>
          <w:trHeight w:val="276"/>
          <w:jc w:val="center"/>
        </w:trPr>
        <w:tc>
          <w:tcPr>
            <w:tcW w:w="530" w:type="dxa"/>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6</w:t>
            </w:r>
          </w:p>
        </w:tc>
        <w:tc>
          <w:tcPr>
            <w:tcW w:w="2756" w:type="dxa"/>
            <w:shd w:val="clear" w:color="auto" w:fill="auto"/>
            <w:noWrap/>
            <w:vAlign w:val="center"/>
          </w:tcPr>
          <w:p w:rsidR="0000093B" w:rsidRPr="000B544A" w:rsidRDefault="0000093B" w:rsidP="0020114C">
            <w:pPr>
              <w:spacing w:after="0"/>
              <w:jc w:val="center"/>
              <w:rPr>
                <w:rFonts w:ascii="Times New Roman" w:hAnsi="Times New Roman"/>
                <w:sz w:val="22"/>
                <w:szCs w:val="22"/>
                <w:lang w:val="lt-LT" w:eastAsia="lt-LT"/>
              </w:rPr>
            </w:pPr>
            <w:r w:rsidRPr="000B544A">
              <w:rPr>
                <w:rFonts w:ascii="Times New Roman" w:hAnsi="Times New Roman"/>
                <w:bCs/>
                <w:sz w:val="22"/>
                <w:szCs w:val="22"/>
                <w:lang w:val="lt-LT" w:eastAsia="lt-LT"/>
              </w:rPr>
              <w:t>Tallink Grupp</w:t>
            </w:r>
          </w:p>
        </w:tc>
        <w:tc>
          <w:tcPr>
            <w:tcW w:w="216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2,39%</w:t>
            </w:r>
          </w:p>
        </w:tc>
        <w:tc>
          <w:tcPr>
            <w:tcW w:w="187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-0,22%</w:t>
            </w:r>
          </w:p>
        </w:tc>
      </w:tr>
      <w:tr w:rsidR="0000093B" w:rsidRPr="000B544A" w:rsidTr="00520F7B">
        <w:trPr>
          <w:trHeight w:val="276"/>
          <w:jc w:val="center"/>
        </w:trPr>
        <w:tc>
          <w:tcPr>
            <w:tcW w:w="530" w:type="dxa"/>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7</w:t>
            </w:r>
          </w:p>
        </w:tc>
        <w:tc>
          <w:tcPr>
            <w:tcW w:w="2756" w:type="dxa"/>
            <w:shd w:val="clear" w:color="auto" w:fill="auto"/>
            <w:noWrap/>
            <w:vAlign w:val="center"/>
          </w:tcPr>
          <w:p w:rsidR="0000093B" w:rsidRPr="000B544A" w:rsidRDefault="0000093B" w:rsidP="0020114C">
            <w:pPr>
              <w:spacing w:after="0"/>
              <w:jc w:val="center"/>
              <w:rPr>
                <w:rFonts w:ascii="Times New Roman" w:hAnsi="Times New Roman"/>
                <w:sz w:val="22"/>
                <w:szCs w:val="22"/>
                <w:lang w:val="lt-LT" w:eastAsia="lt-LT"/>
              </w:rPr>
            </w:pPr>
            <w:r w:rsidRPr="000B544A">
              <w:rPr>
                <w:rFonts w:ascii="Times New Roman" w:hAnsi="Times New Roman"/>
                <w:bCs/>
                <w:sz w:val="22"/>
                <w:szCs w:val="22"/>
                <w:lang w:val="lt-LT" w:eastAsia="lt-LT"/>
              </w:rPr>
              <w:t>TEO LT</w:t>
            </w:r>
          </w:p>
        </w:tc>
        <w:tc>
          <w:tcPr>
            <w:tcW w:w="216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-0,63%</w:t>
            </w:r>
          </w:p>
        </w:tc>
        <w:tc>
          <w:tcPr>
            <w:tcW w:w="187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1,51%</w:t>
            </w:r>
          </w:p>
        </w:tc>
      </w:tr>
      <w:tr w:rsidR="0000093B" w:rsidRPr="000B544A" w:rsidTr="00520F7B">
        <w:trPr>
          <w:trHeight w:val="276"/>
          <w:jc w:val="center"/>
        </w:trPr>
        <w:tc>
          <w:tcPr>
            <w:tcW w:w="530" w:type="dxa"/>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8</w:t>
            </w:r>
          </w:p>
        </w:tc>
        <w:tc>
          <w:tcPr>
            <w:tcW w:w="2756" w:type="dxa"/>
            <w:shd w:val="clear" w:color="auto" w:fill="auto"/>
            <w:noWrap/>
            <w:vAlign w:val="center"/>
          </w:tcPr>
          <w:p w:rsidR="0000093B" w:rsidRPr="000B544A" w:rsidRDefault="0000093B" w:rsidP="0020114C">
            <w:pPr>
              <w:spacing w:after="0"/>
              <w:jc w:val="center"/>
              <w:rPr>
                <w:rFonts w:ascii="Times New Roman" w:hAnsi="Times New Roman"/>
                <w:sz w:val="22"/>
                <w:szCs w:val="22"/>
                <w:lang w:val="lt-LT" w:eastAsia="lt-LT"/>
              </w:rPr>
            </w:pPr>
            <w:r w:rsidRPr="000B544A">
              <w:rPr>
                <w:rFonts w:ascii="Times New Roman" w:hAnsi="Times New Roman"/>
                <w:bCs/>
                <w:sz w:val="22"/>
                <w:szCs w:val="22"/>
                <w:lang w:val="lt-LT" w:eastAsia="lt-LT"/>
              </w:rPr>
              <w:t>Tallinna Kaubamaja</w:t>
            </w:r>
          </w:p>
        </w:tc>
        <w:tc>
          <w:tcPr>
            <w:tcW w:w="216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7,52%</w:t>
            </w:r>
          </w:p>
        </w:tc>
        <w:tc>
          <w:tcPr>
            <w:tcW w:w="187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-9,98%</w:t>
            </w:r>
          </w:p>
        </w:tc>
      </w:tr>
      <w:tr w:rsidR="0000093B" w:rsidRPr="000B544A" w:rsidTr="00520F7B">
        <w:trPr>
          <w:trHeight w:val="276"/>
          <w:jc w:val="center"/>
        </w:trPr>
        <w:tc>
          <w:tcPr>
            <w:tcW w:w="530" w:type="dxa"/>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9</w:t>
            </w:r>
          </w:p>
        </w:tc>
        <w:tc>
          <w:tcPr>
            <w:tcW w:w="2756" w:type="dxa"/>
            <w:shd w:val="clear" w:color="auto" w:fill="auto"/>
            <w:noWrap/>
            <w:vAlign w:val="center"/>
          </w:tcPr>
          <w:p w:rsidR="0000093B" w:rsidRPr="000B544A" w:rsidRDefault="0000093B" w:rsidP="0020114C">
            <w:pPr>
              <w:spacing w:after="0"/>
              <w:jc w:val="center"/>
              <w:rPr>
                <w:rFonts w:ascii="Times New Roman" w:hAnsi="Times New Roman"/>
                <w:sz w:val="22"/>
                <w:szCs w:val="22"/>
                <w:lang w:val="lt-LT" w:eastAsia="lt-LT"/>
              </w:rPr>
            </w:pPr>
            <w:r w:rsidRPr="000B544A">
              <w:rPr>
                <w:rFonts w:ascii="Times New Roman" w:hAnsi="Times New Roman"/>
                <w:bCs/>
                <w:sz w:val="22"/>
                <w:szCs w:val="22"/>
                <w:lang w:val="lt-LT" w:eastAsia="lt-LT"/>
              </w:rPr>
              <w:t>Tallinna Vesi</w:t>
            </w:r>
          </w:p>
        </w:tc>
        <w:tc>
          <w:tcPr>
            <w:tcW w:w="216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1,31%</w:t>
            </w:r>
          </w:p>
        </w:tc>
        <w:tc>
          <w:tcPr>
            <w:tcW w:w="187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4,52%</w:t>
            </w:r>
          </w:p>
        </w:tc>
      </w:tr>
      <w:tr w:rsidR="0000093B" w:rsidRPr="000B544A" w:rsidTr="00520F7B">
        <w:trPr>
          <w:trHeight w:val="276"/>
          <w:jc w:val="center"/>
        </w:trPr>
        <w:tc>
          <w:tcPr>
            <w:tcW w:w="530" w:type="dxa"/>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10</w:t>
            </w:r>
          </w:p>
        </w:tc>
        <w:tc>
          <w:tcPr>
            <w:tcW w:w="2756" w:type="dxa"/>
            <w:shd w:val="clear" w:color="auto" w:fill="auto"/>
            <w:noWrap/>
            <w:vAlign w:val="center"/>
          </w:tcPr>
          <w:p w:rsidR="0000093B" w:rsidRPr="000B544A" w:rsidRDefault="0000093B" w:rsidP="0020114C">
            <w:pPr>
              <w:spacing w:after="0"/>
              <w:jc w:val="center"/>
              <w:rPr>
                <w:rFonts w:ascii="Times New Roman" w:hAnsi="Times New Roman"/>
                <w:sz w:val="22"/>
                <w:szCs w:val="22"/>
                <w:lang w:val="lt-LT" w:eastAsia="lt-LT"/>
              </w:rPr>
            </w:pPr>
            <w:r w:rsidRPr="000B544A">
              <w:rPr>
                <w:rFonts w:ascii="Times New Roman" w:hAnsi="Times New Roman"/>
                <w:bCs/>
                <w:sz w:val="22"/>
                <w:szCs w:val="22"/>
                <w:lang w:val="lt-LT" w:eastAsia="lt-LT"/>
              </w:rPr>
              <w:t>Ūkio bankas</w:t>
            </w:r>
          </w:p>
        </w:tc>
        <w:tc>
          <w:tcPr>
            <w:tcW w:w="216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16,12%</w:t>
            </w:r>
          </w:p>
        </w:tc>
        <w:tc>
          <w:tcPr>
            <w:tcW w:w="187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1,18%</w:t>
            </w:r>
          </w:p>
        </w:tc>
      </w:tr>
      <w:tr w:rsidR="0000093B" w:rsidRPr="000B544A" w:rsidTr="00520F7B">
        <w:trPr>
          <w:trHeight w:val="276"/>
          <w:jc w:val="center"/>
        </w:trPr>
        <w:tc>
          <w:tcPr>
            <w:tcW w:w="530" w:type="dxa"/>
          </w:tcPr>
          <w:p w:rsidR="0000093B" w:rsidRPr="000B544A" w:rsidRDefault="0000093B" w:rsidP="0000093B">
            <w:pPr>
              <w:spacing w:after="0"/>
              <w:jc w:val="center"/>
              <w:rPr>
                <w:rFonts w:ascii="Times New Roman" w:hAnsi="Times New Roman"/>
                <w:sz w:val="22"/>
                <w:szCs w:val="22"/>
                <w:lang w:val="lt-LT" w:eastAsia="lt-LT"/>
              </w:rPr>
            </w:pPr>
          </w:p>
        </w:tc>
        <w:tc>
          <w:tcPr>
            <w:tcW w:w="2756" w:type="dxa"/>
            <w:shd w:val="clear" w:color="auto" w:fill="auto"/>
            <w:noWrap/>
            <w:vAlign w:val="bottom"/>
          </w:tcPr>
          <w:p w:rsidR="0000093B" w:rsidRPr="000B544A" w:rsidRDefault="0000093B" w:rsidP="0020114C">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Suma</w:t>
            </w:r>
          </w:p>
        </w:tc>
        <w:tc>
          <w:tcPr>
            <w:tcW w:w="216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23,38%</w:t>
            </w:r>
          </w:p>
        </w:tc>
        <w:tc>
          <w:tcPr>
            <w:tcW w:w="1870" w:type="dxa"/>
            <w:shd w:val="clear" w:color="auto" w:fill="auto"/>
            <w:noWrap/>
            <w:vAlign w:val="bottom"/>
          </w:tcPr>
          <w:p w:rsidR="0000093B" w:rsidRPr="000B544A" w:rsidRDefault="0000093B" w:rsidP="00150482">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13,43%</w:t>
            </w:r>
          </w:p>
        </w:tc>
      </w:tr>
    </w:tbl>
    <w:p w:rsidR="00150482" w:rsidRPr="000B544A" w:rsidRDefault="00520F7B" w:rsidP="00520F7B">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192AD6" w:rsidRPr="000B544A" w:rsidRDefault="00150482" w:rsidP="00757EAA">
      <w:pPr>
        <w:spacing w:after="0" w:line="360" w:lineRule="auto"/>
        <w:ind w:firstLine="567"/>
        <w:jc w:val="both"/>
        <w:rPr>
          <w:rFonts w:ascii="Times New Roman" w:hAnsi="Times New Roman"/>
          <w:lang w:val="lt-LT"/>
        </w:rPr>
      </w:pPr>
      <w:r w:rsidRPr="000B544A">
        <w:rPr>
          <w:rFonts w:ascii="Times New Roman" w:hAnsi="Times New Roman"/>
          <w:lang w:val="lt-LT"/>
        </w:rPr>
        <w:t>Lent</w:t>
      </w:r>
      <w:r w:rsidR="0000653B" w:rsidRPr="000B544A">
        <w:rPr>
          <w:rFonts w:ascii="Times New Roman" w:hAnsi="Times New Roman"/>
          <w:lang w:val="lt-LT"/>
        </w:rPr>
        <w:t>elėse</w:t>
      </w:r>
      <w:r w:rsidRPr="000B544A">
        <w:rPr>
          <w:rFonts w:ascii="Times New Roman" w:hAnsi="Times New Roman"/>
          <w:lang w:val="lt-LT"/>
        </w:rPr>
        <w:t xml:space="preserve"> pateiktuo</w:t>
      </w:r>
      <w:r w:rsidR="0000653B" w:rsidRPr="000B544A">
        <w:rPr>
          <w:rFonts w:ascii="Times New Roman" w:hAnsi="Times New Roman"/>
          <w:lang w:val="lt-LT"/>
        </w:rPr>
        <w:t>s</w:t>
      </w:r>
      <w:r w:rsidRPr="000B544A">
        <w:rPr>
          <w:rFonts w:ascii="Times New Roman" w:hAnsi="Times New Roman"/>
          <w:lang w:val="lt-LT"/>
        </w:rPr>
        <w:t>e duomenyse matyti, kad Baltijos šalių akcijų rinkoje Bolingerio juostų metodas</w:t>
      </w:r>
      <w:r w:rsidR="0000653B" w:rsidRPr="000B544A">
        <w:rPr>
          <w:rFonts w:ascii="Times New Roman" w:hAnsi="Times New Roman"/>
          <w:lang w:val="lt-LT"/>
        </w:rPr>
        <w:t xml:space="preserve"> generuoja geresnius rezultatus naudojant (10;1,8) parametrus, nei (20;2). Šiuo atveju rezultatai naudojant skirtingus parametrus</w:t>
      </w:r>
      <w:r w:rsidR="00364D40" w:rsidRPr="000B544A">
        <w:rPr>
          <w:rFonts w:ascii="Times New Roman" w:hAnsi="Times New Roman"/>
          <w:lang w:val="lt-LT"/>
        </w:rPr>
        <w:t>,</w:t>
      </w:r>
      <w:r w:rsidR="0000653B" w:rsidRPr="000B544A">
        <w:rPr>
          <w:rFonts w:ascii="Times New Roman" w:hAnsi="Times New Roman"/>
          <w:lang w:val="lt-LT"/>
        </w:rPr>
        <w:t xml:space="preserve"> skiriasi ženkliai. (20;2) atveju gautas -21,48 proc. </w:t>
      </w:r>
      <w:r w:rsidR="00364D40" w:rsidRPr="000B544A">
        <w:rPr>
          <w:rFonts w:ascii="Times New Roman" w:hAnsi="Times New Roman"/>
          <w:lang w:val="lt-LT"/>
        </w:rPr>
        <w:t>p</w:t>
      </w:r>
      <w:r w:rsidR="0000653B" w:rsidRPr="000B544A">
        <w:rPr>
          <w:rFonts w:ascii="Times New Roman" w:hAnsi="Times New Roman"/>
          <w:lang w:val="lt-LT"/>
        </w:rPr>
        <w:t>irkimo sandoriuo</w:t>
      </w:r>
      <w:r w:rsidR="00364D40" w:rsidRPr="000B544A">
        <w:rPr>
          <w:rFonts w:ascii="Times New Roman" w:hAnsi="Times New Roman"/>
          <w:lang w:val="lt-LT"/>
        </w:rPr>
        <w:t>se (angl. Buy) ir -31,52 proc. p</w:t>
      </w:r>
      <w:r w:rsidR="0000653B" w:rsidRPr="000B544A">
        <w:rPr>
          <w:rFonts w:ascii="Times New Roman" w:hAnsi="Times New Roman"/>
          <w:lang w:val="lt-LT"/>
        </w:rPr>
        <w:t>ardavimo sandoriuose (angl. Short selling) rezultatas. Kitu atveju (10;1,8) gauti te</w:t>
      </w:r>
      <w:r w:rsidR="00364D40" w:rsidRPr="000B544A">
        <w:rPr>
          <w:rFonts w:ascii="Times New Roman" w:hAnsi="Times New Roman"/>
          <w:lang w:val="lt-LT"/>
        </w:rPr>
        <w:t>igiami rezultatai: 23,38 proc. p</w:t>
      </w:r>
      <w:r w:rsidR="0000653B" w:rsidRPr="000B544A">
        <w:rPr>
          <w:rFonts w:ascii="Times New Roman" w:hAnsi="Times New Roman"/>
          <w:lang w:val="lt-LT"/>
        </w:rPr>
        <w:t>ir</w:t>
      </w:r>
      <w:r w:rsidR="00364D40" w:rsidRPr="000B544A">
        <w:rPr>
          <w:rFonts w:ascii="Times New Roman" w:hAnsi="Times New Roman"/>
          <w:lang w:val="lt-LT"/>
        </w:rPr>
        <w:t>kimo sandoriams ir 13,43 proc. p</w:t>
      </w:r>
      <w:r w:rsidR="0000653B" w:rsidRPr="000B544A">
        <w:rPr>
          <w:rFonts w:ascii="Times New Roman" w:hAnsi="Times New Roman"/>
          <w:lang w:val="lt-LT"/>
        </w:rPr>
        <w:t xml:space="preserve">ardavimo sandoriams. </w:t>
      </w:r>
    </w:p>
    <w:p w:rsidR="00252F1D" w:rsidRPr="000B544A" w:rsidRDefault="00380A2F" w:rsidP="0010532D">
      <w:pPr>
        <w:pStyle w:val="Heading3"/>
        <w:spacing w:line="360" w:lineRule="auto"/>
        <w:rPr>
          <w:rFonts w:ascii="Times New Roman" w:hAnsi="Times New Roman"/>
          <w:lang w:val="lt-LT"/>
        </w:rPr>
      </w:pPr>
      <w:bookmarkStart w:id="37" w:name="_Toc312047643"/>
      <w:bookmarkStart w:id="38" w:name="_Toc165971249"/>
      <w:r w:rsidRPr="000B544A">
        <w:rPr>
          <w:rFonts w:ascii="Times New Roman" w:hAnsi="Times New Roman"/>
          <w:lang w:val="lt-LT"/>
        </w:rPr>
        <w:t>2</w:t>
      </w:r>
      <w:r w:rsidR="00252F1D" w:rsidRPr="000B544A">
        <w:rPr>
          <w:rFonts w:ascii="Times New Roman" w:hAnsi="Times New Roman"/>
          <w:lang w:val="lt-LT"/>
        </w:rPr>
        <w:t>.2</w:t>
      </w:r>
      <w:r w:rsidR="0010532D" w:rsidRPr="000B544A">
        <w:rPr>
          <w:rFonts w:ascii="Times New Roman" w:hAnsi="Times New Roman"/>
          <w:lang w:val="lt-LT"/>
        </w:rPr>
        <w:t>.2</w:t>
      </w:r>
      <w:r w:rsidR="00252F1D" w:rsidRPr="000B544A">
        <w:rPr>
          <w:rFonts w:ascii="Times New Roman" w:hAnsi="Times New Roman"/>
          <w:lang w:val="lt-LT"/>
        </w:rPr>
        <w:t xml:space="preserve"> </w:t>
      </w:r>
      <w:r w:rsidR="008E7C0F" w:rsidRPr="000B544A">
        <w:rPr>
          <w:rFonts w:ascii="Times New Roman" w:hAnsi="Times New Roman"/>
          <w:lang w:val="lt-LT"/>
        </w:rPr>
        <w:t>MACD - s</w:t>
      </w:r>
      <w:r w:rsidR="00252F1D" w:rsidRPr="000B544A">
        <w:rPr>
          <w:rFonts w:ascii="Times New Roman" w:hAnsi="Times New Roman"/>
          <w:lang w:val="lt-LT"/>
        </w:rPr>
        <w:t>lankiųjų vidurkių konvergencija-divergencija</w:t>
      </w:r>
      <w:bookmarkEnd w:id="37"/>
      <w:r w:rsidR="00252F1D" w:rsidRPr="000B544A">
        <w:rPr>
          <w:rFonts w:ascii="Times New Roman" w:hAnsi="Times New Roman"/>
          <w:lang w:val="lt-LT"/>
        </w:rPr>
        <w:t xml:space="preserve"> </w:t>
      </w:r>
      <w:bookmarkEnd w:id="38"/>
    </w:p>
    <w:p w:rsidR="00252F1D" w:rsidRPr="000B544A" w:rsidRDefault="00252F1D" w:rsidP="006566A3">
      <w:pPr>
        <w:spacing w:after="0" w:line="360" w:lineRule="auto"/>
        <w:ind w:firstLine="567"/>
        <w:jc w:val="both"/>
        <w:rPr>
          <w:rFonts w:ascii="Times New Roman" w:hAnsi="Times New Roman"/>
          <w:lang w:val="lt-LT"/>
        </w:rPr>
      </w:pPr>
      <w:r w:rsidRPr="000B544A">
        <w:rPr>
          <w:rFonts w:ascii="Times New Roman" w:hAnsi="Times New Roman"/>
          <w:lang w:val="lt-LT"/>
        </w:rPr>
        <w:t>Slankiojo vidurkio konvergencijos-divergencijos indikatorius – MACD – yra populiarus metodas padedantis nustatyti tiek apsisukimo galimybę, tiek patvirtinantis kryptį. Gerald Appel sukūrė šį metodą, kuris yra sekantis rinkos kryptį ir momentinis indikatorius (osciliatorius</w:t>
      </w:r>
      <w:r w:rsidR="0020082D">
        <w:rPr>
          <w:rFonts w:ascii="Times New Roman" w:hAnsi="Times New Roman"/>
          <w:lang w:val="lt-LT"/>
        </w:rPr>
        <w:t>) viename. Jis sujungė dviejų eks</w:t>
      </w:r>
      <w:r w:rsidRPr="000B544A">
        <w:rPr>
          <w:rFonts w:ascii="Times New Roman" w:hAnsi="Times New Roman"/>
          <w:lang w:val="lt-LT"/>
        </w:rPr>
        <w:t xml:space="preserve">ponentinių slankiųjų vidurkių generuojamus signalus. Vienas slankusis vidurkis yra greitas, t.y. trumpo periodo, o kitas yra lėtas, ilgo periodo. Pavadinimas – slankiųjų vidurkių konvergencija ir divergencija kilo iš slankiųjų vidurkių skirtumo. Greitasis slankusis vidurkis nuolat konverguoja link </w:t>
      </w:r>
      <w:r w:rsidRPr="000B544A">
        <w:rPr>
          <w:rFonts w:ascii="Times New Roman" w:hAnsi="Times New Roman"/>
          <w:lang w:val="lt-LT"/>
        </w:rPr>
        <w:lastRenderedPageBreak/>
        <w:t xml:space="preserve">lėto slankiojo vidurkio arba diverguoja nuo lėtojo slankiojo vidurkio. Trečiasis eksponentinis slankusis vidurkis yra vadinamas signaline linija ir piešiamas ant </w:t>
      </w:r>
      <w:r w:rsidR="0020082D">
        <w:rPr>
          <w:rFonts w:ascii="Times New Roman" w:hAnsi="Times New Roman"/>
          <w:lang w:val="lt-LT"/>
        </w:rPr>
        <w:t xml:space="preserve">to paties </w:t>
      </w:r>
      <w:r w:rsidR="008600B2" w:rsidRPr="000B544A">
        <w:rPr>
          <w:rFonts w:ascii="Times New Roman" w:hAnsi="Times New Roman"/>
          <w:lang w:val="lt-LT"/>
        </w:rPr>
        <w:t>MACD indikatoriaus grafiko [12]</w:t>
      </w:r>
      <w:r w:rsidRPr="000B544A">
        <w:rPr>
          <w:rFonts w:ascii="Times New Roman" w:hAnsi="Times New Roman"/>
          <w:lang w:val="lt-LT"/>
        </w:rPr>
        <w:t>.</w:t>
      </w:r>
    </w:p>
    <w:p w:rsidR="00252F1D" w:rsidRPr="000B544A" w:rsidRDefault="00252F1D" w:rsidP="006566A3">
      <w:pPr>
        <w:spacing w:after="0" w:line="360" w:lineRule="auto"/>
        <w:ind w:firstLine="567"/>
        <w:jc w:val="both"/>
        <w:rPr>
          <w:rFonts w:ascii="Times New Roman" w:hAnsi="Times New Roman"/>
          <w:lang w:val="lt-LT"/>
        </w:rPr>
      </w:pPr>
      <w:r w:rsidRPr="000B544A">
        <w:rPr>
          <w:rFonts w:ascii="Times New Roman" w:hAnsi="Times New Roman"/>
          <w:lang w:val="lt-LT"/>
        </w:rPr>
        <w:t>MACD metode grafiškai matomos dvi linijos, kurios generuoja signalus. Iš tikrųjų indikatoriaus skaičiavimuose naudojamos trys linijos. “Greitoji” linija (kitaip vadinama MACD linija) yra skirtumas tarp dviejų eksponentinių slankiųjų vidurkių (skaičiuojamų pagal uždarymo kainą), paprastai naudojami populiariausi parametrai – 12 ir 26. Lėtesnė linija (dar vadinama signaline linija) yra MACD linijos 9 periodų eksponentinis slankusis vidurkis</w:t>
      </w:r>
      <w:r w:rsidR="008600B2" w:rsidRPr="000B544A">
        <w:rPr>
          <w:rFonts w:ascii="Times New Roman" w:hAnsi="Times New Roman"/>
          <w:lang w:val="lt-LT"/>
        </w:rPr>
        <w:t xml:space="preserve"> [13].</w:t>
      </w:r>
    </w:p>
    <w:p w:rsidR="00252F1D" w:rsidRPr="000B544A" w:rsidRDefault="00252F1D" w:rsidP="006566A3">
      <w:pPr>
        <w:spacing w:after="0" w:line="360" w:lineRule="auto"/>
        <w:ind w:firstLine="567"/>
        <w:jc w:val="both"/>
        <w:rPr>
          <w:rFonts w:ascii="Times New Roman" w:hAnsi="Times New Roman"/>
          <w:lang w:val="lt-LT"/>
        </w:rPr>
      </w:pPr>
      <w:r w:rsidRPr="000B544A">
        <w:rPr>
          <w:rFonts w:ascii="Times New Roman" w:hAnsi="Times New Roman"/>
          <w:lang w:val="lt-LT"/>
        </w:rPr>
        <w:t>MACD indikatoriaus interpretavimas yra nesudėtingas, panašus į kitų kryptį sekančių indikatorių interpretavimą. Vienai kreivei kertant kitą</w:t>
      </w:r>
      <w:r w:rsidR="00364D40" w:rsidRPr="000B544A">
        <w:rPr>
          <w:rFonts w:ascii="Times New Roman" w:hAnsi="Times New Roman"/>
          <w:lang w:val="lt-LT"/>
        </w:rPr>
        <w:t>,</w:t>
      </w:r>
      <w:r w:rsidRPr="000B544A">
        <w:rPr>
          <w:rFonts w:ascii="Times New Roman" w:hAnsi="Times New Roman"/>
          <w:lang w:val="lt-LT"/>
        </w:rPr>
        <w:t xml:space="preserve"> gaunamas signalas pirkti arba parduoti. Signalinei kreivei kertant MACD kreivę</w:t>
      </w:r>
      <w:r w:rsidR="00364D40" w:rsidRPr="000B544A">
        <w:rPr>
          <w:rFonts w:ascii="Times New Roman" w:hAnsi="Times New Roman"/>
          <w:lang w:val="lt-LT"/>
        </w:rPr>
        <w:t>,</w:t>
      </w:r>
      <w:r w:rsidRPr="000B544A">
        <w:rPr>
          <w:rFonts w:ascii="Times New Roman" w:hAnsi="Times New Roman"/>
          <w:lang w:val="lt-LT"/>
        </w:rPr>
        <w:t xml:space="preserve"> iš viršaus gaunamas pirkimo signalas. Signalinei kreivei kertant MACD kreivę</w:t>
      </w:r>
      <w:r w:rsidR="00364D40" w:rsidRPr="000B544A">
        <w:rPr>
          <w:rFonts w:ascii="Times New Roman" w:hAnsi="Times New Roman"/>
          <w:lang w:val="lt-LT"/>
        </w:rPr>
        <w:t>,</w:t>
      </w:r>
      <w:r w:rsidRPr="000B544A">
        <w:rPr>
          <w:rFonts w:ascii="Times New Roman" w:hAnsi="Times New Roman"/>
          <w:lang w:val="lt-LT"/>
        </w:rPr>
        <w:t xml:space="preserve"> iš apačios gaunamas pardavimo signalas. Taip pat dar yra stebima, aukščiau ar žemiau “</w:t>
      </w:r>
      <w:r w:rsidR="00364D40" w:rsidRPr="000B544A">
        <w:rPr>
          <w:rFonts w:ascii="Times New Roman" w:hAnsi="Times New Roman"/>
          <w:lang w:val="lt-LT"/>
        </w:rPr>
        <w:t>nulinės” linijos yra MACD kreivė</w:t>
      </w:r>
      <w:r w:rsidRPr="000B544A">
        <w:rPr>
          <w:rFonts w:ascii="Times New Roman" w:hAnsi="Times New Roman"/>
          <w:lang w:val="lt-LT"/>
        </w:rPr>
        <w:t>. Čia šis metodas pradeda veikti kaip osciliatorius. Perpirkta rinka laikoma tada, kai abi kreivės yra ženkliai pakilusios virš “nulinės” linijos. Paprastai naudojama “</w:t>
      </w:r>
      <w:smartTag w:uri="urn:schemas-microsoft-com:office:smarttags" w:element="metricconverter">
        <w:smartTagPr>
          <w:attr w:name="ProductID" w:val="70”"/>
        </w:smartTagPr>
        <w:r w:rsidRPr="000B544A">
          <w:rPr>
            <w:rFonts w:ascii="Times New Roman" w:hAnsi="Times New Roman"/>
            <w:lang w:val="lt-LT"/>
          </w:rPr>
          <w:t>70”</w:t>
        </w:r>
      </w:smartTag>
      <w:r w:rsidRPr="000B544A">
        <w:rPr>
          <w:rFonts w:ascii="Times New Roman" w:hAnsi="Times New Roman"/>
          <w:lang w:val="lt-LT"/>
        </w:rPr>
        <w:t xml:space="preserve"> reikšmė. Geriausi pirkimo signalai gaunami, kai kreivės yra žemiau “nulinės” linijos, dažniausiai naudojama “</w:t>
      </w:r>
      <w:smartTag w:uri="urn:schemas-microsoft-com:office:smarttags" w:element="metricconverter">
        <w:smartTagPr>
          <w:attr w:name="ProductID" w:val="30”"/>
        </w:smartTagPr>
        <w:r w:rsidRPr="000B544A">
          <w:rPr>
            <w:rFonts w:ascii="Times New Roman" w:hAnsi="Times New Roman"/>
            <w:lang w:val="lt-LT"/>
          </w:rPr>
          <w:t>30”</w:t>
        </w:r>
      </w:smartTag>
      <w:r w:rsidRPr="000B544A">
        <w:rPr>
          <w:rFonts w:ascii="Times New Roman" w:hAnsi="Times New Roman"/>
          <w:lang w:val="lt-LT"/>
        </w:rPr>
        <w:t xml:space="preserve"> riba. </w:t>
      </w:r>
    </w:p>
    <w:p w:rsidR="00252F1D" w:rsidRPr="000B544A" w:rsidRDefault="00252F1D" w:rsidP="006566A3">
      <w:pPr>
        <w:spacing w:after="0" w:line="360" w:lineRule="auto"/>
        <w:ind w:firstLine="567"/>
        <w:jc w:val="both"/>
        <w:rPr>
          <w:rFonts w:ascii="Times New Roman" w:hAnsi="Times New Roman"/>
          <w:lang w:val="lt-LT"/>
        </w:rPr>
      </w:pPr>
      <w:r w:rsidRPr="000B544A">
        <w:rPr>
          <w:rFonts w:ascii="Times New Roman" w:hAnsi="Times New Roman"/>
          <w:lang w:val="lt-LT"/>
        </w:rPr>
        <w:t>Terence Tai-Leung Chong ir Wing-Kam Ng (</w:t>
      </w:r>
      <w:smartTag w:uri="urn:schemas-microsoft-com:office:smarttags" w:element="metricconverter">
        <w:smartTagPr>
          <w:attr w:name="ProductID" w:val="2008 m"/>
        </w:smartTagPr>
        <w:r w:rsidRPr="000B544A">
          <w:rPr>
            <w:rFonts w:ascii="Times New Roman" w:hAnsi="Times New Roman"/>
            <w:lang w:val="lt-LT"/>
          </w:rPr>
          <w:t>2008 m</w:t>
        </w:r>
      </w:smartTag>
      <w:r w:rsidRPr="000B544A">
        <w:rPr>
          <w:rFonts w:ascii="Times New Roman" w:hAnsi="Times New Roman"/>
          <w:lang w:val="lt-LT"/>
        </w:rPr>
        <w:t>.) savo tyrime panaudojo MACD metodą. Buvo tiriami 60-ties metų Londono akcijų biržos FT30 indekso duomenys ir nustatyta, kad vadovaujantis MACD metodu galima gauti geresnius rezultatus, nei laikantis “pirk ir laikyk” strategijos</w:t>
      </w:r>
      <w:r w:rsidR="008600B2" w:rsidRPr="000B544A">
        <w:rPr>
          <w:rFonts w:ascii="Times New Roman" w:hAnsi="Times New Roman"/>
          <w:lang w:val="lt-LT"/>
        </w:rPr>
        <w:t>[2]</w:t>
      </w:r>
      <w:r w:rsidRPr="000B544A">
        <w:rPr>
          <w:rFonts w:ascii="Times New Roman" w:hAnsi="Times New Roman"/>
          <w:lang w:val="lt-LT"/>
        </w:rPr>
        <w:t>. Dejan Eric ir kt. (</w:t>
      </w:r>
      <w:smartTag w:uri="urn:schemas-microsoft-com:office:smarttags" w:element="metricconverter">
        <w:smartTagPr>
          <w:attr w:name="ProductID" w:val="2009 m"/>
        </w:smartTagPr>
        <w:r w:rsidRPr="000B544A">
          <w:rPr>
            <w:rFonts w:ascii="Times New Roman" w:hAnsi="Times New Roman"/>
            <w:lang w:val="lt-LT"/>
          </w:rPr>
          <w:t>2009 m</w:t>
        </w:r>
      </w:smartTag>
      <w:r w:rsidRPr="000B544A">
        <w:rPr>
          <w:rFonts w:ascii="Times New Roman" w:hAnsi="Times New Roman"/>
          <w:lang w:val="lt-LT"/>
        </w:rPr>
        <w:t>.) taip pat tyrė MACD metodą Belgrado akcijų rinkoje. Šis tyrimas nustatė, kad MACD indikatorius yra naudingas optimizuojant investavimo strategiją finansų rinkoje</w:t>
      </w:r>
      <w:r w:rsidR="008600B2" w:rsidRPr="000B544A">
        <w:rPr>
          <w:rFonts w:ascii="Times New Roman" w:hAnsi="Times New Roman"/>
          <w:lang w:val="lt-LT"/>
        </w:rPr>
        <w:t>[3]</w:t>
      </w:r>
      <w:r w:rsidRPr="000B544A">
        <w:rPr>
          <w:rFonts w:ascii="Times New Roman" w:hAnsi="Times New Roman"/>
          <w:lang w:val="lt-LT"/>
        </w:rPr>
        <w:t>. Iš tyrimo rezultatų galima spręsti, kad šis metodas yra efektyvi priemonė formuojant investicijas finansų rinkose pereinamojo laikotarpio šalyse. Strategijos paremtos šiuo metodu duoda pelningesnius rezultatus, nei “pirk ir laikyk” strategijos. Tyrimo metu buvo prieita išvados, kad nėra universalių MACD indikatoriaus parametrų, todėl kiekvienai rinkai, kiekvienai akcijai reikia pritaikyti jai geriausiai tinkančius.</w:t>
      </w:r>
    </w:p>
    <w:p w:rsidR="003F47EB" w:rsidRPr="000B544A" w:rsidRDefault="003F47EB" w:rsidP="006566A3">
      <w:pPr>
        <w:spacing w:after="0" w:line="360" w:lineRule="auto"/>
        <w:ind w:firstLine="567"/>
        <w:jc w:val="both"/>
        <w:rPr>
          <w:rFonts w:ascii="Times New Roman" w:hAnsi="Times New Roman"/>
          <w:lang w:val="lt-LT"/>
        </w:rPr>
      </w:pPr>
      <w:r w:rsidRPr="000B544A">
        <w:rPr>
          <w:rFonts w:ascii="Times New Roman" w:hAnsi="Times New Roman"/>
          <w:lang w:val="lt-LT"/>
        </w:rPr>
        <w:t>Pritaikydamas MACD indikatorių Baltijos šalių akcijų rinkos likvidžiausioms akcijoms suradau geriausius parametrus šiam indikatoriui. Geriausi parametrai gauti</w:t>
      </w:r>
      <w:r w:rsidR="00364D40" w:rsidRPr="000B544A">
        <w:rPr>
          <w:rFonts w:ascii="Times New Roman" w:hAnsi="Times New Roman"/>
          <w:lang w:val="lt-LT"/>
        </w:rPr>
        <w:t>,</w:t>
      </w:r>
      <w:r w:rsidRPr="000B544A">
        <w:rPr>
          <w:rFonts w:ascii="Times New Roman" w:hAnsi="Times New Roman"/>
          <w:lang w:val="lt-LT"/>
        </w:rPr>
        <w:t xml:space="preserve"> panaudojus Microsoft Excel programos „Solver“ funkciją</w:t>
      </w:r>
      <w:r w:rsidR="00364D40" w:rsidRPr="000B544A">
        <w:rPr>
          <w:rFonts w:ascii="Times New Roman" w:hAnsi="Times New Roman"/>
          <w:lang w:val="lt-LT"/>
        </w:rPr>
        <w:t>,</w:t>
      </w:r>
      <w:r w:rsidRPr="000B544A">
        <w:rPr>
          <w:rFonts w:ascii="Times New Roman" w:hAnsi="Times New Roman"/>
          <w:lang w:val="lt-LT"/>
        </w:rPr>
        <w:t xml:space="preserve"> sutapo su šio indikatoriaus kūrėjo siūlytais: 12,26 ir 9. Su šiais parametrais gauti tokie rezultatai: </w:t>
      </w:r>
    </w:p>
    <w:p w:rsidR="00AB50DF" w:rsidRPr="000B544A" w:rsidRDefault="00AB50DF" w:rsidP="006566A3">
      <w:pPr>
        <w:spacing w:after="0" w:line="360" w:lineRule="auto"/>
        <w:ind w:firstLine="567"/>
        <w:jc w:val="both"/>
        <w:rPr>
          <w:rFonts w:ascii="Times New Roman" w:hAnsi="Times New Roman"/>
          <w:lang w:val="lt-LT"/>
        </w:rPr>
      </w:pPr>
    </w:p>
    <w:p w:rsidR="00AB50DF" w:rsidRPr="000B544A" w:rsidRDefault="00AB50DF" w:rsidP="006566A3">
      <w:pPr>
        <w:spacing w:after="0" w:line="360" w:lineRule="auto"/>
        <w:ind w:firstLine="567"/>
        <w:jc w:val="both"/>
        <w:rPr>
          <w:rFonts w:ascii="Times New Roman" w:hAnsi="Times New Roman"/>
          <w:lang w:val="lt-LT"/>
        </w:rPr>
      </w:pPr>
    </w:p>
    <w:p w:rsidR="00AB50DF" w:rsidRPr="000B544A" w:rsidRDefault="00AB50DF" w:rsidP="006566A3">
      <w:pPr>
        <w:spacing w:after="0" w:line="360" w:lineRule="auto"/>
        <w:ind w:firstLine="567"/>
        <w:jc w:val="both"/>
        <w:rPr>
          <w:rFonts w:ascii="Times New Roman" w:hAnsi="Times New Roman"/>
          <w:lang w:val="lt-LT"/>
        </w:rPr>
      </w:pPr>
    </w:p>
    <w:p w:rsidR="00AB50DF" w:rsidRPr="000B544A" w:rsidRDefault="00AB50DF" w:rsidP="006566A3">
      <w:pPr>
        <w:spacing w:after="0" w:line="360" w:lineRule="auto"/>
        <w:ind w:firstLine="567"/>
        <w:jc w:val="both"/>
        <w:rPr>
          <w:rFonts w:ascii="Times New Roman" w:hAnsi="Times New Roman"/>
          <w:lang w:val="lt-LT"/>
        </w:rPr>
      </w:pPr>
    </w:p>
    <w:p w:rsidR="00AB50DF" w:rsidRPr="000B544A" w:rsidRDefault="00AB50DF" w:rsidP="006566A3">
      <w:pPr>
        <w:spacing w:after="0" w:line="360" w:lineRule="auto"/>
        <w:ind w:firstLine="567"/>
        <w:jc w:val="both"/>
        <w:rPr>
          <w:rFonts w:ascii="Times New Roman" w:hAnsi="Times New Roman"/>
          <w:lang w:val="lt-LT"/>
        </w:rPr>
      </w:pPr>
    </w:p>
    <w:p w:rsidR="00AB50DF" w:rsidRPr="000B544A" w:rsidRDefault="00AB50DF" w:rsidP="006566A3">
      <w:pPr>
        <w:spacing w:after="0" w:line="360" w:lineRule="auto"/>
        <w:ind w:firstLine="567"/>
        <w:jc w:val="both"/>
        <w:rPr>
          <w:rFonts w:ascii="Times New Roman" w:hAnsi="Times New Roman"/>
          <w:lang w:val="lt-LT"/>
        </w:rPr>
      </w:pPr>
    </w:p>
    <w:p w:rsidR="00F54846" w:rsidRPr="000B544A" w:rsidRDefault="00F54846" w:rsidP="00F54846">
      <w:pPr>
        <w:pStyle w:val="Caption"/>
        <w:keepNext/>
        <w:jc w:val="center"/>
        <w:rPr>
          <w:rFonts w:ascii="Times New Roman" w:hAnsi="Times New Roman"/>
          <w:b w:val="0"/>
          <w:lang w:val="lt-LT"/>
        </w:rPr>
      </w:pPr>
      <w:r w:rsidRPr="000B544A">
        <w:rPr>
          <w:rFonts w:ascii="Times New Roman" w:hAnsi="Times New Roman"/>
          <w:b w:val="0"/>
          <w:lang w:val="lt-LT"/>
        </w:rPr>
        <w:lastRenderedPageBreak/>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39" w:name="_Toc311718672"/>
      <w:r w:rsidR="00C53DDD">
        <w:rPr>
          <w:rFonts w:ascii="Times New Roman" w:hAnsi="Times New Roman"/>
          <w:b w:val="0"/>
          <w:noProof/>
          <w:lang w:val="lt-LT"/>
        </w:rPr>
        <w:t>6</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 </w:t>
      </w:r>
      <w:r w:rsidRPr="000B544A">
        <w:rPr>
          <w:rFonts w:ascii="Times New Roman" w:hAnsi="Times New Roman"/>
          <w:lang w:val="lt-LT"/>
        </w:rPr>
        <w:t>MACD indikatoriaus rezultatai</w:t>
      </w:r>
      <w:bookmarkEnd w:id="39"/>
    </w:p>
    <w:tbl>
      <w:tblPr>
        <w:tblW w:w="7237" w:type="dxa"/>
        <w:jc w:val="center"/>
        <w:tblInd w:w="2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0"/>
        <w:gridCol w:w="2867"/>
        <w:gridCol w:w="1960"/>
        <w:gridCol w:w="1880"/>
      </w:tblGrid>
      <w:tr w:rsidR="0000093B" w:rsidRPr="000B544A" w:rsidTr="00520F7B">
        <w:trPr>
          <w:trHeight w:val="255"/>
          <w:jc w:val="center"/>
        </w:trPr>
        <w:tc>
          <w:tcPr>
            <w:tcW w:w="530" w:type="dxa"/>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Nr.</w:t>
            </w:r>
          </w:p>
        </w:tc>
        <w:tc>
          <w:tcPr>
            <w:tcW w:w="2867"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p>
        </w:tc>
        <w:tc>
          <w:tcPr>
            <w:tcW w:w="196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Pirkimas</w:t>
            </w:r>
          </w:p>
        </w:tc>
        <w:tc>
          <w:tcPr>
            <w:tcW w:w="188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Pardavimas</w:t>
            </w:r>
          </w:p>
        </w:tc>
      </w:tr>
      <w:tr w:rsidR="0000093B" w:rsidRPr="000B544A" w:rsidTr="00520F7B">
        <w:trPr>
          <w:trHeight w:val="300"/>
          <w:jc w:val="center"/>
        </w:trPr>
        <w:tc>
          <w:tcPr>
            <w:tcW w:w="530" w:type="dxa"/>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w:t>
            </w:r>
          </w:p>
        </w:tc>
        <w:tc>
          <w:tcPr>
            <w:tcW w:w="2867" w:type="dxa"/>
            <w:shd w:val="clear" w:color="auto" w:fill="auto"/>
            <w:noWrap/>
            <w:vAlign w:val="center"/>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Apranga</w:t>
            </w:r>
          </w:p>
        </w:tc>
        <w:tc>
          <w:tcPr>
            <w:tcW w:w="196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35,59%</w:t>
            </w:r>
          </w:p>
        </w:tc>
        <w:tc>
          <w:tcPr>
            <w:tcW w:w="188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-18,56%</w:t>
            </w:r>
          </w:p>
        </w:tc>
      </w:tr>
      <w:tr w:rsidR="0000093B" w:rsidRPr="000B544A" w:rsidTr="00520F7B">
        <w:trPr>
          <w:trHeight w:val="300"/>
          <w:jc w:val="center"/>
        </w:trPr>
        <w:tc>
          <w:tcPr>
            <w:tcW w:w="530" w:type="dxa"/>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w:t>
            </w:r>
          </w:p>
        </w:tc>
        <w:tc>
          <w:tcPr>
            <w:tcW w:w="2867" w:type="dxa"/>
            <w:shd w:val="clear" w:color="auto" w:fill="auto"/>
            <w:noWrap/>
            <w:vAlign w:val="center"/>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Linas Agro Group</w:t>
            </w:r>
          </w:p>
        </w:tc>
        <w:tc>
          <w:tcPr>
            <w:tcW w:w="196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-5,81%</w:t>
            </w:r>
          </w:p>
        </w:tc>
        <w:tc>
          <w:tcPr>
            <w:tcW w:w="188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8,91%</w:t>
            </w:r>
          </w:p>
        </w:tc>
      </w:tr>
      <w:tr w:rsidR="0000093B" w:rsidRPr="000B544A" w:rsidTr="00520F7B">
        <w:trPr>
          <w:trHeight w:val="300"/>
          <w:jc w:val="center"/>
        </w:trPr>
        <w:tc>
          <w:tcPr>
            <w:tcW w:w="530" w:type="dxa"/>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w:t>
            </w:r>
          </w:p>
        </w:tc>
        <w:tc>
          <w:tcPr>
            <w:tcW w:w="2867" w:type="dxa"/>
            <w:shd w:val="clear" w:color="auto" w:fill="auto"/>
            <w:noWrap/>
            <w:vAlign w:val="center"/>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Nordecon AS</w:t>
            </w:r>
          </w:p>
        </w:tc>
        <w:tc>
          <w:tcPr>
            <w:tcW w:w="196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-18,68%</w:t>
            </w:r>
          </w:p>
        </w:tc>
        <w:tc>
          <w:tcPr>
            <w:tcW w:w="188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21,50%</w:t>
            </w:r>
          </w:p>
        </w:tc>
      </w:tr>
      <w:tr w:rsidR="0000093B" w:rsidRPr="000B544A" w:rsidTr="00520F7B">
        <w:trPr>
          <w:trHeight w:val="300"/>
          <w:jc w:val="center"/>
        </w:trPr>
        <w:tc>
          <w:tcPr>
            <w:tcW w:w="530" w:type="dxa"/>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4</w:t>
            </w:r>
          </w:p>
        </w:tc>
        <w:tc>
          <w:tcPr>
            <w:tcW w:w="2867" w:type="dxa"/>
            <w:shd w:val="clear" w:color="auto" w:fill="auto"/>
            <w:noWrap/>
            <w:vAlign w:val="center"/>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Olympic Entertainment Group</w:t>
            </w:r>
          </w:p>
        </w:tc>
        <w:tc>
          <w:tcPr>
            <w:tcW w:w="196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-7,67%</w:t>
            </w:r>
          </w:p>
        </w:tc>
        <w:tc>
          <w:tcPr>
            <w:tcW w:w="188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-17,93%</w:t>
            </w:r>
          </w:p>
        </w:tc>
      </w:tr>
      <w:tr w:rsidR="0000093B" w:rsidRPr="000B544A" w:rsidTr="00520F7B">
        <w:trPr>
          <w:trHeight w:val="300"/>
          <w:jc w:val="center"/>
        </w:trPr>
        <w:tc>
          <w:tcPr>
            <w:tcW w:w="530" w:type="dxa"/>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w:t>
            </w:r>
          </w:p>
        </w:tc>
        <w:tc>
          <w:tcPr>
            <w:tcW w:w="2867" w:type="dxa"/>
            <w:shd w:val="clear" w:color="auto" w:fill="auto"/>
            <w:noWrap/>
            <w:vAlign w:val="center"/>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Panevėžio statybos trestas</w:t>
            </w:r>
          </w:p>
        </w:tc>
        <w:tc>
          <w:tcPr>
            <w:tcW w:w="196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29,92%</w:t>
            </w:r>
          </w:p>
        </w:tc>
        <w:tc>
          <w:tcPr>
            <w:tcW w:w="188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-11,37%</w:t>
            </w:r>
          </w:p>
        </w:tc>
      </w:tr>
      <w:tr w:rsidR="0000093B" w:rsidRPr="000B544A" w:rsidTr="00520F7B">
        <w:trPr>
          <w:trHeight w:val="300"/>
          <w:jc w:val="center"/>
        </w:trPr>
        <w:tc>
          <w:tcPr>
            <w:tcW w:w="530" w:type="dxa"/>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6</w:t>
            </w:r>
          </w:p>
        </w:tc>
        <w:tc>
          <w:tcPr>
            <w:tcW w:w="2867" w:type="dxa"/>
            <w:shd w:val="clear" w:color="auto" w:fill="auto"/>
            <w:noWrap/>
            <w:vAlign w:val="center"/>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Tallink Grupp</w:t>
            </w:r>
          </w:p>
        </w:tc>
        <w:tc>
          <w:tcPr>
            <w:tcW w:w="196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10,73%</w:t>
            </w:r>
          </w:p>
        </w:tc>
        <w:tc>
          <w:tcPr>
            <w:tcW w:w="188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-11,27%</w:t>
            </w:r>
          </w:p>
        </w:tc>
      </w:tr>
      <w:tr w:rsidR="0000093B" w:rsidRPr="000B544A" w:rsidTr="00520F7B">
        <w:trPr>
          <w:trHeight w:val="300"/>
          <w:jc w:val="center"/>
        </w:trPr>
        <w:tc>
          <w:tcPr>
            <w:tcW w:w="530" w:type="dxa"/>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7</w:t>
            </w:r>
          </w:p>
        </w:tc>
        <w:tc>
          <w:tcPr>
            <w:tcW w:w="2867" w:type="dxa"/>
            <w:shd w:val="clear" w:color="auto" w:fill="auto"/>
            <w:noWrap/>
            <w:vAlign w:val="center"/>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TEO LT</w:t>
            </w:r>
          </w:p>
        </w:tc>
        <w:tc>
          <w:tcPr>
            <w:tcW w:w="196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9,58%</w:t>
            </w:r>
          </w:p>
        </w:tc>
        <w:tc>
          <w:tcPr>
            <w:tcW w:w="188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7,84%</w:t>
            </w:r>
          </w:p>
        </w:tc>
      </w:tr>
      <w:tr w:rsidR="0000093B" w:rsidRPr="000B544A" w:rsidTr="00520F7B">
        <w:trPr>
          <w:trHeight w:val="300"/>
          <w:jc w:val="center"/>
        </w:trPr>
        <w:tc>
          <w:tcPr>
            <w:tcW w:w="530" w:type="dxa"/>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8</w:t>
            </w:r>
          </w:p>
        </w:tc>
        <w:tc>
          <w:tcPr>
            <w:tcW w:w="2867" w:type="dxa"/>
            <w:shd w:val="clear" w:color="auto" w:fill="auto"/>
            <w:noWrap/>
            <w:vAlign w:val="center"/>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Tallinna Kaubamaja</w:t>
            </w:r>
          </w:p>
        </w:tc>
        <w:tc>
          <w:tcPr>
            <w:tcW w:w="196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5,41%</w:t>
            </w:r>
          </w:p>
        </w:tc>
        <w:tc>
          <w:tcPr>
            <w:tcW w:w="188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-18,47%</w:t>
            </w:r>
          </w:p>
        </w:tc>
      </w:tr>
      <w:tr w:rsidR="0000093B" w:rsidRPr="000B544A" w:rsidTr="00520F7B">
        <w:trPr>
          <w:trHeight w:val="300"/>
          <w:jc w:val="center"/>
        </w:trPr>
        <w:tc>
          <w:tcPr>
            <w:tcW w:w="530" w:type="dxa"/>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9</w:t>
            </w:r>
          </w:p>
        </w:tc>
        <w:tc>
          <w:tcPr>
            <w:tcW w:w="2867" w:type="dxa"/>
            <w:shd w:val="clear" w:color="auto" w:fill="auto"/>
            <w:noWrap/>
            <w:vAlign w:val="center"/>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Tallinna Vesi</w:t>
            </w:r>
          </w:p>
        </w:tc>
        <w:tc>
          <w:tcPr>
            <w:tcW w:w="196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-0,21%</w:t>
            </w:r>
          </w:p>
        </w:tc>
        <w:tc>
          <w:tcPr>
            <w:tcW w:w="188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16,84%</w:t>
            </w:r>
          </w:p>
        </w:tc>
      </w:tr>
      <w:tr w:rsidR="0000093B" w:rsidRPr="000B544A" w:rsidTr="00520F7B">
        <w:trPr>
          <w:trHeight w:val="315"/>
          <w:jc w:val="center"/>
        </w:trPr>
        <w:tc>
          <w:tcPr>
            <w:tcW w:w="530" w:type="dxa"/>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10</w:t>
            </w:r>
          </w:p>
        </w:tc>
        <w:tc>
          <w:tcPr>
            <w:tcW w:w="2867" w:type="dxa"/>
            <w:shd w:val="clear" w:color="auto" w:fill="auto"/>
            <w:noWrap/>
            <w:vAlign w:val="center"/>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Ūkio bankas</w:t>
            </w:r>
          </w:p>
        </w:tc>
        <w:tc>
          <w:tcPr>
            <w:tcW w:w="196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-6,75%</w:t>
            </w:r>
          </w:p>
        </w:tc>
        <w:tc>
          <w:tcPr>
            <w:tcW w:w="188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-3,57%</w:t>
            </w:r>
          </w:p>
        </w:tc>
      </w:tr>
      <w:tr w:rsidR="0000093B" w:rsidRPr="000B544A" w:rsidTr="00520F7B">
        <w:trPr>
          <w:trHeight w:val="255"/>
          <w:jc w:val="center"/>
        </w:trPr>
        <w:tc>
          <w:tcPr>
            <w:tcW w:w="530" w:type="dxa"/>
          </w:tcPr>
          <w:p w:rsidR="0000093B" w:rsidRPr="000B544A" w:rsidRDefault="0000093B" w:rsidP="003F47EB">
            <w:pPr>
              <w:spacing w:after="0"/>
              <w:jc w:val="center"/>
              <w:rPr>
                <w:rFonts w:ascii="Times New Roman" w:hAnsi="Times New Roman"/>
                <w:sz w:val="22"/>
                <w:szCs w:val="22"/>
                <w:lang w:val="lt-LT" w:eastAsia="lt-LT"/>
              </w:rPr>
            </w:pPr>
          </w:p>
        </w:tc>
        <w:tc>
          <w:tcPr>
            <w:tcW w:w="2867"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Suma</w:t>
            </w:r>
          </w:p>
        </w:tc>
        <w:tc>
          <w:tcPr>
            <w:tcW w:w="196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52,10%</w:t>
            </w:r>
          </w:p>
        </w:tc>
        <w:tc>
          <w:tcPr>
            <w:tcW w:w="1880" w:type="dxa"/>
            <w:shd w:val="clear" w:color="auto" w:fill="auto"/>
            <w:noWrap/>
            <w:vAlign w:val="bottom"/>
          </w:tcPr>
          <w:p w:rsidR="0000093B" w:rsidRPr="000B544A" w:rsidRDefault="0000093B" w:rsidP="003F47E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-26,08%</w:t>
            </w:r>
          </w:p>
        </w:tc>
      </w:tr>
    </w:tbl>
    <w:p w:rsidR="003F47EB" w:rsidRPr="000B544A" w:rsidRDefault="00520F7B" w:rsidP="00520F7B">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252F1D" w:rsidRPr="000B544A" w:rsidRDefault="003F47EB" w:rsidP="006566A3">
      <w:pPr>
        <w:spacing w:after="0" w:line="360" w:lineRule="auto"/>
        <w:ind w:firstLine="567"/>
        <w:jc w:val="both"/>
        <w:rPr>
          <w:rFonts w:ascii="Times New Roman" w:hAnsi="Times New Roman"/>
          <w:lang w:val="lt-LT"/>
        </w:rPr>
      </w:pPr>
      <w:r w:rsidRPr="000B544A">
        <w:rPr>
          <w:rFonts w:ascii="Times New Roman" w:hAnsi="Times New Roman"/>
          <w:lang w:val="lt-LT"/>
        </w:rPr>
        <w:t xml:space="preserve">Lentelėje pateikti MACD indikatoriaus signalų rezultatai. Iš pateiktų rezultatų matome, kad </w:t>
      </w:r>
      <w:r w:rsidR="00512A6F" w:rsidRPr="000B544A">
        <w:rPr>
          <w:rFonts w:ascii="Times New Roman" w:hAnsi="Times New Roman"/>
          <w:lang w:val="lt-LT"/>
        </w:rPr>
        <w:t>per metus šis indikatorius rodė gerus signalus pirkimo sandoriams (52,10 proc.) ir blogus pardavimo sandoriams (-26,08 proc.).</w:t>
      </w:r>
    </w:p>
    <w:p w:rsidR="00252F1D" w:rsidRPr="000B544A" w:rsidRDefault="004B4AAE" w:rsidP="0010532D">
      <w:pPr>
        <w:pStyle w:val="Heading3"/>
        <w:spacing w:line="360" w:lineRule="auto"/>
        <w:rPr>
          <w:rFonts w:ascii="Times New Roman" w:hAnsi="Times New Roman"/>
          <w:lang w:val="lt-LT"/>
        </w:rPr>
      </w:pPr>
      <w:bookmarkStart w:id="40" w:name="_Toc165971250"/>
      <w:bookmarkStart w:id="41" w:name="_Toc312047644"/>
      <w:r w:rsidRPr="000B544A">
        <w:rPr>
          <w:rFonts w:ascii="Times New Roman" w:hAnsi="Times New Roman"/>
          <w:lang w:val="lt-LT"/>
        </w:rPr>
        <w:t>2</w:t>
      </w:r>
      <w:r w:rsidR="00252F1D" w:rsidRPr="000B544A">
        <w:rPr>
          <w:rFonts w:ascii="Times New Roman" w:hAnsi="Times New Roman"/>
          <w:lang w:val="lt-LT"/>
        </w:rPr>
        <w:t>.</w:t>
      </w:r>
      <w:r w:rsidR="0010532D" w:rsidRPr="000B544A">
        <w:rPr>
          <w:rFonts w:ascii="Times New Roman" w:hAnsi="Times New Roman"/>
          <w:lang w:val="lt-LT"/>
        </w:rPr>
        <w:t>2.3</w:t>
      </w:r>
      <w:r w:rsidR="00252F1D" w:rsidRPr="000B544A">
        <w:rPr>
          <w:rFonts w:ascii="Times New Roman" w:hAnsi="Times New Roman"/>
          <w:lang w:val="lt-LT"/>
        </w:rPr>
        <w:t xml:space="preserve"> </w:t>
      </w:r>
      <w:r w:rsidR="008E7C0F" w:rsidRPr="000B544A">
        <w:rPr>
          <w:rFonts w:ascii="Times New Roman" w:hAnsi="Times New Roman"/>
          <w:lang w:val="lt-LT"/>
        </w:rPr>
        <w:t>RSI - l</w:t>
      </w:r>
      <w:r w:rsidR="00252F1D" w:rsidRPr="000B544A">
        <w:rPr>
          <w:rFonts w:ascii="Times New Roman" w:hAnsi="Times New Roman"/>
          <w:lang w:val="lt-LT"/>
        </w:rPr>
        <w:t>yginamosios jėgos indeksas</w:t>
      </w:r>
      <w:bookmarkEnd w:id="40"/>
      <w:r w:rsidR="008E7C0F" w:rsidRPr="000B544A">
        <w:rPr>
          <w:rFonts w:ascii="Times New Roman" w:hAnsi="Times New Roman"/>
          <w:lang w:val="lt-LT"/>
        </w:rPr>
        <w:t>, impulso paieška</w:t>
      </w:r>
      <w:bookmarkEnd w:id="41"/>
    </w:p>
    <w:p w:rsidR="00252F1D" w:rsidRPr="000B544A" w:rsidRDefault="00252F1D" w:rsidP="00A8251C">
      <w:pPr>
        <w:spacing w:after="0" w:line="360" w:lineRule="auto"/>
        <w:ind w:firstLine="567"/>
        <w:jc w:val="both"/>
        <w:rPr>
          <w:rFonts w:ascii="Times New Roman" w:hAnsi="Times New Roman"/>
          <w:lang w:val="lt-LT"/>
        </w:rPr>
      </w:pPr>
      <w:r w:rsidRPr="000B544A">
        <w:rPr>
          <w:rFonts w:ascii="Times New Roman" w:hAnsi="Times New Roman"/>
          <w:lang w:val="lt-LT"/>
        </w:rPr>
        <w:t>RSI (angl. Relative Strenght Index) yra techninės analizės metodas, kuris vaizduojamas šalia grafiko ir svyruoja nuo 0 iki 100. Šis metodas naudojamas ieškant rinkos apsisukimo signalų. Kaip ir MACD metode, taip ir šiame</w:t>
      </w:r>
      <w:r w:rsidR="00364D40" w:rsidRPr="000B544A">
        <w:rPr>
          <w:rFonts w:ascii="Times New Roman" w:hAnsi="Times New Roman"/>
          <w:lang w:val="lt-LT"/>
        </w:rPr>
        <w:t>,</w:t>
      </w:r>
      <w:r w:rsidRPr="000B544A">
        <w:rPr>
          <w:rFonts w:ascii="Times New Roman" w:hAnsi="Times New Roman"/>
          <w:lang w:val="lt-LT"/>
        </w:rPr>
        <w:t xml:space="preserve"> dažnai naudojamos ribos – 30 ir 70. Kai RSI reikšmė nukrenta žemiau 30, rinka laikoma perparduota ir tai laikoma pirkimo signalu. Kai RSI reikšmė pakyla virš 70, rinka laikoma perpirkta ir tai yra pardavimo signalas. Šis metodas turi dar vieną svarbų lygį – 50. Šis lygis žymi vidurį, taip atskirdamas bulių ir meškų zonas. Kai RSI reikšmė yra didesnė už 50, tai laikoma, kad rinkoje vyrauja “buliai”, o kai RSI reikšmė nukrenta žemiau 50 ribos, rinkoje įsivyrauja “meškos". Šio metodo autorius J. Wilder</w:t>
      </w:r>
      <w:r w:rsidR="00364D40" w:rsidRPr="000B544A">
        <w:rPr>
          <w:rFonts w:ascii="Times New Roman" w:hAnsi="Times New Roman"/>
          <w:lang w:val="lt-LT"/>
        </w:rPr>
        <w:t>,</w:t>
      </w:r>
      <w:r w:rsidRPr="000B544A">
        <w:rPr>
          <w:rFonts w:ascii="Times New Roman" w:hAnsi="Times New Roman"/>
          <w:lang w:val="lt-LT"/>
        </w:rPr>
        <w:t xml:space="preserve"> sukūręs šį metodą</w:t>
      </w:r>
      <w:r w:rsidR="00364D40" w:rsidRPr="000B544A">
        <w:rPr>
          <w:rFonts w:ascii="Times New Roman" w:hAnsi="Times New Roman"/>
          <w:lang w:val="lt-LT"/>
        </w:rPr>
        <w:t>,</w:t>
      </w:r>
      <w:r w:rsidRPr="000B544A">
        <w:rPr>
          <w:rFonts w:ascii="Times New Roman" w:hAnsi="Times New Roman"/>
          <w:lang w:val="lt-LT"/>
        </w:rPr>
        <w:t xml:space="preserve"> siūlė naudoti 14 periodų žingsnį, bet investuotojai to laikosi ne visada ir dažnai naudoja 9 ar 25 periodų žingsnį, priklausomai nuo situacijos.</w:t>
      </w:r>
    </w:p>
    <w:p w:rsidR="00252F1D" w:rsidRPr="000B544A" w:rsidRDefault="00252F1D" w:rsidP="00A8251C">
      <w:pPr>
        <w:spacing w:after="0" w:line="360" w:lineRule="auto"/>
        <w:ind w:firstLine="567"/>
        <w:jc w:val="both"/>
        <w:rPr>
          <w:rFonts w:ascii="Times New Roman" w:hAnsi="Times New Roman"/>
          <w:lang w:val="lt-LT"/>
        </w:rPr>
      </w:pPr>
      <w:r w:rsidRPr="000B544A">
        <w:rPr>
          <w:rFonts w:ascii="Times New Roman" w:hAnsi="Times New Roman"/>
          <w:lang w:val="lt-LT"/>
        </w:rPr>
        <w:t>T. T. –L. Chong ir W. –K. Ng (</w:t>
      </w:r>
      <w:smartTag w:uri="urn:schemas-microsoft-com:office:smarttags" w:element="metricconverter">
        <w:smartTagPr>
          <w:attr w:name="ProductID" w:val="2008 m"/>
        </w:smartTagPr>
        <w:r w:rsidRPr="000B544A">
          <w:rPr>
            <w:rFonts w:ascii="Times New Roman" w:hAnsi="Times New Roman"/>
            <w:lang w:val="lt-LT"/>
          </w:rPr>
          <w:t>2008 m</w:t>
        </w:r>
      </w:smartTag>
      <w:r w:rsidRPr="000B544A">
        <w:rPr>
          <w:rFonts w:ascii="Times New Roman" w:hAnsi="Times New Roman"/>
          <w:lang w:val="lt-LT"/>
        </w:rPr>
        <w:t>.)</w:t>
      </w:r>
      <w:r w:rsidR="00364D40" w:rsidRPr="000B544A">
        <w:rPr>
          <w:rFonts w:ascii="Times New Roman" w:hAnsi="Times New Roman"/>
          <w:lang w:val="lt-LT"/>
        </w:rPr>
        <w:t>,</w:t>
      </w:r>
      <w:r w:rsidRPr="000B544A">
        <w:rPr>
          <w:rFonts w:ascii="Times New Roman" w:hAnsi="Times New Roman"/>
          <w:lang w:val="lt-LT"/>
        </w:rPr>
        <w:t xml:space="preserve"> tirdami Londono akcijų biržos indeksą FT30</w:t>
      </w:r>
      <w:r w:rsidR="00364D40" w:rsidRPr="000B544A">
        <w:rPr>
          <w:rFonts w:ascii="Times New Roman" w:hAnsi="Times New Roman"/>
          <w:lang w:val="lt-LT"/>
        </w:rPr>
        <w:t>,</w:t>
      </w:r>
      <w:r w:rsidRPr="000B544A">
        <w:rPr>
          <w:rFonts w:ascii="Times New Roman" w:hAnsi="Times New Roman"/>
          <w:lang w:val="lt-LT"/>
        </w:rPr>
        <w:t xml:space="preserve"> naudojo RSI metodą. Tyrime buvo naudojamas populiariausias 14 dienų RSI metodas. Pirkimo signalais buvo laikoma, kai RSI </w:t>
      </w:r>
      <w:r w:rsidR="0020082D" w:rsidRPr="000B544A">
        <w:rPr>
          <w:rFonts w:ascii="Times New Roman" w:hAnsi="Times New Roman"/>
          <w:lang w:val="lt-LT"/>
        </w:rPr>
        <w:t>reikšmė</w:t>
      </w:r>
      <w:r w:rsidRPr="000B544A">
        <w:rPr>
          <w:rFonts w:ascii="Times New Roman" w:hAnsi="Times New Roman"/>
          <w:lang w:val="lt-LT"/>
        </w:rPr>
        <w:t xml:space="preserve"> kirsdavo </w:t>
      </w:r>
      <w:r w:rsidR="0020082D" w:rsidRPr="000B544A">
        <w:rPr>
          <w:rFonts w:ascii="Times New Roman" w:hAnsi="Times New Roman"/>
          <w:lang w:val="lt-LT"/>
        </w:rPr>
        <w:t>centrinę</w:t>
      </w:r>
      <w:r w:rsidRPr="000B544A">
        <w:rPr>
          <w:rFonts w:ascii="Times New Roman" w:hAnsi="Times New Roman"/>
          <w:lang w:val="lt-LT"/>
        </w:rPr>
        <w:t xml:space="preserve"> ribą iš apačios, o pardavimo</w:t>
      </w:r>
      <w:r w:rsidR="00364D40" w:rsidRPr="000B544A">
        <w:rPr>
          <w:rFonts w:ascii="Times New Roman" w:hAnsi="Times New Roman"/>
          <w:lang w:val="lt-LT"/>
        </w:rPr>
        <w:t xml:space="preserve"> signalais buvo laikoma, kai RSI</w:t>
      </w:r>
      <w:r w:rsidRPr="000B544A">
        <w:rPr>
          <w:rFonts w:ascii="Times New Roman" w:hAnsi="Times New Roman"/>
          <w:lang w:val="lt-LT"/>
        </w:rPr>
        <w:t xml:space="preserve"> reikšmė kir</w:t>
      </w:r>
      <w:r w:rsidR="00364D40" w:rsidRPr="000B544A">
        <w:rPr>
          <w:rFonts w:ascii="Times New Roman" w:hAnsi="Times New Roman"/>
          <w:lang w:val="lt-LT"/>
        </w:rPr>
        <w:t>s</w:t>
      </w:r>
      <w:r w:rsidRPr="000B544A">
        <w:rPr>
          <w:rFonts w:ascii="Times New Roman" w:hAnsi="Times New Roman"/>
          <w:lang w:val="lt-LT"/>
        </w:rPr>
        <w:t>davo centrinę liniją iš viršaus.</w:t>
      </w:r>
    </w:p>
    <w:p w:rsidR="00252F1D" w:rsidRPr="000B544A" w:rsidRDefault="00252F1D" w:rsidP="00A8251C">
      <w:pPr>
        <w:spacing w:after="0" w:line="360" w:lineRule="auto"/>
        <w:ind w:firstLine="567"/>
        <w:jc w:val="both"/>
        <w:rPr>
          <w:rFonts w:ascii="Times New Roman" w:hAnsi="Times New Roman"/>
          <w:lang w:val="lt-LT"/>
        </w:rPr>
      </w:pPr>
      <w:r w:rsidRPr="000B544A">
        <w:rPr>
          <w:rFonts w:ascii="Times New Roman" w:hAnsi="Times New Roman"/>
          <w:lang w:val="lt-LT"/>
        </w:rPr>
        <w:t xml:space="preserve">Tyrimo rezultatai parodė, kad RSI metodas Londono akcijų biržoje naudojamam FT30 indeksui generuoja </w:t>
      </w:r>
      <w:r w:rsidR="006E1551" w:rsidRPr="000B544A">
        <w:rPr>
          <w:rFonts w:ascii="Times New Roman" w:hAnsi="Times New Roman"/>
          <w:lang w:val="lt-LT"/>
        </w:rPr>
        <w:t>vidutiniškai 4,9 pirkimo signalus ir 5.2 pardavimo signalus</w:t>
      </w:r>
      <w:r w:rsidRPr="000B544A">
        <w:rPr>
          <w:rFonts w:ascii="Times New Roman" w:hAnsi="Times New Roman"/>
          <w:lang w:val="lt-LT"/>
        </w:rPr>
        <w:t xml:space="preserve"> per metus. Padauginus šių signalų skaičių i</w:t>
      </w:r>
      <w:r w:rsidR="006E1551" w:rsidRPr="000B544A">
        <w:rPr>
          <w:rFonts w:ascii="Times New Roman" w:hAnsi="Times New Roman"/>
          <w:lang w:val="lt-LT"/>
        </w:rPr>
        <w:t>š</w:t>
      </w:r>
      <w:r w:rsidRPr="000B544A">
        <w:rPr>
          <w:rFonts w:ascii="Times New Roman" w:hAnsi="Times New Roman"/>
          <w:lang w:val="lt-LT"/>
        </w:rPr>
        <w:t xml:space="preserve"> tyrime surasto vidutinio signalų pelningumo</w:t>
      </w:r>
      <w:r w:rsidR="006E1551" w:rsidRPr="000B544A">
        <w:rPr>
          <w:rFonts w:ascii="Times New Roman" w:hAnsi="Times New Roman"/>
          <w:lang w:val="lt-LT"/>
        </w:rPr>
        <w:t>,</w:t>
      </w:r>
      <w:r w:rsidRPr="000B544A">
        <w:rPr>
          <w:rFonts w:ascii="Times New Roman" w:hAnsi="Times New Roman"/>
          <w:lang w:val="lt-LT"/>
        </w:rPr>
        <w:t xml:space="preserve"> gauta, kad</w:t>
      </w:r>
      <w:r w:rsidR="006E1551" w:rsidRPr="000B544A">
        <w:rPr>
          <w:rFonts w:ascii="Times New Roman" w:hAnsi="Times New Roman"/>
          <w:lang w:val="lt-LT"/>
        </w:rPr>
        <w:t>,</w:t>
      </w:r>
      <w:r w:rsidRPr="000B544A">
        <w:rPr>
          <w:rFonts w:ascii="Times New Roman" w:hAnsi="Times New Roman"/>
          <w:lang w:val="lt-LT"/>
        </w:rPr>
        <w:t xml:space="preserve"> naudojantis šiuo metodu ir pagal jį prekiaujant (įskaitant ir pardavimo angl. “short” pozicijas)</w:t>
      </w:r>
      <w:r w:rsidR="006E1551" w:rsidRPr="000B544A">
        <w:rPr>
          <w:rFonts w:ascii="Times New Roman" w:hAnsi="Times New Roman"/>
          <w:lang w:val="lt-LT"/>
        </w:rPr>
        <w:t>,</w:t>
      </w:r>
      <w:r w:rsidRPr="000B544A">
        <w:rPr>
          <w:rFonts w:ascii="Times New Roman" w:hAnsi="Times New Roman"/>
          <w:lang w:val="lt-LT"/>
        </w:rPr>
        <w:t xml:space="preserve"> galima tikėtis 4,48 proc. pelningumo.</w:t>
      </w:r>
    </w:p>
    <w:p w:rsidR="00252F1D" w:rsidRPr="000B544A" w:rsidRDefault="00802BEC" w:rsidP="00A8251C">
      <w:pPr>
        <w:spacing w:after="0" w:line="360" w:lineRule="auto"/>
        <w:ind w:firstLine="567"/>
        <w:jc w:val="both"/>
        <w:rPr>
          <w:rFonts w:ascii="Times New Roman" w:hAnsi="Times New Roman"/>
          <w:lang w:val="lt-LT"/>
        </w:rPr>
      </w:pPr>
      <w:r w:rsidRPr="000B544A">
        <w:rPr>
          <w:rFonts w:ascii="Times New Roman" w:hAnsi="Times New Roman"/>
          <w:lang w:val="lt-LT"/>
        </w:rPr>
        <w:t>Lyginamosios jėgos indeksas (RSI) Baltijos šalių akcijų rinkoje panaudotas 3 skirtingais būdais. Šis indikatorius svyruoja ribose nuo 0 iki 100. Investuotojas, analizuodamas finansinį instrumentą</w:t>
      </w:r>
      <w:r w:rsidR="006E1551" w:rsidRPr="000B544A">
        <w:rPr>
          <w:rFonts w:ascii="Times New Roman" w:hAnsi="Times New Roman"/>
          <w:lang w:val="lt-LT"/>
        </w:rPr>
        <w:t>,</w:t>
      </w:r>
      <w:r w:rsidRPr="000B544A">
        <w:rPr>
          <w:rFonts w:ascii="Times New Roman" w:hAnsi="Times New Roman"/>
          <w:lang w:val="lt-LT"/>
        </w:rPr>
        <w:t xml:space="preserve"> </w:t>
      </w:r>
      <w:r w:rsidRPr="000B544A">
        <w:rPr>
          <w:rFonts w:ascii="Times New Roman" w:hAnsi="Times New Roman"/>
          <w:lang w:val="lt-LT"/>
        </w:rPr>
        <w:lastRenderedPageBreak/>
        <w:t>pasirenka ribas, kurias pasiekęs indikatorius reiškia pirkimo ar pardavimo signalus. Norint gauti kuo geresnius rezultatus</w:t>
      </w:r>
      <w:r w:rsidR="006E1551" w:rsidRPr="000B544A">
        <w:rPr>
          <w:rFonts w:ascii="Times New Roman" w:hAnsi="Times New Roman"/>
          <w:lang w:val="lt-LT"/>
        </w:rPr>
        <w:t>,</w:t>
      </w:r>
      <w:r w:rsidRPr="000B544A">
        <w:rPr>
          <w:rFonts w:ascii="Times New Roman" w:hAnsi="Times New Roman"/>
          <w:lang w:val="lt-LT"/>
        </w:rPr>
        <w:t xml:space="preserve"> buvo tikrinamos trys signalo gavimo sąlygos: 1. Signalas gaunamas, kai RSI reikšmė pirmą kartą pasiekia nustatytą ribą nuo vidurio linijos pusės; 2. Signalas gaunamas, kai RSI reikšmė pasiekia signalo linijos reikšmę link vidurio linijos; 3. Signalas gaunamas, kai RSI reikšmė pasiekia aukščiausią tašką virš signalo ribos ir žemiausią tašką žemiau signalo ribos.</w:t>
      </w:r>
    </w:p>
    <w:p w:rsidR="00A8251C" w:rsidRPr="000B544A" w:rsidRDefault="00A8251C" w:rsidP="00A8251C">
      <w:pPr>
        <w:spacing w:after="0" w:line="360" w:lineRule="auto"/>
        <w:ind w:firstLine="567"/>
        <w:jc w:val="both"/>
        <w:rPr>
          <w:rFonts w:ascii="Times New Roman" w:hAnsi="Times New Roman"/>
          <w:lang w:val="lt-LT"/>
        </w:rPr>
      </w:pPr>
      <w:r w:rsidRPr="000B544A">
        <w:rPr>
          <w:rFonts w:ascii="Times New Roman" w:hAnsi="Times New Roman"/>
          <w:lang w:val="lt-LT"/>
        </w:rPr>
        <w:t>Siekiant nustatyti, kaip reikia suprasti pirkimo/pardavimo signalą</w:t>
      </w:r>
      <w:r w:rsidR="006E1551" w:rsidRPr="000B544A">
        <w:rPr>
          <w:rFonts w:ascii="Times New Roman" w:hAnsi="Times New Roman"/>
          <w:lang w:val="lt-LT"/>
        </w:rPr>
        <w:t>,</w:t>
      </w:r>
      <w:r w:rsidRPr="000B544A">
        <w:rPr>
          <w:rFonts w:ascii="Times New Roman" w:hAnsi="Times New Roman"/>
          <w:lang w:val="lt-LT"/>
        </w:rPr>
        <w:t xml:space="preserve"> atliekamas bandymas. Bandymas atliktas su 10 likvidžiausių akcijų Baltijos šalių akcijų biržoje, laikotarpyje nuo 2010-02-17 iki 2011-04-14. Tyrimas atliktas su 4 populiariausiais parametrais</w:t>
      </w:r>
      <w:r w:rsidR="001741F1" w:rsidRPr="000B544A">
        <w:rPr>
          <w:rFonts w:ascii="Times New Roman" w:hAnsi="Times New Roman"/>
          <w:lang w:val="lt-LT"/>
        </w:rPr>
        <w:t xml:space="preserve"> – 30/70; 20/80; 20/70; 30;80</w:t>
      </w:r>
      <w:r w:rsidRPr="000B544A">
        <w:rPr>
          <w:rFonts w:ascii="Times New Roman" w:hAnsi="Times New Roman"/>
          <w:lang w:val="lt-LT"/>
        </w:rPr>
        <w:t>.</w:t>
      </w:r>
    </w:p>
    <w:p w:rsidR="00A31065" w:rsidRPr="000B544A" w:rsidRDefault="00A31065" w:rsidP="006566A3">
      <w:pPr>
        <w:spacing w:after="0" w:line="360" w:lineRule="auto"/>
        <w:ind w:firstLine="567"/>
        <w:rPr>
          <w:rFonts w:ascii="Times New Roman" w:hAnsi="Times New Roman"/>
          <w:lang w:val="lt-LT"/>
        </w:rPr>
      </w:pPr>
      <w:r w:rsidRPr="000B544A">
        <w:rPr>
          <w:rFonts w:ascii="Times New Roman" w:hAnsi="Times New Roman"/>
          <w:lang w:val="lt-LT"/>
        </w:rPr>
        <w:t>Tyrimo rezultatai:</w:t>
      </w:r>
    </w:p>
    <w:p w:rsidR="00F54846" w:rsidRPr="000B544A" w:rsidRDefault="00F54846" w:rsidP="00F54846">
      <w:pPr>
        <w:pStyle w:val="Caption"/>
        <w:keepNext/>
        <w:jc w:val="center"/>
        <w:rPr>
          <w:rFonts w:ascii="Times New Roman" w:hAnsi="Times New Roman"/>
          <w:b w:val="0"/>
          <w:lang w:val="lt-LT"/>
        </w:rPr>
      </w:pPr>
      <w:r w:rsidRPr="000B544A">
        <w:rPr>
          <w:rFonts w:ascii="Times New Roman" w:hAnsi="Times New Roman"/>
          <w:b w:val="0"/>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42" w:name="_Toc311718673"/>
      <w:r w:rsidR="00C53DDD">
        <w:rPr>
          <w:rFonts w:ascii="Times New Roman" w:hAnsi="Times New Roman"/>
          <w:b w:val="0"/>
          <w:noProof/>
          <w:lang w:val="lt-LT"/>
        </w:rPr>
        <w:t>7</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 </w:t>
      </w:r>
      <w:r w:rsidRPr="000B544A">
        <w:rPr>
          <w:rFonts w:ascii="Times New Roman" w:hAnsi="Times New Roman"/>
          <w:lang w:val="lt-LT"/>
        </w:rPr>
        <w:t>RSI indikatoriaus signalų tinkamumo tyrimas</w:t>
      </w:r>
      <w:bookmarkEnd w:id="42"/>
    </w:p>
    <w:tbl>
      <w:tblPr>
        <w:tblW w:w="56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8"/>
        <w:gridCol w:w="2039"/>
        <w:gridCol w:w="841"/>
        <w:gridCol w:w="747"/>
        <w:gridCol w:w="747"/>
        <w:gridCol w:w="718"/>
      </w:tblGrid>
      <w:tr w:rsidR="00A8251C" w:rsidRPr="000B544A" w:rsidTr="00520F7B">
        <w:trPr>
          <w:trHeight w:val="313"/>
          <w:jc w:val="center"/>
        </w:trPr>
        <w:tc>
          <w:tcPr>
            <w:tcW w:w="508" w:type="dxa"/>
            <w:shd w:val="clear" w:color="auto" w:fill="auto"/>
            <w:noWrap/>
            <w:vAlign w:val="bottom"/>
          </w:tcPr>
          <w:p w:rsidR="00A8251C" w:rsidRPr="000B544A" w:rsidRDefault="00A8251C" w:rsidP="00A8251C">
            <w:pPr>
              <w:spacing w:after="0"/>
              <w:rPr>
                <w:rFonts w:ascii="Times New Roman" w:hAnsi="Times New Roman"/>
                <w:sz w:val="22"/>
                <w:szCs w:val="22"/>
                <w:lang w:val="lt-LT" w:eastAsia="lt-LT"/>
              </w:rPr>
            </w:pPr>
            <w:r w:rsidRPr="000B544A">
              <w:rPr>
                <w:rFonts w:ascii="Times New Roman" w:hAnsi="Times New Roman"/>
                <w:sz w:val="22"/>
                <w:szCs w:val="22"/>
                <w:lang w:val="lt-LT" w:eastAsia="lt-LT"/>
              </w:rPr>
              <w:t>Nr.</w:t>
            </w:r>
          </w:p>
        </w:tc>
        <w:tc>
          <w:tcPr>
            <w:tcW w:w="2039" w:type="dxa"/>
            <w:shd w:val="clear" w:color="auto" w:fill="auto"/>
            <w:noWrap/>
            <w:vAlign w:val="bottom"/>
          </w:tcPr>
          <w:p w:rsidR="00A8251C" w:rsidRPr="000B544A" w:rsidRDefault="00A8251C" w:rsidP="00A8251C">
            <w:pPr>
              <w:spacing w:after="0"/>
              <w:rPr>
                <w:rFonts w:ascii="Times New Roman" w:hAnsi="Times New Roman"/>
                <w:sz w:val="22"/>
                <w:szCs w:val="22"/>
                <w:lang w:val="lt-LT" w:eastAsia="lt-LT"/>
              </w:rPr>
            </w:pPr>
            <w:r w:rsidRPr="000B544A">
              <w:rPr>
                <w:rFonts w:ascii="Times New Roman" w:hAnsi="Times New Roman"/>
                <w:sz w:val="22"/>
                <w:szCs w:val="22"/>
                <w:lang w:val="lt-LT" w:eastAsia="lt-LT"/>
              </w:rPr>
              <w:t>Signalas</w:t>
            </w:r>
          </w:p>
        </w:tc>
        <w:tc>
          <w:tcPr>
            <w:tcW w:w="841" w:type="dxa"/>
            <w:shd w:val="clear" w:color="auto" w:fill="auto"/>
            <w:noWrap/>
            <w:vAlign w:val="bottom"/>
          </w:tcPr>
          <w:p w:rsidR="00A8251C" w:rsidRPr="000B544A" w:rsidRDefault="00A8251C" w:rsidP="00A8251C">
            <w:pPr>
              <w:spacing w:after="0"/>
              <w:rPr>
                <w:rFonts w:ascii="Times New Roman" w:hAnsi="Times New Roman"/>
                <w:sz w:val="22"/>
                <w:szCs w:val="22"/>
                <w:lang w:val="lt-LT" w:eastAsia="lt-LT"/>
              </w:rPr>
            </w:pPr>
            <w:r w:rsidRPr="000B544A">
              <w:rPr>
                <w:rFonts w:ascii="Times New Roman" w:hAnsi="Times New Roman"/>
                <w:sz w:val="22"/>
                <w:szCs w:val="22"/>
                <w:lang w:val="lt-LT" w:eastAsia="lt-LT"/>
              </w:rPr>
              <w:t>30/70</w:t>
            </w:r>
          </w:p>
        </w:tc>
        <w:tc>
          <w:tcPr>
            <w:tcW w:w="747" w:type="dxa"/>
            <w:shd w:val="clear" w:color="auto" w:fill="auto"/>
            <w:noWrap/>
            <w:vAlign w:val="bottom"/>
          </w:tcPr>
          <w:p w:rsidR="00A8251C" w:rsidRPr="000B544A" w:rsidRDefault="00A8251C" w:rsidP="00A8251C">
            <w:pPr>
              <w:spacing w:after="0"/>
              <w:rPr>
                <w:rFonts w:ascii="Times New Roman" w:hAnsi="Times New Roman"/>
                <w:sz w:val="22"/>
                <w:szCs w:val="22"/>
                <w:lang w:val="lt-LT" w:eastAsia="lt-LT"/>
              </w:rPr>
            </w:pPr>
            <w:r w:rsidRPr="000B544A">
              <w:rPr>
                <w:rFonts w:ascii="Times New Roman" w:hAnsi="Times New Roman"/>
                <w:sz w:val="22"/>
                <w:szCs w:val="22"/>
                <w:lang w:val="lt-LT" w:eastAsia="lt-LT"/>
              </w:rPr>
              <w:t>20/80</w:t>
            </w:r>
          </w:p>
        </w:tc>
        <w:tc>
          <w:tcPr>
            <w:tcW w:w="747" w:type="dxa"/>
            <w:shd w:val="clear" w:color="auto" w:fill="auto"/>
            <w:noWrap/>
            <w:vAlign w:val="bottom"/>
          </w:tcPr>
          <w:p w:rsidR="00A8251C" w:rsidRPr="000B544A" w:rsidRDefault="00A8251C" w:rsidP="00A8251C">
            <w:pPr>
              <w:spacing w:after="0"/>
              <w:rPr>
                <w:rFonts w:ascii="Times New Roman" w:hAnsi="Times New Roman"/>
                <w:sz w:val="22"/>
                <w:szCs w:val="22"/>
                <w:lang w:val="lt-LT" w:eastAsia="lt-LT"/>
              </w:rPr>
            </w:pPr>
            <w:r w:rsidRPr="000B544A">
              <w:rPr>
                <w:rFonts w:ascii="Times New Roman" w:hAnsi="Times New Roman"/>
                <w:sz w:val="22"/>
                <w:szCs w:val="22"/>
                <w:lang w:val="lt-LT" w:eastAsia="lt-LT"/>
              </w:rPr>
              <w:t>20/70</w:t>
            </w:r>
          </w:p>
        </w:tc>
        <w:tc>
          <w:tcPr>
            <w:tcW w:w="718" w:type="dxa"/>
            <w:shd w:val="clear" w:color="auto" w:fill="auto"/>
            <w:noWrap/>
            <w:vAlign w:val="bottom"/>
          </w:tcPr>
          <w:p w:rsidR="00A8251C" w:rsidRPr="000B544A" w:rsidRDefault="00A8251C" w:rsidP="00A8251C">
            <w:pPr>
              <w:spacing w:after="0"/>
              <w:rPr>
                <w:rFonts w:ascii="Times New Roman" w:hAnsi="Times New Roman"/>
                <w:sz w:val="22"/>
                <w:szCs w:val="22"/>
                <w:lang w:val="lt-LT" w:eastAsia="lt-LT"/>
              </w:rPr>
            </w:pPr>
            <w:r w:rsidRPr="000B544A">
              <w:rPr>
                <w:rFonts w:ascii="Times New Roman" w:hAnsi="Times New Roman"/>
                <w:sz w:val="22"/>
                <w:szCs w:val="22"/>
                <w:lang w:val="lt-LT" w:eastAsia="lt-LT"/>
              </w:rPr>
              <w:t>30/80</w:t>
            </w:r>
          </w:p>
        </w:tc>
      </w:tr>
      <w:tr w:rsidR="00A8251C" w:rsidRPr="000B544A" w:rsidTr="00520F7B">
        <w:trPr>
          <w:trHeight w:val="313"/>
          <w:jc w:val="center"/>
        </w:trPr>
        <w:tc>
          <w:tcPr>
            <w:tcW w:w="508" w:type="dxa"/>
            <w:shd w:val="clear" w:color="auto" w:fill="auto"/>
            <w:noWrap/>
            <w:vAlign w:val="bottom"/>
          </w:tcPr>
          <w:p w:rsidR="00A8251C" w:rsidRPr="000B544A" w:rsidRDefault="00A8251C" w:rsidP="00A8251C">
            <w:pPr>
              <w:spacing w:after="0"/>
              <w:jc w:val="right"/>
              <w:rPr>
                <w:rFonts w:ascii="Times New Roman" w:hAnsi="Times New Roman"/>
                <w:sz w:val="22"/>
                <w:szCs w:val="22"/>
                <w:lang w:val="lt-LT" w:eastAsia="lt-LT"/>
              </w:rPr>
            </w:pPr>
            <w:r w:rsidRPr="000B544A">
              <w:rPr>
                <w:rFonts w:ascii="Times New Roman" w:hAnsi="Times New Roman"/>
                <w:sz w:val="22"/>
                <w:szCs w:val="22"/>
                <w:lang w:val="lt-LT" w:eastAsia="lt-LT"/>
              </w:rPr>
              <w:t>1</w:t>
            </w:r>
          </w:p>
        </w:tc>
        <w:tc>
          <w:tcPr>
            <w:tcW w:w="2039" w:type="dxa"/>
            <w:shd w:val="clear" w:color="auto" w:fill="auto"/>
            <w:noWrap/>
            <w:vAlign w:val="bottom"/>
          </w:tcPr>
          <w:p w:rsidR="00A8251C" w:rsidRPr="000B544A" w:rsidRDefault="00A8251C" w:rsidP="00A8251C">
            <w:pPr>
              <w:spacing w:after="0"/>
              <w:rPr>
                <w:rFonts w:ascii="Times New Roman" w:hAnsi="Times New Roman"/>
                <w:sz w:val="22"/>
                <w:szCs w:val="22"/>
                <w:lang w:val="lt-LT" w:eastAsia="lt-LT"/>
              </w:rPr>
            </w:pPr>
            <w:r w:rsidRPr="000B544A">
              <w:rPr>
                <w:rFonts w:ascii="Times New Roman" w:hAnsi="Times New Roman"/>
                <w:sz w:val="22"/>
                <w:szCs w:val="22"/>
                <w:lang w:val="lt-LT" w:eastAsia="lt-LT"/>
              </w:rPr>
              <w:t>Aukščiausiam taške</w:t>
            </w:r>
          </w:p>
        </w:tc>
        <w:tc>
          <w:tcPr>
            <w:tcW w:w="841" w:type="dxa"/>
            <w:shd w:val="clear" w:color="auto" w:fill="auto"/>
            <w:noWrap/>
            <w:vAlign w:val="bottom"/>
          </w:tcPr>
          <w:p w:rsidR="00A8251C" w:rsidRPr="000B544A" w:rsidRDefault="00A8251C" w:rsidP="00A8251C">
            <w:pPr>
              <w:spacing w:after="0"/>
              <w:jc w:val="right"/>
              <w:rPr>
                <w:rFonts w:ascii="Times New Roman" w:hAnsi="Times New Roman"/>
                <w:sz w:val="22"/>
                <w:szCs w:val="22"/>
                <w:lang w:val="lt-LT" w:eastAsia="lt-LT"/>
              </w:rPr>
            </w:pPr>
            <w:r w:rsidRPr="000B544A">
              <w:rPr>
                <w:rFonts w:ascii="Times New Roman" w:hAnsi="Times New Roman"/>
                <w:sz w:val="22"/>
                <w:szCs w:val="22"/>
                <w:lang w:val="lt-LT" w:eastAsia="lt-LT"/>
              </w:rPr>
              <w:t>-0,93</w:t>
            </w:r>
          </w:p>
        </w:tc>
        <w:tc>
          <w:tcPr>
            <w:tcW w:w="747" w:type="dxa"/>
            <w:shd w:val="clear" w:color="auto" w:fill="auto"/>
            <w:noWrap/>
            <w:vAlign w:val="bottom"/>
          </w:tcPr>
          <w:p w:rsidR="00A8251C" w:rsidRPr="000B544A" w:rsidRDefault="00A8251C" w:rsidP="00A8251C">
            <w:pPr>
              <w:spacing w:after="0"/>
              <w:jc w:val="right"/>
              <w:rPr>
                <w:rFonts w:ascii="Times New Roman" w:hAnsi="Times New Roman"/>
                <w:sz w:val="22"/>
                <w:szCs w:val="22"/>
                <w:lang w:val="lt-LT" w:eastAsia="lt-LT"/>
              </w:rPr>
            </w:pPr>
            <w:r w:rsidRPr="000B544A">
              <w:rPr>
                <w:rFonts w:ascii="Times New Roman" w:hAnsi="Times New Roman"/>
                <w:sz w:val="22"/>
                <w:szCs w:val="22"/>
                <w:lang w:val="lt-LT" w:eastAsia="lt-LT"/>
              </w:rPr>
              <w:t>-0,99</w:t>
            </w:r>
          </w:p>
        </w:tc>
        <w:tc>
          <w:tcPr>
            <w:tcW w:w="747" w:type="dxa"/>
            <w:shd w:val="clear" w:color="auto" w:fill="auto"/>
            <w:noWrap/>
            <w:vAlign w:val="bottom"/>
          </w:tcPr>
          <w:p w:rsidR="00A8251C" w:rsidRPr="000B544A" w:rsidRDefault="00A8251C" w:rsidP="00A8251C">
            <w:pPr>
              <w:spacing w:after="0"/>
              <w:jc w:val="right"/>
              <w:rPr>
                <w:rFonts w:ascii="Times New Roman" w:hAnsi="Times New Roman"/>
                <w:sz w:val="22"/>
                <w:szCs w:val="22"/>
                <w:lang w:val="lt-LT" w:eastAsia="lt-LT"/>
              </w:rPr>
            </w:pPr>
            <w:r w:rsidRPr="000B544A">
              <w:rPr>
                <w:rFonts w:ascii="Times New Roman" w:hAnsi="Times New Roman"/>
                <w:sz w:val="22"/>
                <w:szCs w:val="22"/>
                <w:lang w:val="lt-LT" w:eastAsia="lt-LT"/>
              </w:rPr>
              <w:t>-0,77</w:t>
            </w:r>
          </w:p>
        </w:tc>
        <w:tc>
          <w:tcPr>
            <w:tcW w:w="718" w:type="dxa"/>
            <w:shd w:val="clear" w:color="auto" w:fill="auto"/>
            <w:noWrap/>
            <w:vAlign w:val="bottom"/>
          </w:tcPr>
          <w:p w:rsidR="00A8251C" w:rsidRPr="000B544A" w:rsidRDefault="00A8251C" w:rsidP="00A8251C">
            <w:pPr>
              <w:spacing w:after="0"/>
              <w:jc w:val="right"/>
              <w:rPr>
                <w:rFonts w:ascii="Times New Roman" w:hAnsi="Times New Roman"/>
                <w:sz w:val="22"/>
                <w:szCs w:val="22"/>
                <w:lang w:val="lt-LT" w:eastAsia="lt-LT"/>
              </w:rPr>
            </w:pPr>
            <w:r w:rsidRPr="000B544A">
              <w:rPr>
                <w:rFonts w:ascii="Times New Roman" w:hAnsi="Times New Roman"/>
                <w:sz w:val="22"/>
                <w:szCs w:val="22"/>
                <w:lang w:val="lt-LT" w:eastAsia="lt-LT"/>
              </w:rPr>
              <w:t>-1,33</w:t>
            </w:r>
          </w:p>
        </w:tc>
      </w:tr>
      <w:tr w:rsidR="00A8251C" w:rsidRPr="000B544A" w:rsidTr="00520F7B">
        <w:trPr>
          <w:trHeight w:val="313"/>
          <w:jc w:val="center"/>
        </w:trPr>
        <w:tc>
          <w:tcPr>
            <w:tcW w:w="508" w:type="dxa"/>
            <w:shd w:val="clear" w:color="auto" w:fill="auto"/>
            <w:noWrap/>
            <w:vAlign w:val="bottom"/>
          </w:tcPr>
          <w:p w:rsidR="00A8251C" w:rsidRPr="000B544A" w:rsidRDefault="00A8251C" w:rsidP="00A8251C">
            <w:pPr>
              <w:spacing w:after="0"/>
              <w:jc w:val="right"/>
              <w:rPr>
                <w:rFonts w:ascii="Times New Roman" w:hAnsi="Times New Roman"/>
                <w:sz w:val="22"/>
                <w:szCs w:val="22"/>
                <w:lang w:val="lt-LT" w:eastAsia="lt-LT"/>
              </w:rPr>
            </w:pPr>
            <w:r w:rsidRPr="000B544A">
              <w:rPr>
                <w:rFonts w:ascii="Times New Roman" w:hAnsi="Times New Roman"/>
                <w:sz w:val="22"/>
                <w:szCs w:val="22"/>
                <w:lang w:val="lt-LT" w:eastAsia="lt-LT"/>
              </w:rPr>
              <w:t>2</w:t>
            </w:r>
          </w:p>
        </w:tc>
        <w:tc>
          <w:tcPr>
            <w:tcW w:w="2039" w:type="dxa"/>
            <w:shd w:val="clear" w:color="auto" w:fill="auto"/>
            <w:noWrap/>
            <w:vAlign w:val="bottom"/>
          </w:tcPr>
          <w:p w:rsidR="00A8251C" w:rsidRPr="000B544A" w:rsidRDefault="00A8251C" w:rsidP="00A8251C">
            <w:pPr>
              <w:spacing w:after="0"/>
              <w:rPr>
                <w:rFonts w:ascii="Times New Roman" w:hAnsi="Times New Roman"/>
                <w:sz w:val="22"/>
                <w:szCs w:val="22"/>
                <w:lang w:val="lt-LT" w:eastAsia="lt-LT"/>
              </w:rPr>
            </w:pPr>
            <w:r w:rsidRPr="000B544A">
              <w:rPr>
                <w:rFonts w:ascii="Times New Roman" w:hAnsi="Times New Roman"/>
                <w:sz w:val="22"/>
                <w:szCs w:val="22"/>
                <w:lang w:val="lt-LT" w:eastAsia="lt-LT"/>
              </w:rPr>
              <w:t>Nuo vidurio linijos</w:t>
            </w:r>
          </w:p>
        </w:tc>
        <w:tc>
          <w:tcPr>
            <w:tcW w:w="841" w:type="dxa"/>
            <w:shd w:val="clear" w:color="auto" w:fill="auto"/>
            <w:noWrap/>
            <w:vAlign w:val="bottom"/>
          </w:tcPr>
          <w:p w:rsidR="00A8251C" w:rsidRPr="000B544A" w:rsidRDefault="00A8251C" w:rsidP="00A8251C">
            <w:pPr>
              <w:spacing w:after="0"/>
              <w:jc w:val="right"/>
              <w:rPr>
                <w:rFonts w:ascii="Times New Roman" w:hAnsi="Times New Roman"/>
                <w:sz w:val="22"/>
                <w:szCs w:val="22"/>
                <w:lang w:val="lt-LT" w:eastAsia="lt-LT"/>
              </w:rPr>
            </w:pPr>
            <w:r w:rsidRPr="000B544A">
              <w:rPr>
                <w:rFonts w:ascii="Times New Roman" w:hAnsi="Times New Roman"/>
                <w:sz w:val="22"/>
                <w:szCs w:val="22"/>
                <w:lang w:val="lt-LT" w:eastAsia="lt-LT"/>
              </w:rPr>
              <w:t>-1,00</w:t>
            </w:r>
          </w:p>
        </w:tc>
        <w:tc>
          <w:tcPr>
            <w:tcW w:w="747" w:type="dxa"/>
            <w:shd w:val="clear" w:color="auto" w:fill="auto"/>
            <w:noWrap/>
            <w:vAlign w:val="bottom"/>
          </w:tcPr>
          <w:p w:rsidR="00A8251C" w:rsidRPr="000B544A" w:rsidRDefault="00A8251C" w:rsidP="00A8251C">
            <w:pPr>
              <w:spacing w:after="0"/>
              <w:jc w:val="right"/>
              <w:rPr>
                <w:rFonts w:ascii="Times New Roman" w:hAnsi="Times New Roman"/>
                <w:sz w:val="22"/>
                <w:szCs w:val="22"/>
                <w:lang w:val="lt-LT" w:eastAsia="lt-LT"/>
              </w:rPr>
            </w:pPr>
            <w:r w:rsidRPr="000B544A">
              <w:rPr>
                <w:rFonts w:ascii="Times New Roman" w:hAnsi="Times New Roman"/>
                <w:sz w:val="22"/>
                <w:szCs w:val="22"/>
                <w:lang w:val="lt-LT" w:eastAsia="lt-LT"/>
              </w:rPr>
              <w:t>-0,95</w:t>
            </w:r>
          </w:p>
        </w:tc>
        <w:tc>
          <w:tcPr>
            <w:tcW w:w="747" w:type="dxa"/>
            <w:shd w:val="clear" w:color="auto" w:fill="auto"/>
            <w:noWrap/>
            <w:vAlign w:val="bottom"/>
          </w:tcPr>
          <w:p w:rsidR="00A8251C" w:rsidRPr="000B544A" w:rsidRDefault="00A8251C" w:rsidP="00A8251C">
            <w:pPr>
              <w:spacing w:after="0"/>
              <w:jc w:val="right"/>
              <w:rPr>
                <w:rFonts w:ascii="Times New Roman" w:hAnsi="Times New Roman"/>
                <w:sz w:val="22"/>
                <w:szCs w:val="22"/>
                <w:lang w:val="lt-LT" w:eastAsia="lt-LT"/>
              </w:rPr>
            </w:pPr>
            <w:r w:rsidRPr="000B544A">
              <w:rPr>
                <w:rFonts w:ascii="Times New Roman" w:hAnsi="Times New Roman"/>
                <w:sz w:val="22"/>
                <w:szCs w:val="22"/>
                <w:lang w:val="lt-LT" w:eastAsia="lt-LT"/>
              </w:rPr>
              <w:t>-0,72</w:t>
            </w:r>
          </w:p>
        </w:tc>
        <w:tc>
          <w:tcPr>
            <w:tcW w:w="718" w:type="dxa"/>
            <w:shd w:val="clear" w:color="auto" w:fill="auto"/>
            <w:noWrap/>
            <w:vAlign w:val="bottom"/>
          </w:tcPr>
          <w:p w:rsidR="00A8251C" w:rsidRPr="000B544A" w:rsidRDefault="00A8251C" w:rsidP="00A8251C">
            <w:pPr>
              <w:spacing w:after="0"/>
              <w:jc w:val="right"/>
              <w:rPr>
                <w:rFonts w:ascii="Times New Roman" w:hAnsi="Times New Roman"/>
                <w:sz w:val="22"/>
                <w:szCs w:val="22"/>
                <w:lang w:val="lt-LT" w:eastAsia="lt-LT"/>
              </w:rPr>
            </w:pPr>
            <w:r w:rsidRPr="000B544A">
              <w:rPr>
                <w:rFonts w:ascii="Times New Roman" w:hAnsi="Times New Roman"/>
                <w:sz w:val="22"/>
                <w:szCs w:val="22"/>
                <w:lang w:val="lt-LT" w:eastAsia="lt-LT"/>
              </w:rPr>
              <w:t>-1,31</w:t>
            </w:r>
          </w:p>
        </w:tc>
      </w:tr>
      <w:tr w:rsidR="00A8251C" w:rsidRPr="000B544A" w:rsidTr="00520F7B">
        <w:trPr>
          <w:trHeight w:val="313"/>
          <w:jc w:val="center"/>
        </w:trPr>
        <w:tc>
          <w:tcPr>
            <w:tcW w:w="508" w:type="dxa"/>
            <w:shd w:val="clear" w:color="auto" w:fill="auto"/>
            <w:noWrap/>
            <w:vAlign w:val="bottom"/>
          </w:tcPr>
          <w:p w:rsidR="00A8251C" w:rsidRPr="000B544A" w:rsidRDefault="00A8251C" w:rsidP="00A8251C">
            <w:pPr>
              <w:spacing w:after="0"/>
              <w:jc w:val="right"/>
              <w:rPr>
                <w:rFonts w:ascii="Times New Roman" w:hAnsi="Times New Roman"/>
                <w:sz w:val="22"/>
                <w:szCs w:val="22"/>
                <w:lang w:val="lt-LT" w:eastAsia="lt-LT"/>
              </w:rPr>
            </w:pPr>
            <w:r w:rsidRPr="000B544A">
              <w:rPr>
                <w:rFonts w:ascii="Times New Roman" w:hAnsi="Times New Roman"/>
                <w:sz w:val="22"/>
                <w:szCs w:val="22"/>
                <w:lang w:val="lt-LT" w:eastAsia="lt-LT"/>
              </w:rPr>
              <w:t>3</w:t>
            </w:r>
          </w:p>
        </w:tc>
        <w:tc>
          <w:tcPr>
            <w:tcW w:w="2039" w:type="dxa"/>
            <w:shd w:val="clear" w:color="auto" w:fill="auto"/>
            <w:noWrap/>
            <w:vAlign w:val="bottom"/>
          </w:tcPr>
          <w:p w:rsidR="00A8251C" w:rsidRPr="000B544A" w:rsidRDefault="00A8251C" w:rsidP="00A8251C">
            <w:pPr>
              <w:spacing w:after="0"/>
              <w:rPr>
                <w:rFonts w:ascii="Times New Roman" w:hAnsi="Times New Roman"/>
                <w:sz w:val="22"/>
                <w:szCs w:val="22"/>
                <w:lang w:val="lt-LT" w:eastAsia="lt-LT"/>
              </w:rPr>
            </w:pPr>
            <w:r w:rsidRPr="000B544A">
              <w:rPr>
                <w:rFonts w:ascii="Times New Roman" w:hAnsi="Times New Roman"/>
                <w:sz w:val="22"/>
                <w:szCs w:val="22"/>
                <w:lang w:val="lt-LT" w:eastAsia="lt-LT"/>
              </w:rPr>
              <w:t>Link vidurio linijos</w:t>
            </w:r>
          </w:p>
        </w:tc>
        <w:tc>
          <w:tcPr>
            <w:tcW w:w="841" w:type="dxa"/>
            <w:shd w:val="clear" w:color="auto" w:fill="auto"/>
            <w:noWrap/>
            <w:vAlign w:val="bottom"/>
          </w:tcPr>
          <w:p w:rsidR="00A8251C" w:rsidRPr="000B544A" w:rsidRDefault="00A8251C" w:rsidP="00A8251C">
            <w:pPr>
              <w:spacing w:after="0"/>
              <w:jc w:val="right"/>
              <w:rPr>
                <w:rFonts w:ascii="Times New Roman" w:hAnsi="Times New Roman"/>
                <w:sz w:val="22"/>
                <w:szCs w:val="22"/>
                <w:lang w:val="lt-LT" w:eastAsia="lt-LT"/>
              </w:rPr>
            </w:pPr>
            <w:r w:rsidRPr="000B544A">
              <w:rPr>
                <w:rFonts w:ascii="Times New Roman" w:hAnsi="Times New Roman"/>
                <w:sz w:val="22"/>
                <w:szCs w:val="22"/>
                <w:lang w:val="lt-LT" w:eastAsia="lt-LT"/>
              </w:rPr>
              <w:t>-1,08</w:t>
            </w:r>
          </w:p>
        </w:tc>
        <w:tc>
          <w:tcPr>
            <w:tcW w:w="747" w:type="dxa"/>
            <w:shd w:val="clear" w:color="auto" w:fill="auto"/>
            <w:noWrap/>
            <w:vAlign w:val="bottom"/>
          </w:tcPr>
          <w:p w:rsidR="00A8251C" w:rsidRPr="000B544A" w:rsidRDefault="00A8251C" w:rsidP="00A8251C">
            <w:pPr>
              <w:spacing w:after="0"/>
              <w:jc w:val="right"/>
              <w:rPr>
                <w:rFonts w:ascii="Times New Roman" w:hAnsi="Times New Roman"/>
                <w:sz w:val="22"/>
                <w:szCs w:val="22"/>
                <w:lang w:val="lt-LT" w:eastAsia="lt-LT"/>
              </w:rPr>
            </w:pPr>
            <w:r w:rsidRPr="000B544A">
              <w:rPr>
                <w:rFonts w:ascii="Times New Roman" w:hAnsi="Times New Roman"/>
                <w:sz w:val="22"/>
                <w:szCs w:val="22"/>
                <w:lang w:val="lt-LT" w:eastAsia="lt-LT"/>
              </w:rPr>
              <w:t>-1,30</w:t>
            </w:r>
          </w:p>
        </w:tc>
        <w:tc>
          <w:tcPr>
            <w:tcW w:w="747" w:type="dxa"/>
            <w:shd w:val="clear" w:color="auto" w:fill="auto"/>
            <w:noWrap/>
            <w:vAlign w:val="bottom"/>
          </w:tcPr>
          <w:p w:rsidR="00A8251C" w:rsidRPr="000B544A" w:rsidRDefault="00A8251C" w:rsidP="00A8251C">
            <w:pPr>
              <w:spacing w:after="0"/>
              <w:jc w:val="right"/>
              <w:rPr>
                <w:rFonts w:ascii="Times New Roman" w:hAnsi="Times New Roman"/>
                <w:sz w:val="22"/>
                <w:szCs w:val="22"/>
                <w:lang w:val="lt-LT" w:eastAsia="lt-LT"/>
              </w:rPr>
            </w:pPr>
            <w:r w:rsidRPr="000B544A">
              <w:rPr>
                <w:rFonts w:ascii="Times New Roman" w:hAnsi="Times New Roman"/>
                <w:sz w:val="22"/>
                <w:szCs w:val="22"/>
                <w:lang w:val="lt-LT" w:eastAsia="lt-LT"/>
              </w:rPr>
              <w:t>-0,87</w:t>
            </w:r>
          </w:p>
        </w:tc>
        <w:tc>
          <w:tcPr>
            <w:tcW w:w="718" w:type="dxa"/>
            <w:shd w:val="clear" w:color="auto" w:fill="auto"/>
            <w:noWrap/>
            <w:vAlign w:val="bottom"/>
          </w:tcPr>
          <w:p w:rsidR="00A8251C" w:rsidRPr="000B544A" w:rsidRDefault="00A8251C" w:rsidP="00A8251C">
            <w:pPr>
              <w:spacing w:after="0"/>
              <w:jc w:val="right"/>
              <w:rPr>
                <w:rFonts w:ascii="Times New Roman" w:hAnsi="Times New Roman"/>
                <w:sz w:val="22"/>
                <w:szCs w:val="22"/>
                <w:lang w:val="lt-LT" w:eastAsia="lt-LT"/>
              </w:rPr>
            </w:pPr>
            <w:r w:rsidRPr="000B544A">
              <w:rPr>
                <w:rFonts w:ascii="Times New Roman" w:hAnsi="Times New Roman"/>
                <w:sz w:val="22"/>
                <w:szCs w:val="22"/>
                <w:lang w:val="lt-LT" w:eastAsia="lt-LT"/>
              </w:rPr>
              <w:t>-1,31</w:t>
            </w:r>
          </w:p>
        </w:tc>
      </w:tr>
    </w:tbl>
    <w:p w:rsidR="00A8251C" w:rsidRPr="000B544A" w:rsidRDefault="00520F7B" w:rsidP="00520F7B">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252F1D" w:rsidRPr="000B544A" w:rsidRDefault="00A8251C" w:rsidP="001741F1">
      <w:pPr>
        <w:spacing w:after="0" w:line="360" w:lineRule="auto"/>
        <w:ind w:firstLine="567"/>
        <w:jc w:val="both"/>
        <w:rPr>
          <w:rFonts w:ascii="Times New Roman" w:hAnsi="Times New Roman"/>
          <w:lang w:val="lt-LT"/>
        </w:rPr>
      </w:pPr>
      <w:r w:rsidRPr="000B544A">
        <w:rPr>
          <w:rFonts w:ascii="Times New Roman" w:hAnsi="Times New Roman"/>
          <w:lang w:val="lt-LT"/>
        </w:rPr>
        <w:t>Iš lentelės matyti, kad geriausias rezulta</w:t>
      </w:r>
      <w:r w:rsidR="0020082D">
        <w:rPr>
          <w:rFonts w:ascii="Times New Roman" w:hAnsi="Times New Roman"/>
          <w:lang w:val="lt-LT"/>
        </w:rPr>
        <w:t>ta</w:t>
      </w:r>
      <w:r w:rsidRPr="000B544A">
        <w:rPr>
          <w:rFonts w:ascii="Times New Roman" w:hAnsi="Times New Roman"/>
          <w:lang w:val="lt-LT"/>
        </w:rPr>
        <w:t>s gaunamas signalą suprantant, kai RSI reikšmė pasiekia signalo reikšmę nuo vidurio linijos. Nors ir nustatyta, kada geriausiai RSI rezultatą suprasti kaip pirkimo ar pardavimo signalą, bet su šiais parametrais indikatoriaus signalais pasitikėti negalima. Tyrimas rodo, kad rezultatai neigiami, o tai reiškia, kad jei būtų investuojama pagal RSI indikatoriaus</w:t>
      </w:r>
      <w:r w:rsidR="001741F1" w:rsidRPr="000B544A">
        <w:rPr>
          <w:rFonts w:ascii="Times New Roman" w:hAnsi="Times New Roman"/>
          <w:lang w:val="lt-LT"/>
        </w:rPr>
        <w:t xml:space="preserve"> su šiais parametrais</w:t>
      </w:r>
      <w:r w:rsidRPr="000B544A">
        <w:rPr>
          <w:rFonts w:ascii="Times New Roman" w:hAnsi="Times New Roman"/>
          <w:lang w:val="lt-LT"/>
        </w:rPr>
        <w:t xml:space="preserve"> teikiamus signalus </w:t>
      </w:r>
      <w:r w:rsidR="001741F1" w:rsidRPr="000B544A">
        <w:rPr>
          <w:rFonts w:ascii="Times New Roman" w:hAnsi="Times New Roman"/>
          <w:lang w:val="lt-LT"/>
        </w:rPr>
        <w:t xml:space="preserve">būtų patiriamas nuostolis. </w:t>
      </w:r>
    </w:p>
    <w:p w:rsidR="001741F1" w:rsidRPr="000B544A" w:rsidRDefault="001741F1" w:rsidP="001741F1">
      <w:pPr>
        <w:spacing w:after="0" w:line="360" w:lineRule="auto"/>
        <w:ind w:firstLine="567"/>
        <w:jc w:val="both"/>
        <w:rPr>
          <w:rFonts w:ascii="Times New Roman" w:hAnsi="Times New Roman"/>
          <w:lang w:val="lt-LT"/>
        </w:rPr>
      </w:pPr>
      <w:r w:rsidRPr="000B544A">
        <w:rPr>
          <w:rFonts w:ascii="Times New Roman" w:hAnsi="Times New Roman"/>
          <w:lang w:val="lt-LT"/>
        </w:rPr>
        <w:t xml:space="preserve">Kadangi parametrai nėra tinkami Baltijos šalių akcijų rinkos akcijoms, reikia surasti tinkamus. Toliau atliekamas tyrimas, kurio tikslas surasti tinkamiausius parametrus, su kuriais RSI indikatorius per analizuojamąjį laikotarpį būtų rodęs teisingiausius signalus. </w:t>
      </w:r>
    </w:p>
    <w:p w:rsidR="00F54846" w:rsidRPr="000B544A" w:rsidRDefault="00F54846" w:rsidP="00F54846">
      <w:pPr>
        <w:pStyle w:val="Caption"/>
        <w:keepNext/>
        <w:jc w:val="center"/>
        <w:rPr>
          <w:rFonts w:ascii="Times New Roman" w:hAnsi="Times New Roman"/>
          <w:b w:val="0"/>
          <w:lang w:val="lt-LT"/>
        </w:rPr>
      </w:pPr>
      <w:r w:rsidRPr="000B544A">
        <w:rPr>
          <w:rFonts w:ascii="Times New Roman" w:hAnsi="Times New Roman"/>
          <w:b w:val="0"/>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43" w:name="_Toc311718674"/>
      <w:r w:rsidR="00C53DDD">
        <w:rPr>
          <w:rFonts w:ascii="Times New Roman" w:hAnsi="Times New Roman"/>
          <w:b w:val="0"/>
          <w:noProof/>
          <w:lang w:val="lt-LT"/>
        </w:rPr>
        <w:t>8</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 </w:t>
      </w:r>
      <w:r w:rsidRPr="000B544A">
        <w:rPr>
          <w:rFonts w:ascii="Times New Roman" w:hAnsi="Times New Roman"/>
          <w:lang w:val="lt-LT"/>
        </w:rPr>
        <w:t>RSI geriausi parametrai</w:t>
      </w:r>
      <w:bookmarkEnd w:id="43"/>
    </w:p>
    <w:tbl>
      <w:tblPr>
        <w:tblW w:w="6269" w:type="dxa"/>
        <w:jc w:val="center"/>
        <w:tblInd w:w="93" w:type="dxa"/>
        <w:tblLook w:val="0000"/>
      </w:tblPr>
      <w:tblGrid>
        <w:gridCol w:w="504"/>
        <w:gridCol w:w="2477"/>
        <w:gridCol w:w="1880"/>
        <w:gridCol w:w="1408"/>
      </w:tblGrid>
      <w:tr w:rsidR="005F4671" w:rsidRPr="000B544A" w:rsidTr="00520F7B">
        <w:trPr>
          <w:trHeight w:val="30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4671" w:rsidRPr="000B544A" w:rsidRDefault="005F4671" w:rsidP="005F4671">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Nr.</w:t>
            </w:r>
          </w:p>
        </w:tc>
        <w:tc>
          <w:tcPr>
            <w:tcW w:w="2477" w:type="dxa"/>
            <w:tcBorders>
              <w:top w:val="single" w:sz="4" w:space="0" w:color="auto"/>
              <w:left w:val="nil"/>
              <w:bottom w:val="single" w:sz="4" w:space="0" w:color="auto"/>
              <w:right w:val="single" w:sz="4" w:space="0" w:color="auto"/>
            </w:tcBorders>
            <w:shd w:val="clear" w:color="auto" w:fill="auto"/>
            <w:noWrap/>
            <w:vAlign w:val="bottom"/>
          </w:tcPr>
          <w:p w:rsidR="005F4671" w:rsidRPr="000B544A" w:rsidRDefault="005F4671" w:rsidP="005F4671">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Signalas</w:t>
            </w:r>
          </w:p>
        </w:tc>
        <w:tc>
          <w:tcPr>
            <w:tcW w:w="1880" w:type="dxa"/>
            <w:tcBorders>
              <w:top w:val="single" w:sz="4" w:space="0" w:color="auto"/>
              <w:left w:val="nil"/>
              <w:bottom w:val="single" w:sz="4" w:space="0" w:color="auto"/>
              <w:right w:val="single" w:sz="4" w:space="0" w:color="auto"/>
            </w:tcBorders>
            <w:shd w:val="clear" w:color="auto" w:fill="auto"/>
            <w:noWrap/>
            <w:vAlign w:val="bottom"/>
          </w:tcPr>
          <w:p w:rsidR="005F4671" w:rsidRPr="000B544A" w:rsidRDefault="005F4671" w:rsidP="005F4671">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Geriausi parametrai</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5F4671" w:rsidRPr="000B544A" w:rsidRDefault="005F4671" w:rsidP="005F4671">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Rezultatas</w:t>
            </w:r>
          </w:p>
        </w:tc>
      </w:tr>
      <w:tr w:rsidR="005F4671" w:rsidRPr="000B544A" w:rsidTr="00520F7B">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tcPr>
          <w:p w:rsidR="005F4671" w:rsidRPr="000B544A" w:rsidRDefault="005F4671" w:rsidP="005F4671">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w:t>
            </w:r>
          </w:p>
        </w:tc>
        <w:tc>
          <w:tcPr>
            <w:tcW w:w="2477" w:type="dxa"/>
            <w:tcBorders>
              <w:top w:val="nil"/>
              <w:left w:val="nil"/>
              <w:bottom w:val="single" w:sz="4" w:space="0" w:color="auto"/>
              <w:right w:val="single" w:sz="4" w:space="0" w:color="auto"/>
            </w:tcBorders>
            <w:shd w:val="clear" w:color="auto" w:fill="auto"/>
            <w:noWrap/>
            <w:vAlign w:val="bottom"/>
          </w:tcPr>
          <w:p w:rsidR="005F4671" w:rsidRPr="000B544A" w:rsidRDefault="005F4671" w:rsidP="005F4671">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Aukščiausiam taške</w:t>
            </w:r>
          </w:p>
        </w:tc>
        <w:tc>
          <w:tcPr>
            <w:tcW w:w="1880" w:type="dxa"/>
            <w:tcBorders>
              <w:top w:val="nil"/>
              <w:left w:val="nil"/>
              <w:bottom w:val="single" w:sz="4" w:space="0" w:color="auto"/>
              <w:right w:val="single" w:sz="4" w:space="0" w:color="auto"/>
            </w:tcBorders>
            <w:shd w:val="clear" w:color="auto" w:fill="auto"/>
            <w:noWrap/>
            <w:vAlign w:val="bottom"/>
          </w:tcPr>
          <w:p w:rsidR="005F4671" w:rsidRPr="000B544A" w:rsidRDefault="005F4671" w:rsidP="005F4671">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25/66</w:t>
            </w:r>
          </w:p>
        </w:tc>
        <w:tc>
          <w:tcPr>
            <w:tcW w:w="1408" w:type="dxa"/>
            <w:tcBorders>
              <w:top w:val="nil"/>
              <w:left w:val="nil"/>
              <w:bottom w:val="single" w:sz="4" w:space="0" w:color="auto"/>
              <w:right w:val="single" w:sz="4" w:space="0" w:color="auto"/>
            </w:tcBorders>
            <w:shd w:val="clear" w:color="auto" w:fill="auto"/>
            <w:noWrap/>
            <w:vAlign w:val="bottom"/>
          </w:tcPr>
          <w:p w:rsidR="005F4671" w:rsidRPr="000B544A" w:rsidRDefault="005F4671" w:rsidP="005F4671">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11,50%</w:t>
            </w:r>
          </w:p>
        </w:tc>
      </w:tr>
      <w:tr w:rsidR="005F4671" w:rsidRPr="000B544A" w:rsidTr="00520F7B">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tcPr>
          <w:p w:rsidR="005F4671" w:rsidRPr="000B544A" w:rsidRDefault="005F4671" w:rsidP="005F4671">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w:t>
            </w:r>
          </w:p>
        </w:tc>
        <w:tc>
          <w:tcPr>
            <w:tcW w:w="2477" w:type="dxa"/>
            <w:tcBorders>
              <w:top w:val="nil"/>
              <w:left w:val="nil"/>
              <w:bottom w:val="single" w:sz="4" w:space="0" w:color="auto"/>
              <w:right w:val="single" w:sz="4" w:space="0" w:color="auto"/>
            </w:tcBorders>
            <w:shd w:val="clear" w:color="auto" w:fill="auto"/>
            <w:noWrap/>
            <w:vAlign w:val="bottom"/>
          </w:tcPr>
          <w:p w:rsidR="005F4671" w:rsidRPr="000B544A" w:rsidRDefault="005F4671" w:rsidP="005F4671">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Nuo vidurio linijos</w:t>
            </w:r>
          </w:p>
        </w:tc>
        <w:tc>
          <w:tcPr>
            <w:tcW w:w="1880" w:type="dxa"/>
            <w:tcBorders>
              <w:top w:val="nil"/>
              <w:left w:val="nil"/>
              <w:bottom w:val="single" w:sz="4" w:space="0" w:color="auto"/>
              <w:right w:val="single" w:sz="4" w:space="0" w:color="auto"/>
            </w:tcBorders>
            <w:shd w:val="clear" w:color="auto" w:fill="auto"/>
            <w:noWrap/>
            <w:vAlign w:val="bottom"/>
          </w:tcPr>
          <w:p w:rsidR="005F4671" w:rsidRPr="000B544A" w:rsidRDefault="005F4671" w:rsidP="005F4671">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14/68</w:t>
            </w:r>
          </w:p>
        </w:tc>
        <w:tc>
          <w:tcPr>
            <w:tcW w:w="1408" w:type="dxa"/>
            <w:tcBorders>
              <w:top w:val="nil"/>
              <w:left w:val="nil"/>
              <w:bottom w:val="single" w:sz="4" w:space="0" w:color="auto"/>
              <w:right w:val="single" w:sz="4" w:space="0" w:color="auto"/>
            </w:tcBorders>
            <w:shd w:val="clear" w:color="auto" w:fill="auto"/>
            <w:noWrap/>
            <w:vAlign w:val="bottom"/>
          </w:tcPr>
          <w:p w:rsidR="005F4671" w:rsidRPr="000B544A" w:rsidRDefault="005F4671" w:rsidP="005F4671">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39,56%</w:t>
            </w:r>
          </w:p>
        </w:tc>
      </w:tr>
      <w:tr w:rsidR="005F4671" w:rsidRPr="000B544A" w:rsidTr="00520F7B">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tcPr>
          <w:p w:rsidR="005F4671" w:rsidRPr="000B544A" w:rsidRDefault="005F4671" w:rsidP="005F4671">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w:t>
            </w:r>
          </w:p>
        </w:tc>
        <w:tc>
          <w:tcPr>
            <w:tcW w:w="2477" w:type="dxa"/>
            <w:tcBorders>
              <w:top w:val="nil"/>
              <w:left w:val="nil"/>
              <w:bottom w:val="single" w:sz="4" w:space="0" w:color="auto"/>
              <w:right w:val="single" w:sz="4" w:space="0" w:color="auto"/>
            </w:tcBorders>
            <w:shd w:val="clear" w:color="auto" w:fill="auto"/>
            <w:noWrap/>
            <w:vAlign w:val="bottom"/>
          </w:tcPr>
          <w:p w:rsidR="005F4671" w:rsidRPr="000B544A" w:rsidRDefault="005F4671" w:rsidP="005F4671">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Link vidurio linijos</w:t>
            </w:r>
          </w:p>
        </w:tc>
        <w:tc>
          <w:tcPr>
            <w:tcW w:w="1880" w:type="dxa"/>
            <w:tcBorders>
              <w:top w:val="nil"/>
              <w:left w:val="nil"/>
              <w:bottom w:val="single" w:sz="4" w:space="0" w:color="auto"/>
              <w:right w:val="single" w:sz="4" w:space="0" w:color="auto"/>
            </w:tcBorders>
            <w:shd w:val="clear" w:color="auto" w:fill="auto"/>
            <w:noWrap/>
            <w:vAlign w:val="bottom"/>
          </w:tcPr>
          <w:p w:rsidR="005F4671" w:rsidRPr="000B544A" w:rsidRDefault="005F4671" w:rsidP="005F4671">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14/68</w:t>
            </w:r>
          </w:p>
        </w:tc>
        <w:tc>
          <w:tcPr>
            <w:tcW w:w="1408" w:type="dxa"/>
            <w:tcBorders>
              <w:top w:val="nil"/>
              <w:left w:val="nil"/>
              <w:bottom w:val="single" w:sz="4" w:space="0" w:color="auto"/>
              <w:right w:val="single" w:sz="4" w:space="0" w:color="auto"/>
            </w:tcBorders>
            <w:shd w:val="clear" w:color="auto" w:fill="auto"/>
            <w:noWrap/>
            <w:vAlign w:val="bottom"/>
          </w:tcPr>
          <w:p w:rsidR="005F4671" w:rsidRPr="000B544A" w:rsidRDefault="005F4671" w:rsidP="005F4671">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-27,06%</w:t>
            </w:r>
          </w:p>
        </w:tc>
      </w:tr>
    </w:tbl>
    <w:p w:rsidR="005F4671" w:rsidRPr="000B544A" w:rsidRDefault="00520F7B" w:rsidP="00520F7B">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1741F1" w:rsidRPr="000B544A" w:rsidRDefault="005F4671" w:rsidP="001741F1">
      <w:pPr>
        <w:spacing w:after="0" w:line="360" w:lineRule="auto"/>
        <w:ind w:firstLine="567"/>
        <w:jc w:val="both"/>
        <w:rPr>
          <w:rFonts w:ascii="Times New Roman" w:hAnsi="Times New Roman"/>
          <w:lang w:val="lt-LT"/>
        </w:rPr>
      </w:pPr>
      <w:r w:rsidRPr="000B544A">
        <w:rPr>
          <w:rFonts w:ascii="Times New Roman" w:hAnsi="Times New Roman"/>
          <w:lang w:val="lt-LT"/>
        </w:rPr>
        <w:t xml:space="preserve">Lentelėje pateikti duomenys patvirtina, kad teisingiausius signalus investuotojas gauna, kai RSI indikatoriaus pirkimo/pardavimo signalu laikoma ribos kirtimas nuo vidurio linijos. Parinkti geriausi parametrai analizuojamame laikotarpyje yra 14/68. </w:t>
      </w:r>
    </w:p>
    <w:p w:rsidR="00AB50DF" w:rsidRPr="000B544A" w:rsidRDefault="00AB50DF" w:rsidP="001741F1">
      <w:pPr>
        <w:spacing w:after="0" w:line="360" w:lineRule="auto"/>
        <w:ind w:firstLine="567"/>
        <w:jc w:val="both"/>
        <w:rPr>
          <w:rFonts w:ascii="Times New Roman" w:hAnsi="Times New Roman"/>
          <w:lang w:val="lt-LT"/>
        </w:rPr>
      </w:pPr>
    </w:p>
    <w:p w:rsidR="00AB50DF" w:rsidRPr="000B544A" w:rsidRDefault="00AB50DF" w:rsidP="001741F1">
      <w:pPr>
        <w:spacing w:after="0" w:line="360" w:lineRule="auto"/>
        <w:ind w:firstLine="567"/>
        <w:jc w:val="both"/>
        <w:rPr>
          <w:rFonts w:ascii="Times New Roman" w:hAnsi="Times New Roman"/>
          <w:lang w:val="lt-LT"/>
        </w:rPr>
      </w:pPr>
    </w:p>
    <w:p w:rsidR="00AB50DF" w:rsidRPr="000B544A" w:rsidRDefault="00AB50DF" w:rsidP="001741F1">
      <w:pPr>
        <w:spacing w:after="0" w:line="360" w:lineRule="auto"/>
        <w:ind w:firstLine="567"/>
        <w:jc w:val="both"/>
        <w:rPr>
          <w:rFonts w:ascii="Times New Roman" w:hAnsi="Times New Roman"/>
          <w:lang w:val="lt-LT"/>
        </w:rPr>
      </w:pPr>
    </w:p>
    <w:p w:rsidR="00AB50DF" w:rsidRPr="000B544A" w:rsidRDefault="00AB50DF" w:rsidP="001741F1">
      <w:pPr>
        <w:spacing w:after="0" w:line="360" w:lineRule="auto"/>
        <w:ind w:firstLine="567"/>
        <w:jc w:val="both"/>
        <w:rPr>
          <w:rFonts w:ascii="Times New Roman" w:hAnsi="Times New Roman"/>
          <w:lang w:val="lt-LT"/>
        </w:rPr>
      </w:pPr>
    </w:p>
    <w:p w:rsidR="00AB50DF" w:rsidRPr="000B544A" w:rsidRDefault="00AB50DF" w:rsidP="001741F1">
      <w:pPr>
        <w:spacing w:after="0" w:line="360" w:lineRule="auto"/>
        <w:ind w:firstLine="567"/>
        <w:jc w:val="both"/>
        <w:rPr>
          <w:rFonts w:ascii="Times New Roman" w:hAnsi="Times New Roman"/>
          <w:lang w:val="lt-LT"/>
        </w:rPr>
      </w:pPr>
    </w:p>
    <w:p w:rsidR="00F54846" w:rsidRPr="000B544A" w:rsidRDefault="00F54846" w:rsidP="00F54846">
      <w:pPr>
        <w:pStyle w:val="Caption"/>
        <w:keepNext/>
        <w:jc w:val="center"/>
        <w:rPr>
          <w:rFonts w:ascii="Times New Roman" w:hAnsi="Times New Roman"/>
          <w:b w:val="0"/>
          <w:lang w:val="lt-LT"/>
        </w:rPr>
      </w:pPr>
      <w:r w:rsidRPr="000B544A">
        <w:rPr>
          <w:rFonts w:ascii="Times New Roman" w:hAnsi="Times New Roman"/>
          <w:b w:val="0"/>
          <w:lang w:val="lt-LT"/>
        </w:rPr>
        <w:lastRenderedPageBreak/>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44" w:name="_Toc311718675"/>
      <w:r w:rsidR="00C53DDD">
        <w:rPr>
          <w:rFonts w:ascii="Times New Roman" w:hAnsi="Times New Roman"/>
          <w:b w:val="0"/>
          <w:noProof/>
          <w:lang w:val="lt-LT"/>
        </w:rPr>
        <w:t>9</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 </w:t>
      </w:r>
      <w:r w:rsidRPr="000B544A">
        <w:rPr>
          <w:rFonts w:ascii="Times New Roman" w:hAnsi="Times New Roman"/>
          <w:lang w:val="lt-LT"/>
        </w:rPr>
        <w:t>RSI indikatoriaus signalų pelningumas</w:t>
      </w:r>
      <w:bookmarkEnd w:id="44"/>
    </w:p>
    <w:tbl>
      <w:tblPr>
        <w:tblW w:w="8896" w:type="dxa"/>
        <w:jc w:val="center"/>
        <w:tblInd w:w="1235" w:type="dxa"/>
        <w:tblLook w:val="0000"/>
      </w:tblPr>
      <w:tblGrid>
        <w:gridCol w:w="601"/>
        <w:gridCol w:w="2535"/>
        <w:gridCol w:w="1440"/>
        <w:gridCol w:w="1440"/>
        <w:gridCol w:w="1440"/>
        <w:gridCol w:w="1440"/>
      </w:tblGrid>
      <w:tr w:rsidR="0000093B" w:rsidRPr="000B544A">
        <w:trPr>
          <w:trHeight w:val="300"/>
          <w:jc w:val="center"/>
        </w:trPr>
        <w:tc>
          <w:tcPr>
            <w:tcW w:w="601" w:type="dxa"/>
            <w:tcBorders>
              <w:top w:val="single" w:sz="4" w:space="0" w:color="auto"/>
              <w:left w:val="single" w:sz="4" w:space="0" w:color="auto"/>
              <w:bottom w:val="single" w:sz="4" w:space="0" w:color="auto"/>
              <w:right w:val="single" w:sz="4" w:space="0" w:color="auto"/>
            </w:tcBorders>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Nr.</w:t>
            </w:r>
          </w:p>
        </w:tc>
        <w:tc>
          <w:tcPr>
            <w:tcW w:w="2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Akcija</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Pirkimas 14/68</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Pardavimas 14/68</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Pirkimas 20/70</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Pardavimas 20/70</w:t>
            </w:r>
          </w:p>
        </w:tc>
      </w:tr>
      <w:tr w:rsidR="0000093B" w:rsidRPr="000B544A">
        <w:trPr>
          <w:trHeight w:val="300"/>
          <w:jc w:val="center"/>
        </w:trPr>
        <w:tc>
          <w:tcPr>
            <w:tcW w:w="601" w:type="dxa"/>
            <w:tcBorders>
              <w:top w:val="nil"/>
              <w:left w:val="single" w:sz="4" w:space="0" w:color="auto"/>
              <w:bottom w:val="single" w:sz="4" w:space="0" w:color="auto"/>
              <w:right w:val="single" w:sz="4" w:space="0" w:color="auto"/>
            </w:tcBorders>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w:t>
            </w:r>
          </w:p>
        </w:tc>
        <w:tc>
          <w:tcPr>
            <w:tcW w:w="2535" w:type="dxa"/>
            <w:tcBorders>
              <w:top w:val="nil"/>
              <w:left w:val="single" w:sz="4" w:space="0" w:color="auto"/>
              <w:bottom w:val="single" w:sz="4" w:space="0" w:color="auto"/>
              <w:right w:val="single" w:sz="4" w:space="0" w:color="auto"/>
            </w:tcBorders>
            <w:shd w:val="clear" w:color="auto" w:fill="auto"/>
            <w:noWrap/>
            <w:vAlign w:val="center"/>
          </w:tcPr>
          <w:p w:rsidR="0000093B" w:rsidRPr="000B544A" w:rsidRDefault="0000093B" w:rsidP="001E7C2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Apranga</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0,00%</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0,00%</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-10,03%</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20,89%</w:t>
            </w:r>
          </w:p>
        </w:tc>
      </w:tr>
      <w:tr w:rsidR="0000093B" w:rsidRPr="000B544A">
        <w:trPr>
          <w:trHeight w:val="300"/>
          <w:jc w:val="center"/>
        </w:trPr>
        <w:tc>
          <w:tcPr>
            <w:tcW w:w="601" w:type="dxa"/>
            <w:tcBorders>
              <w:top w:val="nil"/>
              <w:left w:val="single" w:sz="4" w:space="0" w:color="auto"/>
              <w:bottom w:val="single" w:sz="4" w:space="0" w:color="auto"/>
              <w:right w:val="single" w:sz="4" w:space="0" w:color="auto"/>
            </w:tcBorders>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w:t>
            </w:r>
          </w:p>
        </w:tc>
        <w:tc>
          <w:tcPr>
            <w:tcW w:w="2535" w:type="dxa"/>
            <w:tcBorders>
              <w:top w:val="nil"/>
              <w:left w:val="single" w:sz="4" w:space="0" w:color="auto"/>
              <w:bottom w:val="single" w:sz="4" w:space="0" w:color="auto"/>
              <w:right w:val="single" w:sz="4" w:space="0" w:color="auto"/>
            </w:tcBorders>
            <w:shd w:val="clear" w:color="auto" w:fill="auto"/>
            <w:noWrap/>
            <w:vAlign w:val="center"/>
          </w:tcPr>
          <w:p w:rsidR="0000093B" w:rsidRPr="000B544A" w:rsidRDefault="0000093B" w:rsidP="001E7C2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Linas Agro Group</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-2,51%</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-20,56%</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-0,90%</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-20,93%</w:t>
            </w:r>
          </w:p>
        </w:tc>
      </w:tr>
      <w:tr w:rsidR="0000093B" w:rsidRPr="000B544A">
        <w:trPr>
          <w:trHeight w:val="300"/>
          <w:jc w:val="center"/>
        </w:trPr>
        <w:tc>
          <w:tcPr>
            <w:tcW w:w="601" w:type="dxa"/>
            <w:tcBorders>
              <w:top w:val="nil"/>
              <w:left w:val="single" w:sz="4" w:space="0" w:color="auto"/>
              <w:bottom w:val="single" w:sz="4" w:space="0" w:color="auto"/>
              <w:right w:val="single" w:sz="4" w:space="0" w:color="auto"/>
            </w:tcBorders>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w:t>
            </w:r>
          </w:p>
        </w:tc>
        <w:tc>
          <w:tcPr>
            <w:tcW w:w="2535" w:type="dxa"/>
            <w:tcBorders>
              <w:top w:val="nil"/>
              <w:left w:val="single" w:sz="4" w:space="0" w:color="auto"/>
              <w:bottom w:val="single" w:sz="4" w:space="0" w:color="auto"/>
              <w:right w:val="single" w:sz="4" w:space="0" w:color="auto"/>
            </w:tcBorders>
            <w:shd w:val="clear" w:color="auto" w:fill="auto"/>
            <w:noWrap/>
            <w:vAlign w:val="center"/>
          </w:tcPr>
          <w:p w:rsidR="0000093B" w:rsidRPr="000B544A" w:rsidRDefault="0000093B" w:rsidP="001E7C2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Nordecon AS</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-5,17%</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-24,48%</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-12,40%</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-31,44%</w:t>
            </w:r>
          </w:p>
        </w:tc>
      </w:tr>
      <w:tr w:rsidR="0000093B" w:rsidRPr="000B544A">
        <w:trPr>
          <w:trHeight w:val="300"/>
          <w:jc w:val="center"/>
        </w:trPr>
        <w:tc>
          <w:tcPr>
            <w:tcW w:w="601" w:type="dxa"/>
            <w:tcBorders>
              <w:top w:val="nil"/>
              <w:left w:val="single" w:sz="4" w:space="0" w:color="auto"/>
              <w:bottom w:val="single" w:sz="4" w:space="0" w:color="auto"/>
              <w:right w:val="single" w:sz="4" w:space="0" w:color="auto"/>
            </w:tcBorders>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4</w:t>
            </w:r>
          </w:p>
        </w:tc>
        <w:tc>
          <w:tcPr>
            <w:tcW w:w="2535" w:type="dxa"/>
            <w:tcBorders>
              <w:top w:val="nil"/>
              <w:left w:val="single" w:sz="4" w:space="0" w:color="auto"/>
              <w:bottom w:val="single" w:sz="4" w:space="0" w:color="auto"/>
              <w:right w:val="single" w:sz="4" w:space="0" w:color="auto"/>
            </w:tcBorders>
            <w:shd w:val="clear" w:color="auto" w:fill="auto"/>
            <w:noWrap/>
            <w:vAlign w:val="center"/>
          </w:tcPr>
          <w:p w:rsidR="0000093B" w:rsidRPr="000B544A" w:rsidRDefault="0000093B" w:rsidP="001E7C2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Olympic Entertainment Group</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0,00%</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10,43%</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-18,27%</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-14,69%</w:t>
            </w:r>
          </w:p>
        </w:tc>
      </w:tr>
      <w:tr w:rsidR="0000093B" w:rsidRPr="000B544A">
        <w:trPr>
          <w:trHeight w:val="300"/>
          <w:jc w:val="center"/>
        </w:trPr>
        <w:tc>
          <w:tcPr>
            <w:tcW w:w="601" w:type="dxa"/>
            <w:tcBorders>
              <w:top w:val="nil"/>
              <w:left w:val="single" w:sz="4" w:space="0" w:color="auto"/>
              <w:bottom w:val="single" w:sz="4" w:space="0" w:color="auto"/>
              <w:right w:val="single" w:sz="4" w:space="0" w:color="auto"/>
            </w:tcBorders>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w:t>
            </w:r>
          </w:p>
        </w:tc>
        <w:tc>
          <w:tcPr>
            <w:tcW w:w="2535" w:type="dxa"/>
            <w:tcBorders>
              <w:top w:val="nil"/>
              <w:left w:val="single" w:sz="4" w:space="0" w:color="auto"/>
              <w:bottom w:val="single" w:sz="4" w:space="0" w:color="auto"/>
              <w:right w:val="single" w:sz="4" w:space="0" w:color="auto"/>
            </w:tcBorders>
            <w:shd w:val="clear" w:color="auto" w:fill="auto"/>
            <w:noWrap/>
            <w:vAlign w:val="center"/>
          </w:tcPr>
          <w:p w:rsidR="0000093B" w:rsidRPr="000B544A" w:rsidRDefault="0000093B" w:rsidP="001E7C2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Panevėžio statybos trestas</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2,19%</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23,30%</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-9,43%</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12,48%</w:t>
            </w:r>
          </w:p>
        </w:tc>
      </w:tr>
      <w:tr w:rsidR="0000093B" w:rsidRPr="000B544A">
        <w:trPr>
          <w:trHeight w:val="300"/>
          <w:jc w:val="center"/>
        </w:trPr>
        <w:tc>
          <w:tcPr>
            <w:tcW w:w="601" w:type="dxa"/>
            <w:tcBorders>
              <w:top w:val="nil"/>
              <w:left w:val="single" w:sz="4" w:space="0" w:color="auto"/>
              <w:bottom w:val="single" w:sz="4" w:space="0" w:color="auto"/>
              <w:right w:val="single" w:sz="4" w:space="0" w:color="auto"/>
            </w:tcBorders>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6</w:t>
            </w:r>
          </w:p>
        </w:tc>
        <w:tc>
          <w:tcPr>
            <w:tcW w:w="2535" w:type="dxa"/>
            <w:tcBorders>
              <w:top w:val="nil"/>
              <w:left w:val="single" w:sz="4" w:space="0" w:color="auto"/>
              <w:bottom w:val="single" w:sz="4" w:space="0" w:color="auto"/>
              <w:right w:val="single" w:sz="4" w:space="0" w:color="auto"/>
            </w:tcBorders>
            <w:shd w:val="clear" w:color="auto" w:fill="auto"/>
            <w:noWrap/>
            <w:vAlign w:val="center"/>
          </w:tcPr>
          <w:p w:rsidR="0000093B" w:rsidRPr="000B544A" w:rsidRDefault="0000093B" w:rsidP="001E7C2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Tallink Grupp</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9,44%</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19,73%</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-1,05%</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11,30%</w:t>
            </w:r>
          </w:p>
        </w:tc>
      </w:tr>
      <w:tr w:rsidR="0000093B" w:rsidRPr="000B544A">
        <w:trPr>
          <w:trHeight w:val="300"/>
          <w:jc w:val="center"/>
        </w:trPr>
        <w:tc>
          <w:tcPr>
            <w:tcW w:w="601" w:type="dxa"/>
            <w:tcBorders>
              <w:top w:val="nil"/>
              <w:left w:val="single" w:sz="4" w:space="0" w:color="auto"/>
              <w:bottom w:val="single" w:sz="4" w:space="0" w:color="auto"/>
              <w:right w:val="single" w:sz="4" w:space="0" w:color="auto"/>
            </w:tcBorders>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7</w:t>
            </w:r>
          </w:p>
        </w:tc>
        <w:tc>
          <w:tcPr>
            <w:tcW w:w="2535" w:type="dxa"/>
            <w:tcBorders>
              <w:top w:val="nil"/>
              <w:left w:val="single" w:sz="4" w:space="0" w:color="auto"/>
              <w:bottom w:val="single" w:sz="4" w:space="0" w:color="auto"/>
              <w:right w:val="single" w:sz="4" w:space="0" w:color="auto"/>
            </w:tcBorders>
            <w:shd w:val="clear" w:color="auto" w:fill="auto"/>
            <w:noWrap/>
            <w:vAlign w:val="center"/>
          </w:tcPr>
          <w:p w:rsidR="0000093B" w:rsidRPr="000B544A" w:rsidRDefault="0000093B" w:rsidP="001E7C2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TEO LT</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3,85%</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-1,71%</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5,86%</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-1,83%</w:t>
            </w:r>
          </w:p>
        </w:tc>
      </w:tr>
      <w:tr w:rsidR="0000093B" w:rsidRPr="000B544A">
        <w:trPr>
          <w:trHeight w:val="300"/>
          <w:jc w:val="center"/>
        </w:trPr>
        <w:tc>
          <w:tcPr>
            <w:tcW w:w="601" w:type="dxa"/>
            <w:tcBorders>
              <w:top w:val="nil"/>
              <w:left w:val="single" w:sz="4" w:space="0" w:color="auto"/>
              <w:bottom w:val="single" w:sz="4" w:space="0" w:color="auto"/>
              <w:right w:val="single" w:sz="4" w:space="0" w:color="auto"/>
            </w:tcBorders>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8</w:t>
            </w:r>
          </w:p>
        </w:tc>
        <w:tc>
          <w:tcPr>
            <w:tcW w:w="2535" w:type="dxa"/>
            <w:tcBorders>
              <w:top w:val="nil"/>
              <w:left w:val="single" w:sz="4" w:space="0" w:color="auto"/>
              <w:bottom w:val="single" w:sz="4" w:space="0" w:color="auto"/>
              <w:right w:val="single" w:sz="4" w:space="0" w:color="auto"/>
            </w:tcBorders>
            <w:shd w:val="clear" w:color="auto" w:fill="auto"/>
            <w:noWrap/>
            <w:vAlign w:val="center"/>
          </w:tcPr>
          <w:p w:rsidR="0000093B" w:rsidRPr="000B544A" w:rsidRDefault="0000093B" w:rsidP="001E7C2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Tallinna Kaubamaja</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0,67%</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18,40%</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-5,19%</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6,06%</w:t>
            </w:r>
          </w:p>
        </w:tc>
      </w:tr>
      <w:tr w:rsidR="0000093B" w:rsidRPr="000B544A">
        <w:trPr>
          <w:trHeight w:val="300"/>
          <w:jc w:val="center"/>
        </w:trPr>
        <w:tc>
          <w:tcPr>
            <w:tcW w:w="601" w:type="dxa"/>
            <w:tcBorders>
              <w:top w:val="nil"/>
              <w:left w:val="single" w:sz="4" w:space="0" w:color="auto"/>
              <w:bottom w:val="single" w:sz="4" w:space="0" w:color="auto"/>
              <w:right w:val="single" w:sz="4" w:space="0" w:color="auto"/>
            </w:tcBorders>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9</w:t>
            </w:r>
          </w:p>
        </w:tc>
        <w:tc>
          <w:tcPr>
            <w:tcW w:w="2535" w:type="dxa"/>
            <w:tcBorders>
              <w:top w:val="nil"/>
              <w:left w:val="single" w:sz="4" w:space="0" w:color="auto"/>
              <w:bottom w:val="single" w:sz="4" w:space="0" w:color="auto"/>
              <w:right w:val="single" w:sz="4" w:space="0" w:color="auto"/>
            </w:tcBorders>
            <w:shd w:val="clear" w:color="auto" w:fill="auto"/>
            <w:noWrap/>
            <w:vAlign w:val="center"/>
          </w:tcPr>
          <w:p w:rsidR="0000093B" w:rsidRPr="000B544A" w:rsidRDefault="0000093B" w:rsidP="001E7C2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Tallinna Vesi</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7,67%</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-13,39%</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4,99%</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-7,81%</w:t>
            </w:r>
          </w:p>
        </w:tc>
      </w:tr>
      <w:tr w:rsidR="0000093B" w:rsidRPr="000B544A">
        <w:trPr>
          <w:trHeight w:val="300"/>
          <w:jc w:val="center"/>
        </w:trPr>
        <w:tc>
          <w:tcPr>
            <w:tcW w:w="601" w:type="dxa"/>
            <w:tcBorders>
              <w:top w:val="nil"/>
              <w:left w:val="single" w:sz="4" w:space="0" w:color="auto"/>
              <w:bottom w:val="single" w:sz="4" w:space="0" w:color="auto"/>
              <w:right w:val="single" w:sz="4" w:space="0" w:color="auto"/>
            </w:tcBorders>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10</w:t>
            </w:r>
          </w:p>
        </w:tc>
        <w:tc>
          <w:tcPr>
            <w:tcW w:w="2535" w:type="dxa"/>
            <w:tcBorders>
              <w:top w:val="nil"/>
              <w:left w:val="single" w:sz="4" w:space="0" w:color="auto"/>
              <w:bottom w:val="single" w:sz="4" w:space="0" w:color="auto"/>
              <w:right w:val="single" w:sz="4" w:space="0" w:color="auto"/>
            </w:tcBorders>
            <w:shd w:val="clear" w:color="auto" w:fill="auto"/>
            <w:noWrap/>
            <w:vAlign w:val="center"/>
          </w:tcPr>
          <w:p w:rsidR="0000093B" w:rsidRPr="000B544A" w:rsidRDefault="0000093B" w:rsidP="001E7C2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Ūkio bankas</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7,42%</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4,27%</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3,99%</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-4,31%</w:t>
            </w:r>
          </w:p>
        </w:tc>
      </w:tr>
      <w:tr w:rsidR="0000093B" w:rsidRPr="000B544A">
        <w:trPr>
          <w:trHeight w:val="300"/>
          <w:jc w:val="center"/>
        </w:trPr>
        <w:tc>
          <w:tcPr>
            <w:tcW w:w="601" w:type="dxa"/>
            <w:tcBorders>
              <w:top w:val="nil"/>
              <w:left w:val="single" w:sz="4" w:space="0" w:color="auto"/>
              <w:bottom w:val="single" w:sz="4" w:space="0" w:color="auto"/>
              <w:right w:val="single" w:sz="4" w:space="0" w:color="auto"/>
            </w:tcBorders>
          </w:tcPr>
          <w:p w:rsidR="0000093B" w:rsidRPr="000B544A" w:rsidRDefault="0000093B" w:rsidP="00974ED0">
            <w:pPr>
              <w:spacing w:after="0"/>
              <w:jc w:val="center"/>
              <w:rPr>
                <w:rFonts w:ascii="Times New Roman" w:hAnsi="Times New Roman"/>
                <w:sz w:val="22"/>
                <w:szCs w:val="22"/>
                <w:lang w:val="lt-LT" w:eastAsia="lt-LT"/>
              </w:rPr>
            </w:pPr>
          </w:p>
        </w:tc>
        <w:tc>
          <w:tcPr>
            <w:tcW w:w="2535" w:type="dxa"/>
            <w:tcBorders>
              <w:top w:val="nil"/>
              <w:left w:val="single" w:sz="4" w:space="0" w:color="auto"/>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Suma</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23,56%</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16,00%</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-42,43%</w:t>
            </w:r>
          </w:p>
        </w:tc>
        <w:tc>
          <w:tcPr>
            <w:tcW w:w="1440" w:type="dxa"/>
            <w:tcBorders>
              <w:top w:val="nil"/>
              <w:left w:val="nil"/>
              <w:bottom w:val="single" w:sz="4" w:space="0" w:color="auto"/>
              <w:right w:val="single" w:sz="4" w:space="0" w:color="auto"/>
            </w:tcBorders>
            <w:shd w:val="clear" w:color="auto" w:fill="auto"/>
            <w:noWrap/>
            <w:vAlign w:val="bottom"/>
          </w:tcPr>
          <w:p w:rsidR="0000093B" w:rsidRPr="000B544A" w:rsidRDefault="0000093B" w:rsidP="00974ED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-30,28%</w:t>
            </w:r>
          </w:p>
        </w:tc>
      </w:tr>
    </w:tbl>
    <w:p w:rsidR="005F4671" w:rsidRPr="000B544A" w:rsidRDefault="00520F7B" w:rsidP="00520F7B">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5F4671" w:rsidRPr="000B544A" w:rsidRDefault="00974ED0" w:rsidP="00757EAA">
      <w:pPr>
        <w:spacing w:after="0" w:line="360" w:lineRule="auto"/>
        <w:ind w:firstLine="567"/>
        <w:jc w:val="both"/>
        <w:rPr>
          <w:rFonts w:ascii="Times New Roman" w:hAnsi="Times New Roman"/>
          <w:lang w:val="lt-LT"/>
        </w:rPr>
      </w:pPr>
      <w:r w:rsidRPr="000B544A">
        <w:rPr>
          <w:rFonts w:ascii="Times New Roman" w:hAnsi="Times New Roman"/>
          <w:lang w:val="lt-LT"/>
        </w:rPr>
        <w:t>Pateiktoje lentelėje matyti, kad su geriausiais parametrais bendrovės „Apranga“ akcijoms nebūtų įvykdytas nei vienas sandoris (įskaitant ir sandorio uždarymą). Taip pat matyti, kad su geriausiais parametrais pirkimo sandoriai galėjo uždirbti 23,56 proc., o pardavimo</w:t>
      </w:r>
      <w:r w:rsidR="006E1551" w:rsidRPr="000B544A">
        <w:rPr>
          <w:rFonts w:ascii="Times New Roman" w:hAnsi="Times New Roman"/>
          <w:lang w:val="lt-LT"/>
        </w:rPr>
        <w:t xml:space="preserve"> sandoriai – 16 proc. p</w:t>
      </w:r>
      <w:r w:rsidRPr="000B544A">
        <w:rPr>
          <w:rFonts w:ascii="Times New Roman" w:hAnsi="Times New Roman"/>
          <w:lang w:val="lt-LT"/>
        </w:rPr>
        <w:t>elno.</w:t>
      </w:r>
    </w:p>
    <w:p w:rsidR="00252F1D" w:rsidRPr="000B544A" w:rsidRDefault="00B53690" w:rsidP="0010532D">
      <w:pPr>
        <w:pStyle w:val="Heading3"/>
        <w:spacing w:line="360" w:lineRule="auto"/>
        <w:rPr>
          <w:rFonts w:ascii="Times New Roman" w:hAnsi="Times New Roman"/>
          <w:lang w:val="lt-LT"/>
        </w:rPr>
      </w:pPr>
      <w:bookmarkStart w:id="45" w:name="_Toc165971251"/>
      <w:bookmarkStart w:id="46" w:name="_Toc312047645"/>
      <w:r w:rsidRPr="000B544A">
        <w:rPr>
          <w:rFonts w:ascii="Times New Roman" w:hAnsi="Times New Roman"/>
          <w:lang w:val="lt-LT"/>
        </w:rPr>
        <w:t>2</w:t>
      </w:r>
      <w:r w:rsidR="0010532D" w:rsidRPr="000B544A">
        <w:rPr>
          <w:rFonts w:ascii="Times New Roman" w:hAnsi="Times New Roman"/>
          <w:lang w:val="lt-LT"/>
        </w:rPr>
        <w:t>.2.4</w:t>
      </w:r>
      <w:r w:rsidR="00252F1D" w:rsidRPr="000B544A">
        <w:rPr>
          <w:rFonts w:ascii="Times New Roman" w:hAnsi="Times New Roman"/>
          <w:lang w:val="lt-LT"/>
        </w:rPr>
        <w:t xml:space="preserve"> Slankusis vidurkis</w:t>
      </w:r>
      <w:bookmarkEnd w:id="45"/>
      <w:r w:rsidR="008E7C0F" w:rsidRPr="000B544A">
        <w:rPr>
          <w:rFonts w:ascii="Times New Roman" w:hAnsi="Times New Roman"/>
          <w:lang w:val="lt-LT"/>
        </w:rPr>
        <w:t xml:space="preserve"> – kainos palyginimas su jos vidurkiu</w:t>
      </w:r>
      <w:bookmarkEnd w:id="46"/>
    </w:p>
    <w:p w:rsidR="00252F1D" w:rsidRPr="000B544A" w:rsidRDefault="00252F1D" w:rsidP="006566A3">
      <w:pPr>
        <w:spacing w:after="0" w:line="360" w:lineRule="auto"/>
        <w:ind w:firstLine="567"/>
        <w:jc w:val="both"/>
        <w:rPr>
          <w:rFonts w:ascii="Times New Roman" w:hAnsi="Times New Roman"/>
          <w:lang w:val="lt-LT"/>
        </w:rPr>
      </w:pPr>
      <w:r w:rsidRPr="000B544A">
        <w:rPr>
          <w:rFonts w:ascii="Times New Roman" w:hAnsi="Times New Roman"/>
          <w:lang w:val="lt-LT"/>
        </w:rPr>
        <w:t>Slankusis vidurkis (angl. Moving average, MA) yra vienas paprasčiausių kainos prognozavimo metodų. Paprastas slankusis vidurkis skaičiuoja parametruose nustatyto kiekio kainų vidurkį ir jį pažymi grafike. Pvz. MA(14) – tai slankusis vidurkis, kuris skaičiuos 14-kos paskutinių kainų vidurkį. Šio metodo interpretavimas yra nesudėtingas. Kai uždarymo kaina yra didesnė už MA apskaičiuotą vidurkį, tai galima tikėtis finan</w:t>
      </w:r>
      <w:r w:rsidR="006E1551" w:rsidRPr="000B544A">
        <w:rPr>
          <w:rFonts w:ascii="Times New Roman" w:hAnsi="Times New Roman"/>
          <w:lang w:val="lt-LT"/>
        </w:rPr>
        <w:t>sinio instrumento kainos kilimo</w:t>
      </w:r>
      <w:r w:rsidRPr="000B544A">
        <w:rPr>
          <w:rFonts w:ascii="Times New Roman" w:hAnsi="Times New Roman"/>
          <w:lang w:val="lt-LT"/>
        </w:rPr>
        <w:t xml:space="preserve">. Kai kaina užsidaro žemiau slankiojo vidurkio, galima tikėtis kainos kritimo žemyn. </w:t>
      </w:r>
    </w:p>
    <w:p w:rsidR="00252F1D" w:rsidRPr="000B544A" w:rsidRDefault="00252F1D" w:rsidP="006566A3">
      <w:pPr>
        <w:spacing w:after="0" w:line="360" w:lineRule="auto"/>
        <w:ind w:firstLine="567"/>
        <w:jc w:val="both"/>
        <w:rPr>
          <w:rFonts w:ascii="Times New Roman" w:hAnsi="Times New Roman"/>
          <w:lang w:val="lt-LT"/>
        </w:rPr>
      </w:pPr>
      <w:r w:rsidRPr="000B544A">
        <w:rPr>
          <w:rFonts w:ascii="Times New Roman" w:hAnsi="Times New Roman"/>
          <w:lang w:val="lt-LT"/>
        </w:rPr>
        <w:t>Dažniau naudojami du ar trys slankieji vidurkiai vienu metu. Kiekvienas iš šių slankiųjų vidurkių skaičiuojamas pagal skirtingus parametrus, todėl į rinkos judesius reaguoja skirtingai. Wing-Keung Wong ir kt. (</w:t>
      </w:r>
      <w:smartTag w:uri="urn:schemas-microsoft-com:office:smarttags" w:element="metricconverter">
        <w:smartTagPr>
          <w:attr w:name="ProductID" w:val="2003 m"/>
        </w:smartTagPr>
        <w:r w:rsidRPr="000B544A">
          <w:rPr>
            <w:rFonts w:ascii="Times New Roman" w:hAnsi="Times New Roman"/>
            <w:lang w:val="lt-LT"/>
          </w:rPr>
          <w:t>2003 m</w:t>
        </w:r>
      </w:smartTag>
      <w:r w:rsidRPr="000B544A">
        <w:rPr>
          <w:rFonts w:ascii="Times New Roman" w:hAnsi="Times New Roman"/>
          <w:lang w:val="lt-LT"/>
        </w:rPr>
        <w:t>.) atliko tyrimą naudodami vieną, du ir tris slankiuosius vidurkius</w:t>
      </w:r>
      <w:r w:rsidR="008600B2" w:rsidRPr="000B544A">
        <w:rPr>
          <w:rFonts w:ascii="Times New Roman" w:hAnsi="Times New Roman"/>
          <w:lang w:val="lt-LT"/>
        </w:rPr>
        <w:t xml:space="preserve"> [10]</w:t>
      </w:r>
      <w:r w:rsidRPr="000B544A">
        <w:rPr>
          <w:rFonts w:ascii="Times New Roman" w:hAnsi="Times New Roman"/>
          <w:lang w:val="lt-LT"/>
        </w:rPr>
        <w:t xml:space="preserve">. </w:t>
      </w:r>
    </w:p>
    <w:p w:rsidR="00252F1D" w:rsidRPr="000B544A" w:rsidRDefault="00252F1D" w:rsidP="003B19AB">
      <w:pPr>
        <w:spacing w:after="0" w:line="360" w:lineRule="auto"/>
        <w:ind w:firstLine="567"/>
        <w:jc w:val="both"/>
        <w:rPr>
          <w:rFonts w:ascii="Times New Roman" w:hAnsi="Times New Roman"/>
          <w:lang w:val="lt-LT"/>
        </w:rPr>
      </w:pPr>
      <w:r w:rsidRPr="000B544A">
        <w:rPr>
          <w:rFonts w:ascii="Times New Roman" w:hAnsi="Times New Roman"/>
          <w:lang w:val="lt-LT"/>
        </w:rPr>
        <w:t>Slankieji vidurkiai yra populiarūs tyrimuose, taip pat esama keletas jų rūšių. Chris P. Tsokos (</w:t>
      </w:r>
      <w:smartTag w:uri="urn:schemas-microsoft-com:office:smarttags" w:element="metricconverter">
        <w:smartTagPr>
          <w:attr w:name="ProductID" w:val="2010 m"/>
        </w:smartTagPr>
        <w:r w:rsidRPr="000B544A">
          <w:rPr>
            <w:rFonts w:ascii="Times New Roman" w:hAnsi="Times New Roman"/>
            <w:lang w:val="lt-LT"/>
          </w:rPr>
          <w:t>2010 m</w:t>
        </w:r>
      </w:smartTag>
      <w:r w:rsidRPr="000B544A">
        <w:rPr>
          <w:rFonts w:ascii="Times New Roman" w:hAnsi="Times New Roman"/>
          <w:lang w:val="lt-LT"/>
        </w:rPr>
        <w:t>.) savo tyrime panaudojo 4 rūšių slankiuosius vidurkius</w:t>
      </w:r>
      <w:r w:rsidR="008600B2" w:rsidRPr="000B544A">
        <w:rPr>
          <w:rFonts w:ascii="Times New Roman" w:hAnsi="Times New Roman"/>
          <w:lang w:val="lt-LT"/>
        </w:rPr>
        <w:t xml:space="preserve"> [9]</w:t>
      </w:r>
      <w:r w:rsidRPr="000B544A">
        <w:rPr>
          <w:rFonts w:ascii="Times New Roman" w:hAnsi="Times New Roman"/>
          <w:lang w:val="lt-LT"/>
        </w:rPr>
        <w:t>. Kuriant prognozavimo modelį</w:t>
      </w:r>
      <w:r w:rsidR="006E1551" w:rsidRPr="000B544A">
        <w:rPr>
          <w:rFonts w:ascii="Times New Roman" w:hAnsi="Times New Roman"/>
          <w:lang w:val="lt-LT"/>
        </w:rPr>
        <w:t>,</w:t>
      </w:r>
      <w:r w:rsidRPr="000B544A">
        <w:rPr>
          <w:rFonts w:ascii="Times New Roman" w:hAnsi="Times New Roman"/>
          <w:lang w:val="lt-LT"/>
        </w:rPr>
        <w:t xml:space="preserve"> buvo įvertinta skirtingų slankiųjų vidurkių reikšmė.</w:t>
      </w:r>
    </w:p>
    <w:p w:rsidR="00252F1D" w:rsidRPr="000B544A" w:rsidRDefault="00252F1D" w:rsidP="006566A3">
      <w:pPr>
        <w:spacing w:after="0" w:line="360" w:lineRule="auto"/>
        <w:ind w:firstLine="567"/>
        <w:jc w:val="both"/>
        <w:rPr>
          <w:rFonts w:ascii="Times New Roman" w:hAnsi="Times New Roman"/>
          <w:lang w:val="lt-LT"/>
        </w:rPr>
      </w:pPr>
      <w:r w:rsidRPr="000B544A">
        <w:rPr>
          <w:rFonts w:ascii="Times New Roman" w:hAnsi="Times New Roman"/>
          <w:lang w:val="lt-LT"/>
        </w:rPr>
        <w:t>Taip pat egzistuoja ir eksponentinis slankusis vidurkis (EMA). Šis metodas yra sudėtingiausias iš slankiųjų vidurkių, jį apskaičiuoti be kompiuterio yra sudėtinga. Eksponentinis slankusis vidurkis didesnę reikšmę teikia naujesniems duomenims, tačiau nepamiršta ir senesnių laikotarpių. 5 dienų eksponentinis slankusis vidurkis apima ne tik 5 dienų laikotarpį, bet ir visą duomenų bazę iki jos skaičiavimo pradžios. Tačiau didžiausias svoris suteikiamas paskutiniams 5 periodams. Eksponentinio vidurkio vertė apskaičiuojama pagal geometrinę progresiją. (G. Kancerevyčius, 2006).</w:t>
      </w:r>
    </w:p>
    <w:p w:rsidR="0051209D" w:rsidRPr="000B544A" w:rsidRDefault="0051209D" w:rsidP="003B19AB">
      <w:pPr>
        <w:spacing w:after="0" w:line="360" w:lineRule="auto"/>
        <w:ind w:firstLine="567"/>
        <w:jc w:val="both"/>
        <w:rPr>
          <w:rFonts w:ascii="Times New Roman" w:hAnsi="Times New Roman"/>
          <w:lang w:val="lt-LT"/>
        </w:rPr>
      </w:pPr>
      <w:r w:rsidRPr="000B544A">
        <w:rPr>
          <w:rFonts w:ascii="Times New Roman" w:hAnsi="Times New Roman"/>
          <w:lang w:val="lt-LT"/>
        </w:rPr>
        <w:t xml:space="preserve">Baltijos šalių akcijų rinkoje panaudoti paprastas ir eksponentinis slankieji vidurkiai. Kiekvienam iš jų surastas geriausias parametras. Eksponentinis slankusis vidurkis generavo geriausius signalus su </w:t>
      </w:r>
      <w:r w:rsidRPr="000B544A">
        <w:rPr>
          <w:rFonts w:ascii="Times New Roman" w:hAnsi="Times New Roman"/>
          <w:lang w:val="lt-LT"/>
        </w:rPr>
        <w:lastRenderedPageBreak/>
        <w:t>parametru – 34, o paprastas slankusis vidurkis generavo geriausius signalus su parametru – 30.</w:t>
      </w:r>
      <w:r w:rsidR="003B19AB" w:rsidRPr="000B544A">
        <w:rPr>
          <w:rFonts w:ascii="Times New Roman" w:hAnsi="Times New Roman"/>
          <w:lang w:val="lt-LT"/>
        </w:rPr>
        <w:t xml:space="preserve"> Slankiųjų vidurkių signalais buvo laikoma, kai uždarymo kaina viršydavo arba nukrisdavo žemiau slankiųjų vidurkių. </w:t>
      </w:r>
    </w:p>
    <w:p w:rsidR="00F54846" w:rsidRPr="000B544A" w:rsidRDefault="00F54846" w:rsidP="00F54846">
      <w:pPr>
        <w:pStyle w:val="Caption"/>
        <w:keepNext/>
        <w:jc w:val="center"/>
        <w:rPr>
          <w:rFonts w:ascii="Times New Roman" w:hAnsi="Times New Roman"/>
          <w:b w:val="0"/>
          <w:lang w:val="lt-LT"/>
        </w:rPr>
      </w:pPr>
      <w:r w:rsidRPr="000B544A">
        <w:rPr>
          <w:rFonts w:ascii="Times New Roman" w:hAnsi="Times New Roman"/>
          <w:b w:val="0"/>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47" w:name="_Toc311718676"/>
      <w:r w:rsidR="00C53DDD">
        <w:rPr>
          <w:rFonts w:ascii="Times New Roman" w:hAnsi="Times New Roman"/>
          <w:b w:val="0"/>
          <w:noProof/>
          <w:lang w:val="lt-LT"/>
        </w:rPr>
        <w:t>10</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 </w:t>
      </w:r>
      <w:r w:rsidRPr="000B544A">
        <w:rPr>
          <w:rFonts w:ascii="Times New Roman" w:hAnsi="Times New Roman"/>
          <w:lang w:val="lt-LT"/>
        </w:rPr>
        <w:t>Eksponentinio ir paprastojo slankiųjų vidurkių signalų rezultatai</w:t>
      </w:r>
      <w:bookmarkEnd w:id="47"/>
    </w:p>
    <w:tbl>
      <w:tblPr>
        <w:tblW w:w="7751" w:type="dxa"/>
        <w:jc w:val="center"/>
        <w:tblInd w:w="2239" w:type="dxa"/>
        <w:tblLook w:val="0000"/>
      </w:tblPr>
      <w:tblGrid>
        <w:gridCol w:w="530"/>
        <w:gridCol w:w="2665"/>
        <w:gridCol w:w="1006"/>
        <w:gridCol w:w="1272"/>
        <w:gridCol w:w="1006"/>
        <w:gridCol w:w="1272"/>
      </w:tblGrid>
      <w:tr w:rsidR="0000093B" w:rsidRPr="000B544A">
        <w:trPr>
          <w:trHeight w:val="255"/>
          <w:jc w:val="center"/>
        </w:trPr>
        <w:tc>
          <w:tcPr>
            <w:tcW w:w="530" w:type="dxa"/>
            <w:tcBorders>
              <w:top w:val="single" w:sz="4" w:space="0" w:color="auto"/>
              <w:left w:val="single" w:sz="4" w:space="0" w:color="auto"/>
              <w:right w:val="single" w:sz="4" w:space="0" w:color="auto"/>
            </w:tcBorders>
          </w:tcPr>
          <w:p w:rsidR="0000093B" w:rsidRPr="000B544A" w:rsidRDefault="0000093B"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Nr.</w:t>
            </w:r>
          </w:p>
        </w:tc>
        <w:tc>
          <w:tcPr>
            <w:tcW w:w="2665" w:type="dxa"/>
            <w:vMerge w:val="restart"/>
            <w:tcBorders>
              <w:top w:val="single" w:sz="4" w:space="0" w:color="auto"/>
              <w:left w:val="single" w:sz="4" w:space="0" w:color="auto"/>
              <w:right w:val="single" w:sz="4" w:space="0" w:color="auto"/>
            </w:tcBorders>
            <w:shd w:val="clear" w:color="auto" w:fill="auto"/>
            <w:noWrap/>
            <w:vAlign w:val="bottom"/>
          </w:tcPr>
          <w:p w:rsidR="0000093B" w:rsidRPr="000B544A" w:rsidRDefault="0000093B"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Akcija</w:t>
            </w:r>
          </w:p>
        </w:tc>
        <w:tc>
          <w:tcPr>
            <w:tcW w:w="2278" w:type="dxa"/>
            <w:gridSpan w:val="2"/>
            <w:tcBorders>
              <w:top w:val="single" w:sz="4" w:space="0" w:color="auto"/>
              <w:left w:val="nil"/>
              <w:bottom w:val="single" w:sz="4" w:space="0" w:color="auto"/>
              <w:right w:val="single" w:sz="4" w:space="0" w:color="auto"/>
            </w:tcBorders>
            <w:shd w:val="clear" w:color="auto" w:fill="auto"/>
            <w:noWrap/>
            <w:vAlign w:val="bottom"/>
          </w:tcPr>
          <w:p w:rsidR="0000093B" w:rsidRPr="000B544A" w:rsidRDefault="0000093B"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EMA</w:t>
            </w:r>
          </w:p>
        </w:tc>
        <w:tc>
          <w:tcPr>
            <w:tcW w:w="2278" w:type="dxa"/>
            <w:gridSpan w:val="2"/>
            <w:tcBorders>
              <w:top w:val="single" w:sz="4" w:space="0" w:color="auto"/>
              <w:left w:val="nil"/>
              <w:bottom w:val="single" w:sz="4" w:space="0" w:color="auto"/>
              <w:right w:val="single" w:sz="4" w:space="0" w:color="auto"/>
            </w:tcBorders>
            <w:shd w:val="clear" w:color="auto" w:fill="auto"/>
            <w:noWrap/>
            <w:vAlign w:val="bottom"/>
          </w:tcPr>
          <w:p w:rsidR="0000093B" w:rsidRPr="000B544A" w:rsidRDefault="0000093B"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SMA</w:t>
            </w:r>
          </w:p>
        </w:tc>
      </w:tr>
      <w:tr w:rsidR="0000093B" w:rsidRPr="000B544A">
        <w:trPr>
          <w:trHeight w:val="255"/>
          <w:jc w:val="center"/>
        </w:trPr>
        <w:tc>
          <w:tcPr>
            <w:tcW w:w="530" w:type="dxa"/>
            <w:tcBorders>
              <w:left w:val="single" w:sz="4" w:space="0" w:color="auto"/>
              <w:bottom w:val="single" w:sz="4" w:space="0" w:color="auto"/>
              <w:right w:val="single" w:sz="4" w:space="0" w:color="auto"/>
            </w:tcBorders>
          </w:tcPr>
          <w:p w:rsidR="0000093B" w:rsidRPr="000B544A" w:rsidRDefault="0000093B" w:rsidP="0000093B">
            <w:pPr>
              <w:spacing w:after="0"/>
              <w:jc w:val="center"/>
              <w:rPr>
                <w:rFonts w:ascii="Times New Roman" w:hAnsi="Times New Roman"/>
                <w:sz w:val="22"/>
                <w:szCs w:val="22"/>
                <w:lang w:val="lt-LT" w:eastAsia="lt-LT"/>
              </w:rPr>
            </w:pPr>
          </w:p>
        </w:tc>
        <w:tc>
          <w:tcPr>
            <w:tcW w:w="2665" w:type="dxa"/>
            <w:vMerge/>
            <w:tcBorders>
              <w:left w:val="single" w:sz="4" w:space="0" w:color="auto"/>
              <w:bottom w:val="single" w:sz="4" w:space="0" w:color="auto"/>
              <w:right w:val="single" w:sz="4" w:space="0" w:color="auto"/>
            </w:tcBorders>
            <w:shd w:val="clear" w:color="auto" w:fill="auto"/>
            <w:noWrap/>
            <w:vAlign w:val="bottom"/>
          </w:tcPr>
          <w:p w:rsidR="0000093B" w:rsidRPr="000B544A" w:rsidRDefault="0000093B" w:rsidP="003B19AB">
            <w:pPr>
              <w:spacing w:after="0"/>
              <w:jc w:val="center"/>
              <w:rPr>
                <w:rFonts w:ascii="Times New Roman" w:hAnsi="Times New Roman"/>
                <w:sz w:val="22"/>
                <w:szCs w:val="22"/>
                <w:lang w:val="lt-LT" w:eastAsia="lt-LT"/>
              </w:rPr>
            </w:pPr>
          </w:p>
        </w:tc>
        <w:tc>
          <w:tcPr>
            <w:tcW w:w="1006" w:type="dxa"/>
            <w:tcBorders>
              <w:top w:val="single" w:sz="4" w:space="0" w:color="auto"/>
              <w:left w:val="nil"/>
              <w:bottom w:val="single" w:sz="4" w:space="0" w:color="auto"/>
              <w:right w:val="single" w:sz="4" w:space="0" w:color="auto"/>
            </w:tcBorders>
            <w:shd w:val="clear" w:color="auto" w:fill="auto"/>
            <w:noWrap/>
            <w:vAlign w:val="bottom"/>
          </w:tcPr>
          <w:p w:rsidR="0000093B" w:rsidRPr="000B544A" w:rsidRDefault="0000093B"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Pirkimas</w:t>
            </w:r>
          </w:p>
        </w:tc>
        <w:tc>
          <w:tcPr>
            <w:tcW w:w="1272" w:type="dxa"/>
            <w:tcBorders>
              <w:top w:val="single" w:sz="4" w:space="0" w:color="auto"/>
              <w:left w:val="nil"/>
              <w:bottom w:val="single" w:sz="4" w:space="0" w:color="auto"/>
              <w:right w:val="single" w:sz="4" w:space="0" w:color="auto"/>
            </w:tcBorders>
            <w:shd w:val="clear" w:color="auto" w:fill="auto"/>
            <w:noWrap/>
            <w:vAlign w:val="bottom"/>
          </w:tcPr>
          <w:p w:rsidR="0000093B" w:rsidRPr="000B544A" w:rsidRDefault="0000093B"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Pardavimas</w:t>
            </w:r>
          </w:p>
        </w:tc>
        <w:tc>
          <w:tcPr>
            <w:tcW w:w="1006" w:type="dxa"/>
            <w:tcBorders>
              <w:top w:val="single" w:sz="4" w:space="0" w:color="auto"/>
              <w:left w:val="nil"/>
              <w:bottom w:val="single" w:sz="4" w:space="0" w:color="auto"/>
              <w:right w:val="single" w:sz="4" w:space="0" w:color="auto"/>
            </w:tcBorders>
            <w:shd w:val="clear" w:color="auto" w:fill="auto"/>
            <w:noWrap/>
            <w:vAlign w:val="bottom"/>
          </w:tcPr>
          <w:p w:rsidR="0000093B" w:rsidRPr="000B544A" w:rsidRDefault="0000093B"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Pirkimas</w:t>
            </w:r>
          </w:p>
        </w:tc>
        <w:tc>
          <w:tcPr>
            <w:tcW w:w="1272" w:type="dxa"/>
            <w:tcBorders>
              <w:top w:val="single" w:sz="4" w:space="0" w:color="auto"/>
              <w:left w:val="nil"/>
              <w:bottom w:val="single" w:sz="4" w:space="0" w:color="auto"/>
              <w:right w:val="single" w:sz="4" w:space="0" w:color="auto"/>
            </w:tcBorders>
            <w:shd w:val="clear" w:color="auto" w:fill="auto"/>
            <w:noWrap/>
            <w:vAlign w:val="bottom"/>
          </w:tcPr>
          <w:p w:rsidR="0000093B" w:rsidRPr="000B544A" w:rsidRDefault="0000093B"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Pardavimas</w:t>
            </w:r>
          </w:p>
        </w:tc>
      </w:tr>
      <w:tr w:rsidR="009635E3" w:rsidRPr="000B544A">
        <w:trPr>
          <w:trHeight w:val="300"/>
          <w:jc w:val="center"/>
        </w:trPr>
        <w:tc>
          <w:tcPr>
            <w:tcW w:w="530" w:type="dxa"/>
            <w:tcBorders>
              <w:top w:val="nil"/>
              <w:left w:val="single" w:sz="4" w:space="0" w:color="auto"/>
              <w:bottom w:val="single" w:sz="4" w:space="0" w:color="auto"/>
              <w:right w:val="single" w:sz="4" w:space="0" w:color="auto"/>
            </w:tcBorders>
          </w:tcPr>
          <w:p w:rsidR="009635E3" w:rsidRPr="000B544A" w:rsidRDefault="009635E3"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w:t>
            </w:r>
          </w:p>
        </w:tc>
        <w:tc>
          <w:tcPr>
            <w:tcW w:w="2665" w:type="dxa"/>
            <w:tcBorders>
              <w:top w:val="nil"/>
              <w:left w:val="single" w:sz="4" w:space="0" w:color="auto"/>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Apranga</w:t>
            </w:r>
          </w:p>
        </w:tc>
        <w:tc>
          <w:tcPr>
            <w:tcW w:w="1006"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59,27%</w:t>
            </w:r>
          </w:p>
        </w:tc>
        <w:tc>
          <w:tcPr>
            <w:tcW w:w="1272"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-13,37%</w:t>
            </w:r>
          </w:p>
        </w:tc>
        <w:tc>
          <w:tcPr>
            <w:tcW w:w="1006"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61,06%</w:t>
            </w:r>
          </w:p>
        </w:tc>
        <w:tc>
          <w:tcPr>
            <w:tcW w:w="1272"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-15,79%</w:t>
            </w:r>
          </w:p>
        </w:tc>
      </w:tr>
      <w:tr w:rsidR="009635E3" w:rsidRPr="000B544A">
        <w:trPr>
          <w:trHeight w:val="300"/>
          <w:jc w:val="center"/>
        </w:trPr>
        <w:tc>
          <w:tcPr>
            <w:tcW w:w="530" w:type="dxa"/>
            <w:tcBorders>
              <w:top w:val="nil"/>
              <w:left w:val="single" w:sz="4" w:space="0" w:color="auto"/>
              <w:bottom w:val="single" w:sz="4" w:space="0" w:color="auto"/>
              <w:right w:val="single" w:sz="4" w:space="0" w:color="auto"/>
            </w:tcBorders>
          </w:tcPr>
          <w:p w:rsidR="009635E3" w:rsidRPr="000B544A" w:rsidRDefault="009635E3"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w:t>
            </w:r>
          </w:p>
        </w:tc>
        <w:tc>
          <w:tcPr>
            <w:tcW w:w="2665" w:type="dxa"/>
            <w:tcBorders>
              <w:top w:val="nil"/>
              <w:left w:val="single" w:sz="4" w:space="0" w:color="auto"/>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Linas Agro Group</w:t>
            </w:r>
          </w:p>
        </w:tc>
        <w:tc>
          <w:tcPr>
            <w:tcW w:w="1006"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-2,86%</w:t>
            </w:r>
          </w:p>
        </w:tc>
        <w:tc>
          <w:tcPr>
            <w:tcW w:w="1272"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-8,09%</w:t>
            </w:r>
          </w:p>
        </w:tc>
        <w:tc>
          <w:tcPr>
            <w:tcW w:w="1006"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-22,91%</w:t>
            </w:r>
          </w:p>
        </w:tc>
        <w:tc>
          <w:tcPr>
            <w:tcW w:w="1272"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39,24%</w:t>
            </w:r>
          </w:p>
        </w:tc>
      </w:tr>
      <w:tr w:rsidR="009635E3" w:rsidRPr="000B544A">
        <w:trPr>
          <w:trHeight w:val="300"/>
          <w:jc w:val="center"/>
        </w:trPr>
        <w:tc>
          <w:tcPr>
            <w:tcW w:w="530" w:type="dxa"/>
            <w:tcBorders>
              <w:top w:val="nil"/>
              <w:left w:val="single" w:sz="4" w:space="0" w:color="auto"/>
              <w:bottom w:val="single" w:sz="4" w:space="0" w:color="auto"/>
              <w:right w:val="single" w:sz="4" w:space="0" w:color="auto"/>
            </w:tcBorders>
          </w:tcPr>
          <w:p w:rsidR="009635E3" w:rsidRPr="000B544A" w:rsidRDefault="009635E3"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w:t>
            </w:r>
          </w:p>
        </w:tc>
        <w:tc>
          <w:tcPr>
            <w:tcW w:w="2665" w:type="dxa"/>
            <w:tcBorders>
              <w:top w:val="nil"/>
              <w:left w:val="single" w:sz="4" w:space="0" w:color="auto"/>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Nordecon AS</w:t>
            </w:r>
          </w:p>
        </w:tc>
        <w:tc>
          <w:tcPr>
            <w:tcW w:w="1006"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-17,07%</w:t>
            </w:r>
          </w:p>
        </w:tc>
        <w:tc>
          <w:tcPr>
            <w:tcW w:w="1272"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-12,86%</w:t>
            </w:r>
          </w:p>
        </w:tc>
        <w:tc>
          <w:tcPr>
            <w:tcW w:w="1006"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-4,12%</w:t>
            </w:r>
          </w:p>
        </w:tc>
        <w:tc>
          <w:tcPr>
            <w:tcW w:w="1272"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26,76%</w:t>
            </w:r>
          </w:p>
        </w:tc>
      </w:tr>
      <w:tr w:rsidR="009635E3" w:rsidRPr="000B544A">
        <w:trPr>
          <w:trHeight w:val="300"/>
          <w:jc w:val="center"/>
        </w:trPr>
        <w:tc>
          <w:tcPr>
            <w:tcW w:w="530" w:type="dxa"/>
            <w:tcBorders>
              <w:top w:val="nil"/>
              <w:left w:val="single" w:sz="4" w:space="0" w:color="auto"/>
              <w:bottom w:val="single" w:sz="4" w:space="0" w:color="auto"/>
              <w:right w:val="single" w:sz="4" w:space="0" w:color="auto"/>
            </w:tcBorders>
          </w:tcPr>
          <w:p w:rsidR="009635E3" w:rsidRPr="000B544A" w:rsidRDefault="009635E3"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4</w:t>
            </w:r>
          </w:p>
        </w:tc>
        <w:tc>
          <w:tcPr>
            <w:tcW w:w="2665" w:type="dxa"/>
            <w:tcBorders>
              <w:top w:val="nil"/>
              <w:left w:val="single" w:sz="4" w:space="0" w:color="auto"/>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Olympic Entertainment Group</w:t>
            </w:r>
          </w:p>
        </w:tc>
        <w:tc>
          <w:tcPr>
            <w:tcW w:w="1006"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34,40%</w:t>
            </w:r>
          </w:p>
        </w:tc>
        <w:tc>
          <w:tcPr>
            <w:tcW w:w="1272"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0,19%</w:t>
            </w:r>
          </w:p>
        </w:tc>
        <w:tc>
          <w:tcPr>
            <w:tcW w:w="1006"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29,72%</w:t>
            </w:r>
          </w:p>
        </w:tc>
        <w:tc>
          <w:tcPr>
            <w:tcW w:w="1272"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12,10%</w:t>
            </w:r>
          </w:p>
        </w:tc>
      </w:tr>
      <w:tr w:rsidR="009635E3" w:rsidRPr="000B544A">
        <w:trPr>
          <w:trHeight w:val="300"/>
          <w:jc w:val="center"/>
        </w:trPr>
        <w:tc>
          <w:tcPr>
            <w:tcW w:w="530" w:type="dxa"/>
            <w:tcBorders>
              <w:top w:val="nil"/>
              <w:left w:val="single" w:sz="4" w:space="0" w:color="auto"/>
              <w:bottom w:val="single" w:sz="4" w:space="0" w:color="auto"/>
              <w:right w:val="single" w:sz="4" w:space="0" w:color="auto"/>
            </w:tcBorders>
          </w:tcPr>
          <w:p w:rsidR="009635E3" w:rsidRPr="000B544A" w:rsidRDefault="009635E3"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w:t>
            </w:r>
          </w:p>
        </w:tc>
        <w:tc>
          <w:tcPr>
            <w:tcW w:w="2665" w:type="dxa"/>
            <w:tcBorders>
              <w:top w:val="nil"/>
              <w:left w:val="single" w:sz="4" w:space="0" w:color="auto"/>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Panevėžio statybos trestas</w:t>
            </w:r>
          </w:p>
        </w:tc>
        <w:tc>
          <w:tcPr>
            <w:tcW w:w="1006"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56,58%</w:t>
            </w:r>
          </w:p>
        </w:tc>
        <w:tc>
          <w:tcPr>
            <w:tcW w:w="1272"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-9,73%</w:t>
            </w:r>
          </w:p>
        </w:tc>
        <w:tc>
          <w:tcPr>
            <w:tcW w:w="1006"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34,61%</w:t>
            </w:r>
          </w:p>
        </w:tc>
        <w:tc>
          <w:tcPr>
            <w:tcW w:w="1272"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-23,55%</w:t>
            </w:r>
          </w:p>
        </w:tc>
      </w:tr>
      <w:tr w:rsidR="009635E3" w:rsidRPr="000B544A">
        <w:trPr>
          <w:trHeight w:val="300"/>
          <w:jc w:val="center"/>
        </w:trPr>
        <w:tc>
          <w:tcPr>
            <w:tcW w:w="530" w:type="dxa"/>
            <w:tcBorders>
              <w:top w:val="nil"/>
              <w:left w:val="single" w:sz="4" w:space="0" w:color="auto"/>
              <w:bottom w:val="single" w:sz="4" w:space="0" w:color="auto"/>
              <w:right w:val="single" w:sz="4" w:space="0" w:color="auto"/>
            </w:tcBorders>
          </w:tcPr>
          <w:p w:rsidR="009635E3" w:rsidRPr="000B544A" w:rsidRDefault="009635E3"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6</w:t>
            </w:r>
          </w:p>
        </w:tc>
        <w:tc>
          <w:tcPr>
            <w:tcW w:w="2665" w:type="dxa"/>
            <w:tcBorders>
              <w:top w:val="nil"/>
              <w:left w:val="single" w:sz="4" w:space="0" w:color="auto"/>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Tallink Grupp</w:t>
            </w:r>
          </w:p>
        </w:tc>
        <w:tc>
          <w:tcPr>
            <w:tcW w:w="1006"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26,67%</w:t>
            </w:r>
          </w:p>
        </w:tc>
        <w:tc>
          <w:tcPr>
            <w:tcW w:w="1272"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-10,12%</w:t>
            </w:r>
          </w:p>
        </w:tc>
        <w:tc>
          <w:tcPr>
            <w:tcW w:w="1006"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14,78%</w:t>
            </w:r>
          </w:p>
        </w:tc>
        <w:tc>
          <w:tcPr>
            <w:tcW w:w="1272"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-16,78%</w:t>
            </w:r>
          </w:p>
        </w:tc>
      </w:tr>
      <w:tr w:rsidR="009635E3" w:rsidRPr="000B544A">
        <w:trPr>
          <w:trHeight w:val="300"/>
          <w:jc w:val="center"/>
        </w:trPr>
        <w:tc>
          <w:tcPr>
            <w:tcW w:w="530" w:type="dxa"/>
            <w:tcBorders>
              <w:top w:val="nil"/>
              <w:left w:val="single" w:sz="4" w:space="0" w:color="auto"/>
              <w:bottom w:val="single" w:sz="4" w:space="0" w:color="auto"/>
              <w:right w:val="single" w:sz="4" w:space="0" w:color="auto"/>
            </w:tcBorders>
          </w:tcPr>
          <w:p w:rsidR="009635E3" w:rsidRPr="000B544A" w:rsidRDefault="009635E3"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7</w:t>
            </w:r>
          </w:p>
        </w:tc>
        <w:tc>
          <w:tcPr>
            <w:tcW w:w="2665" w:type="dxa"/>
            <w:tcBorders>
              <w:top w:val="nil"/>
              <w:left w:val="single" w:sz="4" w:space="0" w:color="auto"/>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TEO LT</w:t>
            </w:r>
          </w:p>
        </w:tc>
        <w:tc>
          <w:tcPr>
            <w:tcW w:w="1006"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20,37%</w:t>
            </w:r>
          </w:p>
        </w:tc>
        <w:tc>
          <w:tcPr>
            <w:tcW w:w="1272"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0,20%</w:t>
            </w:r>
          </w:p>
        </w:tc>
        <w:tc>
          <w:tcPr>
            <w:tcW w:w="1006"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12,90%</w:t>
            </w:r>
          </w:p>
        </w:tc>
        <w:tc>
          <w:tcPr>
            <w:tcW w:w="1272"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3,06%</w:t>
            </w:r>
          </w:p>
        </w:tc>
      </w:tr>
      <w:tr w:rsidR="009635E3" w:rsidRPr="000B544A">
        <w:trPr>
          <w:trHeight w:val="300"/>
          <w:jc w:val="center"/>
        </w:trPr>
        <w:tc>
          <w:tcPr>
            <w:tcW w:w="530" w:type="dxa"/>
            <w:tcBorders>
              <w:top w:val="nil"/>
              <w:left w:val="single" w:sz="4" w:space="0" w:color="auto"/>
              <w:bottom w:val="single" w:sz="4" w:space="0" w:color="auto"/>
              <w:right w:val="single" w:sz="4" w:space="0" w:color="auto"/>
            </w:tcBorders>
          </w:tcPr>
          <w:p w:rsidR="009635E3" w:rsidRPr="000B544A" w:rsidRDefault="009635E3"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8</w:t>
            </w:r>
          </w:p>
        </w:tc>
        <w:tc>
          <w:tcPr>
            <w:tcW w:w="2665" w:type="dxa"/>
            <w:tcBorders>
              <w:top w:val="nil"/>
              <w:left w:val="single" w:sz="4" w:space="0" w:color="auto"/>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Tallinna Kaubamaja</w:t>
            </w:r>
          </w:p>
        </w:tc>
        <w:tc>
          <w:tcPr>
            <w:tcW w:w="1006"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36,76%</w:t>
            </w:r>
          </w:p>
        </w:tc>
        <w:tc>
          <w:tcPr>
            <w:tcW w:w="1272"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-6,94%</w:t>
            </w:r>
          </w:p>
        </w:tc>
        <w:tc>
          <w:tcPr>
            <w:tcW w:w="1006"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39,31%</w:t>
            </w:r>
          </w:p>
        </w:tc>
        <w:tc>
          <w:tcPr>
            <w:tcW w:w="1272"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5,96%</w:t>
            </w:r>
          </w:p>
        </w:tc>
      </w:tr>
      <w:tr w:rsidR="009635E3" w:rsidRPr="000B544A">
        <w:trPr>
          <w:trHeight w:val="300"/>
          <w:jc w:val="center"/>
        </w:trPr>
        <w:tc>
          <w:tcPr>
            <w:tcW w:w="530" w:type="dxa"/>
            <w:tcBorders>
              <w:top w:val="nil"/>
              <w:left w:val="single" w:sz="4" w:space="0" w:color="auto"/>
              <w:bottom w:val="single" w:sz="4" w:space="0" w:color="auto"/>
              <w:right w:val="single" w:sz="4" w:space="0" w:color="auto"/>
            </w:tcBorders>
          </w:tcPr>
          <w:p w:rsidR="009635E3" w:rsidRPr="000B544A" w:rsidRDefault="009635E3"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9</w:t>
            </w:r>
          </w:p>
        </w:tc>
        <w:tc>
          <w:tcPr>
            <w:tcW w:w="2665" w:type="dxa"/>
            <w:tcBorders>
              <w:top w:val="nil"/>
              <w:left w:val="single" w:sz="4" w:space="0" w:color="auto"/>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Tallinna Vesi</w:t>
            </w:r>
          </w:p>
        </w:tc>
        <w:tc>
          <w:tcPr>
            <w:tcW w:w="1006"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6,53%</w:t>
            </w:r>
          </w:p>
        </w:tc>
        <w:tc>
          <w:tcPr>
            <w:tcW w:w="1272"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7,81%</w:t>
            </w:r>
          </w:p>
        </w:tc>
        <w:tc>
          <w:tcPr>
            <w:tcW w:w="1006"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-17,17%</w:t>
            </w:r>
          </w:p>
        </w:tc>
        <w:tc>
          <w:tcPr>
            <w:tcW w:w="1272"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-1,81%</w:t>
            </w:r>
          </w:p>
        </w:tc>
      </w:tr>
      <w:tr w:rsidR="009635E3" w:rsidRPr="000B544A">
        <w:trPr>
          <w:trHeight w:val="315"/>
          <w:jc w:val="center"/>
        </w:trPr>
        <w:tc>
          <w:tcPr>
            <w:tcW w:w="530" w:type="dxa"/>
            <w:tcBorders>
              <w:top w:val="nil"/>
              <w:left w:val="single" w:sz="4" w:space="0" w:color="auto"/>
              <w:bottom w:val="single" w:sz="4" w:space="0" w:color="auto"/>
              <w:right w:val="single" w:sz="4" w:space="0" w:color="auto"/>
            </w:tcBorders>
          </w:tcPr>
          <w:p w:rsidR="009635E3" w:rsidRPr="000B544A" w:rsidRDefault="009635E3"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10</w:t>
            </w:r>
          </w:p>
        </w:tc>
        <w:tc>
          <w:tcPr>
            <w:tcW w:w="2665" w:type="dxa"/>
            <w:tcBorders>
              <w:top w:val="nil"/>
              <w:left w:val="single" w:sz="4" w:space="0" w:color="auto"/>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Ūkio bankas</w:t>
            </w:r>
          </w:p>
        </w:tc>
        <w:tc>
          <w:tcPr>
            <w:tcW w:w="1006"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15,46%</w:t>
            </w:r>
          </w:p>
        </w:tc>
        <w:tc>
          <w:tcPr>
            <w:tcW w:w="1272"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-11,09%</w:t>
            </w:r>
          </w:p>
        </w:tc>
        <w:tc>
          <w:tcPr>
            <w:tcW w:w="1006"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8,66%</w:t>
            </w:r>
          </w:p>
        </w:tc>
        <w:tc>
          <w:tcPr>
            <w:tcW w:w="1272"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44,46%</w:t>
            </w:r>
          </w:p>
        </w:tc>
      </w:tr>
      <w:tr w:rsidR="009635E3" w:rsidRPr="000B544A">
        <w:trPr>
          <w:trHeight w:val="255"/>
          <w:jc w:val="center"/>
        </w:trPr>
        <w:tc>
          <w:tcPr>
            <w:tcW w:w="530" w:type="dxa"/>
            <w:tcBorders>
              <w:top w:val="nil"/>
              <w:left w:val="single" w:sz="4" w:space="0" w:color="auto"/>
              <w:bottom w:val="single" w:sz="4" w:space="0" w:color="auto"/>
              <w:right w:val="single" w:sz="4" w:space="0" w:color="auto"/>
            </w:tcBorders>
          </w:tcPr>
          <w:p w:rsidR="009635E3" w:rsidRPr="000B544A" w:rsidRDefault="009635E3" w:rsidP="000D1B53">
            <w:pPr>
              <w:spacing w:after="0"/>
              <w:jc w:val="center"/>
              <w:rPr>
                <w:rFonts w:ascii="Times New Roman" w:hAnsi="Times New Roman"/>
                <w:sz w:val="22"/>
                <w:szCs w:val="22"/>
                <w:lang w:val="lt-LT" w:eastAsia="lt-LT"/>
              </w:rPr>
            </w:pPr>
          </w:p>
        </w:tc>
        <w:tc>
          <w:tcPr>
            <w:tcW w:w="2665" w:type="dxa"/>
            <w:tcBorders>
              <w:top w:val="nil"/>
              <w:left w:val="single" w:sz="4" w:space="0" w:color="auto"/>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Suma</w:t>
            </w:r>
          </w:p>
        </w:tc>
        <w:tc>
          <w:tcPr>
            <w:tcW w:w="1006"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236,11%</w:t>
            </w:r>
          </w:p>
        </w:tc>
        <w:tc>
          <w:tcPr>
            <w:tcW w:w="1272"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-64,00%</w:t>
            </w:r>
          </w:p>
        </w:tc>
        <w:tc>
          <w:tcPr>
            <w:tcW w:w="1006"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156,85%</w:t>
            </w:r>
          </w:p>
        </w:tc>
        <w:tc>
          <w:tcPr>
            <w:tcW w:w="1272" w:type="dxa"/>
            <w:tcBorders>
              <w:top w:val="nil"/>
              <w:left w:val="nil"/>
              <w:bottom w:val="single" w:sz="4" w:space="0" w:color="auto"/>
              <w:right w:val="single" w:sz="4" w:space="0" w:color="auto"/>
            </w:tcBorders>
            <w:shd w:val="clear" w:color="auto" w:fill="auto"/>
            <w:noWrap/>
            <w:vAlign w:val="bottom"/>
          </w:tcPr>
          <w:p w:rsidR="009635E3" w:rsidRPr="000B544A" w:rsidRDefault="009635E3" w:rsidP="003B19A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73,65%</w:t>
            </w:r>
          </w:p>
        </w:tc>
      </w:tr>
    </w:tbl>
    <w:p w:rsidR="003B19AB" w:rsidRPr="000B544A" w:rsidRDefault="00520F7B" w:rsidP="00520F7B">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252F1D" w:rsidRPr="000B544A" w:rsidRDefault="00B666C1" w:rsidP="00757EAA">
      <w:pPr>
        <w:spacing w:after="0" w:line="360" w:lineRule="auto"/>
        <w:ind w:firstLine="567"/>
        <w:jc w:val="both"/>
        <w:rPr>
          <w:rFonts w:ascii="Times New Roman" w:hAnsi="Times New Roman"/>
          <w:lang w:val="lt-LT"/>
        </w:rPr>
      </w:pPr>
      <w:r w:rsidRPr="000B544A">
        <w:rPr>
          <w:rFonts w:ascii="Times New Roman" w:hAnsi="Times New Roman"/>
          <w:lang w:val="lt-LT"/>
        </w:rPr>
        <w:t xml:space="preserve">Lentelėje pateikti slankiųjų vidurkių rodomų signalų rezultatai. </w:t>
      </w:r>
      <w:r w:rsidR="00BF0052" w:rsidRPr="000B544A">
        <w:rPr>
          <w:rFonts w:ascii="Times New Roman" w:hAnsi="Times New Roman"/>
          <w:lang w:val="lt-LT"/>
        </w:rPr>
        <w:t xml:space="preserve">Eksponentinis slankusis vidurkis generavo geresnius signalus pirkimo sandoriams, nei paprastas slankusis vidurkis. Eksponentinis – 236,11 proc., o paprastas – 156,85 proc. Pardavimo sandoriams geresnius signalus generavo paprastas slankusis vidurkis, kurio signalai galėjo uždirbti 73,65 proc. </w:t>
      </w:r>
      <w:r w:rsidR="003B7DE4" w:rsidRPr="000B544A">
        <w:rPr>
          <w:rFonts w:ascii="Times New Roman" w:hAnsi="Times New Roman"/>
          <w:lang w:val="lt-LT"/>
        </w:rPr>
        <w:t>p</w:t>
      </w:r>
      <w:r w:rsidR="00BF0052" w:rsidRPr="000B544A">
        <w:rPr>
          <w:rFonts w:ascii="Times New Roman" w:hAnsi="Times New Roman"/>
          <w:lang w:val="lt-LT"/>
        </w:rPr>
        <w:t xml:space="preserve">elno, o eksponentinio slankiojo vidurkio signalai buvo klaidingi ir būtų sąlygoję 64 proc. </w:t>
      </w:r>
      <w:r w:rsidR="003B7DE4" w:rsidRPr="000B544A">
        <w:rPr>
          <w:rFonts w:ascii="Times New Roman" w:hAnsi="Times New Roman"/>
          <w:lang w:val="lt-LT"/>
        </w:rPr>
        <w:t>n</w:t>
      </w:r>
      <w:r w:rsidR="00BF0052" w:rsidRPr="000B544A">
        <w:rPr>
          <w:rFonts w:ascii="Times New Roman" w:hAnsi="Times New Roman"/>
          <w:lang w:val="lt-LT"/>
        </w:rPr>
        <w:t>uostolį. Bendrai sudėjus abu slankiuosius vidurkius, geresnį rezultatą būtų buvę galima uždirbti pasikliaujant paprastojo slankiojo vidurkio signalais.</w:t>
      </w:r>
    </w:p>
    <w:p w:rsidR="00252F1D" w:rsidRPr="000B544A" w:rsidRDefault="00BF0052" w:rsidP="0010532D">
      <w:pPr>
        <w:pStyle w:val="Heading3"/>
        <w:spacing w:line="360" w:lineRule="auto"/>
        <w:rPr>
          <w:rFonts w:ascii="Times New Roman" w:hAnsi="Times New Roman"/>
          <w:lang w:val="lt-LT"/>
        </w:rPr>
      </w:pPr>
      <w:bookmarkStart w:id="48" w:name="_Toc312047646"/>
      <w:r w:rsidRPr="000B544A">
        <w:rPr>
          <w:rFonts w:ascii="Times New Roman" w:hAnsi="Times New Roman"/>
          <w:lang w:val="lt-LT"/>
        </w:rPr>
        <w:t>2</w:t>
      </w:r>
      <w:r w:rsidR="00252F1D" w:rsidRPr="000B544A">
        <w:rPr>
          <w:rFonts w:ascii="Times New Roman" w:hAnsi="Times New Roman"/>
          <w:lang w:val="lt-LT"/>
        </w:rPr>
        <w:t>.</w:t>
      </w:r>
      <w:r w:rsidR="0010532D" w:rsidRPr="000B544A">
        <w:rPr>
          <w:rFonts w:ascii="Times New Roman" w:hAnsi="Times New Roman"/>
          <w:lang w:val="lt-LT"/>
        </w:rPr>
        <w:t>2.5</w:t>
      </w:r>
      <w:r w:rsidR="00252F1D" w:rsidRPr="000B544A">
        <w:rPr>
          <w:rFonts w:ascii="Times New Roman" w:hAnsi="Times New Roman"/>
          <w:lang w:val="lt-LT"/>
        </w:rPr>
        <w:t xml:space="preserve"> Pokyčio indikatorius </w:t>
      </w:r>
      <w:r w:rsidR="008E7C0F" w:rsidRPr="000B544A">
        <w:rPr>
          <w:rFonts w:ascii="Times New Roman" w:hAnsi="Times New Roman"/>
          <w:lang w:val="lt-LT"/>
        </w:rPr>
        <w:t>–</w:t>
      </w:r>
      <w:r w:rsidR="00252F1D" w:rsidRPr="000B544A">
        <w:rPr>
          <w:rFonts w:ascii="Times New Roman" w:hAnsi="Times New Roman"/>
          <w:lang w:val="lt-LT"/>
        </w:rPr>
        <w:t xml:space="preserve"> </w:t>
      </w:r>
      <w:r w:rsidR="008E7C0F" w:rsidRPr="000B544A">
        <w:rPr>
          <w:rFonts w:ascii="Times New Roman" w:hAnsi="Times New Roman"/>
          <w:lang w:val="lt-LT"/>
        </w:rPr>
        <w:t>paskutinės kainos ir praeities kainos palyginimas</w:t>
      </w:r>
      <w:bookmarkEnd w:id="48"/>
    </w:p>
    <w:p w:rsidR="00252F1D" w:rsidRPr="000B544A" w:rsidRDefault="008E7C0F" w:rsidP="006566A3">
      <w:pPr>
        <w:spacing w:after="0" w:line="360" w:lineRule="auto"/>
        <w:ind w:firstLine="567"/>
        <w:jc w:val="both"/>
        <w:rPr>
          <w:rFonts w:ascii="Times New Roman" w:hAnsi="Times New Roman"/>
          <w:lang w:val="lt-LT"/>
        </w:rPr>
      </w:pPr>
      <w:r w:rsidRPr="000B544A">
        <w:rPr>
          <w:rFonts w:ascii="Times New Roman" w:hAnsi="Times New Roman"/>
          <w:lang w:val="lt-LT"/>
        </w:rPr>
        <w:t>Pokyčio indikatorius (angl. M</w:t>
      </w:r>
      <w:r w:rsidR="00252F1D" w:rsidRPr="000B544A">
        <w:rPr>
          <w:rFonts w:ascii="Times New Roman" w:hAnsi="Times New Roman"/>
          <w:lang w:val="lt-LT"/>
        </w:rPr>
        <w:t>omentum</w:t>
      </w:r>
      <w:r w:rsidRPr="000B544A">
        <w:rPr>
          <w:rFonts w:ascii="Times New Roman" w:hAnsi="Times New Roman"/>
          <w:lang w:val="lt-LT"/>
        </w:rPr>
        <w:t>)</w:t>
      </w:r>
      <w:r w:rsidR="00252F1D" w:rsidRPr="000B544A">
        <w:rPr>
          <w:rFonts w:ascii="Times New Roman" w:hAnsi="Times New Roman"/>
          <w:lang w:val="lt-LT"/>
        </w:rPr>
        <w:t xml:space="preserve"> matuoja kainos pokyčius laike. Pagal šio rodiklio reikšmes galima interpretuoti, kada rinka yra perpirkta ir kada rinka yra perparduota. </w:t>
      </w:r>
      <w:r w:rsidRPr="000B544A">
        <w:rPr>
          <w:rFonts w:ascii="Times New Roman" w:hAnsi="Times New Roman"/>
          <w:lang w:val="lt-LT"/>
        </w:rPr>
        <w:t>Pokyčio indikatorius</w:t>
      </w:r>
      <w:r w:rsidR="00252F1D" w:rsidRPr="000B544A">
        <w:rPr>
          <w:rFonts w:ascii="Times New Roman" w:hAnsi="Times New Roman"/>
          <w:lang w:val="lt-LT"/>
        </w:rPr>
        <w:t xml:space="preserve"> parodo, ar kainos kyla ar kainos krenta. Šis metodas veikia praeities kainą atimant iš paskutinės kainos. </w:t>
      </w:r>
    </w:p>
    <w:p w:rsidR="00252F1D" w:rsidRPr="000B544A" w:rsidRDefault="00252F1D" w:rsidP="006566A3">
      <w:pPr>
        <w:spacing w:after="0" w:line="360" w:lineRule="auto"/>
        <w:ind w:firstLine="567"/>
        <w:jc w:val="both"/>
        <w:rPr>
          <w:rFonts w:ascii="Times New Roman" w:hAnsi="Times New Roman"/>
          <w:lang w:val="lt-LT"/>
        </w:rPr>
      </w:pPr>
      <w:r w:rsidRPr="000B544A">
        <w:rPr>
          <w:rFonts w:ascii="Times New Roman" w:hAnsi="Times New Roman"/>
          <w:lang w:val="lt-LT"/>
        </w:rPr>
        <w:t xml:space="preserve">Šio metodo apskaičiavimas yra gana paprastas. Jis palygina dabartinę kainą su pasirinkto ankstesnio </w:t>
      </w:r>
      <w:r w:rsidR="0020082D" w:rsidRPr="000B544A">
        <w:rPr>
          <w:rFonts w:ascii="Times New Roman" w:hAnsi="Times New Roman"/>
          <w:lang w:val="lt-LT"/>
        </w:rPr>
        <w:t>periodo</w:t>
      </w:r>
      <w:r w:rsidRPr="000B544A">
        <w:rPr>
          <w:rFonts w:ascii="Times New Roman" w:hAnsi="Times New Roman"/>
          <w:lang w:val="lt-LT"/>
        </w:rPr>
        <w:t xml:space="preserve"> kaina.</w:t>
      </w:r>
    </w:p>
    <w:p w:rsidR="00252F1D" w:rsidRPr="000B544A" w:rsidRDefault="00252F1D" w:rsidP="006566A3">
      <w:pPr>
        <w:spacing w:after="0" w:line="360" w:lineRule="auto"/>
        <w:ind w:firstLine="567"/>
        <w:jc w:val="both"/>
        <w:rPr>
          <w:rFonts w:ascii="Times New Roman" w:hAnsi="Times New Roman"/>
          <w:lang w:val="lt-LT"/>
        </w:rPr>
      </w:pPr>
    </w:p>
    <w:p w:rsidR="00252F1D" w:rsidRPr="000B544A" w:rsidRDefault="00B542BF" w:rsidP="00FA29CA">
      <w:pPr>
        <w:spacing w:after="0" w:line="360" w:lineRule="auto"/>
        <w:ind w:firstLine="567"/>
        <w:jc w:val="center"/>
        <w:rPr>
          <w:rFonts w:ascii="Times New Roman" w:hAnsi="Times New Roman"/>
          <w:lang w:val="lt-LT"/>
        </w:rPr>
      </w:pPr>
      <m:oMath>
        <m:r>
          <w:rPr>
            <w:rFonts w:ascii="Cambria Math" w:hAnsi="Cambria Math"/>
            <w:lang w:val="lt-LT"/>
          </w:rPr>
          <m:t>M=</m:t>
        </m:r>
        <m:sSub>
          <m:sSubPr>
            <m:ctrlPr>
              <w:rPr>
                <w:rFonts w:ascii="Cambria Math" w:hAnsi="Cambria Math"/>
                <w:i/>
                <w:lang w:val="lt-LT"/>
              </w:rPr>
            </m:ctrlPr>
          </m:sSubPr>
          <m:e>
            <m:r>
              <w:rPr>
                <w:rFonts w:ascii="Cambria Math" w:hAnsi="Cambria Math"/>
                <w:lang w:val="lt-LT"/>
              </w:rPr>
              <m:t>P</m:t>
            </m:r>
          </m:e>
          <m:sub>
            <m:r>
              <w:rPr>
                <w:rFonts w:ascii="Cambria Math" w:hAnsi="Cambria Math"/>
                <w:lang w:val="lt-LT"/>
              </w:rPr>
              <m:t>C</m:t>
            </m:r>
          </m:sub>
        </m:sSub>
        <m:r>
          <w:rPr>
            <w:rFonts w:ascii="Cambria Math" w:hAnsi="Cambria Math"/>
            <w:lang w:val="lt-LT"/>
          </w:rPr>
          <m:t>-</m:t>
        </m:r>
        <m:sSub>
          <m:sSubPr>
            <m:ctrlPr>
              <w:rPr>
                <w:rFonts w:ascii="Cambria Math" w:hAnsi="Cambria Math"/>
                <w:i/>
                <w:lang w:val="lt-LT"/>
              </w:rPr>
            </m:ctrlPr>
          </m:sSubPr>
          <m:e>
            <m:r>
              <w:rPr>
                <w:rFonts w:ascii="Cambria Math" w:hAnsi="Cambria Math"/>
                <w:lang w:val="lt-LT"/>
              </w:rPr>
              <m:t>P</m:t>
            </m:r>
          </m:e>
          <m:sub>
            <m:r>
              <w:rPr>
                <w:rFonts w:ascii="Cambria Math" w:hAnsi="Cambria Math"/>
                <w:lang w:val="lt-LT"/>
              </w:rPr>
              <m:t>N</m:t>
            </m:r>
          </m:sub>
        </m:sSub>
        <m:r>
          <w:rPr>
            <w:rFonts w:ascii="Cambria Math" w:hAnsi="Cambria Math"/>
            <w:lang w:val="lt-LT"/>
          </w:rPr>
          <m:t xml:space="preserve"> , kai</m:t>
        </m:r>
      </m:oMath>
      <w:r w:rsidR="00252F1D" w:rsidRPr="000B544A">
        <w:rPr>
          <w:rFonts w:ascii="Times New Roman" w:hAnsi="Times New Roman"/>
          <w:lang w:val="lt-LT"/>
        </w:rPr>
        <w:t xml:space="preserve">      (5)</w:t>
      </w:r>
    </w:p>
    <w:p w:rsidR="00252F1D" w:rsidRPr="000B544A" w:rsidRDefault="00B542BF" w:rsidP="002662E4">
      <w:pPr>
        <w:spacing w:after="0" w:line="360" w:lineRule="auto"/>
        <w:ind w:firstLine="567"/>
        <w:jc w:val="center"/>
        <w:rPr>
          <w:rFonts w:ascii="Times New Roman" w:hAnsi="Times New Roman"/>
          <w:lang w:val="lt-LT"/>
        </w:rPr>
      </w:pPr>
      <m:oMathPara>
        <m:oMath>
          <m:r>
            <w:rPr>
              <w:rFonts w:ascii="Cambria Math" w:hAnsi="Cambria Math"/>
              <w:lang w:val="lt-LT"/>
            </w:rPr>
            <m:t>M=momentum</m:t>
          </m:r>
        </m:oMath>
      </m:oMathPara>
    </w:p>
    <w:p w:rsidR="00252F1D" w:rsidRPr="000B544A" w:rsidRDefault="00A56BC3" w:rsidP="006566A3">
      <w:pPr>
        <w:spacing w:after="0" w:line="360" w:lineRule="auto"/>
        <w:ind w:firstLine="567"/>
        <w:jc w:val="both"/>
        <w:rPr>
          <w:rFonts w:ascii="Times New Roman" w:hAnsi="Times New Roman"/>
          <w:lang w:val="lt-LT"/>
        </w:rPr>
      </w:pPr>
      <m:oMathPara>
        <m:oMath>
          <m:sSub>
            <m:sSubPr>
              <m:ctrlPr>
                <w:rPr>
                  <w:rFonts w:ascii="Cambria Math" w:hAnsi="Cambria Math"/>
                  <w:i/>
                  <w:lang w:val="lt-LT"/>
                </w:rPr>
              </m:ctrlPr>
            </m:sSubPr>
            <m:e>
              <m:r>
                <w:rPr>
                  <w:rFonts w:ascii="Cambria Math" w:hAnsi="Cambria Math"/>
                  <w:lang w:val="lt-LT"/>
                </w:rPr>
                <m:t>P</m:t>
              </m:r>
            </m:e>
            <m:sub>
              <m:r>
                <w:rPr>
                  <w:rFonts w:ascii="Cambria Math" w:hAnsi="Cambria Math"/>
                  <w:lang w:val="lt-LT"/>
                </w:rPr>
                <m:t>C</m:t>
              </m:r>
            </m:sub>
          </m:sSub>
          <m:r>
            <w:rPr>
              <w:rFonts w:ascii="Cambria Math" w:hAnsi="Cambria Math"/>
              <w:lang w:val="lt-LT"/>
            </w:rPr>
            <m:t>=einamojo periodo kaina</m:t>
          </m:r>
        </m:oMath>
      </m:oMathPara>
    </w:p>
    <w:p w:rsidR="00252F1D" w:rsidRPr="000B544A" w:rsidRDefault="00A56BC3" w:rsidP="006566A3">
      <w:pPr>
        <w:spacing w:after="0" w:line="360" w:lineRule="auto"/>
        <w:ind w:firstLine="567"/>
        <w:jc w:val="both"/>
        <w:rPr>
          <w:rFonts w:ascii="Times New Roman" w:hAnsi="Times New Roman"/>
          <w:lang w:val="lt-LT"/>
        </w:rPr>
      </w:pPr>
      <m:oMathPara>
        <m:oMath>
          <m:sSub>
            <m:sSubPr>
              <m:ctrlPr>
                <w:rPr>
                  <w:rFonts w:ascii="Cambria Math" w:hAnsi="Cambria Math"/>
                  <w:i/>
                  <w:lang w:val="lt-LT"/>
                </w:rPr>
              </m:ctrlPr>
            </m:sSubPr>
            <m:e>
              <m:r>
                <w:rPr>
                  <w:rFonts w:ascii="Cambria Math" w:hAnsi="Cambria Math"/>
                  <w:lang w:val="lt-LT"/>
                </w:rPr>
                <m:t>P</m:t>
              </m:r>
            </m:e>
            <m:sub>
              <m:r>
                <w:rPr>
                  <w:rFonts w:ascii="Cambria Math" w:hAnsi="Cambria Math"/>
                  <w:lang w:val="lt-LT"/>
                </w:rPr>
                <m:t>N</m:t>
              </m:r>
            </m:sub>
          </m:sSub>
          <m:r>
            <w:rPr>
              <w:rFonts w:ascii="Cambria Math" w:hAnsi="Cambria Math"/>
              <w:lang w:val="lt-LT"/>
            </w:rPr>
            <m:t>=kaina prieš N periodų</m:t>
          </m:r>
        </m:oMath>
      </m:oMathPara>
    </w:p>
    <w:p w:rsidR="00252F1D" w:rsidRPr="000B544A" w:rsidRDefault="00252F1D" w:rsidP="006566A3">
      <w:pPr>
        <w:spacing w:after="0" w:line="360" w:lineRule="auto"/>
        <w:ind w:firstLine="567"/>
        <w:jc w:val="both"/>
        <w:rPr>
          <w:rFonts w:ascii="Times New Roman" w:hAnsi="Times New Roman"/>
          <w:lang w:val="lt-LT"/>
        </w:rPr>
      </w:pPr>
    </w:p>
    <w:p w:rsidR="00252F1D" w:rsidRPr="000B544A" w:rsidRDefault="00252F1D" w:rsidP="006566A3">
      <w:pPr>
        <w:spacing w:after="0" w:line="360" w:lineRule="auto"/>
        <w:ind w:firstLine="567"/>
        <w:jc w:val="both"/>
        <w:rPr>
          <w:rFonts w:ascii="Times New Roman" w:hAnsi="Times New Roman"/>
          <w:lang w:val="lt-LT"/>
        </w:rPr>
      </w:pPr>
      <w:r w:rsidRPr="000B544A">
        <w:rPr>
          <w:rFonts w:ascii="Times New Roman" w:hAnsi="Times New Roman"/>
          <w:lang w:val="lt-LT"/>
        </w:rPr>
        <w:t xml:space="preserve">Periodų skaičius tarp naudojamų kainų yra svarbus faktorius </w:t>
      </w:r>
      <w:r w:rsidR="008E7C0F" w:rsidRPr="000B544A">
        <w:rPr>
          <w:rFonts w:ascii="Times New Roman" w:hAnsi="Times New Roman"/>
          <w:lang w:val="lt-LT"/>
        </w:rPr>
        <w:t>pokyčio</w:t>
      </w:r>
      <w:r w:rsidRPr="000B544A">
        <w:rPr>
          <w:rFonts w:ascii="Times New Roman" w:hAnsi="Times New Roman"/>
          <w:lang w:val="lt-LT"/>
        </w:rPr>
        <w:t xml:space="preserve"> indikatoriuje. Periodų skaičius turi atitikti rinkos analizės ciklą. Šį skaičių pasirenka analitikas, analizuodamas rinką. </w:t>
      </w:r>
      <w:r w:rsidRPr="000B544A">
        <w:rPr>
          <w:rFonts w:ascii="Times New Roman" w:hAnsi="Times New Roman"/>
          <w:lang w:val="lt-LT"/>
        </w:rPr>
        <w:lastRenderedPageBreak/>
        <w:t xml:space="preserve">Trumpesnis nei 5 periodų laiko tarpas laikomas trumpalaikiu, 6-9 periodų skaičius laikomas vidutinio ilgumo, o virš 10 periodų naudojamas analizuojant ilgalaikę perspektyvą. Dažniausiai investuotojai naudoja 10 periodų parametrą. (Salcedo, </w:t>
      </w:r>
      <w:smartTag w:uri="urn:schemas-microsoft-com:office:smarttags" w:element="metricconverter">
        <w:smartTagPr>
          <w:attr w:name="ProductID" w:val="2005 m"/>
        </w:smartTagPr>
        <w:r w:rsidRPr="000B544A">
          <w:rPr>
            <w:rFonts w:ascii="Times New Roman" w:hAnsi="Times New Roman"/>
            <w:lang w:val="lt-LT"/>
          </w:rPr>
          <w:t>2005 m</w:t>
        </w:r>
      </w:smartTag>
      <w:r w:rsidRPr="000B544A">
        <w:rPr>
          <w:rFonts w:ascii="Times New Roman" w:hAnsi="Times New Roman"/>
          <w:lang w:val="lt-LT"/>
        </w:rPr>
        <w:t>.)</w:t>
      </w:r>
    </w:p>
    <w:p w:rsidR="00252F1D" w:rsidRPr="000B544A" w:rsidRDefault="00252F1D" w:rsidP="006566A3">
      <w:pPr>
        <w:spacing w:after="0" w:line="360" w:lineRule="auto"/>
        <w:ind w:firstLine="567"/>
        <w:jc w:val="both"/>
        <w:rPr>
          <w:rFonts w:ascii="Times New Roman" w:hAnsi="Times New Roman"/>
          <w:lang w:val="lt-LT"/>
        </w:rPr>
      </w:pPr>
      <w:r w:rsidRPr="000B544A">
        <w:rPr>
          <w:rFonts w:ascii="Times New Roman" w:hAnsi="Times New Roman"/>
          <w:lang w:val="lt-LT"/>
        </w:rPr>
        <w:t>Stebint šį indikatorių</w:t>
      </w:r>
      <w:r w:rsidR="003B7DE4" w:rsidRPr="000B544A">
        <w:rPr>
          <w:rFonts w:ascii="Times New Roman" w:hAnsi="Times New Roman"/>
          <w:lang w:val="lt-LT"/>
        </w:rPr>
        <w:t>,</w:t>
      </w:r>
      <w:r w:rsidRPr="000B544A">
        <w:rPr>
          <w:rFonts w:ascii="Times New Roman" w:hAnsi="Times New Roman"/>
          <w:lang w:val="lt-LT"/>
        </w:rPr>
        <w:t xml:space="preserve"> reikia susikoncentruoti ne ties viršutine ar apatine zonomis, bet ties nuline riba. Šios ribos kirtimas signalizuoja apie perpirktos arba perparduotos rinkos egzistavimą. </w:t>
      </w:r>
      <w:r w:rsidR="008E7C0F" w:rsidRPr="000B544A">
        <w:rPr>
          <w:rFonts w:ascii="Times New Roman" w:hAnsi="Times New Roman"/>
          <w:lang w:val="lt-LT"/>
        </w:rPr>
        <w:t>Pokyčio indikatoriaus</w:t>
      </w:r>
      <w:r w:rsidRPr="000B544A">
        <w:rPr>
          <w:rFonts w:ascii="Times New Roman" w:hAnsi="Times New Roman"/>
          <w:lang w:val="lt-LT"/>
        </w:rPr>
        <w:t xml:space="preserve"> metodas generuoja teigiamus rezultatus, jei paskutinė kaina yra didesnė, nei kaina prieš N periodų. Neigiamos reikšmės gaunamos, kai paskutinė kain</w:t>
      </w:r>
      <w:r w:rsidR="003B7DE4" w:rsidRPr="000B544A">
        <w:rPr>
          <w:rFonts w:ascii="Times New Roman" w:hAnsi="Times New Roman"/>
          <w:lang w:val="lt-LT"/>
        </w:rPr>
        <w:t>a</w:t>
      </w:r>
      <w:r w:rsidRPr="000B544A">
        <w:rPr>
          <w:rFonts w:ascii="Times New Roman" w:hAnsi="Times New Roman"/>
          <w:lang w:val="lt-LT"/>
        </w:rPr>
        <w:t xml:space="preserve"> yra mažesnė už kainą prieš N periodų. </w:t>
      </w:r>
    </w:p>
    <w:p w:rsidR="00252F1D" w:rsidRPr="000B544A" w:rsidRDefault="008E7C0F" w:rsidP="006566A3">
      <w:pPr>
        <w:spacing w:after="0" w:line="360" w:lineRule="auto"/>
        <w:ind w:firstLine="567"/>
        <w:jc w:val="both"/>
        <w:rPr>
          <w:rFonts w:ascii="Times New Roman" w:hAnsi="Times New Roman"/>
          <w:lang w:val="lt-LT"/>
        </w:rPr>
      </w:pPr>
      <w:r w:rsidRPr="000B544A">
        <w:rPr>
          <w:rFonts w:ascii="Times New Roman" w:hAnsi="Times New Roman"/>
          <w:lang w:val="lt-LT"/>
        </w:rPr>
        <w:t>Pokyčio</w:t>
      </w:r>
      <w:r w:rsidR="009B747F" w:rsidRPr="000B544A">
        <w:rPr>
          <w:rFonts w:ascii="Times New Roman" w:hAnsi="Times New Roman"/>
          <w:lang w:val="lt-LT"/>
        </w:rPr>
        <w:t xml:space="preserve"> indikatorius turi vieną parametrą, kuris lemia atstumą tarp paskutinės kainos ir praeityje buvusios kainos. Šis indikatorius geriausius signalus Baltijos šalių akcijų rinkoje rodo su parametru – 9. </w:t>
      </w:r>
    </w:p>
    <w:p w:rsidR="00F54846" w:rsidRPr="000B544A" w:rsidRDefault="00F54846" w:rsidP="00F54846">
      <w:pPr>
        <w:pStyle w:val="Caption"/>
        <w:keepNext/>
        <w:jc w:val="center"/>
        <w:rPr>
          <w:rFonts w:ascii="Times New Roman" w:hAnsi="Times New Roman"/>
          <w:b w:val="0"/>
          <w:lang w:val="lt-LT"/>
        </w:rPr>
      </w:pPr>
      <w:r w:rsidRPr="000B544A">
        <w:rPr>
          <w:rFonts w:ascii="Times New Roman" w:hAnsi="Times New Roman"/>
          <w:b w:val="0"/>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49" w:name="_Toc311718677"/>
      <w:r w:rsidR="00C53DDD">
        <w:rPr>
          <w:rFonts w:ascii="Times New Roman" w:hAnsi="Times New Roman"/>
          <w:b w:val="0"/>
          <w:noProof/>
          <w:lang w:val="lt-LT"/>
        </w:rPr>
        <w:t>11</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 </w:t>
      </w:r>
      <w:r w:rsidRPr="000B544A">
        <w:rPr>
          <w:rFonts w:ascii="Times New Roman" w:hAnsi="Times New Roman"/>
          <w:lang w:val="lt-LT"/>
        </w:rPr>
        <w:t>Momentum indikatoriaus signalų pelningumas</w:t>
      </w:r>
      <w:bookmarkEnd w:id="49"/>
    </w:p>
    <w:tbl>
      <w:tblPr>
        <w:tblW w:w="7204" w:type="dxa"/>
        <w:jc w:val="center"/>
        <w:tblInd w:w="2423" w:type="dxa"/>
        <w:tblLook w:val="0000"/>
      </w:tblPr>
      <w:tblGrid>
        <w:gridCol w:w="537"/>
        <w:gridCol w:w="2867"/>
        <w:gridCol w:w="1900"/>
        <w:gridCol w:w="1900"/>
      </w:tblGrid>
      <w:tr w:rsidR="00B75A10" w:rsidRPr="000B544A">
        <w:trPr>
          <w:trHeight w:val="300"/>
          <w:jc w:val="center"/>
        </w:trPr>
        <w:tc>
          <w:tcPr>
            <w:tcW w:w="537" w:type="dxa"/>
            <w:tcBorders>
              <w:top w:val="single" w:sz="4" w:space="0" w:color="auto"/>
              <w:left w:val="single" w:sz="4" w:space="0" w:color="auto"/>
              <w:bottom w:val="single" w:sz="4" w:space="0" w:color="auto"/>
              <w:right w:val="single" w:sz="4" w:space="0" w:color="auto"/>
            </w:tcBorders>
          </w:tcPr>
          <w:p w:rsidR="00B75A10" w:rsidRPr="000B544A" w:rsidRDefault="00B75A10" w:rsidP="0000093B">
            <w:pPr>
              <w:spacing w:after="0"/>
              <w:jc w:val="center"/>
              <w:rPr>
                <w:rFonts w:ascii="Times New Roman" w:hAnsi="Times New Roman"/>
                <w:lang w:val="lt-LT" w:eastAsia="lt-LT"/>
              </w:rPr>
            </w:pPr>
            <w:r w:rsidRPr="000B544A">
              <w:rPr>
                <w:rFonts w:ascii="Times New Roman" w:hAnsi="Times New Roman"/>
                <w:lang w:val="lt-LT" w:eastAsia="lt-LT"/>
              </w:rPr>
              <w:t>Nr.</w:t>
            </w:r>
          </w:p>
        </w:tc>
        <w:tc>
          <w:tcPr>
            <w:tcW w:w="2867" w:type="dxa"/>
            <w:tcBorders>
              <w:top w:val="single" w:sz="4" w:space="0" w:color="auto"/>
              <w:left w:val="single" w:sz="4" w:space="0" w:color="auto"/>
              <w:bottom w:val="single" w:sz="4" w:space="0" w:color="auto"/>
              <w:right w:val="single" w:sz="4" w:space="0" w:color="auto"/>
            </w:tcBorders>
            <w:vAlign w:val="bottom"/>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Akcija</w:t>
            </w:r>
          </w:p>
        </w:tc>
        <w:tc>
          <w:tcPr>
            <w:tcW w:w="1900" w:type="dxa"/>
            <w:tcBorders>
              <w:top w:val="single" w:sz="4" w:space="0" w:color="auto"/>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Pirkimas</w:t>
            </w:r>
          </w:p>
        </w:tc>
        <w:tc>
          <w:tcPr>
            <w:tcW w:w="1900" w:type="dxa"/>
            <w:tcBorders>
              <w:top w:val="single" w:sz="4" w:space="0" w:color="auto"/>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Pardavimas</w:t>
            </w:r>
          </w:p>
        </w:tc>
      </w:tr>
      <w:tr w:rsidR="00B75A10" w:rsidRPr="000B544A">
        <w:trPr>
          <w:trHeight w:val="300"/>
          <w:jc w:val="center"/>
        </w:trPr>
        <w:tc>
          <w:tcPr>
            <w:tcW w:w="537" w:type="dxa"/>
            <w:tcBorders>
              <w:top w:val="nil"/>
              <w:left w:val="single" w:sz="4" w:space="0" w:color="auto"/>
              <w:bottom w:val="single" w:sz="4" w:space="0" w:color="auto"/>
              <w:right w:val="single" w:sz="4" w:space="0" w:color="auto"/>
            </w:tcBorders>
          </w:tcPr>
          <w:p w:rsidR="00B75A10" w:rsidRPr="000B544A" w:rsidRDefault="00B75A10" w:rsidP="0000093B">
            <w:pPr>
              <w:spacing w:after="0"/>
              <w:jc w:val="center"/>
              <w:rPr>
                <w:rFonts w:ascii="Times New Roman" w:hAnsi="Times New Roman"/>
                <w:lang w:val="lt-LT" w:eastAsia="lt-LT"/>
              </w:rPr>
            </w:pPr>
            <w:r w:rsidRPr="000B544A">
              <w:rPr>
                <w:rFonts w:ascii="Times New Roman" w:hAnsi="Times New Roman"/>
                <w:lang w:val="lt-LT" w:eastAsia="lt-LT"/>
              </w:rPr>
              <w:t>1</w:t>
            </w:r>
          </w:p>
        </w:tc>
        <w:tc>
          <w:tcPr>
            <w:tcW w:w="2867" w:type="dxa"/>
            <w:tcBorders>
              <w:top w:val="nil"/>
              <w:left w:val="single" w:sz="4" w:space="0" w:color="auto"/>
              <w:bottom w:val="single" w:sz="4" w:space="0" w:color="auto"/>
              <w:right w:val="single" w:sz="4" w:space="0" w:color="auto"/>
            </w:tcBorders>
            <w:vAlign w:val="center"/>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Apranga</w:t>
            </w:r>
          </w:p>
        </w:tc>
        <w:tc>
          <w:tcPr>
            <w:tcW w:w="1900" w:type="dxa"/>
            <w:tcBorders>
              <w:top w:val="nil"/>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30,85%</w:t>
            </w:r>
          </w:p>
        </w:tc>
        <w:tc>
          <w:tcPr>
            <w:tcW w:w="1900" w:type="dxa"/>
            <w:tcBorders>
              <w:top w:val="nil"/>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-33,72%</w:t>
            </w:r>
          </w:p>
        </w:tc>
      </w:tr>
      <w:tr w:rsidR="00B75A10" w:rsidRPr="000B544A">
        <w:trPr>
          <w:trHeight w:val="300"/>
          <w:jc w:val="center"/>
        </w:trPr>
        <w:tc>
          <w:tcPr>
            <w:tcW w:w="537" w:type="dxa"/>
            <w:tcBorders>
              <w:top w:val="nil"/>
              <w:left w:val="single" w:sz="4" w:space="0" w:color="auto"/>
              <w:bottom w:val="single" w:sz="4" w:space="0" w:color="auto"/>
              <w:right w:val="single" w:sz="4" w:space="0" w:color="auto"/>
            </w:tcBorders>
          </w:tcPr>
          <w:p w:rsidR="00B75A10" w:rsidRPr="000B544A" w:rsidRDefault="00B75A10" w:rsidP="0000093B">
            <w:pPr>
              <w:spacing w:after="0"/>
              <w:jc w:val="center"/>
              <w:rPr>
                <w:rFonts w:ascii="Times New Roman" w:hAnsi="Times New Roman"/>
                <w:lang w:val="lt-LT" w:eastAsia="lt-LT"/>
              </w:rPr>
            </w:pPr>
            <w:r w:rsidRPr="000B544A">
              <w:rPr>
                <w:rFonts w:ascii="Times New Roman" w:hAnsi="Times New Roman"/>
                <w:lang w:val="lt-LT" w:eastAsia="lt-LT"/>
              </w:rPr>
              <w:t>2</w:t>
            </w:r>
          </w:p>
        </w:tc>
        <w:tc>
          <w:tcPr>
            <w:tcW w:w="2867" w:type="dxa"/>
            <w:tcBorders>
              <w:top w:val="nil"/>
              <w:left w:val="single" w:sz="4" w:space="0" w:color="auto"/>
              <w:bottom w:val="single" w:sz="4" w:space="0" w:color="auto"/>
              <w:right w:val="single" w:sz="4" w:space="0" w:color="auto"/>
            </w:tcBorders>
            <w:vAlign w:val="center"/>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Linas Agro Group</w:t>
            </w:r>
          </w:p>
        </w:tc>
        <w:tc>
          <w:tcPr>
            <w:tcW w:w="1900" w:type="dxa"/>
            <w:tcBorders>
              <w:top w:val="nil"/>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-3,24%</w:t>
            </w:r>
          </w:p>
        </w:tc>
        <w:tc>
          <w:tcPr>
            <w:tcW w:w="1900" w:type="dxa"/>
            <w:tcBorders>
              <w:top w:val="nil"/>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11,49%</w:t>
            </w:r>
          </w:p>
        </w:tc>
      </w:tr>
      <w:tr w:rsidR="00B75A10" w:rsidRPr="000B544A">
        <w:trPr>
          <w:trHeight w:val="300"/>
          <w:jc w:val="center"/>
        </w:trPr>
        <w:tc>
          <w:tcPr>
            <w:tcW w:w="537" w:type="dxa"/>
            <w:tcBorders>
              <w:top w:val="nil"/>
              <w:left w:val="single" w:sz="4" w:space="0" w:color="auto"/>
              <w:bottom w:val="single" w:sz="4" w:space="0" w:color="auto"/>
              <w:right w:val="single" w:sz="4" w:space="0" w:color="auto"/>
            </w:tcBorders>
          </w:tcPr>
          <w:p w:rsidR="00B75A10" w:rsidRPr="000B544A" w:rsidRDefault="00B75A10" w:rsidP="0000093B">
            <w:pPr>
              <w:spacing w:after="0"/>
              <w:jc w:val="center"/>
              <w:rPr>
                <w:rFonts w:ascii="Times New Roman" w:hAnsi="Times New Roman"/>
                <w:lang w:val="lt-LT" w:eastAsia="lt-LT"/>
              </w:rPr>
            </w:pPr>
            <w:r w:rsidRPr="000B544A">
              <w:rPr>
                <w:rFonts w:ascii="Times New Roman" w:hAnsi="Times New Roman"/>
                <w:lang w:val="lt-LT" w:eastAsia="lt-LT"/>
              </w:rPr>
              <w:t>3</w:t>
            </w:r>
          </w:p>
        </w:tc>
        <w:tc>
          <w:tcPr>
            <w:tcW w:w="2867" w:type="dxa"/>
            <w:tcBorders>
              <w:top w:val="nil"/>
              <w:left w:val="single" w:sz="4" w:space="0" w:color="auto"/>
              <w:bottom w:val="single" w:sz="4" w:space="0" w:color="auto"/>
              <w:right w:val="single" w:sz="4" w:space="0" w:color="auto"/>
            </w:tcBorders>
            <w:vAlign w:val="center"/>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Nordecon AS</w:t>
            </w:r>
          </w:p>
        </w:tc>
        <w:tc>
          <w:tcPr>
            <w:tcW w:w="1900" w:type="dxa"/>
            <w:tcBorders>
              <w:top w:val="nil"/>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-3,23%</w:t>
            </w:r>
          </w:p>
        </w:tc>
        <w:tc>
          <w:tcPr>
            <w:tcW w:w="1900" w:type="dxa"/>
            <w:tcBorders>
              <w:top w:val="nil"/>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18,69%</w:t>
            </w:r>
          </w:p>
        </w:tc>
      </w:tr>
      <w:tr w:rsidR="00B75A10" w:rsidRPr="000B544A">
        <w:trPr>
          <w:trHeight w:val="300"/>
          <w:jc w:val="center"/>
        </w:trPr>
        <w:tc>
          <w:tcPr>
            <w:tcW w:w="537" w:type="dxa"/>
            <w:tcBorders>
              <w:top w:val="nil"/>
              <w:left w:val="single" w:sz="4" w:space="0" w:color="auto"/>
              <w:bottom w:val="single" w:sz="4" w:space="0" w:color="auto"/>
              <w:right w:val="single" w:sz="4" w:space="0" w:color="auto"/>
            </w:tcBorders>
          </w:tcPr>
          <w:p w:rsidR="00B75A10" w:rsidRPr="000B544A" w:rsidRDefault="00B75A10" w:rsidP="0000093B">
            <w:pPr>
              <w:spacing w:after="0"/>
              <w:jc w:val="center"/>
              <w:rPr>
                <w:rFonts w:ascii="Times New Roman" w:hAnsi="Times New Roman"/>
                <w:lang w:val="lt-LT" w:eastAsia="lt-LT"/>
              </w:rPr>
            </w:pPr>
            <w:r w:rsidRPr="000B544A">
              <w:rPr>
                <w:rFonts w:ascii="Times New Roman" w:hAnsi="Times New Roman"/>
                <w:lang w:val="lt-LT" w:eastAsia="lt-LT"/>
              </w:rPr>
              <w:t>4</w:t>
            </w:r>
          </w:p>
        </w:tc>
        <w:tc>
          <w:tcPr>
            <w:tcW w:w="2867" w:type="dxa"/>
            <w:tcBorders>
              <w:top w:val="nil"/>
              <w:left w:val="single" w:sz="4" w:space="0" w:color="auto"/>
              <w:bottom w:val="single" w:sz="4" w:space="0" w:color="auto"/>
              <w:right w:val="single" w:sz="4" w:space="0" w:color="auto"/>
            </w:tcBorders>
            <w:vAlign w:val="center"/>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Olympic Entertainment Group</w:t>
            </w:r>
          </w:p>
        </w:tc>
        <w:tc>
          <w:tcPr>
            <w:tcW w:w="1900" w:type="dxa"/>
            <w:tcBorders>
              <w:top w:val="nil"/>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48,33%</w:t>
            </w:r>
          </w:p>
        </w:tc>
        <w:tc>
          <w:tcPr>
            <w:tcW w:w="1900" w:type="dxa"/>
            <w:tcBorders>
              <w:top w:val="nil"/>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11,52%</w:t>
            </w:r>
          </w:p>
        </w:tc>
      </w:tr>
      <w:tr w:rsidR="00B75A10" w:rsidRPr="000B544A">
        <w:trPr>
          <w:trHeight w:val="300"/>
          <w:jc w:val="center"/>
        </w:trPr>
        <w:tc>
          <w:tcPr>
            <w:tcW w:w="537" w:type="dxa"/>
            <w:tcBorders>
              <w:top w:val="nil"/>
              <w:left w:val="single" w:sz="4" w:space="0" w:color="auto"/>
              <w:bottom w:val="single" w:sz="4" w:space="0" w:color="auto"/>
              <w:right w:val="single" w:sz="4" w:space="0" w:color="auto"/>
            </w:tcBorders>
          </w:tcPr>
          <w:p w:rsidR="00B75A10" w:rsidRPr="000B544A" w:rsidRDefault="00B75A10" w:rsidP="0000093B">
            <w:pPr>
              <w:spacing w:after="0"/>
              <w:jc w:val="center"/>
              <w:rPr>
                <w:rFonts w:ascii="Times New Roman" w:hAnsi="Times New Roman"/>
                <w:lang w:val="lt-LT" w:eastAsia="lt-LT"/>
              </w:rPr>
            </w:pPr>
            <w:r w:rsidRPr="000B544A">
              <w:rPr>
                <w:rFonts w:ascii="Times New Roman" w:hAnsi="Times New Roman"/>
                <w:lang w:val="lt-LT" w:eastAsia="lt-LT"/>
              </w:rPr>
              <w:t>5</w:t>
            </w:r>
          </w:p>
        </w:tc>
        <w:tc>
          <w:tcPr>
            <w:tcW w:w="2867" w:type="dxa"/>
            <w:tcBorders>
              <w:top w:val="nil"/>
              <w:left w:val="single" w:sz="4" w:space="0" w:color="auto"/>
              <w:bottom w:val="single" w:sz="4" w:space="0" w:color="auto"/>
              <w:right w:val="single" w:sz="4" w:space="0" w:color="auto"/>
            </w:tcBorders>
            <w:vAlign w:val="center"/>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Panevėžio statybos trestas</w:t>
            </w:r>
          </w:p>
        </w:tc>
        <w:tc>
          <w:tcPr>
            <w:tcW w:w="1900" w:type="dxa"/>
            <w:tcBorders>
              <w:top w:val="nil"/>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55,29%</w:t>
            </w:r>
          </w:p>
        </w:tc>
        <w:tc>
          <w:tcPr>
            <w:tcW w:w="1900" w:type="dxa"/>
            <w:tcBorders>
              <w:top w:val="nil"/>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6,86%</w:t>
            </w:r>
          </w:p>
        </w:tc>
      </w:tr>
      <w:tr w:rsidR="00B75A10" w:rsidRPr="000B544A">
        <w:trPr>
          <w:trHeight w:val="300"/>
          <w:jc w:val="center"/>
        </w:trPr>
        <w:tc>
          <w:tcPr>
            <w:tcW w:w="537" w:type="dxa"/>
            <w:tcBorders>
              <w:top w:val="nil"/>
              <w:left w:val="single" w:sz="4" w:space="0" w:color="auto"/>
              <w:bottom w:val="single" w:sz="4" w:space="0" w:color="auto"/>
              <w:right w:val="single" w:sz="4" w:space="0" w:color="auto"/>
            </w:tcBorders>
          </w:tcPr>
          <w:p w:rsidR="00B75A10" w:rsidRPr="000B544A" w:rsidRDefault="00B75A10" w:rsidP="0000093B">
            <w:pPr>
              <w:spacing w:after="0"/>
              <w:jc w:val="center"/>
              <w:rPr>
                <w:rFonts w:ascii="Times New Roman" w:hAnsi="Times New Roman"/>
                <w:lang w:val="lt-LT" w:eastAsia="lt-LT"/>
              </w:rPr>
            </w:pPr>
            <w:r w:rsidRPr="000B544A">
              <w:rPr>
                <w:rFonts w:ascii="Times New Roman" w:hAnsi="Times New Roman"/>
                <w:lang w:val="lt-LT" w:eastAsia="lt-LT"/>
              </w:rPr>
              <w:t>6</w:t>
            </w:r>
          </w:p>
        </w:tc>
        <w:tc>
          <w:tcPr>
            <w:tcW w:w="2867" w:type="dxa"/>
            <w:tcBorders>
              <w:top w:val="nil"/>
              <w:left w:val="single" w:sz="4" w:space="0" w:color="auto"/>
              <w:bottom w:val="single" w:sz="4" w:space="0" w:color="auto"/>
              <w:right w:val="single" w:sz="4" w:space="0" w:color="auto"/>
            </w:tcBorders>
            <w:vAlign w:val="center"/>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Tallink Grupp</w:t>
            </w:r>
          </w:p>
        </w:tc>
        <w:tc>
          <w:tcPr>
            <w:tcW w:w="1900" w:type="dxa"/>
            <w:tcBorders>
              <w:top w:val="nil"/>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18,46%</w:t>
            </w:r>
          </w:p>
        </w:tc>
        <w:tc>
          <w:tcPr>
            <w:tcW w:w="1900" w:type="dxa"/>
            <w:tcBorders>
              <w:top w:val="nil"/>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3,86%</w:t>
            </w:r>
          </w:p>
        </w:tc>
      </w:tr>
      <w:tr w:rsidR="00B75A10" w:rsidRPr="000B544A">
        <w:trPr>
          <w:trHeight w:val="300"/>
          <w:jc w:val="center"/>
        </w:trPr>
        <w:tc>
          <w:tcPr>
            <w:tcW w:w="537" w:type="dxa"/>
            <w:tcBorders>
              <w:top w:val="nil"/>
              <w:left w:val="single" w:sz="4" w:space="0" w:color="auto"/>
              <w:bottom w:val="single" w:sz="4" w:space="0" w:color="auto"/>
              <w:right w:val="single" w:sz="4" w:space="0" w:color="auto"/>
            </w:tcBorders>
          </w:tcPr>
          <w:p w:rsidR="00B75A10" w:rsidRPr="000B544A" w:rsidRDefault="00B75A10" w:rsidP="0000093B">
            <w:pPr>
              <w:spacing w:after="0"/>
              <w:jc w:val="center"/>
              <w:rPr>
                <w:rFonts w:ascii="Times New Roman" w:hAnsi="Times New Roman"/>
                <w:lang w:val="lt-LT" w:eastAsia="lt-LT"/>
              </w:rPr>
            </w:pPr>
            <w:r w:rsidRPr="000B544A">
              <w:rPr>
                <w:rFonts w:ascii="Times New Roman" w:hAnsi="Times New Roman"/>
                <w:lang w:val="lt-LT" w:eastAsia="lt-LT"/>
              </w:rPr>
              <w:t>7</w:t>
            </w:r>
          </w:p>
        </w:tc>
        <w:tc>
          <w:tcPr>
            <w:tcW w:w="2867" w:type="dxa"/>
            <w:tcBorders>
              <w:top w:val="nil"/>
              <w:left w:val="single" w:sz="4" w:space="0" w:color="auto"/>
              <w:bottom w:val="single" w:sz="4" w:space="0" w:color="auto"/>
              <w:right w:val="single" w:sz="4" w:space="0" w:color="auto"/>
            </w:tcBorders>
            <w:vAlign w:val="center"/>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TEO LT</w:t>
            </w:r>
          </w:p>
        </w:tc>
        <w:tc>
          <w:tcPr>
            <w:tcW w:w="1900" w:type="dxa"/>
            <w:tcBorders>
              <w:top w:val="nil"/>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4,95%</w:t>
            </w:r>
          </w:p>
        </w:tc>
        <w:tc>
          <w:tcPr>
            <w:tcW w:w="1900" w:type="dxa"/>
            <w:tcBorders>
              <w:top w:val="nil"/>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8,55%</w:t>
            </w:r>
          </w:p>
        </w:tc>
      </w:tr>
      <w:tr w:rsidR="00B75A10" w:rsidRPr="000B544A">
        <w:trPr>
          <w:trHeight w:val="300"/>
          <w:jc w:val="center"/>
        </w:trPr>
        <w:tc>
          <w:tcPr>
            <w:tcW w:w="537" w:type="dxa"/>
            <w:tcBorders>
              <w:top w:val="nil"/>
              <w:left w:val="single" w:sz="4" w:space="0" w:color="auto"/>
              <w:bottom w:val="single" w:sz="4" w:space="0" w:color="auto"/>
              <w:right w:val="single" w:sz="4" w:space="0" w:color="auto"/>
            </w:tcBorders>
          </w:tcPr>
          <w:p w:rsidR="00B75A10" w:rsidRPr="000B544A" w:rsidRDefault="00B75A10" w:rsidP="0000093B">
            <w:pPr>
              <w:spacing w:after="0"/>
              <w:jc w:val="center"/>
              <w:rPr>
                <w:rFonts w:ascii="Times New Roman" w:hAnsi="Times New Roman"/>
                <w:lang w:val="lt-LT" w:eastAsia="lt-LT"/>
              </w:rPr>
            </w:pPr>
            <w:r w:rsidRPr="000B544A">
              <w:rPr>
                <w:rFonts w:ascii="Times New Roman" w:hAnsi="Times New Roman"/>
                <w:lang w:val="lt-LT" w:eastAsia="lt-LT"/>
              </w:rPr>
              <w:t>8</w:t>
            </w:r>
          </w:p>
        </w:tc>
        <w:tc>
          <w:tcPr>
            <w:tcW w:w="2867" w:type="dxa"/>
            <w:tcBorders>
              <w:top w:val="nil"/>
              <w:left w:val="single" w:sz="4" w:space="0" w:color="auto"/>
              <w:bottom w:val="single" w:sz="4" w:space="0" w:color="auto"/>
              <w:right w:val="single" w:sz="4" w:space="0" w:color="auto"/>
            </w:tcBorders>
            <w:vAlign w:val="center"/>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Tallinna Kaubamaja</w:t>
            </w:r>
          </w:p>
        </w:tc>
        <w:tc>
          <w:tcPr>
            <w:tcW w:w="1900" w:type="dxa"/>
            <w:tcBorders>
              <w:top w:val="nil"/>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-29,10%</w:t>
            </w:r>
          </w:p>
        </w:tc>
        <w:tc>
          <w:tcPr>
            <w:tcW w:w="1900" w:type="dxa"/>
            <w:tcBorders>
              <w:top w:val="nil"/>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-44,51%</w:t>
            </w:r>
          </w:p>
        </w:tc>
      </w:tr>
      <w:tr w:rsidR="00B75A10" w:rsidRPr="000B544A">
        <w:trPr>
          <w:trHeight w:val="300"/>
          <w:jc w:val="center"/>
        </w:trPr>
        <w:tc>
          <w:tcPr>
            <w:tcW w:w="537" w:type="dxa"/>
            <w:tcBorders>
              <w:top w:val="nil"/>
              <w:left w:val="single" w:sz="4" w:space="0" w:color="auto"/>
              <w:bottom w:val="single" w:sz="4" w:space="0" w:color="auto"/>
              <w:right w:val="single" w:sz="4" w:space="0" w:color="auto"/>
            </w:tcBorders>
          </w:tcPr>
          <w:p w:rsidR="00B75A10" w:rsidRPr="000B544A" w:rsidRDefault="00B75A10" w:rsidP="0000093B">
            <w:pPr>
              <w:spacing w:after="0"/>
              <w:jc w:val="center"/>
              <w:rPr>
                <w:rFonts w:ascii="Times New Roman" w:hAnsi="Times New Roman"/>
                <w:lang w:val="lt-LT" w:eastAsia="lt-LT"/>
              </w:rPr>
            </w:pPr>
            <w:r w:rsidRPr="000B544A">
              <w:rPr>
                <w:rFonts w:ascii="Times New Roman" w:hAnsi="Times New Roman"/>
                <w:lang w:val="lt-LT" w:eastAsia="lt-LT"/>
              </w:rPr>
              <w:t>9</w:t>
            </w:r>
          </w:p>
        </w:tc>
        <w:tc>
          <w:tcPr>
            <w:tcW w:w="2867" w:type="dxa"/>
            <w:tcBorders>
              <w:top w:val="nil"/>
              <w:left w:val="single" w:sz="4" w:space="0" w:color="auto"/>
              <w:bottom w:val="single" w:sz="4" w:space="0" w:color="auto"/>
              <w:right w:val="single" w:sz="4" w:space="0" w:color="auto"/>
            </w:tcBorders>
            <w:vAlign w:val="center"/>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Tallinna Vesi</w:t>
            </w:r>
          </w:p>
        </w:tc>
        <w:tc>
          <w:tcPr>
            <w:tcW w:w="1900" w:type="dxa"/>
            <w:tcBorders>
              <w:top w:val="nil"/>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0,00%</w:t>
            </w:r>
          </w:p>
        </w:tc>
        <w:tc>
          <w:tcPr>
            <w:tcW w:w="1900" w:type="dxa"/>
            <w:tcBorders>
              <w:top w:val="nil"/>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0,00%</w:t>
            </w:r>
          </w:p>
        </w:tc>
      </w:tr>
      <w:tr w:rsidR="00B75A10" w:rsidRPr="000B544A">
        <w:trPr>
          <w:trHeight w:val="300"/>
          <w:jc w:val="center"/>
        </w:trPr>
        <w:tc>
          <w:tcPr>
            <w:tcW w:w="537" w:type="dxa"/>
            <w:tcBorders>
              <w:top w:val="nil"/>
              <w:left w:val="single" w:sz="4" w:space="0" w:color="auto"/>
              <w:bottom w:val="single" w:sz="4" w:space="0" w:color="auto"/>
              <w:right w:val="single" w:sz="4" w:space="0" w:color="auto"/>
            </w:tcBorders>
          </w:tcPr>
          <w:p w:rsidR="00B75A10" w:rsidRPr="000B544A" w:rsidRDefault="00B75A10" w:rsidP="0000093B">
            <w:pPr>
              <w:spacing w:after="0"/>
              <w:jc w:val="center"/>
              <w:rPr>
                <w:rFonts w:ascii="Times New Roman" w:hAnsi="Times New Roman"/>
                <w:lang w:val="lt-LT" w:eastAsia="lt-LT"/>
              </w:rPr>
            </w:pPr>
            <w:r w:rsidRPr="000B544A">
              <w:rPr>
                <w:rFonts w:ascii="Times New Roman" w:hAnsi="Times New Roman"/>
                <w:lang w:val="lt-LT" w:eastAsia="lt-LT"/>
              </w:rPr>
              <w:t>10</w:t>
            </w:r>
          </w:p>
        </w:tc>
        <w:tc>
          <w:tcPr>
            <w:tcW w:w="2867" w:type="dxa"/>
            <w:tcBorders>
              <w:top w:val="nil"/>
              <w:left w:val="single" w:sz="4" w:space="0" w:color="auto"/>
              <w:bottom w:val="single" w:sz="4" w:space="0" w:color="auto"/>
              <w:right w:val="single" w:sz="4" w:space="0" w:color="auto"/>
            </w:tcBorders>
            <w:vAlign w:val="center"/>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Ūkio bankas</w:t>
            </w:r>
          </w:p>
        </w:tc>
        <w:tc>
          <w:tcPr>
            <w:tcW w:w="1900" w:type="dxa"/>
            <w:tcBorders>
              <w:top w:val="nil"/>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0,22%</w:t>
            </w:r>
          </w:p>
        </w:tc>
        <w:tc>
          <w:tcPr>
            <w:tcW w:w="1900" w:type="dxa"/>
            <w:tcBorders>
              <w:top w:val="nil"/>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3,47%</w:t>
            </w:r>
          </w:p>
        </w:tc>
      </w:tr>
      <w:tr w:rsidR="00B75A10" w:rsidRPr="000B544A">
        <w:trPr>
          <w:trHeight w:val="300"/>
          <w:jc w:val="center"/>
        </w:trPr>
        <w:tc>
          <w:tcPr>
            <w:tcW w:w="537" w:type="dxa"/>
            <w:tcBorders>
              <w:top w:val="nil"/>
              <w:left w:val="single" w:sz="4" w:space="0" w:color="auto"/>
              <w:bottom w:val="single" w:sz="4" w:space="0" w:color="auto"/>
              <w:right w:val="single" w:sz="4" w:space="0" w:color="auto"/>
            </w:tcBorders>
          </w:tcPr>
          <w:p w:rsidR="00B75A10" w:rsidRPr="000B544A" w:rsidRDefault="00B75A10" w:rsidP="009B747F">
            <w:pPr>
              <w:spacing w:after="0"/>
              <w:jc w:val="center"/>
              <w:rPr>
                <w:rFonts w:ascii="Times New Roman" w:hAnsi="Times New Roman"/>
                <w:sz w:val="20"/>
                <w:szCs w:val="20"/>
                <w:lang w:val="lt-LT" w:eastAsia="lt-LT"/>
              </w:rPr>
            </w:pPr>
          </w:p>
        </w:tc>
        <w:tc>
          <w:tcPr>
            <w:tcW w:w="2867" w:type="dxa"/>
            <w:tcBorders>
              <w:top w:val="nil"/>
              <w:left w:val="single" w:sz="4" w:space="0" w:color="auto"/>
              <w:bottom w:val="single" w:sz="4" w:space="0" w:color="auto"/>
              <w:right w:val="single" w:sz="4" w:space="0" w:color="auto"/>
            </w:tcBorders>
            <w:vAlign w:val="bottom"/>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Suma</w:t>
            </w:r>
          </w:p>
        </w:tc>
        <w:tc>
          <w:tcPr>
            <w:tcW w:w="1900" w:type="dxa"/>
            <w:tcBorders>
              <w:top w:val="nil"/>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122,53%</w:t>
            </w:r>
          </w:p>
        </w:tc>
        <w:tc>
          <w:tcPr>
            <w:tcW w:w="1900" w:type="dxa"/>
            <w:tcBorders>
              <w:top w:val="nil"/>
              <w:left w:val="nil"/>
              <w:bottom w:val="single" w:sz="4" w:space="0" w:color="auto"/>
              <w:right w:val="single" w:sz="4" w:space="0" w:color="auto"/>
            </w:tcBorders>
            <w:shd w:val="clear" w:color="auto" w:fill="auto"/>
            <w:noWrap/>
            <w:vAlign w:val="bottom"/>
          </w:tcPr>
          <w:p w:rsidR="00B75A10" w:rsidRPr="000B544A" w:rsidRDefault="00B75A10" w:rsidP="009B747F">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-13,79%</w:t>
            </w:r>
          </w:p>
        </w:tc>
      </w:tr>
    </w:tbl>
    <w:p w:rsidR="00BF0052" w:rsidRPr="000B544A" w:rsidRDefault="00520F7B" w:rsidP="00520F7B">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252F1D" w:rsidRPr="000B544A" w:rsidRDefault="009B747F" w:rsidP="0079072E">
      <w:pPr>
        <w:spacing w:line="360" w:lineRule="auto"/>
        <w:ind w:firstLine="567"/>
        <w:jc w:val="both"/>
        <w:rPr>
          <w:rFonts w:ascii="Times New Roman" w:hAnsi="Times New Roman"/>
          <w:lang w:val="lt-LT"/>
        </w:rPr>
      </w:pPr>
      <w:r w:rsidRPr="000B544A">
        <w:rPr>
          <w:rFonts w:ascii="Times New Roman" w:hAnsi="Times New Roman"/>
          <w:lang w:val="lt-LT"/>
        </w:rPr>
        <w:t xml:space="preserve">Pirkimo sandoriams indikatorius butų buvęs naudingas ir jo generuojami signalai buvo teisingi. Investuojant pagal </w:t>
      </w:r>
      <w:r w:rsidR="008E7C0F" w:rsidRPr="000B544A">
        <w:rPr>
          <w:rFonts w:ascii="Times New Roman" w:hAnsi="Times New Roman"/>
          <w:lang w:val="lt-LT"/>
        </w:rPr>
        <w:t>pokyčio</w:t>
      </w:r>
      <w:r w:rsidRPr="000B544A">
        <w:rPr>
          <w:rFonts w:ascii="Times New Roman" w:hAnsi="Times New Roman"/>
          <w:lang w:val="lt-LT"/>
        </w:rPr>
        <w:t xml:space="preserve"> indikatoriaus signalus buvo galima uždirbti 122,53 proc. Pelno. Pardavimo sandoriams signalai nebuvo teisingi ir šio indikatoriaus rodomi signalai galėjo sąlygoti -13,79 proc. </w:t>
      </w:r>
      <w:r w:rsidR="003B7DE4" w:rsidRPr="000B544A">
        <w:rPr>
          <w:rFonts w:ascii="Times New Roman" w:hAnsi="Times New Roman"/>
          <w:lang w:val="lt-LT"/>
        </w:rPr>
        <w:t>n</w:t>
      </w:r>
      <w:r w:rsidRPr="000B544A">
        <w:rPr>
          <w:rFonts w:ascii="Times New Roman" w:hAnsi="Times New Roman"/>
          <w:lang w:val="lt-LT"/>
        </w:rPr>
        <w:t>uostolio.</w:t>
      </w:r>
    </w:p>
    <w:p w:rsidR="00252F1D" w:rsidRPr="000B544A" w:rsidRDefault="009B747F" w:rsidP="0010532D">
      <w:pPr>
        <w:pStyle w:val="Heading3"/>
        <w:spacing w:line="360" w:lineRule="auto"/>
        <w:rPr>
          <w:rFonts w:ascii="Times New Roman" w:hAnsi="Times New Roman"/>
          <w:lang w:val="lt-LT"/>
        </w:rPr>
      </w:pPr>
      <w:bookmarkStart w:id="50" w:name="_Toc312047647"/>
      <w:r w:rsidRPr="000B544A">
        <w:rPr>
          <w:rFonts w:ascii="Times New Roman" w:hAnsi="Times New Roman"/>
          <w:lang w:val="lt-LT"/>
        </w:rPr>
        <w:t>2</w:t>
      </w:r>
      <w:r w:rsidR="0010532D" w:rsidRPr="000B544A">
        <w:rPr>
          <w:rFonts w:ascii="Times New Roman" w:hAnsi="Times New Roman"/>
          <w:lang w:val="lt-LT"/>
        </w:rPr>
        <w:t>.2.6</w:t>
      </w:r>
      <w:r w:rsidR="00252F1D" w:rsidRPr="000B544A">
        <w:rPr>
          <w:rFonts w:ascii="Times New Roman" w:hAnsi="Times New Roman"/>
          <w:lang w:val="lt-LT"/>
        </w:rPr>
        <w:t xml:space="preserve"> </w:t>
      </w:r>
      <w:r w:rsidR="00197FAA" w:rsidRPr="000B544A">
        <w:rPr>
          <w:rFonts w:ascii="Times New Roman" w:hAnsi="Times New Roman"/>
          <w:lang w:val="lt-LT"/>
        </w:rPr>
        <w:t xml:space="preserve">Pasikeitimo masto indikatorius </w:t>
      </w:r>
      <w:r w:rsidR="008E7C0F" w:rsidRPr="000B544A">
        <w:rPr>
          <w:rFonts w:ascii="Times New Roman" w:hAnsi="Times New Roman"/>
          <w:lang w:val="lt-LT"/>
        </w:rPr>
        <w:t>– kainos kitimo greitis</w:t>
      </w:r>
      <w:bookmarkEnd w:id="50"/>
    </w:p>
    <w:p w:rsidR="00252F1D" w:rsidRPr="000B544A" w:rsidRDefault="00252F1D" w:rsidP="002C1431">
      <w:pPr>
        <w:spacing w:line="360" w:lineRule="auto"/>
        <w:ind w:firstLine="567"/>
        <w:jc w:val="both"/>
        <w:rPr>
          <w:rFonts w:ascii="Times New Roman" w:hAnsi="Times New Roman"/>
          <w:lang w:val="lt-LT"/>
        </w:rPr>
      </w:pPr>
      <w:r w:rsidRPr="000B544A">
        <w:rPr>
          <w:rFonts w:ascii="Times New Roman" w:hAnsi="Times New Roman"/>
          <w:lang w:val="lt-LT"/>
        </w:rPr>
        <w:t>Pasikeitimo masto indikatorius (angl. Rate of change (ROC)) yra panašus į pokyčio indikatorių. Šiuo metodu taip pat skaičiuojamas kainos skirtumas</w:t>
      </w:r>
      <w:r w:rsidR="003B7DE4" w:rsidRPr="000B544A">
        <w:rPr>
          <w:rFonts w:ascii="Times New Roman" w:hAnsi="Times New Roman"/>
          <w:lang w:val="lt-LT"/>
        </w:rPr>
        <w:t>,</w:t>
      </w:r>
      <w:r w:rsidRPr="000B544A">
        <w:rPr>
          <w:rFonts w:ascii="Times New Roman" w:hAnsi="Times New Roman"/>
          <w:lang w:val="lt-LT"/>
        </w:rPr>
        <w:t xml:space="preserve"> lyginant su anksčiau buvusiomis kainomis. </w:t>
      </w:r>
      <w:r w:rsidR="008D3760" w:rsidRPr="000B544A">
        <w:rPr>
          <w:rFonts w:ascii="Times New Roman" w:hAnsi="Times New Roman"/>
          <w:lang w:val="lt-LT"/>
        </w:rPr>
        <w:t>[25]</w:t>
      </w:r>
      <w:r w:rsidRPr="000B544A">
        <w:rPr>
          <w:rFonts w:ascii="Times New Roman" w:hAnsi="Times New Roman"/>
          <w:lang w:val="lt-LT"/>
        </w:rPr>
        <w:t xml:space="preserve"> Indikatorius matuoja kainos pasikeitimo kryptį ir greitį. “ROC” yra panašus į pokyčio indikatorių (angl. Momentum), bet tai nėra tas pats indikatorius. ROC piešiamas žemiau grafiko ir turi horizontalią vidurio liniją. Ši riba yra labai svarbi interpretuojant metodo signalus. </w:t>
      </w:r>
    </w:p>
    <w:p w:rsidR="00252F1D" w:rsidRPr="000B544A" w:rsidRDefault="00252F1D" w:rsidP="002C1431">
      <w:pPr>
        <w:spacing w:line="360" w:lineRule="auto"/>
        <w:ind w:firstLine="567"/>
        <w:jc w:val="both"/>
        <w:rPr>
          <w:rFonts w:ascii="Times New Roman" w:hAnsi="Times New Roman"/>
          <w:lang w:val="lt-LT"/>
        </w:rPr>
      </w:pPr>
      <w:r w:rsidRPr="000B544A">
        <w:rPr>
          <w:rFonts w:ascii="Times New Roman" w:hAnsi="Times New Roman"/>
          <w:lang w:val="lt-LT"/>
        </w:rPr>
        <w:t>Skaičiavimo formulė:</w:t>
      </w:r>
    </w:p>
    <w:p w:rsidR="00252F1D" w:rsidRPr="000B544A" w:rsidRDefault="00B542BF" w:rsidP="007A16F0">
      <w:pPr>
        <w:spacing w:line="360" w:lineRule="auto"/>
        <w:ind w:firstLine="567"/>
        <w:jc w:val="center"/>
        <w:rPr>
          <w:rFonts w:ascii="Times New Roman" w:hAnsi="Times New Roman"/>
          <w:lang w:val="lt-LT"/>
        </w:rPr>
      </w:pPr>
      <m:oMath>
        <m:r>
          <w:rPr>
            <w:rFonts w:ascii="Cambria Math" w:hAnsi="Cambria Math"/>
            <w:lang w:val="lt-LT"/>
          </w:rPr>
          <m:t xml:space="preserve">ROC=100 </m:t>
        </m:r>
        <m:d>
          <m:dPr>
            <m:ctrlPr>
              <w:rPr>
                <w:rFonts w:ascii="Cambria Math" w:hAnsi="Cambria Math"/>
                <w:i/>
                <w:lang w:val="lt-LT"/>
              </w:rPr>
            </m:ctrlPr>
          </m:dPr>
          <m:e>
            <m:f>
              <m:fPr>
                <m:ctrlPr>
                  <w:rPr>
                    <w:rFonts w:ascii="Cambria Math" w:hAnsi="Cambria Math"/>
                    <w:i/>
                    <w:lang w:val="lt-LT"/>
                  </w:rPr>
                </m:ctrlPr>
              </m:fPr>
              <m:num>
                <m:r>
                  <w:rPr>
                    <w:rFonts w:ascii="Cambria Math" w:hAnsi="Cambria Math"/>
                    <w:lang w:val="lt-LT"/>
                  </w:rPr>
                  <m:t>Y</m:t>
                </m:r>
              </m:num>
              <m:den>
                <m:sSub>
                  <m:sSubPr>
                    <m:ctrlPr>
                      <w:rPr>
                        <w:rFonts w:ascii="Cambria Math" w:hAnsi="Cambria Math"/>
                        <w:i/>
                        <w:lang w:val="lt-LT"/>
                      </w:rPr>
                    </m:ctrlPr>
                  </m:sSubPr>
                  <m:e>
                    <m:r>
                      <w:rPr>
                        <w:rFonts w:ascii="Cambria Math" w:hAnsi="Cambria Math"/>
                        <w:lang w:val="lt-LT"/>
                      </w:rPr>
                      <m:t>Y</m:t>
                    </m:r>
                  </m:e>
                  <m:sub>
                    <m:r>
                      <w:rPr>
                        <w:rFonts w:ascii="Cambria Math" w:hAnsi="Cambria Math"/>
                        <w:lang w:val="lt-LT"/>
                      </w:rPr>
                      <m:t>n</m:t>
                    </m:r>
                  </m:sub>
                </m:sSub>
              </m:den>
            </m:f>
          </m:e>
        </m:d>
        <m:r>
          <w:rPr>
            <w:rFonts w:ascii="Cambria Math" w:hAnsi="Cambria Math"/>
            <w:lang w:val="lt-LT"/>
          </w:rPr>
          <m:t>,</m:t>
        </m:r>
      </m:oMath>
      <w:r w:rsidR="00252F1D" w:rsidRPr="000B544A">
        <w:rPr>
          <w:rFonts w:ascii="Times New Roman" w:hAnsi="Times New Roman"/>
          <w:lang w:val="lt-LT"/>
        </w:rPr>
        <w:t xml:space="preserve"> kai       (6)</w:t>
      </w:r>
    </w:p>
    <w:p w:rsidR="00252F1D" w:rsidRPr="000B544A" w:rsidRDefault="00252F1D" w:rsidP="007A16F0">
      <w:pPr>
        <w:spacing w:line="360" w:lineRule="auto"/>
        <w:ind w:firstLine="567"/>
        <w:jc w:val="center"/>
        <w:rPr>
          <w:rFonts w:ascii="Times New Roman" w:hAnsi="Times New Roman"/>
          <w:lang w:val="lt-LT"/>
        </w:rPr>
      </w:pPr>
      <w:r w:rsidRPr="000B544A">
        <w:rPr>
          <w:rFonts w:ascii="Times New Roman" w:hAnsi="Times New Roman"/>
          <w:lang w:val="lt-LT"/>
        </w:rPr>
        <w:lastRenderedPageBreak/>
        <w:t>Y – naujausia uždarymo kaina,</w:t>
      </w:r>
    </w:p>
    <w:p w:rsidR="00252F1D" w:rsidRPr="000B544A" w:rsidRDefault="00A56BC3" w:rsidP="007A16F0">
      <w:pPr>
        <w:spacing w:line="360" w:lineRule="auto"/>
        <w:ind w:firstLine="567"/>
        <w:jc w:val="center"/>
        <w:rPr>
          <w:rFonts w:ascii="Times New Roman" w:hAnsi="Times New Roman"/>
          <w:lang w:val="lt-LT"/>
        </w:rPr>
      </w:pPr>
      <m:oMath>
        <m:sSub>
          <m:sSubPr>
            <m:ctrlPr>
              <w:rPr>
                <w:rFonts w:ascii="Cambria Math" w:hAnsi="Cambria Math"/>
                <w:i/>
                <w:lang w:val="lt-LT"/>
              </w:rPr>
            </m:ctrlPr>
          </m:sSubPr>
          <m:e>
            <m:r>
              <w:rPr>
                <w:rFonts w:ascii="Cambria Math" w:hAnsi="Cambria Math"/>
                <w:lang w:val="lt-LT"/>
              </w:rPr>
              <m:t>Y</m:t>
            </m:r>
          </m:e>
          <m:sub>
            <m:r>
              <w:rPr>
                <w:rFonts w:ascii="Cambria Math" w:hAnsi="Cambria Math"/>
                <w:lang w:val="lt-LT"/>
              </w:rPr>
              <m:t>n</m:t>
            </m:r>
          </m:sub>
        </m:sSub>
      </m:oMath>
      <w:r w:rsidR="00252F1D" w:rsidRPr="000B544A">
        <w:rPr>
          <w:rFonts w:ascii="Times New Roman" w:hAnsi="Times New Roman"/>
          <w:lang w:val="lt-LT"/>
        </w:rPr>
        <w:t xml:space="preserve"> – uždarymo kaina prieš n periodų.</w:t>
      </w:r>
    </w:p>
    <w:p w:rsidR="00252F1D" w:rsidRPr="000B544A" w:rsidRDefault="00252F1D" w:rsidP="002C1431">
      <w:pPr>
        <w:spacing w:line="360" w:lineRule="auto"/>
        <w:ind w:firstLine="567"/>
        <w:jc w:val="both"/>
        <w:rPr>
          <w:rFonts w:ascii="Times New Roman" w:hAnsi="Times New Roman"/>
          <w:lang w:val="lt-LT"/>
        </w:rPr>
      </w:pPr>
      <w:r w:rsidRPr="000B544A">
        <w:rPr>
          <w:rFonts w:ascii="Times New Roman" w:hAnsi="Times New Roman"/>
          <w:lang w:val="lt-LT"/>
        </w:rPr>
        <w:t xml:space="preserve">Jei uždarymo kaina yra didesnė, nei kaina prieš n periodų, tai indikatoriaus reikšmė bus didesnė už vidurio liniją, o tai reiškia, kad kaina kyla. Jei uždarymo kaina yra mažesnė už kainą prieš n periodų, tai indikatoriaus reikšmė bus žemesnė už vidurio liniją. Tai signalas, kad kaina krenta </w:t>
      </w:r>
      <w:r w:rsidR="008D3760" w:rsidRPr="000B544A">
        <w:rPr>
          <w:rFonts w:ascii="Times New Roman" w:hAnsi="Times New Roman"/>
          <w:lang w:val="lt-LT"/>
        </w:rPr>
        <w:t>[24]</w:t>
      </w:r>
      <w:r w:rsidRPr="000B544A">
        <w:rPr>
          <w:rFonts w:ascii="Times New Roman" w:hAnsi="Times New Roman"/>
          <w:lang w:val="lt-LT"/>
        </w:rPr>
        <w:t xml:space="preserve">. Vidurio linija dar vadinama 100 proc. linija, kadangi kai kainos yra vienodos (paskutinė uždarymo kaina ir prieš n periodų buvusi kaina) indikatoriaus reikšmė yra 100. Kuo toliau atitolusi indikatoriaus reikšmė nuo šios linijos, tuo kryptis yra stipresnė </w:t>
      </w:r>
      <w:r w:rsidR="008D3760" w:rsidRPr="000B544A">
        <w:rPr>
          <w:rFonts w:ascii="Times New Roman" w:hAnsi="Times New Roman"/>
          <w:lang w:val="lt-LT"/>
        </w:rPr>
        <w:t>[26]</w:t>
      </w:r>
      <w:r w:rsidRPr="000B544A">
        <w:rPr>
          <w:rFonts w:ascii="Times New Roman" w:hAnsi="Times New Roman"/>
          <w:lang w:val="lt-LT"/>
        </w:rPr>
        <w:t xml:space="preserve">. </w:t>
      </w:r>
    </w:p>
    <w:p w:rsidR="000D0E3D" w:rsidRPr="000B544A" w:rsidRDefault="005968BE" w:rsidP="002C1431">
      <w:pPr>
        <w:spacing w:line="360" w:lineRule="auto"/>
        <w:ind w:firstLine="567"/>
        <w:jc w:val="both"/>
        <w:rPr>
          <w:rFonts w:ascii="Times New Roman" w:hAnsi="Times New Roman"/>
          <w:lang w:val="lt-LT"/>
        </w:rPr>
      </w:pPr>
      <w:r w:rsidRPr="000B544A">
        <w:rPr>
          <w:rFonts w:ascii="Times New Roman" w:hAnsi="Times New Roman"/>
          <w:lang w:val="lt-LT"/>
        </w:rPr>
        <w:t xml:space="preserve">Populiariausi pasikeitimo masto indikatoriaus parametrai yra 12 ir 25 </w:t>
      </w:r>
      <w:r w:rsidR="008D3760" w:rsidRPr="000B544A">
        <w:rPr>
          <w:rFonts w:ascii="Times New Roman" w:hAnsi="Times New Roman"/>
          <w:lang w:val="lt-LT"/>
        </w:rPr>
        <w:t>[29]</w:t>
      </w:r>
      <w:r w:rsidRPr="000B544A">
        <w:rPr>
          <w:rFonts w:ascii="Times New Roman" w:hAnsi="Times New Roman"/>
          <w:lang w:val="lt-LT"/>
        </w:rPr>
        <w:t xml:space="preserve">. </w:t>
      </w:r>
      <w:r w:rsidR="000D0E3D" w:rsidRPr="000B544A">
        <w:rPr>
          <w:rFonts w:ascii="Times New Roman" w:hAnsi="Times New Roman"/>
          <w:lang w:val="lt-LT"/>
        </w:rPr>
        <w:t>Pritaikant šį indikatorių Baltijos šalių akcijų rinkai</w:t>
      </w:r>
      <w:r w:rsidR="003B7DE4" w:rsidRPr="000B544A">
        <w:rPr>
          <w:rFonts w:ascii="Times New Roman" w:hAnsi="Times New Roman"/>
          <w:lang w:val="lt-LT"/>
        </w:rPr>
        <w:t>,</w:t>
      </w:r>
      <w:r w:rsidR="000D0E3D" w:rsidRPr="000B544A">
        <w:rPr>
          <w:rFonts w:ascii="Times New Roman" w:hAnsi="Times New Roman"/>
          <w:lang w:val="lt-LT"/>
        </w:rPr>
        <w:t xml:space="preserve"> panaudoti abu populiariausi parametrai ir surastas trečias, geriausias parametras, su kuriuo pasiekiamas geriausias signalų teisingumo rezultatas.</w:t>
      </w:r>
    </w:p>
    <w:p w:rsidR="00F54846" w:rsidRPr="000B544A" w:rsidRDefault="00F54846" w:rsidP="00F54846">
      <w:pPr>
        <w:pStyle w:val="Caption"/>
        <w:keepNext/>
        <w:jc w:val="center"/>
        <w:rPr>
          <w:rFonts w:ascii="Times New Roman" w:hAnsi="Times New Roman"/>
          <w:b w:val="0"/>
          <w:lang w:val="lt-LT"/>
        </w:rPr>
      </w:pPr>
      <w:r w:rsidRPr="000B544A">
        <w:rPr>
          <w:rFonts w:ascii="Times New Roman" w:hAnsi="Times New Roman"/>
          <w:b w:val="0"/>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51" w:name="_Toc311718678"/>
      <w:r w:rsidR="00C53DDD">
        <w:rPr>
          <w:rFonts w:ascii="Times New Roman" w:hAnsi="Times New Roman"/>
          <w:b w:val="0"/>
          <w:noProof/>
          <w:lang w:val="lt-LT"/>
        </w:rPr>
        <w:t>12</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 </w:t>
      </w:r>
      <w:r w:rsidRPr="000B544A">
        <w:rPr>
          <w:rFonts w:ascii="Times New Roman" w:hAnsi="Times New Roman"/>
          <w:lang w:val="lt-LT"/>
        </w:rPr>
        <w:t>Pasikeitimo masto indikatoriaus rezultatai su skirtingais parametrais</w:t>
      </w:r>
      <w:bookmarkEnd w:id="51"/>
    </w:p>
    <w:tbl>
      <w:tblPr>
        <w:tblW w:w="4004" w:type="dxa"/>
        <w:jc w:val="center"/>
        <w:tblInd w:w="596" w:type="dxa"/>
        <w:tblLook w:val="0000"/>
      </w:tblPr>
      <w:tblGrid>
        <w:gridCol w:w="504"/>
        <w:gridCol w:w="1245"/>
        <w:gridCol w:w="1005"/>
        <w:gridCol w:w="1250"/>
      </w:tblGrid>
      <w:tr w:rsidR="000D0E3D" w:rsidRPr="000B544A" w:rsidTr="00F54846">
        <w:trPr>
          <w:trHeight w:val="30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0E3D" w:rsidRPr="000B544A" w:rsidRDefault="000D0E3D" w:rsidP="000D0E3D">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Nr.</w:t>
            </w:r>
          </w:p>
        </w:tc>
        <w:tc>
          <w:tcPr>
            <w:tcW w:w="1245" w:type="dxa"/>
            <w:tcBorders>
              <w:top w:val="single" w:sz="4" w:space="0" w:color="auto"/>
              <w:left w:val="nil"/>
              <w:bottom w:val="single" w:sz="4" w:space="0" w:color="auto"/>
              <w:right w:val="single" w:sz="4" w:space="0" w:color="auto"/>
            </w:tcBorders>
            <w:shd w:val="clear" w:color="auto" w:fill="auto"/>
            <w:noWrap/>
            <w:vAlign w:val="bottom"/>
          </w:tcPr>
          <w:p w:rsidR="000D0E3D" w:rsidRPr="000B544A" w:rsidRDefault="000D0E3D" w:rsidP="000D0E3D">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Parametras</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0D0E3D" w:rsidRPr="000B544A" w:rsidRDefault="000D0E3D" w:rsidP="000D0E3D">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Pirkimas</w:t>
            </w:r>
          </w:p>
        </w:tc>
        <w:tc>
          <w:tcPr>
            <w:tcW w:w="1250" w:type="dxa"/>
            <w:tcBorders>
              <w:top w:val="single" w:sz="4" w:space="0" w:color="auto"/>
              <w:left w:val="nil"/>
              <w:bottom w:val="single" w:sz="4" w:space="0" w:color="auto"/>
              <w:right w:val="single" w:sz="4" w:space="0" w:color="auto"/>
            </w:tcBorders>
            <w:shd w:val="clear" w:color="auto" w:fill="auto"/>
            <w:noWrap/>
            <w:vAlign w:val="bottom"/>
          </w:tcPr>
          <w:p w:rsidR="000D0E3D" w:rsidRPr="000B544A" w:rsidRDefault="000D0E3D" w:rsidP="000D0E3D">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Pardavimas</w:t>
            </w:r>
          </w:p>
        </w:tc>
      </w:tr>
      <w:tr w:rsidR="000D0E3D" w:rsidRPr="000B544A" w:rsidTr="00F54846">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tcPr>
          <w:p w:rsidR="000D0E3D" w:rsidRPr="000B544A" w:rsidRDefault="000D0E3D" w:rsidP="000D0E3D">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w:t>
            </w:r>
          </w:p>
        </w:tc>
        <w:tc>
          <w:tcPr>
            <w:tcW w:w="1245" w:type="dxa"/>
            <w:tcBorders>
              <w:top w:val="nil"/>
              <w:left w:val="nil"/>
              <w:bottom w:val="single" w:sz="4" w:space="0" w:color="auto"/>
              <w:right w:val="single" w:sz="4" w:space="0" w:color="auto"/>
            </w:tcBorders>
            <w:shd w:val="clear" w:color="auto" w:fill="auto"/>
            <w:noWrap/>
            <w:vAlign w:val="bottom"/>
          </w:tcPr>
          <w:p w:rsidR="000D0E3D" w:rsidRPr="000B544A" w:rsidRDefault="000D0E3D" w:rsidP="000D0E3D">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25</w:t>
            </w:r>
          </w:p>
        </w:tc>
        <w:tc>
          <w:tcPr>
            <w:tcW w:w="1005" w:type="dxa"/>
            <w:tcBorders>
              <w:top w:val="nil"/>
              <w:left w:val="nil"/>
              <w:bottom w:val="single" w:sz="4" w:space="0" w:color="auto"/>
              <w:right w:val="single" w:sz="4" w:space="0" w:color="auto"/>
            </w:tcBorders>
            <w:shd w:val="clear" w:color="auto" w:fill="auto"/>
            <w:noWrap/>
            <w:vAlign w:val="bottom"/>
          </w:tcPr>
          <w:p w:rsidR="000D0E3D" w:rsidRPr="000B544A" w:rsidRDefault="000D0E3D" w:rsidP="000D0E3D">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7,50%</w:t>
            </w:r>
          </w:p>
        </w:tc>
        <w:tc>
          <w:tcPr>
            <w:tcW w:w="1250" w:type="dxa"/>
            <w:tcBorders>
              <w:top w:val="nil"/>
              <w:left w:val="nil"/>
              <w:bottom w:val="single" w:sz="4" w:space="0" w:color="auto"/>
              <w:right w:val="single" w:sz="4" w:space="0" w:color="auto"/>
            </w:tcBorders>
            <w:shd w:val="clear" w:color="auto" w:fill="auto"/>
            <w:noWrap/>
            <w:vAlign w:val="bottom"/>
          </w:tcPr>
          <w:p w:rsidR="000D0E3D" w:rsidRPr="000B544A" w:rsidRDefault="000D0E3D" w:rsidP="000D0E3D">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-67,22%</w:t>
            </w:r>
          </w:p>
        </w:tc>
      </w:tr>
      <w:tr w:rsidR="000D0E3D" w:rsidRPr="000B544A" w:rsidTr="00F54846">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tcPr>
          <w:p w:rsidR="000D0E3D" w:rsidRPr="000B544A" w:rsidRDefault="000D0E3D" w:rsidP="000D0E3D">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w:t>
            </w:r>
          </w:p>
        </w:tc>
        <w:tc>
          <w:tcPr>
            <w:tcW w:w="1245" w:type="dxa"/>
            <w:tcBorders>
              <w:top w:val="nil"/>
              <w:left w:val="nil"/>
              <w:bottom w:val="single" w:sz="4" w:space="0" w:color="auto"/>
              <w:right w:val="single" w:sz="4" w:space="0" w:color="auto"/>
            </w:tcBorders>
            <w:shd w:val="clear" w:color="auto" w:fill="auto"/>
            <w:noWrap/>
            <w:vAlign w:val="bottom"/>
          </w:tcPr>
          <w:p w:rsidR="000D0E3D" w:rsidRPr="000B544A" w:rsidRDefault="000D0E3D" w:rsidP="000D0E3D">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12</w:t>
            </w:r>
          </w:p>
        </w:tc>
        <w:tc>
          <w:tcPr>
            <w:tcW w:w="1005" w:type="dxa"/>
            <w:tcBorders>
              <w:top w:val="nil"/>
              <w:left w:val="nil"/>
              <w:bottom w:val="single" w:sz="4" w:space="0" w:color="auto"/>
              <w:right w:val="single" w:sz="4" w:space="0" w:color="auto"/>
            </w:tcBorders>
            <w:shd w:val="clear" w:color="auto" w:fill="auto"/>
            <w:noWrap/>
            <w:vAlign w:val="bottom"/>
          </w:tcPr>
          <w:p w:rsidR="000D0E3D" w:rsidRPr="000B544A" w:rsidRDefault="000D0E3D" w:rsidP="000D0E3D">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72,88%</w:t>
            </w:r>
          </w:p>
        </w:tc>
        <w:tc>
          <w:tcPr>
            <w:tcW w:w="1250" w:type="dxa"/>
            <w:tcBorders>
              <w:top w:val="nil"/>
              <w:left w:val="nil"/>
              <w:bottom w:val="single" w:sz="4" w:space="0" w:color="auto"/>
              <w:right w:val="single" w:sz="4" w:space="0" w:color="auto"/>
            </w:tcBorders>
            <w:shd w:val="clear" w:color="auto" w:fill="auto"/>
            <w:noWrap/>
            <w:vAlign w:val="bottom"/>
          </w:tcPr>
          <w:p w:rsidR="000D0E3D" w:rsidRPr="000B544A" w:rsidRDefault="000D0E3D" w:rsidP="000D0E3D">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22,37%</w:t>
            </w:r>
          </w:p>
        </w:tc>
      </w:tr>
      <w:tr w:rsidR="000D0E3D" w:rsidRPr="000B544A" w:rsidTr="00F54846">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tcPr>
          <w:p w:rsidR="000D0E3D" w:rsidRPr="000B544A" w:rsidRDefault="000D0E3D" w:rsidP="000D0E3D">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w:t>
            </w:r>
          </w:p>
        </w:tc>
        <w:tc>
          <w:tcPr>
            <w:tcW w:w="1245" w:type="dxa"/>
            <w:tcBorders>
              <w:top w:val="nil"/>
              <w:left w:val="nil"/>
              <w:bottom w:val="single" w:sz="4" w:space="0" w:color="auto"/>
              <w:right w:val="single" w:sz="4" w:space="0" w:color="auto"/>
            </w:tcBorders>
            <w:shd w:val="clear" w:color="auto" w:fill="auto"/>
            <w:noWrap/>
            <w:vAlign w:val="bottom"/>
          </w:tcPr>
          <w:p w:rsidR="000D0E3D" w:rsidRPr="000B544A" w:rsidRDefault="000D0E3D" w:rsidP="000D0E3D">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19</w:t>
            </w:r>
          </w:p>
        </w:tc>
        <w:tc>
          <w:tcPr>
            <w:tcW w:w="1005" w:type="dxa"/>
            <w:tcBorders>
              <w:top w:val="nil"/>
              <w:left w:val="nil"/>
              <w:bottom w:val="single" w:sz="4" w:space="0" w:color="auto"/>
              <w:right w:val="single" w:sz="4" w:space="0" w:color="auto"/>
            </w:tcBorders>
            <w:shd w:val="clear" w:color="auto" w:fill="auto"/>
            <w:noWrap/>
            <w:vAlign w:val="bottom"/>
          </w:tcPr>
          <w:p w:rsidR="000D0E3D" w:rsidRPr="000B544A" w:rsidRDefault="000D0E3D" w:rsidP="000D0E3D">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135,57%</w:t>
            </w:r>
          </w:p>
        </w:tc>
        <w:tc>
          <w:tcPr>
            <w:tcW w:w="1250" w:type="dxa"/>
            <w:tcBorders>
              <w:top w:val="nil"/>
              <w:left w:val="nil"/>
              <w:bottom w:val="single" w:sz="4" w:space="0" w:color="auto"/>
              <w:right w:val="single" w:sz="4" w:space="0" w:color="auto"/>
            </w:tcBorders>
            <w:shd w:val="clear" w:color="auto" w:fill="auto"/>
            <w:noWrap/>
            <w:vAlign w:val="bottom"/>
          </w:tcPr>
          <w:p w:rsidR="000D0E3D" w:rsidRPr="000B544A" w:rsidRDefault="000D0E3D" w:rsidP="000D0E3D">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81,78%</w:t>
            </w:r>
          </w:p>
        </w:tc>
      </w:tr>
    </w:tbl>
    <w:p w:rsidR="00DB42B5" w:rsidRPr="000B544A" w:rsidRDefault="005968BE" w:rsidP="00520F7B">
      <w:pPr>
        <w:spacing w:after="0" w:line="360" w:lineRule="auto"/>
        <w:ind w:firstLine="567"/>
        <w:jc w:val="both"/>
        <w:rPr>
          <w:rFonts w:ascii="Times New Roman" w:hAnsi="Times New Roman"/>
          <w:sz w:val="20"/>
          <w:szCs w:val="20"/>
          <w:lang w:val="lt-LT"/>
        </w:rPr>
      </w:pPr>
      <w:r w:rsidRPr="000B544A">
        <w:rPr>
          <w:rFonts w:ascii="Times New Roman" w:hAnsi="Times New Roman"/>
          <w:lang w:val="lt-LT"/>
        </w:rPr>
        <w:t xml:space="preserve"> </w:t>
      </w:r>
      <w:r w:rsidR="00520F7B" w:rsidRPr="000B544A">
        <w:rPr>
          <w:rFonts w:ascii="Times New Roman" w:hAnsi="Times New Roman"/>
          <w:b/>
          <w:sz w:val="20"/>
          <w:szCs w:val="20"/>
          <w:lang w:val="lt-LT"/>
        </w:rPr>
        <w:t>Šaltinis:</w:t>
      </w:r>
      <w:r w:rsidR="00520F7B" w:rsidRPr="000B544A">
        <w:rPr>
          <w:rFonts w:ascii="Times New Roman" w:hAnsi="Times New Roman"/>
          <w:sz w:val="20"/>
          <w:szCs w:val="20"/>
          <w:lang w:val="lt-LT"/>
        </w:rPr>
        <w:t xml:space="preserve"> Sudaryta autoriaus</w:t>
      </w:r>
    </w:p>
    <w:p w:rsidR="005968BE" w:rsidRPr="000B544A" w:rsidRDefault="00DB42B5" w:rsidP="002C1431">
      <w:pPr>
        <w:spacing w:line="360" w:lineRule="auto"/>
        <w:ind w:firstLine="567"/>
        <w:jc w:val="both"/>
        <w:rPr>
          <w:rFonts w:ascii="Times New Roman" w:hAnsi="Times New Roman"/>
          <w:lang w:val="lt-LT"/>
        </w:rPr>
      </w:pPr>
      <w:r w:rsidRPr="000B544A">
        <w:rPr>
          <w:rFonts w:ascii="Times New Roman" w:hAnsi="Times New Roman"/>
          <w:lang w:val="lt-LT"/>
        </w:rPr>
        <w:t>Iš lentelėje pateiktų duomenų matyti, kad dažniausiai naudojami indikatoriaus parametrai neduoda geriausio rezultato. Geriausias rezultatas gaunamas su parametru – 19.</w:t>
      </w:r>
      <w:r w:rsidR="0000093B" w:rsidRPr="000B544A">
        <w:rPr>
          <w:rFonts w:ascii="Times New Roman" w:hAnsi="Times New Roman"/>
          <w:lang w:val="lt-LT"/>
        </w:rPr>
        <w:t xml:space="preserve"> Pirkimo signalų pelningumas siekia 135,57 proc., o pardavimo signalų pelningumas siekia 81,78 proc.</w:t>
      </w:r>
    </w:p>
    <w:p w:rsidR="00F54846" w:rsidRPr="000B544A" w:rsidRDefault="00F54846" w:rsidP="00F54846">
      <w:pPr>
        <w:pStyle w:val="Caption"/>
        <w:keepNext/>
        <w:jc w:val="center"/>
        <w:rPr>
          <w:rFonts w:ascii="Times New Roman" w:hAnsi="Times New Roman"/>
          <w:b w:val="0"/>
          <w:lang w:val="lt-LT"/>
        </w:rPr>
      </w:pPr>
      <w:r w:rsidRPr="000B544A">
        <w:rPr>
          <w:rFonts w:ascii="Times New Roman" w:hAnsi="Times New Roman"/>
          <w:b w:val="0"/>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52" w:name="_Toc311718679"/>
      <w:r w:rsidR="00C53DDD">
        <w:rPr>
          <w:rFonts w:ascii="Times New Roman" w:hAnsi="Times New Roman"/>
          <w:b w:val="0"/>
          <w:noProof/>
          <w:lang w:val="lt-LT"/>
        </w:rPr>
        <w:t>13</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 </w:t>
      </w:r>
      <w:r w:rsidRPr="000B544A">
        <w:rPr>
          <w:rFonts w:ascii="Times New Roman" w:hAnsi="Times New Roman"/>
          <w:lang w:val="lt-LT"/>
        </w:rPr>
        <w:t>Pasikeiti</w:t>
      </w:r>
      <w:r w:rsidR="00F41893">
        <w:rPr>
          <w:rFonts w:ascii="Times New Roman" w:hAnsi="Times New Roman"/>
          <w:lang w:val="lt-LT"/>
        </w:rPr>
        <w:t xml:space="preserve">mo masto indikatoriaus rezultatas </w:t>
      </w:r>
      <w:r w:rsidRPr="000B544A">
        <w:rPr>
          <w:rFonts w:ascii="Times New Roman" w:hAnsi="Times New Roman"/>
          <w:lang w:val="lt-LT"/>
        </w:rPr>
        <w:t xml:space="preserve"> su geriausiu parametru</w:t>
      </w:r>
      <w:bookmarkEnd w:id="52"/>
    </w:p>
    <w:tbl>
      <w:tblPr>
        <w:tblW w:w="6237" w:type="dxa"/>
        <w:jc w:val="center"/>
        <w:tblInd w:w="1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7"/>
        <w:gridCol w:w="1900"/>
        <w:gridCol w:w="1900"/>
        <w:gridCol w:w="1900"/>
      </w:tblGrid>
      <w:tr w:rsidR="00B75A10" w:rsidRPr="000B544A">
        <w:trPr>
          <w:trHeight w:val="300"/>
          <w:jc w:val="center"/>
        </w:trPr>
        <w:tc>
          <w:tcPr>
            <w:tcW w:w="537" w:type="dxa"/>
          </w:tcPr>
          <w:p w:rsidR="00B75A10" w:rsidRPr="000B544A" w:rsidRDefault="00B75A10" w:rsidP="0000093B">
            <w:pPr>
              <w:spacing w:after="0"/>
              <w:jc w:val="center"/>
              <w:rPr>
                <w:rFonts w:ascii="Times New Roman" w:hAnsi="Times New Roman"/>
                <w:lang w:val="lt-LT" w:eastAsia="lt-LT"/>
              </w:rPr>
            </w:pPr>
            <w:r w:rsidRPr="000B544A">
              <w:rPr>
                <w:rFonts w:ascii="Times New Roman" w:hAnsi="Times New Roman"/>
                <w:lang w:val="lt-LT" w:eastAsia="lt-LT"/>
              </w:rPr>
              <w:t>Nr.</w:t>
            </w:r>
          </w:p>
        </w:tc>
        <w:tc>
          <w:tcPr>
            <w:tcW w:w="1900" w:type="dxa"/>
            <w:vAlign w:val="bottom"/>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Akcija</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Pirkimas</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Pardavimas</w:t>
            </w:r>
          </w:p>
        </w:tc>
      </w:tr>
      <w:tr w:rsidR="00B75A10" w:rsidRPr="000B544A">
        <w:trPr>
          <w:trHeight w:val="300"/>
          <w:jc w:val="center"/>
        </w:trPr>
        <w:tc>
          <w:tcPr>
            <w:tcW w:w="537" w:type="dxa"/>
          </w:tcPr>
          <w:p w:rsidR="00B75A10" w:rsidRPr="000B544A" w:rsidRDefault="00B75A10" w:rsidP="0000093B">
            <w:pPr>
              <w:spacing w:after="0"/>
              <w:jc w:val="center"/>
              <w:rPr>
                <w:rFonts w:ascii="Times New Roman" w:hAnsi="Times New Roman"/>
                <w:lang w:val="lt-LT" w:eastAsia="lt-LT"/>
              </w:rPr>
            </w:pPr>
            <w:r w:rsidRPr="000B544A">
              <w:rPr>
                <w:rFonts w:ascii="Times New Roman" w:hAnsi="Times New Roman"/>
                <w:lang w:val="lt-LT" w:eastAsia="lt-LT"/>
              </w:rPr>
              <w:t>1</w:t>
            </w:r>
          </w:p>
        </w:tc>
        <w:tc>
          <w:tcPr>
            <w:tcW w:w="1900" w:type="dxa"/>
            <w:vAlign w:val="center"/>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Apranga</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11,56%</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-39,76%</w:t>
            </w:r>
          </w:p>
        </w:tc>
      </w:tr>
      <w:tr w:rsidR="00B75A10" w:rsidRPr="000B544A">
        <w:trPr>
          <w:trHeight w:val="300"/>
          <w:jc w:val="center"/>
        </w:trPr>
        <w:tc>
          <w:tcPr>
            <w:tcW w:w="537" w:type="dxa"/>
          </w:tcPr>
          <w:p w:rsidR="00B75A10" w:rsidRPr="000B544A" w:rsidRDefault="00B75A10" w:rsidP="0000093B">
            <w:pPr>
              <w:spacing w:after="0"/>
              <w:jc w:val="center"/>
              <w:rPr>
                <w:rFonts w:ascii="Times New Roman" w:hAnsi="Times New Roman"/>
                <w:lang w:val="lt-LT" w:eastAsia="lt-LT"/>
              </w:rPr>
            </w:pPr>
            <w:r w:rsidRPr="000B544A">
              <w:rPr>
                <w:rFonts w:ascii="Times New Roman" w:hAnsi="Times New Roman"/>
                <w:lang w:val="lt-LT" w:eastAsia="lt-LT"/>
              </w:rPr>
              <w:t>2</w:t>
            </w:r>
          </w:p>
        </w:tc>
        <w:tc>
          <w:tcPr>
            <w:tcW w:w="1900" w:type="dxa"/>
            <w:vAlign w:val="center"/>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Linas Agro Group</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0,19%</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19,47%</w:t>
            </w:r>
          </w:p>
        </w:tc>
      </w:tr>
      <w:tr w:rsidR="00B75A10" w:rsidRPr="000B544A">
        <w:trPr>
          <w:trHeight w:val="300"/>
          <w:jc w:val="center"/>
        </w:trPr>
        <w:tc>
          <w:tcPr>
            <w:tcW w:w="537" w:type="dxa"/>
          </w:tcPr>
          <w:p w:rsidR="00B75A10" w:rsidRPr="000B544A" w:rsidRDefault="00B75A10" w:rsidP="0000093B">
            <w:pPr>
              <w:spacing w:after="0"/>
              <w:jc w:val="center"/>
              <w:rPr>
                <w:rFonts w:ascii="Times New Roman" w:hAnsi="Times New Roman"/>
                <w:lang w:val="lt-LT" w:eastAsia="lt-LT"/>
              </w:rPr>
            </w:pPr>
            <w:r w:rsidRPr="000B544A">
              <w:rPr>
                <w:rFonts w:ascii="Times New Roman" w:hAnsi="Times New Roman"/>
                <w:lang w:val="lt-LT" w:eastAsia="lt-LT"/>
              </w:rPr>
              <w:t>3</w:t>
            </w:r>
          </w:p>
        </w:tc>
        <w:tc>
          <w:tcPr>
            <w:tcW w:w="1900" w:type="dxa"/>
            <w:vAlign w:val="center"/>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Nordecon AS</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-10,72%</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30,43%</w:t>
            </w:r>
          </w:p>
        </w:tc>
      </w:tr>
      <w:tr w:rsidR="00B75A10" w:rsidRPr="000B544A">
        <w:trPr>
          <w:trHeight w:val="300"/>
          <w:jc w:val="center"/>
        </w:trPr>
        <w:tc>
          <w:tcPr>
            <w:tcW w:w="537" w:type="dxa"/>
          </w:tcPr>
          <w:p w:rsidR="00B75A10" w:rsidRPr="000B544A" w:rsidRDefault="00B75A10" w:rsidP="0000093B">
            <w:pPr>
              <w:spacing w:after="0"/>
              <w:jc w:val="center"/>
              <w:rPr>
                <w:rFonts w:ascii="Times New Roman" w:hAnsi="Times New Roman"/>
                <w:lang w:val="lt-LT" w:eastAsia="lt-LT"/>
              </w:rPr>
            </w:pPr>
            <w:r w:rsidRPr="000B544A">
              <w:rPr>
                <w:rFonts w:ascii="Times New Roman" w:hAnsi="Times New Roman"/>
                <w:lang w:val="lt-LT" w:eastAsia="lt-LT"/>
              </w:rPr>
              <w:t>4</w:t>
            </w:r>
          </w:p>
        </w:tc>
        <w:tc>
          <w:tcPr>
            <w:tcW w:w="1900" w:type="dxa"/>
            <w:vAlign w:val="center"/>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Olympic Entertainment Group</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35,78%</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16,83%</w:t>
            </w:r>
          </w:p>
        </w:tc>
      </w:tr>
      <w:tr w:rsidR="00B75A10" w:rsidRPr="000B544A">
        <w:trPr>
          <w:trHeight w:val="300"/>
          <w:jc w:val="center"/>
        </w:trPr>
        <w:tc>
          <w:tcPr>
            <w:tcW w:w="537" w:type="dxa"/>
          </w:tcPr>
          <w:p w:rsidR="00B75A10" w:rsidRPr="000B544A" w:rsidRDefault="00B75A10" w:rsidP="0000093B">
            <w:pPr>
              <w:spacing w:after="0"/>
              <w:jc w:val="center"/>
              <w:rPr>
                <w:rFonts w:ascii="Times New Roman" w:hAnsi="Times New Roman"/>
                <w:lang w:val="lt-LT" w:eastAsia="lt-LT"/>
              </w:rPr>
            </w:pPr>
            <w:r w:rsidRPr="000B544A">
              <w:rPr>
                <w:rFonts w:ascii="Times New Roman" w:hAnsi="Times New Roman"/>
                <w:lang w:val="lt-LT" w:eastAsia="lt-LT"/>
              </w:rPr>
              <w:t>5</w:t>
            </w:r>
          </w:p>
        </w:tc>
        <w:tc>
          <w:tcPr>
            <w:tcW w:w="1900" w:type="dxa"/>
            <w:vAlign w:val="center"/>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Panevėžio statybos trestas</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25,36%</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-0,18%</w:t>
            </w:r>
          </w:p>
        </w:tc>
      </w:tr>
      <w:tr w:rsidR="00B75A10" w:rsidRPr="000B544A">
        <w:trPr>
          <w:trHeight w:val="300"/>
          <w:jc w:val="center"/>
        </w:trPr>
        <w:tc>
          <w:tcPr>
            <w:tcW w:w="537" w:type="dxa"/>
          </w:tcPr>
          <w:p w:rsidR="00B75A10" w:rsidRPr="000B544A" w:rsidRDefault="00B75A10" w:rsidP="0000093B">
            <w:pPr>
              <w:spacing w:after="0"/>
              <w:jc w:val="center"/>
              <w:rPr>
                <w:rFonts w:ascii="Times New Roman" w:hAnsi="Times New Roman"/>
                <w:lang w:val="lt-LT" w:eastAsia="lt-LT"/>
              </w:rPr>
            </w:pPr>
            <w:r w:rsidRPr="000B544A">
              <w:rPr>
                <w:rFonts w:ascii="Times New Roman" w:hAnsi="Times New Roman"/>
                <w:lang w:val="lt-LT" w:eastAsia="lt-LT"/>
              </w:rPr>
              <w:t>6</w:t>
            </w:r>
          </w:p>
        </w:tc>
        <w:tc>
          <w:tcPr>
            <w:tcW w:w="1900" w:type="dxa"/>
            <w:vAlign w:val="center"/>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Tallink Grupp</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34,28%</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12,01%</w:t>
            </w:r>
          </w:p>
        </w:tc>
      </w:tr>
      <w:tr w:rsidR="00B75A10" w:rsidRPr="000B544A">
        <w:trPr>
          <w:trHeight w:val="300"/>
          <w:jc w:val="center"/>
        </w:trPr>
        <w:tc>
          <w:tcPr>
            <w:tcW w:w="537" w:type="dxa"/>
          </w:tcPr>
          <w:p w:rsidR="00B75A10" w:rsidRPr="000B544A" w:rsidRDefault="00B75A10" w:rsidP="0000093B">
            <w:pPr>
              <w:spacing w:after="0"/>
              <w:jc w:val="center"/>
              <w:rPr>
                <w:rFonts w:ascii="Times New Roman" w:hAnsi="Times New Roman"/>
                <w:lang w:val="lt-LT" w:eastAsia="lt-LT"/>
              </w:rPr>
            </w:pPr>
            <w:r w:rsidRPr="000B544A">
              <w:rPr>
                <w:rFonts w:ascii="Times New Roman" w:hAnsi="Times New Roman"/>
                <w:lang w:val="lt-LT" w:eastAsia="lt-LT"/>
              </w:rPr>
              <w:t>7</w:t>
            </w:r>
          </w:p>
        </w:tc>
        <w:tc>
          <w:tcPr>
            <w:tcW w:w="1900" w:type="dxa"/>
            <w:vAlign w:val="center"/>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TEO LT</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5,91%</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0,36%</w:t>
            </w:r>
          </w:p>
        </w:tc>
      </w:tr>
      <w:tr w:rsidR="00B75A10" w:rsidRPr="000B544A">
        <w:trPr>
          <w:trHeight w:val="300"/>
          <w:jc w:val="center"/>
        </w:trPr>
        <w:tc>
          <w:tcPr>
            <w:tcW w:w="537" w:type="dxa"/>
          </w:tcPr>
          <w:p w:rsidR="00B75A10" w:rsidRPr="000B544A" w:rsidRDefault="00B75A10" w:rsidP="0000093B">
            <w:pPr>
              <w:spacing w:after="0"/>
              <w:jc w:val="center"/>
              <w:rPr>
                <w:rFonts w:ascii="Times New Roman" w:hAnsi="Times New Roman"/>
                <w:lang w:val="lt-LT" w:eastAsia="lt-LT"/>
              </w:rPr>
            </w:pPr>
            <w:r w:rsidRPr="000B544A">
              <w:rPr>
                <w:rFonts w:ascii="Times New Roman" w:hAnsi="Times New Roman"/>
                <w:lang w:val="lt-LT" w:eastAsia="lt-LT"/>
              </w:rPr>
              <w:t>8</w:t>
            </w:r>
          </w:p>
        </w:tc>
        <w:tc>
          <w:tcPr>
            <w:tcW w:w="1900" w:type="dxa"/>
            <w:vAlign w:val="center"/>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Tallinna Kaubamaja</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14,85%</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-0,47%</w:t>
            </w:r>
          </w:p>
        </w:tc>
      </w:tr>
      <w:tr w:rsidR="00B75A10" w:rsidRPr="000B544A">
        <w:trPr>
          <w:trHeight w:val="300"/>
          <w:jc w:val="center"/>
        </w:trPr>
        <w:tc>
          <w:tcPr>
            <w:tcW w:w="537" w:type="dxa"/>
          </w:tcPr>
          <w:p w:rsidR="00B75A10" w:rsidRPr="000B544A" w:rsidRDefault="00B75A10" w:rsidP="0000093B">
            <w:pPr>
              <w:spacing w:after="0"/>
              <w:jc w:val="center"/>
              <w:rPr>
                <w:rFonts w:ascii="Times New Roman" w:hAnsi="Times New Roman"/>
                <w:lang w:val="lt-LT" w:eastAsia="lt-LT"/>
              </w:rPr>
            </w:pPr>
            <w:r w:rsidRPr="000B544A">
              <w:rPr>
                <w:rFonts w:ascii="Times New Roman" w:hAnsi="Times New Roman"/>
                <w:lang w:val="lt-LT" w:eastAsia="lt-LT"/>
              </w:rPr>
              <w:t>9</w:t>
            </w:r>
          </w:p>
        </w:tc>
        <w:tc>
          <w:tcPr>
            <w:tcW w:w="1900" w:type="dxa"/>
            <w:vAlign w:val="center"/>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Tallinna Vesi</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10,47%</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39,59%</w:t>
            </w:r>
          </w:p>
        </w:tc>
      </w:tr>
      <w:tr w:rsidR="00B75A10" w:rsidRPr="000B544A">
        <w:trPr>
          <w:trHeight w:val="300"/>
          <w:jc w:val="center"/>
        </w:trPr>
        <w:tc>
          <w:tcPr>
            <w:tcW w:w="537" w:type="dxa"/>
          </w:tcPr>
          <w:p w:rsidR="00B75A10" w:rsidRPr="000B544A" w:rsidRDefault="00B75A10" w:rsidP="0000093B">
            <w:pPr>
              <w:spacing w:after="0"/>
              <w:jc w:val="center"/>
              <w:rPr>
                <w:rFonts w:ascii="Times New Roman" w:hAnsi="Times New Roman"/>
                <w:lang w:val="lt-LT" w:eastAsia="lt-LT"/>
              </w:rPr>
            </w:pPr>
            <w:r w:rsidRPr="000B544A">
              <w:rPr>
                <w:rFonts w:ascii="Times New Roman" w:hAnsi="Times New Roman"/>
                <w:lang w:val="lt-LT" w:eastAsia="lt-LT"/>
              </w:rPr>
              <w:t>10</w:t>
            </w:r>
          </w:p>
        </w:tc>
        <w:tc>
          <w:tcPr>
            <w:tcW w:w="1900" w:type="dxa"/>
            <w:vAlign w:val="center"/>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Ūkio bankas</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7,89%</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3,50%</w:t>
            </w:r>
          </w:p>
        </w:tc>
      </w:tr>
      <w:tr w:rsidR="00B75A10" w:rsidRPr="000B544A">
        <w:trPr>
          <w:trHeight w:val="300"/>
          <w:jc w:val="center"/>
        </w:trPr>
        <w:tc>
          <w:tcPr>
            <w:tcW w:w="537" w:type="dxa"/>
          </w:tcPr>
          <w:p w:rsidR="00B75A10" w:rsidRPr="000B544A" w:rsidRDefault="00B75A10" w:rsidP="0000093B">
            <w:pPr>
              <w:spacing w:after="0"/>
              <w:jc w:val="center"/>
              <w:rPr>
                <w:rFonts w:ascii="Times New Roman" w:hAnsi="Times New Roman"/>
                <w:sz w:val="22"/>
                <w:szCs w:val="22"/>
                <w:lang w:val="lt-LT" w:eastAsia="lt-LT"/>
              </w:rPr>
            </w:pPr>
          </w:p>
        </w:tc>
        <w:tc>
          <w:tcPr>
            <w:tcW w:w="1900" w:type="dxa"/>
            <w:vAlign w:val="bottom"/>
          </w:tcPr>
          <w:p w:rsidR="00B75A10" w:rsidRPr="000B544A" w:rsidRDefault="00B75A10" w:rsidP="000D1B5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Suma</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135,57%</w:t>
            </w:r>
          </w:p>
        </w:tc>
        <w:tc>
          <w:tcPr>
            <w:tcW w:w="1900" w:type="dxa"/>
            <w:shd w:val="clear" w:color="auto" w:fill="auto"/>
            <w:noWrap/>
            <w:vAlign w:val="bottom"/>
          </w:tcPr>
          <w:p w:rsidR="00B75A10" w:rsidRPr="000B544A" w:rsidRDefault="00B75A10" w:rsidP="0000093B">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81,78%</w:t>
            </w:r>
          </w:p>
        </w:tc>
      </w:tr>
    </w:tbl>
    <w:p w:rsidR="0000093B" w:rsidRPr="000B544A" w:rsidRDefault="00520F7B" w:rsidP="00DA691E">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252F1D" w:rsidRPr="000B544A" w:rsidRDefault="0000093B" w:rsidP="00757EAA">
      <w:pPr>
        <w:spacing w:line="360" w:lineRule="auto"/>
        <w:ind w:firstLine="567"/>
        <w:jc w:val="both"/>
        <w:rPr>
          <w:rFonts w:ascii="Times New Roman" w:hAnsi="Times New Roman"/>
          <w:lang w:val="lt-LT"/>
        </w:rPr>
      </w:pPr>
      <w:r w:rsidRPr="000B544A">
        <w:rPr>
          <w:rFonts w:ascii="Times New Roman" w:hAnsi="Times New Roman"/>
          <w:lang w:val="lt-LT"/>
        </w:rPr>
        <w:lastRenderedPageBreak/>
        <w:t xml:space="preserve">Su parametru 19 pasikeitimo masto indikatoriaus rodomi pirkimo signalai tyrimo laikotarpyje buvo naudingi 9 iš 10 akcijų. Pardavimo signalų rezultatai nebuvo tokie geri, </w:t>
      </w:r>
      <w:r w:rsidR="005A23C8" w:rsidRPr="000B544A">
        <w:rPr>
          <w:rFonts w:ascii="Times New Roman" w:hAnsi="Times New Roman"/>
          <w:lang w:val="lt-LT"/>
        </w:rPr>
        <w:t>7 iš 10 akcijų pagal rodomus signalus buvo pelningos.</w:t>
      </w:r>
    </w:p>
    <w:p w:rsidR="00252F1D" w:rsidRPr="000B544A" w:rsidRDefault="00890B47" w:rsidP="0010532D">
      <w:pPr>
        <w:pStyle w:val="Heading3"/>
        <w:spacing w:line="360" w:lineRule="auto"/>
        <w:rPr>
          <w:rFonts w:ascii="Times New Roman" w:hAnsi="Times New Roman"/>
          <w:lang w:val="lt-LT"/>
        </w:rPr>
      </w:pPr>
      <w:bookmarkStart w:id="53" w:name="_Toc312047648"/>
      <w:r w:rsidRPr="000B544A">
        <w:rPr>
          <w:rFonts w:ascii="Times New Roman" w:hAnsi="Times New Roman"/>
          <w:lang w:val="lt-LT"/>
        </w:rPr>
        <w:t>2</w:t>
      </w:r>
      <w:r w:rsidR="0010532D" w:rsidRPr="000B544A">
        <w:rPr>
          <w:rFonts w:ascii="Times New Roman" w:hAnsi="Times New Roman"/>
          <w:lang w:val="lt-LT"/>
        </w:rPr>
        <w:t>.2.7</w:t>
      </w:r>
      <w:r w:rsidR="00252F1D" w:rsidRPr="000B544A">
        <w:rPr>
          <w:rFonts w:ascii="Times New Roman" w:hAnsi="Times New Roman"/>
          <w:lang w:val="lt-LT"/>
        </w:rPr>
        <w:t xml:space="preserve"> </w:t>
      </w:r>
      <w:r w:rsidR="00197FAA" w:rsidRPr="000B544A">
        <w:rPr>
          <w:rFonts w:ascii="Times New Roman" w:hAnsi="Times New Roman"/>
          <w:lang w:val="lt-LT"/>
        </w:rPr>
        <w:t>Stochastinis osciliatorius</w:t>
      </w:r>
      <w:r w:rsidR="008E7C0F" w:rsidRPr="000B544A">
        <w:rPr>
          <w:rFonts w:ascii="Times New Roman" w:hAnsi="Times New Roman"/>
          <w:lang w:val="lt-LT"/>
        </w:rPr>
        <w:t xml:space="preserve"> – kainos vieta jos svyravimo amplitudėje</w:t>
      </w:r>
      <w:bookmarkEnd w:id="53"/>
    </w:p>
    <w:p w:rsidR="00252F1D" w:rsidRPr="000B544A" w:rsidRDefault="00252F1D" w:rsidP="00932181">
      <w:pPr>
        <w:spacing w:after="0" w:line="360" w:lineRule="auto"/>
        <w:ind w:firstLine="567"/>
        <w:jc w:val="both"/>
        <w:rPr>
          <w:rFonts w:ascii="Times New Roman" w:hAnsi="Times New Roman"/>
          <w:lang w:val="lt-LT"/>
        </w:rPr>
      </w:pPr>
      <w:r w:rsidRPr="000B544A">
        <w:rPr>
          <w:rFonts w:ascii="Times New Roman" w:hAnsi="Times New Roman"/>
          <w:lang w:val="lt-LT"/>
        </w:rPr>
        <w:t xml:space="preserve">Stochastic osciliatorius matuoja kainos pokyti viename laiko periode </w:t>
      </w:r>
      <w:r w:rsidR="008D3760" w:rsidRPr="000B544A">
        <w:rPr>
          <w:rFonts w:ascii="Times New Roman" w:hAnsi="Times New Roman"/>
          <w:lang w:val="lt-LT"/>
        </w:rPr>
        <w:t>[27]</w:t>
      </w:r>
      <w:r w:rsidRPr="000B544A">
        <w:rPr>
          <w:rFonts w:ascii="Times New Roman" w:hAnsi="Times New Roman"/>
          <w:lang w:val="lt-LT"/>
        </w:rPr>
        <w:t xml:space="preserve">.  Šis indikatorius naudoja aukščiausią, žemiausią ir uždarymo kainas. Čia svarbus skirtumas tarp šių kainų. Jei aukščiausia kaina yra daug aukščiau nei uždarymo kaina, tai rodiklio reikšmė bus maža. Kai uždarymo kaina yra arti aukščiausios kainos, tai rodiklio </w:t>
      </w:r>
      <w:r w:rsidR="00F41893" w:rsidRPr="000B544A">
        <w:rPr>
          <w:rFonts w:ascii="Times New Roman" w:hAnsi="Times New Roman"/>
          <w:lang w:val="lt-LT"/>
        </w:rPr>
        <w:t>reikšmė</w:t>
      </w:r>
      <w:r w:rsidRPr="000B544A">
        <w:rPr>
          <w:rFonts w:ascii="Times New Roman" w:hAnsi="Times New Roman"/>
          <w:lang w:val="lt-LT"/>
        </w:rPr>
        <w:t xml:space="preserve"> bus didelė.</w:t>
      </w:r>
    </w:p>
    <w:p w:rsidR="00252F1D" w:rsidRPr="000B544A" w:rsidRDefault="00252F1D" w:rsidP="00932181">
      <w:pPr>
        <w:spacing w:after="0" w:line="360" w:lineRule="auto"/>
        <w:ind w:firstLine="567"/>
        <w:jc w:val="both"/>
        <w:rPr>
          <w:rFonts w:ascii="Times New Roman" w:hAnsi="Times New Roman"/>
          <w:lang w:val="lt-LT"/>
        </w:rPr>
      </w:pPr>
      <w:r w:rsidRPr="000B544A">
        <w:rPr>
          <w:rFonts w:ascii="Times New Roman" w:hAnsi="Times New Roman"/>
          <w:lang w:val="lt-LT"/>
        </w:rPr>
        <w:t>Skaičiavimo formulės:</w:t>
      </w:r>
    </w:p>
    <w:p w:rsidR="00252F1D" w:rsidRPr="000B544A" w:rsidRDefault="00252F1D" w:rsidP="00932181">
      <w:pPr>
        <w:spacing w:after="0" w:line="360" w:lineRule="auto"/>
        <w:ind w:firstLine="567"/>
        <w:jc w:val="both"/>
        <w:rPr>
          <w:rFonts w:ascii="Times New Roman" w:hAnsi="Times New Roman"/>
          <w:lang w:val="lt-LT"/>
        </w:rPr>
      </w:pPr>
    </w:p>
    <w:p w:rsidR="00252F1D" w:rsidRPr="000B544A" w:rsidRDefault="00B542BF" w:rsidP="009678BD">
      <w:pPr>
        <w:spacing w:after="0" w:line="360" w:lineRule="auto"/>
        <w:ind w:firstLine="567"/>
        <w:jc w:val="center"/>
        <w:rPr>
          <w:rFonts w:ascii="Times New Roman" w:hAnsi="Times New Roman"/>
          <w:lang w:val="lt-LT"/>
        </w:rPr>
      </w:pPr>
      <m:oMath>
        <m:r>
          <w:rPr>
            <w:rFonts w:ascii="Cambria Math" w:hAnsi="Cambria Math"/>
            <w:lang w:val="lt-LT"/>
          </w:rPr>
          <m:t xml:space="preserve">%K= </m:t>
        </m:r>
        <m:d>
          <m:dPr>
            <m:ctrlPr>
              <w:rPr>
                <w:rFonts w:ascii="Cambria Math" w:hAnsi="Cambria Math"/>
                <w:i/>
                <w:lang w:val="lt-LT"/>
              </w:rPr>
            </m:ctrlPr>
          </m:dPr>
          <m:e>
            <m:f>
              <m:fPr>
                <m:ctrlPr>
                  <w:rPr>
                    <w:rFonts w:ascii="Cambria Math" w:hAnsi="Cambria Math"/>
                    <w:i/>
                    <w:lang w:val="lt-LT"/>
                  </w:rPr>
                </m:ctrlPr>
              </m:fPr>
              <m:num>
                <m:r>
                  <w:rPr>
                    <w:rFonts w:ascii="Cambria Math" w:hAnsi="Cambria Math"/>
                    <w:lang w:val="lt-LT"/>
                  </w:rPr>
                  <m:t xml:space="preserve">C - </m:t>
                </m:r>
                <m:sSub>
                  <m:sSubPr>
                    <m:ctrlPr>
                      <w:rPr>
                        <w:rFonts w:ascii="Cambria Math" w:hAnsi="Cambria Math"/>
                        <w:i/>
                        <w:lang w:val="lt-LT"/>
                      </w:rPr>
                    </m:ctrlPr>
                  </m:sSubPr>
                  <m:e>
                    <m:r>
                      <w:rPr>
                        <w:rFonts w:ascii="Cambria Math" w:hAnsi="Cambria Math"/>
                        <w:lang w:val="lt-LT"/>
                      </w:rPr>
                      <m:t>L</m:t>
                    </m:r>
                  </m:e>
                  <m:sub>
                    <m:r>
                      <w:rPr>
                        <w:rFonts w:ascii="Cambria Math" w:hAnsi="Cambria Math"/>
                        <w:lang w:val="lt-LT"/>
                      </w:rPr>
                      <m:t>n</m:t>
                    </m:r>
                  </m:sub>
                </m:sSub>
              </m:num>
              <m:den>
                <m:sSub>
                  <m:sSubPr>
                    <m:ctrlPr>
                      <w:rPr>
                        <w:rFonts w:ascii="Cambria Math" w:hAnsi="Cambria Math"/>
                        <w:i/>
                        <w:lang w:val="lt-LT"/>
                      </w:rPr>
                    </m:ctrlPr>
                  </m:sSubPr>
                  <m:e>
                    <m:r>
                      <w:rPr>
                        <w:rFonts w:ascii="Cambria Math" w:hAnsi="Cambria Math"/>
                        <w:lang w:val="lt-LT"/>
                      </w:rPr>
                      <m:t>H</m:t>
                    </m:r>
                  </m:e>
                  <m:sub>
                    <m:r>
                      <w:rPr>
                        <w:rFonts w:ascii="Cambria Math" w:hAnsi="Cambria Math"/>
                        <w:lang w:val="lt-LT"/>
                      </w:rPr>
                      <m:t>n</m:t>
                    </m:r>
                  </m:sub>
                </m:sSub>
                <m:r>
                  <w:rPr>
                    <w:rFonts w:ascii="Cambria Math" w:hAnsi="Cambria Math"/>
                    <w:lang w:val="lt-LT"/>
                  </w:rPr>
                  <m:t xml:space="preserve"> - </m:t>
                </m:r>
                <m:sSub>
                  <m:sSubPr>
                    <m:ctrlPr>
                      <w:rPr>
                        <w:rFonts w:ascii="Cambria Math" w:hAnsi="Cambria Math"/>
                        <w:i/>
                        <w:lang w:val="lt-LT"/>
                      </w:rPr>
                    </m:ctrlPr>
                  </m:sSubPr>
                  <m:e>
                    <m:r>
                      <w:rPr>
                        <w:rFonts w:ascii="Cambria Math" w:hAnsi="Cambria Math"/>
                        <w:lang w:val="lt-LT"/>
                      </w:rPr>
                      <m:t>L</m:t>
                    </m:r>
                  </m:e>
                  <m:sub>
                    <m:r>
                      <w:rPr>
                        <w:rFonts w:ascii="Cambria Math" w:hAnsi="Cambria Math"/>
                        <w:lang w:val="lt-LT"/>
                      </w:rPr>
                      <m:t>n</m:t>
                    </m:r>
                  </m:sub>
                </m:sSub>
              </m:den>
            </m:f>
          </m:e>
        </m:d>
        <m:r>
          <w:rPr>
            <w:rFonts w:ascii="Cambria Math" w:hAnsi="Cambria Math"/>
            <w:lang w:val="lt-LT"/>
          </w:rPr>
          <m:t>*100,   kai</m:t>
        </m:r>
      </m:oMath>
      <w:r w:rsidR="00252F1D" w:rsidRPr="000B544A">
        <w:rPr>
          <w:rFonts w:ascii="Times New Roman" w:hAnsi="Times New Roman"/>
          <w:lang w:val="lt-LT"/>
        </w:rPr>
        <w:t xml:space="preserve">   (7)</w:t>
      </w:r>
    </w:p>
    <w:p w:rsidR="00252F1D" w:rsidRPr="000B544A" w:rsidRDefault="00252F1D" w:rsidP="009678BD">
      <w:pPr>
        <w:spacing w:after="0" w:line="360" w:lineRule="auto"/>
        <w:ind w:firstLine="567"/>
        <w:jc w:val="center"/>
        <w:rPr>
          <w:rFonts w:ascii="Times New Roman" w:hAnsi="Times New Roman"/>
          <w:lang w:val="lt-LT"/>
        </w:rPr>
      </w:pPr>
    </w:p>
    <w:p w:rsidR="00252F1D" w:rsidRPr="000B544A" w:rsidRDefault="00B542BF" w:rsidP="00803740">
      <w:pPr>
        <w:spacing w:after="0" w:line="360" w:lineRule="auto"/>
        <w:ind w:firstLine="567"/>
        <w:jc w:val="both"/>
        <w:rPr>
          <w:rFonts w:ascii="Times New Roman" w:hAnsi="Times New Roman"/>
          <w:lang w:val="lt-LT"/>
        </w:rPr>
      </w:pPr>
      <m:oMath>
        <m:r>
          <w:rPr>
            <w:rFonts w:ascii="Cambria Math" w:hAnsi="Cambria Math"/>
            <w:lang w:val="lt-LT"/>
          </w:rPr>
          <m:t>C</m:t>
        </m:r>
      </m:oMath>
      <w:r w:rsidR="00252F1D" w:rsidRPr="000B544A">
        <w:rPr>
          <w:rFonts w:ascii="Times New Roman" w:hAnsi="Times New Roman"/>
          <w:lang w:val="lt-LT"/>
        </w:rPr>
        <w:t>- skaičiuojamo periodo uždarymo kaina;</w:t>
      </w:r>
    </w:p>
    <w:p w:rsidR="00252F1D" w:rsidRPr="000B544A" w:rsidRDefault="00A56BC3" w:rsidP="00932181">
      <w:pPr>
        <w:spacing w:after="0" w:line="360" w:lineRule="auto"/>
        <w:ind w:firstLine="567"/>
        <w:jc w:val="both"/>
        <w:rPr>
          <w:rFonts w:ascii="Times New Roman" w:hAnsi="Times New Roman"/>
          <w:lang w:val="lt-LT"/>
        </w:rPr>
      </w:pPr>
      <m:oMath>
        <m:sSub>
          <m:sSubPr>
            <m:ctrlPr>
              <w:rPr>
                <w:rFonts w:ascii="Cambria Math" w:hAnsi="Cambria Math"/>
                <w:i/>
                <w:lang w:val="lt-LT"/>
              </w:rPr>
            </m:ctrlPr>
          </m:sSubPr>
          <m:e>
            <m:r>
              <w:rPr>
                <w:rFonts w:ascii="Cambria Math" w:hAnsi="Cambria Math"/>
                <w:lang w:val="lt-LT"/>
              </w:rPr>
              <m:t>L</m:t>
            </m:r>
          </m:e>
          <m:sub>
            <m:r>
              <w:rPr>
                <w:rFonts w:ascii="Cambria Math" w:hAnsi="Cambria Math"/>
                <w:lang w:val="lt-LT"/>
              </w:rPr>
              <m:t>n</m:t>
            </m:r>
          </m:sub>
        </m:sSub>
      </m:oMath>
      <w:r w:rsidR="00252F1D" w:rsidRPr="000B544A">
        <w:rPr>
          <w:rFonts w:ascii="Times New Roman" w:hAnsi="Times New Roman"/>
          <w:lang w:val="lt-LT"/>
        </w:rPr>
        <w:t>- skaičiuojamo periodo žemiausia kaina;</w:t>
      </w:r>
    </w:p>
    <w:p w:rsidR="00252F1D" w:rsidRPr="000B544A" w:rsidRDefault="00A56BC3" w:rsidP="00803740">
      <w:pPr>
        <w:spacing w:after="0" w:line="360" w:lineRule="auto"/>
        <w:ind w:firstLine="567"/>
        <w:jc w:val="both"/>
        <w:rPr>
          <w:rFonts w:ascii="Times New Roman" w:hAnsi="Times New Roman"/>
          <w:lang w:val="lt-LT"/>
        </w:rPr>
      </w:pPr>
      <m:oMath>
        <m:sSub>
          <m:sSubPr>
            <m:ctrlPr>
              <w:rPr>
                <w:rFonts w:ascii="Cambria Math" w:hAnsi="Cambria Math"/>
                <w:i/>
                <w:lang w:val="lt-LT"/>
              </w:rPr>
            </m:ctrlPr>
          </m:sSubPr>
          <m:e>
            <m:r>
              <w:rPr>
                <w:rFonts w:ascii="Cambria Math" w:hAnsi="Cambria Math"/>
                <w:lang w:val="lt-LT"/>
              </w:rPr>
              <m:t>H</m:t>
            </m:r>
          </m:e>
          <m:sub>
            <m:r>
              <w:rPr>
                <w:rFonts w:ascii="Cambria Math" w:hAnsi="Cambria Math"/>
                <w:lang w:val="lt-LT"/>
              </w:rPr>
              <m:t>n</m:t>
            </m:r>
          </m:sub>
        </m:sSub>
      </m:oMath>
      <w:r w:rsidR="00252F1D" w:rsidRPr="000B544A">
        <w:rPr>
          <w:rFonts w:ascii="Times New Roman" w:hAnsi="Times New Roman"/>
          <w:lang w:val="lt-LT"/>
        </w:rPr>
        <w:t>- skaičiuojamo periodo aukščiausia kaina;</w:t>
      </w:r>
    </w:p>
    <w:p w:rsidR="00252F1D" w:rsidRPr="000B544A" w:rsidRDefault="00252F1D" w:rsidP="00932181">
      <w:pPr>
        <w:spacing w:after="0" w:line="360" w:lineRule="auto"/>
        <w:ind w:firstLine="567"/>
        <w:jc w:val="both"/>
        <w:rPr>
          <w:rFonts w:ascii="Times New Roman" w:hAnsi="Times New Roman"/>
          <w:lang w:val="lt-LT"/>
        </w:rPr>
      </w:pPr>
    </w:p>
    <w:p w:rsidR="00252F1D" w:rsidRPr="000B544A" w:rsidRDefault="00B542BF" w:rsidP="009678BD">
      <w:pPr>
        <w:spacing w:after="0" w:line="360" w:lineRule="auto"/>
        <w:ind w:firstLine="567"/>
        <w:jc w:val="center"/>
        <w:rPr>
          <w:rFonts w:ascii="Times New Roman" w:hAnsi="Times New Roman"/>
          <w:lang w:val="lt-LT"/>
        </w:rPr>
      </w:pPr>
      <m:oMath>
        <m:r>
          <w:rPr>
            <w:rFonts w:ascii="Cambria Math" w:hAnsi="Cambria Math"/>
            <w:lang w:val="lt-LT"/>
          </w:rPr>
          <m:t xml:space="preserve">%D= </m:t>
        </m:r>
        <m:d>
          <m:dPr>
            <m:ctrlPr>
              <w:rPr>
                <w:rFonts w:ascii="Cambria Math" w:hAnsi="Cambria Math"/>
                <w:i/>
                <w:lang w:val="lt-LT"/>
              </w:rPr>
            </m:ctrlPr>
          </m:dPr>
          <m:e>
            <m:f>
              <m:fPr>
                <m:ctrlPr>
                  <w:rPr>
                    <w:rFonts w:ascii="Cambria Math" w:hAnsi="Cambria Math"/>
                    <w:i/>
                    <w:lang w:val="lt-LT"/>
                  </w:rPr>
                </m:ctrlPr>
              </m:fPr>
              <m:num>
                <m:sSub>
                  <m:sSubPr>
                    <m:ctrlPr>
                      <w:rPr>
                        <w:rFonts w:ascii="Cambria Math" w:hAnsi="Cambria Math"/>
                        <w:i/>
                        <w:lang w:val="lt-LT"/>
                      </w:rPr>
                    </m:ctrlPr>
                  </m:sSubPr>
                  <m:e>
                    <m:r>
                      <w:rPr>
                        <w:rFonts w:ascii="Cambria Math" w:hAnsi="Cambria Math"/>
                        <w:lang w:val="lt-LT"/>
                      </w:rPr>
                      <m:t>G</m:t>
                    </m:r>
                  </m:e>
                  <m:sub>
                    <m:r>
                      <w:rPr>
                        <w:rFonts w:ascii="Cambria Math" w:hAnsi="Cambria Math"/>
                        <w:lang w:val="lt-LT"/>
                      </w:rPr>
                      <m:t>n</m:t>
                    </m:r>
                  </m:sub>
                </m:sSub>
              </m:num>
              <m:den>
                <m:r>
                  <w:rPr>
                    <w:rFonts w:ascii="Cambria Math" w:hAnsi="Cambria Math"/>
                    <w:lang w:val="lt-LT"/>
                  </w:rPr>
                  <m:t xml:space="preserve"> </m:t>
                </m:r>
                <m:sSub>
                  <m:sSubPr>
                    <m:ctrlPr>
                      <w:rPr>
                        <w:rFonts w:ascii="Cambria Math" w:hAnsi="Cambria Math"/>
                        <w:i/>
                        <w:lang w:val="lt-LT"/>
                      </w:rPr>
                    </m:ctrlPr>
                  </m:sSubPr>
                  <m:e>
                    <m:r>
                      <w:rPr>
                        <w:rFonts w:ascii="Cambria Math" w:hAnsi="Cambria Math"/>
                        <w:lang w:val="lt-LT"/>
                      </w:rPr>
                      <m:t>K</m:t>
                    </m:r>
                  </m:e>
                  <m:sub>
                    <m:r>
                      <w:rPr>
                        <w:rFonts w:ascii="Cambria Math" w:hAnsi="Cambria Math"/>
                        <w:lang w:val="lt-LT"/>
                      </w:rPr>
                      <m:t>n</m:t>
                    </m:r>
                  </m:sub>
                </m:sSub>
              </m:den>
            </m:f>
          </m:e>
        </m:d>
        <m:r>
          <w:rPr>
            <w:rFonts w:ascii="Cambria Math" w:hAnsi="Cambria Math"/>
            <w:lang w:val="lt-LT"/>
          </w:rPr>
          <m:t>*100,   kai</m:t>
        </m:r>
      </m:oMath>
      <w:r w:rsidR="00252F1D" w:rsidRPr="000B544A">
        <w:rPr>
          <w:rFonts w:ascii="Times New Roman" w:hAnsi="Times New Roman"/>
          <w:lang w:val="lt-LT"/>
        </w:rPr>
        <w:t xml:space="preserve">   (8)</w:t>
      </w:r>
    </w:p>
    <w:p w:rsidR="00252F1D" w:rsidRPr="000B544A" w:rsidRDefault="00252F1D" w:rsidP="009678BD">
      <w:pPr>
        <w:spacing w:after="0" w:line="360" w:lineRule="auto"/>
        <w:ind w:firstLine="567"/>
        <w:jc w:val="center"/>
        <w:rPr>
          <w:rFonts w:ascii="Times New Roman" w:hAnsi="Times New Roman"/>
          <w:lang w:val="lt-LT"/>
        </w:rPr>
      </w:pPr>
    </w:p>
    <w:p w:rsidR="00252F1D" w:rsidRPr="000B544A" w:rsidRDefault="00A56BC3" w:rsidP="009678BD">
      <w:pPr>
        <w:spacing w:after="0" w:line="360" w:lineRule="auto"/>
        <w:ind w:firstLine="567"/>
        <w:jc w:val="both"/>
        <w:rPr>
          <w:rFonts w:ascii="Times New Roman" w:hAnsi="Times New Roman"/>
          <w:lang w:val="lt-LT"/>
        </w:rPr>
      </w:pPr>
      <m:oMath>
        <m:sSub>
          <m:sSubPr>
            <m:ctrlPr>
              <w:rPr>
                <w:rFonts w:ascii="Cambria Math" w:hAnsi="Cambria Math"/>
                <w:i/>
                <w:lang w:val="lt-LT"/>
              </w:rPr>
            </m:ctrlPr>
          </m:sSubPr>
          <m:e>
            <m:r>
              <w:rPr>
                <w:rFonts w:ascii="Cambria Math" w:hAnsi="Cambria Math"/>
                <w:lang w:val="lt-LT"/>
              </w:rPr>
              <m:t>G</m:t>
            </m:r>
          </m:e>
          <m:sub>
            <m:r>
              <w:rPr>
                <w:rFonts w:ascii="Cambria Math" w:hAnsi="Cambria Math"/>
                <w:lang w:val="lt-LT"/>
              </w:rPr>
              <m:t>n</m:t>
            </m:r>
          </m:sub>
        </m:sSub>
      </m:oMath>
      <w:r w:rsidR="00252F1D" w:rsidRPr="000B544A">
        <w:rPr>
          <w:rFonts w:ascii="Times New Roman" w:hAnsi="Times New Roman"/>
          <w:lang w:val="lt-LT"/>
        </w:rPr>
        <w:t xml:space="preserve">- (7) formulėje naudotų </w:t>
      </w:r>
      <m:oMath>
        <m:r>
          <w:rPr>
            <w:rFonts w:ascii="Cambria Math" w:hAnsi="Cambria Math"/>
            <w:lang w:val="lt-LT"/>
          </w:rPr>
          <m:t xml:space="preserve">(C- </m:t>
        </m:r>
        <m:sSub>
          <m:sSubPr>
            <m:ctrlPr>
              <w:rPr>
                <w:rFonts w:ascii="Cambria Math" w:hAnsi="Cambria Math"/>
                <w:i/>
                <w:lang w:val="lt-LT"/>
              </w:rPr>
            </m:ctrlPr>
          </m:sSubPr>
          <m:e>
            <m:r>
              <w:rPr>
                <w:rFonts w:ascii="Cambria Math" w:hAnsi="Cambria Math"/>
                <w:lang w:val="lt-LT"/>
              </w:rPr>
              <m:t>L</m:t>
            </m:r>
          </m:e>
          <m:sub>
            <m:r>
              <w:rPr>
                <w:rFonts w:ascii="Cambria Math" w:hAnsi="Cambria Math"/>
                <w:lang w:val="lt-LT"/>
              </w:rPr>
              <m:t>n</m:t>
            </m:r>
          </m:sub>
        </m:sSub>
        <m:r>
          <w:rPr>
            <w:rFonts w:ascii="Cambria Math" w:hAnsi="Cambria Math"/>
            <w:lang w:val="lt-LT"/>
          </w:rPr>
          <m:t>)</m:t>
        </m:r>
      </m:oMath>
      <w:r w:rsidR="00252F1D" w:rsidRPr="000B544A">
        <w:rPr>
          <w:rFonts w:ascii="Times New Roman" w:hAnsi="Times New Roman"/>
          <w:lang w:val="lt-LT"/>
        </w:rPr>
        <w:t xml:space="preserve"> n periodų suma;</w:t>
      </w:r>
    </w:p>
    <w:p w:rsidR="00252F1D" w:rsidRPr="000B544A" w:rsidRDefault="00A56BC3" w:rsidP="005118A9">
      <w:pPr>
        <w:spacing w:after="0" w:line="360" w:lineRule="auto"/>
        <w:ind w:firstLine="567"/>
        <w:jc w:val="both"/>
        <w:rPr>
          <w:rFonts w:ascii="Times New Roman" w:hAnsi="Times New Roman"/>
          <w:lang w:val="lt-LT"/>
        </w:rPr>
      </w:pPr>
      <m:oMath>
        <m:sSub>
          <m:sSubPr>
            <m:ctrlPr>
              <w:rPr>
                <w:rFonts w:ascii="Cambria Math" w:hAnsi="Cambria Math"/>
                <w:i/>
                <w:lang w:val="lt-LT"/>
              </w:rPr>
            </m:ctrlPr>
          </m:sSubPr>
          <m:e>
            <m:r>
              <w:rPr>
                <w:rFonts w:ascii="Cambria Math" w:hAnsi="Cambria Math"/>
                <w:lang w:val="lt-LT"/>
              </w:rPr>
              <m:t>K</m:t>
            </m:r>
          </m:e>
          <m:sub>
            <m:r>
              <w:rPr>
                <w:rFonts w:ascii="Cambria Math" w:hAnsi="Cambria Math"/>
                <w:lang w:val="lt-LT"/>
              </w:rPr>
              <m:t>n</m:t>
            </m:r>
          </m:sub>
        </m:sSub>
      </m:oMath>
      <w:r w:rsidR="00252F1D" w:rsidRPr="000B544A">
        <w:rPr>
          <w:rFonts w:ascii="Times New Roman" w:hAnsi="Times New Roman"/>
          <w:lang w:val="lt-LT"/>
        </w:rPr>
        <w:t xml:space="preserve">- (7) formulėje naudotų </w:t>
      </w:r>
      <m:oMath>
        <m:r>
          <w:rPr>
            <w:rFonts w:ascii="Cambria Math" w:hAnsi="Cambria Math"/>
            <w:lang w:val="lt-LT"/>
          </w:rPr>
          <m:t>(</m:t>
        </m:r>
        <m:sSub>
          <m:sSubPr>
            <m:ctrlPr>
              <w:rPr>
                <w:rFonts w:ascii="Cambria Math" w:hAnsi="Cambria Math"/>
                <w:i/>
                <w:lang w:val="lt-LT"/>
              </w:rPr>
            </m:ctrlPr>
          </m:sSubPr>
          <m:e>
            <m:r>
              <w:rPr>
                <w:rFonts w:ascii="Cambria Math" w:hAnsi="Cambria Math"/>
                <w:lang w:val="lt-LT"/>
              </w:rPr>
              <m:t>H</m:t>
            </m:r>
          </m:e>
          <m:sub>
            <m:r>
              <w:rPr>
                <w:rFonts w:ascii="Cambria Math" w:hAnsi="Cambria Math"/>
                <w:lang w:val="lt-LT"/>
              </w:rPr>
              <m:t>n</m:t>
            </m:r>
          </m:sub>
        </m:sSub>
        <m:r>
          <w:rPr>
            <w:rFonts w:ascii="Cambria Math" w:hAnsi="Cambria Math"/>
            <w:lang w:val="lt-LT"/>
          </w:rPr>
          <m:t xml:space="preserve">- </m:t>
        </m:r>
        <m:sSub>
          <m:sSubPr>
            <m:ctrlPr>
              <w:rPr>
                <w:rFonts w:ascii="Cambria Math" w:hAnsi="Cambria Math"/>
                <w:i/>
                <w:lang w:val="lt-LT"/>
              </w:rPr>
            </m:ctrlPr>
          </m:sSubPr>
          <m:e>
            <m:r>
              <w:rPr>
                <w:rFonts w:ascii="Cambria Math" w:hAnsi="Cambria Math"/>
                <w:lang w:val="lt-LT"/>
              </w:rPr>
              <m:t>L</m:t>
            </m:r>
          </m:e>
          <m:sub>
            <m:r>
              <w:rPr>
                <w:rFonts w:ascii="Cambria Math" w:hAnsi="Cambria Math"/>
                <w:lang w:val="lt-LT"/>
              </w:rPr>
              <m:t>n</m:t>
            </m:r>
          </m:sub>
        </m:sSub>
        <m:r>
          <w:rPr>
            <w:rFonts w:ascii="Cambria Math" w:hAnsi="Cambria Math"/>
            <w:lang w:val="lt-LT"/>
          </w:rPr>
          <m:t>)</m:t>
        </m:r>
      </m:oMath>
      <w:r w:rsidR="00252F1D" w:rsidRPr="000B544A">
        <w:rPr>
          <w:rFonts w:ascii="Times New Roman" w:hAnsi="Times New Roman"/>
          <w:lang w:val="lt-LT"/>
        </w:rPr>
        <w:t xml:space="preserve"> n periodų suma;</w:t>
      </w:r>
    </w:p>
    <w:p w:rsidR="00252F1D" w:rsidRPr="000B544A" w:rsidRDefault="00252F1D" w:rsidP="009678BD">
      <w:pPr>
        <w:spacing w:after="0" w:line="360" w:lineRule="auto"/>
        <w:ind w:firstLine="567"/>
        <w:jc w:val="both"/>
        <w:rPr>
          <w:rFonts w:ascii="Times New Roman" w:hAnsi="Times New Roman"/>
          <w:lang w:val="lt-LT"/>
        </w:rPr>
      </w:pPr>
    </w:p>
    <w:p w:rsidR="00252F1D" w:rsidRPr="000B544A" w:rsidRDefault="00252F1D" w:rsidP="009678BD">
      <w:pPr>
        <w:spacing w:after="0" w:line="360" w:lineRule="auto"/>
        <w:ind w:firstLine="567"/>
        <w:jc w:val="both"/>
        <w:rPr>
          <w:rFonts w:ascii="Times New Roman" w:hAnsi="Times New Roman"/>
          <w:lang w:val="lt-LT"/>
        </w:rPr>
      </w:pPr>
      <w:r w:rsidRPr="000B544A">
        <w:rPr>
          <w:rFonts w:ascii="Times New Roman" w:hAnsi="Times New Roman"/>
          <w:lang w:val="lt-LT"/>
        </w:rPr>
        <w:t xml:space="preserve">Šių formulių generuojamus rezultatus galima pavaizduoti grafiškai. Grafike būna dvi kreivės, kurios varijuoja tarp 0 proc. ir 100 proc. ribų. Kai ir daugumoje osciliatorių 0-30 proc. ribose esančios indikatoriaus reikšmės reiškia perparduotą rinką, o 70-100 proc. ribose esančios indikatoriaus reikšmės signalizuoja apie perpirktą rinką. </w:t>
      </w:r>
    </w:p>
    <w:p w:rsidR="00252F1D" w:rsidRPr="000B544A" w:rsidRDefault="00252F1D" w:rsidP="009678BD">
      <w:pPr>
        <w:spacing w:after="0" w:line="360" w:lineRule="auto"/>
        <w:ind w:firstLine="567"/>
        <w:jc w:val="both"/>
        <w:rPr>
          <w:rFonts w:ascii="Times New Roman" w:hAnsi="Times New Roman"/>
          <w:lang w:val="lt-LT"/>
        </w:rPr>
      </w:pPr>
      <w:r w:rsidRPr="000B544A">
        <w:rPr>
          <w:rFonts w:ascii="Times New Roman" w:hAnsi="Times New Roman"/>
          <w:lang w:val="lt-LT"/>
        </w:rPr>
        <w:t>Pirkimo signalu laikoma, kai greitoji kreivė kerta lėtąją ir abi yra kylančios, bet ne aukščiau 30 proc. ribos. Pardavimo (angl. Short) signalas gaunamas, kai abi kreivės būna virš 70 proc. ribos ir susikerta, greitesnei kreivei kertant lėtesnę iš viršaus.</w:t>
      </w:r>
    </w:p>
    <w:p w:rsidR="004E2B62" w:rsidRPr="000B544A" w:rsidRDefault="004E2B62" w:rsidP="009678BD">
      <w:pPr>
        <w:spacing w:after="0" w:line="360" w:lineRule="auto"/>
        <w:ind w:firstLine="567"/>
        <w:jc w:val="both"/>
        <w:rPr>
          <w:rFonts w:ascii="Times New Roman" w:hAnsi="Times New Roman"/>
          <w:lang w:val="lt-LT"/>
        </w:rPr>
      </w:pPr>
      <w:r w:rsidRPr="000B544A">
        <w:rPr>
          <w:rFonts w:ascii="Times New Roman" w:hAnsi="Times New Roman"/>
          <w:lang w:val="lt-LT"/>
        </w:rPr>
        <w:t>Pritaikant stochastinį osciliatorių Baltijos šalių akcijų biržai</w:t>
      </w:r>
      <w:r w:rsidR="003B7DE4" w:rsidRPr="000B544A">
        <w:rPr>
          <w:rFonts w:ascii="Times New Roman" w:hAnsi="Times New Roman"/>
          <w:lang w:val="lt-LT"/>
        </w:rPr>
        <w:t>,</w:t>
      </w:r>
      <w:r w:rsidRPr="000B544A">
        <w:rPr>
          <w:rFonts w:ascii="Times New Roman" w:hAnsi="Times New Roman"/>
          <w:lang w:val="lt-LT"/>
        </w:rPr>
        <w:t xml:space="preserve"> ieškota geriausių parametrų indikatoriui. Pirkimo ir p</w:t>
      </w:r>
      <w:r w:rsidR="003B7DE4" w:rsidRPr="000B544A">
        <w:rPr>
          <w:rFonts w:ascii="Times New Roman" w:hAnsi="Times New Roman"/>
          <w:lang w:val="lt-LT"/>
        </w:rPr>
        <w:t>ardavimo signalai gaunami susike</w:t>
      </w:r>
      <w:r w:rsidRPr="000B544A">
        <w:rPr>
          <w:rFonts w:ascii="Times New Roman" w:hAnsi="Times New Roman"/>
          <w:lang w:val="lt-LT"/>
        </w:rPr>
        <w:t xml:space="preserve">rtant </w:t>
      </w:r>
      <w:r w:rsidR="00F41893" w:rsidRPr="000B544A">
        <w:rPr>
          <w:rFonts w:ascii="Times New Roman" w:hAnsi="Times New Roman"/>
          <w:lang w:val="lt-LT"/>
        </w:rPr>
        <w:t>dviem</w:t>
      </w:r>
      <w:r w:rsidRPr="000B544A">
        <w:rPr>
          <w:rFonts w:ascii="Times New Roman" w:hAnsi="Times New Roman"/>
          <w:lang w:val="lt-LT"/>
        </w:rPr>
        <w:t xml:space="preserve"> kreivėms. Parametrai, kuriuos</w:t>
      </w:r>
      <w:r w:rsidR="003B7DE4" w:rsidRPr="000B544A">
        <w:rPr>
          <w:rFonts w:ascii="Times New Roman" w:hAnsi="Times New Roman"/>
          <w:lang w:val="lt-LT"/>
        </w:rPr>
        <w:t xml:space="preserve"> galima keisti, yra zonos, kuri</w:t>
      </w:r>
      <w:r w:rsidRPr="000B544A">
        <w:rPr>
          <w:rFonts w:ascii="Times New Roman" w:hAnsi="Times New Roman"/>
          <w:lang w:val="lt-LT"/>
        </w:rPr>
        <w:t xml:space="preserve">ose šių linijų susikirtimai tampa signalais. </w:t>
      </w:r>
      <w:r w:rsidR="00964940" w:rsidRPr="000B544A">
        <w:rPr>
          <w:rFonts w:ascii="Times New Roman" w:hAnsi="Times New Roman"/>
          <w:lang w:val="lt-LT"/>
        </w:rPr>
        <w:t xml:space="preserve">Jei linijos susikerta ne kraštinėse zonose, o tarp jų, tai toks susikirtimas nelaikomas nei pirkimo nei pardavimo signalu. </w:t>
      </w:r>
    </w:p>
    <w:p w:rsidR="00964940" w:rsidRPr="000B544A" w:rsidRDefault="00964940" w:rsidP="009678BD">
      <w:pPr>
        <w:spacing w:after="0" w:line="360" w:lineRule="auto"/>
        <w:ind w:firstLine="567"/>
        <w:jc w:val="both"/>
        <w:rPr>
          <w:rFonts w:ascii="Times New Roman" w:hAnsi="Times New Roman"/>
          <w:lang w:val="lt-LT"/>
        </w:rPr>
      </w:pPr>
      <w:r w:rsidRPr="000B544A">
        <w:rPr>
          <w:rFonts w:ascii="Times New Roman" w:hAnsi="Times New Roman"/>
          <w:lang w:val="lt-LT"/>
        </w:rPr>
        <w:t>Dažniausiai sutinkamos zonos yra 0-30 / 70-100 ir 0-20 / 80-100. Pritaikant šį indikatorių Baltijos šalių akcijų rinkoje</w:t>
      </w:r>
      <w:r w:rsidR="003B7DE4" w:rsidRPr="000B544A">
        <w:rPr>
          <w:rFonts w:ascii="Times New Roman" w:hAnsi="Times New Roman"/>
          <w:lang w:val="lt-LT"/>
        </w:rPr>
        <w:t>,</w:t>
      </w:r>
      <w:r w:rsidRPr="000B544A">
        <w:rPr>
          <w:rFonts w:ascii="Times New Roman" w:hAnsi="Times New Roman"/>
          <w:lang w:val="lt-LT"/>
        </w:rPr>
        <w:t xml:space="preserve"> nustatyta</w:t>
      </w:r>
      <w:r w:rsidR="00801507" w:rsidRPr="000B544A">
        <w:rPr>
          <w:rFonts w:ascii="Times New Roman" w:hAnsi="Times New Roman"/>
          <w:lang w:val="lt-LT"/>
        </w:rPr>
        <w:t>, kad geriausi rezultatai gaunam</w:t>
      </w:r>
      <w:r w:rsidRPr="000B544A">
        <w:rPr>
          <w:rFonts w:ascii="Times New Roman" w:hAnsi="Times New Roman"/>
          <w:lang w:val="lt-LT"/>
        </w:rPr>
        <w:t xml:space="preserve">i su tokiais parametrais: 0-7 / 58-100. </w:t>
      </w:r>
    </w:p>
    <w:p w:rsidR="00DA691E" w:rsidRPr="000B544A" w:rsidRDefault="00DA691E" w:rsidP="00DA691E">
      <w:pPr>
        <w:pStyle w:val="Caption"/>
        <w:keepNext/>
        <w:jc w:val="center"/>
        <w:rPr>
          <w:rFonts w:ascii="Times New Roman" w:hAnsi="Times New Roman"/>
          <w:b w:val="0"/>
          <w:lang w:val="lt-LT"/>
        </w:rPr>
      </w:pPr>
      <w:r w:rsidRPr="000B544A">
        <w:rPr>
          <w:rFonts w:ascii="Times New Roman" w:hAnsi="Times New Roman"/>
          <w:b w:val="0"/>
          <w:lang w:val="lt-LT"/>
        </w:rPr>
        <w:lastRenderedPageBreak/>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54" w:name="_Toc311718680"/>
      <w:r w:rsidR="00C53DDD">
        <w:rPr>
          <w:rFonts w:ascii="Times New Roman" w:hAnsi="Times New Roman"/>
          <w:b w:val="0"/>
          <w:noProof/>
          <w:lang w:val="lt-LT"/>
        </w:rPr>
        <w:t>14</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 </w:t>
      </w:r>
      <w:r w:rsidRPr="000B544A">
        <w:rPr>
          <w:rFonts w:ascii="Times New Roman" w:hAnsi="Times New Roman"/>
          <w:lang w:val="lt-LT"/>
        </w:rPr>
        <w:t>Stochastinio osciliatoriaus rezultatai su skirtingais parametrais</w:t>
      </w:r>
      <w:bookmarkEnd w:id="54"/>
    </w:p>
    <w:tbl>
      <w:tblPr>
        <w:tblW w:w="4497" w:type="dxa"/>
        <w:jc w:val="center"/>
        <w:tblInd w:w="93" w:type="dxa"/>
        <w:tblLook w:val="0000"/>
      </w:tblPr>
      <w:tblGrid>
        <w:gridCol w:w="504"/>
        <w:gridCol w:w="1751"/>
        <w:gridCol w:w="999"/>
        <w:gridCol w:w="1243"/>
      </w:tblGrid>
      <w:tr w:rsidR="00964940" w:rsidRPr="000B544A" w:rsidTr="00520F7B">
        <w:trPr>
          <w:trHeight w:val="30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4940" w:rsidRPr="000B544A" w:rsidRDefault="00964940" w:rsidP="0096494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Nr.</w:t>
            </w:r>
          </w:p>
        </w:tc>
        <w:tc>
          <w:tcPr>
            <w:tcW w:w="1751" w:type="dxa"/>
            <w:tcBorders>
              <w:top w:val="single" w:sz="4" w:space="0" w:color="auto"/>
              <w:left w:val="nil"/>
              <w:bottom w:val="single" w:sz="4" w:space="0" w:color="auto"/>
              <w:right w:val="single" w:sz="4" w:space="0" w:color="auto"/>
            </w:tcBorders>
            <w:shd w:val="clear" w:color="auto" w:fill="auto"/>
            <w:noWrap/>
            <w:vAlign w:val="bottom"/>
          </w:tcPr>
          <w:p w:rsidR="00964940" w:rsidRPr="000B544A" w:rsidRDefault="00964940" w:rsidP="0096494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Parametrai</w:t>
            </w:r>
          </w:p>
        </w:tc>
        <w:tc>
          <w:tcPr>
            <w:tcW w:w="999" w:type="dxa"/>
            <w:tcBorders>
              <w:top w:val="single" w:sz="4" w:space="0" w:color="auto"/>
              <w:left w:val="nil"/>
              <w:bottom w:val="single" w:sz="4" w:space="0" w:color="auto"/>
              <w:right w:val="single" w:sz="4" w:space="0" w:color="auto"/>
            </w:tcBorders>
            <w:shd w:val="clear" w:color="auto" w:fill="auto"/>
            <w:noWrap/>
            <w:vAlign w:val="bottom"/>
          </w:tcPr>
          <w:p w:rsidR="00964940" w:rsidRPr="000B544A" w:rsidRDefault="00964940" w:rsidP="0096494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Pirkimas</w:t>
            </w:r>
          </w:p>
        </w:tc>
        <w:tc>
          <w:tcPr>
            <w:tcW w:w="1243" w:type="dxa"/>
            <w:tcBorders>
              <w:top w:val="single" w:sz="4" w:space="0" w:color="auto"/>
              <w:left w:val="nil"/>
              <w:bottom w:val="single" w:sz="4" w:space="0" w:color="auto"/>
              <w:right w:val="single" w:sz="4" w:space="0" w:color="auto"/>
            </w:tcBorders>
            <w:shd w:val="clear" w:color="auto" w:fill="auto"/>
            <w:noWrap/>
            <w:vAlign w:val="bottom"/>
          </w:tcPr>
          <w:p w:rsidR="00964940" w:rsidRPr="000B544A" w:rsidRDefault="00964940" w:rsidP="0096494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Pardavimas</w:t>
            </w:r>
          </w:p>
        </w:tc>
      </w:tr>
      <w:tr w:rsidR="00964940" w:rsidRPr="000B544A" w:rsidTr="00520F7B">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tcPr>
          <w:p w:rsidR="00964940" w:rsidRPr="000B544A" w:rsidRDefault="00964940" w:rsidP="0096494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w:t>
            </w:r>
          </w:p>
        </w:tc>
        <w:tc>
          <w:tcPr>
            <w:tcW w:w="1751" w:type="dxa"/>
            <w:tcBorders>
              <w:top w:val="nil"/>
              <w:left w:val="nil"/>
              <w:bottom w:val="single" w:sz="4" w:space="0" w:color="auto"/>
              <w:right w:val="single" w:sz="4" w:space="0" w:color="auto"/>
            </w:tcBorders>
            <w:shd w:val="clear" w:color="auto" w:fill="auto"/>
            <w:noWrap/>
            <w:vAlign w:val="bottom"/>
          </w:tcPr>
          <w:p w:rsidR="00964940" w:rsidRPr="000B544A" w:rsidRDefault="00964940" w:rsidP="0096494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0-30 / 70-100</w:t>
            </w:r>
          </w:p>
        </w:tc>
        <w:tc>
          <w:tcPr>
            <w:tcW w:w="999" w:type="dxa"/>
            <w:tcBorders>
              <w:top w:val="nil"/>
              <w:left w:val="nil"/>
              <w:bottom w:val="single" w:sz="4" w:space="0" w:color="auto"/>
              <w:right w:val="single" w:sz="4" w:space="0" w:color="auto"/>
            </w:tcBorders>
            <w:shd w:val="clear" w:color="auto" w:fill="auto"/>
            <w:noWrap/>
            <w:vAlign w:val="bottom"/>
          </w:tcPr>
          <w:p w:rsidR="00964940" w:rsidRPr="000B544A" w:rsidRDefault="00964940" w:rsidP="0096494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13,72%</w:t>
            </w:r>
          </w:p>
        </w:tc>
        <w:tc>
          <w:tcPr>
            <w:tcW w:w="1243" w:type="dxa"/>
            <w:tcBorders>
              <w:top w:val="nil"/>
              <w:left w:val="nil"/>
              <w:bottom w:val="single" w:sz="4" w:space="0" w:color="auto"/>
              <w:right w:val="single" w:sz="4" w:space="0" w:color="auto"/>
            </w:tcBorders>
            <w:shd w:val="clear" w:color="auto" w:fill="auto"/>
            <w:noWrap/>
            <w:vAlign w:val="bottom"/>
          </w:tcPr>
          <w:p w:rsidR="00964940" w:rsidRPr="000B544A" w:rsidRDefault="00964940" w:rsidP="0096494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43,40%</w:t>
            </w:r>
          </w:p>
        </w:tc>
      </w:tr>
      <w:tr w:rsidR="00964940" w:rsidRPr="000B544A" w:rsidTr="00520F7B">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tcPr>
          <w:p w:rsidR="00964940" w:rsidRPr="000B544A" w:rsidRDefault="00964940" w:rsidP="0096494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w:t>
            </w:r>
          </w:p>
        </w:tc>
        <w:tc>
          <w:tcPr>
            <w:tcW w:w="1751" w:type="dxa"/>
            <w:tcBorders>
              <w:top w:val="nil"/>
              <w:left w:val="nil"/>
              <w:bottom w:val="single" w:sz="4" w:space="0" w:color="auto"/>
              <w:right w:val="single" w:sz="4" w:space="0" w:color="auto"/>
            </w:tcBorders>
            <w:shd w:val="clear" w:color="auto" w:fill="auto"/>
            <w:noWrap/>
            <w:vAlign w:val="bottom"/>
          </w:tcPr>
          <w:p w:rsidR="00964940" w:rsidRPr="000B544A" w:rsidRDefault="00964940" w:rsidP="0096494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0-20 / 80-100</w:t>
            </w:r>
          </w:p>
        </w:tc>
        <w:tc>
          <w:tcPr>
            <w:tcW w:w="999" w:type="dxa"/>
            <w:tcBorders>
              <w:top w:val="nil"/>
              <w:left w:val="nil"/>
              <w:bottom w:val="single" w:sz="4" w:space="0" w:color="auto"/>
              <w:right w:val="single" w:sz="4" w:space="0" w:color="auto"/>
            </w:tcBorders>
            <w:shd w:val="clear" w:color="auto" w:fill="auto"/>
            <w:noWrap/>
            <w:vAlign w:val="bottom"/>
          </w:tcPr>
          <w:p w:rsidR="00964940" w:rsidRPr="000B544A" w:rsidRDefault="00964940" w:rsidP="0096494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9,63%</w:t>
            </w:r>
          </w:p>
        </w:tc>
        <w:tc>
          <w:tcPr>
            <w:tcW w:w="1243" w:type="dxa"/>
            <w:tcBorders>
              <w:top w:val="nil"/>
              <w:left w:val="nil"/>
              <w:bottom w:val="single" w:sz="4" w:space="0" w:color="auto"/>
              <w:right w:val="single" w:sz="4" w:space="0" w:color="auto"/>
            </w:tcBorders>
            <w:shd w:val="clear" w:color="auto" w:fill="auto"/>
            <w:noWrap/>
            <w:vAlign w:val="bottom"/>
          </w:tcPr>
          <w:p w:rsidR="00964940" w:rsidRPr="000B544A" w:rsidRDefault="00964940" w:rsidP="0096494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-17,27%</w:t>
            </w:r>
          </w:p>
        </w:tc>
      </w:tr>
      <w:tr w:rsidR="00964940" w:rsidRPr="000B544A" w:rsidTr="00520F7B">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tcPr>
          <w:p w:rsidR="00964940" w:rsidRPr="000B544A" w:rsidRDefault="00964940" w:rsidP="0096494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w:t>
            </w:r>
          </w:p>
        </w:tc>
        <w:tc>
          <w:tcPr>
            <w:tcW w:w="1751" w:type="dxa"/>
            <w:tcBorders>
              <w:top w:val="nil"/>
              <w:left w:val="nil"/>
              <w:bottom w:val="single" w:sz="4" w:space="0" w:color="auto"/>
              <w:right w:val="single" w:sz="4" w:space="0" w:color="auto"/>
            </w:tcBorders>
            <w:shd w:val="clear" w:color="auto" w:fill="auto"/>
            <w:noWrap/>
            <w:vAlign w:val="bottom"/>
          </w:tcPr>
          <w:p w:rsidR="00964940" w:rsidRPr="000B544A" w:rsidRDefault="00964940" w:rsidP="0096494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0-7 / 58-100</w:t>
            </w:r>
          </w:p>
        </w:tc>
        <w:tc>
          <w:tcPr>
            <w:tcW w:w="999" w:type="dxa"/>
            <w:tcBorders>
              <w:top w:val="nil"/>
              <w:left w:val="nil"/>
              <w:bottom w:val="single" w:sz="4" w:space="0" w:color="auto"/>
              <w:right w:val="single" w:sz="4" w:space="0" w:color="auto"/>
            </w:tcBorders>
            <w:shd w:val="clear" w:color="auto" w:fill="auto"/>
            <w:noWrap/>
            <w:vAlign w:val="bottom"/>
          </w:tcPr>
          <w:p w:rsidR="00964940" w:rsidRPr="000B544A" w:rsidRDefault="00964940" w:rsidP="0096494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13,90%</w:t>
            </w:r>
          </w:p>
        </w:tc>
        <w:tc>
          <w:tcPr>
            <w:tcW w:w="1243" w:type="dxa"/>
            <w:tcBorders>
              <w:top w:val="nil"/>
              <w:left w:val="nil"/>
              <w:bottom w:val="single" w:sz="4" w:space="0" w:color="auto"/>
              <w:right w:val="single" w:sz="4" w:space="0" w:color="auto"/>
            </w:tcBorders>
            <w:shd w:val="clear" w:color="auto" w:fill="auto"/>
            <w:noWrap/>
            <w:vAlign w:val="bottom"/>
          </w:tcPr>
          <w:p w:rsidR="00964940" w:rsidRPr="000B544A" w:rsidRDefault="00964940" w:rsidP="00964940">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121,06%</w:t>
            </w:r>
          </w:p>
        </w:tc>
      </w:tr>
    </w:tbl>
    <w:p w:rsidR="00964940" w:rsidRPr="000B544A" w:rsidRDefault="00520F7B" w:rsidP="00DA691E">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964940" w:rsidRPr="000B544A" w:rsidRDefault="00FE10EC" w:rsidP="009678BD">
      <w:pPr>
        <w:spacing w:after="0" w:line="360" w:lineRule="auto"/>
        <w:ind w:firstLine="567"/>
        <w:jc w:val="both"/>
        <w:rPr>
          <w:rFonts w:ascii="Times New Roman" w:hAnsi="Times New Roman"/>
          <w:sz w:val="22"/>
          <w:szCs w:val="22"/>
          <w:lang w:val="lt-LT" w:eastAsia="lt-LT"/>
        </w:rPr>
      </w:pPr>
      <w:r w:rsidRPr="000B544A">
        <w:rPr>
          <w:rFonts w:ascii="Times New Roman" w:hAnsi="Times New Roman"/>
          <w:lang w:val="lt-LT"/>
        </w:rPr>
        <w:t xml:space="preserve">Lentelėje pateikti stochastinio osciliatoriaus rezultatai su skirtingais parametrais. Geriausi rezultatai gauti su nestandartiniais parametrais - </w:t>
      </w:r>
      <w:r w:rsidRPr="000B544A">
        <w:rPr>
          <w:rFonts w:ascii="Times New Roman" w:hAnsi="Times New Roman"/>
          <w:sz w:val="22"/>
          <w:szCs w:val="22"/>
          <w:lang w:val="lt-LT" w:eastAsia="lt-LT"/>
        </w:rPr>
        <w:t>0-7 / 58-100.</w:t>
      </w:r>
      <w:r w:rsidR="00B75A10" w:rsidRPr="000B544A">
        <w:rPr>
          <w:rFonts w:ascii="Times New Roman" w:hAnsi="Times New Roman"/>
          <w:sz w:val="22"/>
          <w:szCs w:val="22"/>
          <w:lang w:val="lt-LT" w:eastAsia="lt-LT"/>
        </w:rPr>
        <w:t xml:space="preserve"> Indikatoriaus rezultatai su geriausiais parametrais atskiroms akcijoms pateikti sekančioje lentelėje.</w:t>
      </w:r>
    </w:p>
    <w:p w:rsidR="00DA691E" w:rsidRPr="000B544A" w:rsidRDefault="00DA691E" w:rsidP="00DA691E">
      <w:pPr>
        <w:pStyle w:val="Caption"/>
        <w:keepNext/>
        <w:jc w:val="center"/>
        <w:rPr>
          <w:rFonts w:ascii="Times New Roman" w:hAnsi="Times New Roman"/>
          <w:b w:val="0"/>
          <w:lang w:val="lt-LT"/>
        </w:rPr>
      </w:pPr>
      <w:r w:rsidRPr="000B544A">
        <w:rPr>
          <w:rFonts w:ascii="Times New Roman" w:hAnsi="Times New Roman"/>
          <w:b w:val="0"/>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55" w:name="_Toc311718681"/>
      <w:r w:rsidR="00C53DDD">
        <w:rPr>
          <w:rFonts w:ascii="Times New Roman" w:hAnsi="Times New Roman"/>
          <w:b w:val="0"/>
          <w:noProof/>
          <w:lang w:val="lt-LT"/>
        </w:rPr>
        <w:t>15</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 </w:t>
      </w:r>
      <w:r w:rsidRPr="000B544A">
        <w:rPr>
          <w:rFonts w:ascii="Times New Roman" w:hAnsi="Times New Roman"/>
          <w:lang w:val="lt-LT"/>
        </w:rPr>
        <w:t>Stochastinio osciliatoriaus rezultatai su geriausiais parametrais</w:t>
      </w:r>
      <w:bookmarkEnd w:id="55"/>
    </w:p>
    <w:tbl>
      <w:tblPr>
        <w:tblW w:w="7237" w:type="dxa"/>
        <w:jc w:val="center"/>
        <w:tblInd w:w="93" w:type="dxa"/>
        <w:tblLook w:val="0000"/>
      </w:tblPr>
      <w:tblGrid>
        <w:gridCol w:w="530"/>
        <w:gridCol w:w="2867"/>
        <w:gridCol w:w="1940"/>
        <w:gridCol w:w="1900"/>
      </w:tblGrid>
      <w:tr w:rsidR="009635E3" w:rsidRPr="000B544A" w:rsidTr="00520F7B">
        <w:trPr>
          <w:trHeight w:val="315"/>
          <w:jc w:val="center"/>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9635E3" w:rsidRPr="000B544A" w:rsidRDefault="009635E3" w:rsidP="009635E3">
            <w:pPr>
              <w:spacing w:after="0"/>
              <w:jc w:val="center"/>
              <w:rPr>
                <w:rFonts w:ascii="Times New Roman" w:hAnsi="Times New Roman"/>
                <w:lang w:val="lt-LT" w:eastAsia="lt-LT"/>
              </w:rPr>
            </w:pPr>
            <w:r w:rsidRPr="000B544A">
              <w:rPr>
                <w:rFonts w:ascii="Times New Roman" w:hAnsi="Times New Roman"/>
                <w:lang w:val="lt-LT" w:eastAsia="lt-LT"/>
              </w:rPr>
              <w:t>Nr.</w:t>
            </w:r>
          </w:p>
        </w:tc>
        <w:tc>
          <w:tcPr>
            <w:tcW w:w="2867" w:type="dxa"/>
            <w:tcBorders>
              <w:top w:val="single" w:sz="4" w:space="0" w:color="auto"/>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Akcija</w:t>
            </w:r>
          </w:p>
        </w:tc>
        <w:tc>
          <w:tcPr>
            <w:tcW w:w="1940" w:type="dxa"/>
            <w:tcBorders>
              <w:top w:val="single" w:sz="4" w:space="0" w:color="auto"/>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Pirkimas</w:t>
            </w:r>
          </w:p>
        </w:tc>
        <w:tc>
          <w:tcPr>
            <w:tcW w:w="1900" w:type="dxa"/>
            <w:tcBorders>
              <w:top w:val="single" w:sz="4" w:space="0" w:color="auto"/>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Pardavimas</w:t>
            </w:r>
          </w:p>
        </w:tc>
      </w:tr>
      <w:tr w:rsidR="009635E3" w:rsidRPr="000B544A" w:rsidTr="00520F7B">
        <w:trPr>
          <w:trHeight w:val="315"/>
          <w:jc w:val="center"/>
        </w:trPr>
        <w:tc>
          <w:tcPr>
            <w:tcW w:w="530" w:type="dxa"/>
            <w:tcBorders>
              <w:top w:val="nil"/>
              <w:left w:val="single" w:sz="4" w:space="0" w:color="auto"/>
              <w:bottom w:val="single" w:sz="4" w:space="0" w:color="auto"/>
              <w:right w:val="single" w:sz="4" w:space="0" w:color="auto"/>
            </w:tcBorders>
            <w:shd w:val="clear" w:color="auto" w:fill="auto"/>
            <w:vAlign w:val="center"/>
          </w:tcPr>
          <w:p w:rsidR="009635E3" w:rsidRPr="000B544A" w:rsidRDefault="009635E3" w:rsidP="009635E3">
            <w:pPr>
              <w:spacing w:after="0"/>
              <w:jc w:val="center"/>
              <w:rPr>
                <w:rFonts w:ascii="Times New Roman" w:hAnsi="Times New Roman"/>
                <w:lang w:val="lt-LT" w:eastAsia="lt-LT"/>
              </w:rPr>
            </w:pPr>
            <w:r w:rsidRPr="000B544A">
              <w:rPr>
                <w:rFonts w:ascii="Times New Roman" w:hAnsi="Times New Roman"/>
                <w:lang w:val="lt-LT" w:eastAsia="lt-LT"/>
              </w:rPr>
              <w:t>1</w:t>
            </w:r>
          </w:p>
        </w:tc>
        <w:tc>
          <w:tcPr>
            <w:tcW w:w="2867" w:type="dxa"/>
            <w:tcBorders>
              <w:top w:val="nil"/>
              <w:left w:val="nil"/>
              <w:bottom w:val="single" w:sz="4" w:space="0" w:color="auto"/>
              <w:right w:val="single" w:sz="4" w:space="0" w:color="auto"/>
            </w:tcBorders>
            <w:shd w:val="clear" w:color="auto" w:fill="auto"/>
            <w:noWrap/>
            <w:vAlign w:val="center"/>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Apranga</w:t>
            </w:r>
          </w:p>
        </w:tc>
        <w:tc>
          <w:tcPr>
            <w:tcW w:w="1940"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2,00%</w:t>
            </w:r>
          </w:p>
        </w:tc>
        <w:tc>
          <w:tcPr>
            <w:tcW w:w="1900"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-1,58%</w:t>
            </w:r>
          </w:p>
        </w:tc>
      </w:tr>
      <w:tr w:rsidR="009635E3" w:rsidRPr="000B544A" w:rsidTr="00520F7B">
        <w:trPr>
          <w:trHeight w:val="315"/>
          <w:jc w:val="center"/>
        </w:trPr>
        <w:tc>
          <w:tcPr>
            <w:tcW w:w="530" w:type="dxa"/>
            <w:tcBorders>
              <w:top w:val="nil"/>
              <w:left w:val="single" w:sz="4" w:space="0" w:color="auto"/>
              <w:bottom w:val="single" w:sz="4" w:space="0" w:color="auto"/>
              <w:right w:val="single" w:sz="4" w:space="0" w:color="auto"/>
            </w:tcBorders>
            <w:shd w:val="clear" w:color="auto" w:fill="auto"/>
            <w:vAlign w:val="center"/>
          </w:tcPr>
          <w:p w:rsidR="009635E3" w:rsidRPr="000B544A" w:rsidRDefault="009635E3" w:rsidP="009635E3">
            <w:pPr>
              <w:spacing w:after="0"/>
              <w:jc w:val="center"/>
              <w:rPr>
                <w:rFonts w:ascii="Times New Roman" w:hAnsi="Times New Roman"/>
                <w:lang w:val="lt-LT" w:eastAsia="lt-LT"/>
              </w:rPr>
            </w:pPr>
            <w:r w:rsidRPr="000B544A">
              <w:rPr>
                <w:rFonts w:ascii="Times New Roman" w:hAnsi="Times New Roman"/>
                <w:lang w:val="lt-LT" w:eastAsia="lt-LT"/>
              </w:rPr>
              <w:t>2</w:t>
            </w:r>
          </w:p>
        </w:tc>
        <w:tc>
          <w:tcPr>
            <w:tcW w:w="2867" w:type="dxa"/>
            <w:tcBorders>
              <w:top w:val="nil"/>
              <w:left w:val="nil"/>
              <w:bottom w:val="single" w:sz="4" w:space="0" w:color="auto"/>
              <w:right w:val="single" w:sz="4" w:space="0" w:color="auto"/>
            </w:tcBorders>
            <w:shd w:val="clear" w:color="auto" w:fill="auto"/>
            <w:noWrap/>
            <w:vAlign w:val="center"/>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Linas Agro Group</w:t>
            </w:r>
          </w:p>
        </w:tc>
        <w:tc>
          <w:tcPr>
            <w:tcW w:w="1940"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-1,54%</w:t>
            </w:r>
          </w:p>
        </w:tc>
        <w:tc>
          <w:tcPr>
            <w:tcW w:w="1900"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20,66%</w:t>
            </w:r>
          </w:p>
        </w:tc>
      </w:tr>
      <w:tr w:rsidR="009635E3" w:rsidRPr="000B544A" w:rsidTr="00520F7B">
        <w:trPr>
          <w:trHeight w:val="315"/>
          <w:jc w:val="center"/>
        </w:trPr>
        <w:tc>
          <w:tcPr>
            <w:tcW w:w="530" w:type="dxa"/>
            <w:tcBorders>
              <w:top w:val="nil"/>
              <w:left w:val="single" w:sz="4" w:space="0" w:color="auto"/>
              <w:bottom w:val="single" w:sz="4" w:space="0" w:color="auto"/>
              <w:right w:val="single" w:sz="4" w:space="0" w:color="auto"/>
            </w:tcBorders>
            <w:shd w:val="clear" w:color="auto" w:fill="auto"/>
            <w:vAlign w:val="center"/>
          </w:tcPr>
          <w:p w:rsidR="009635E3" w:rsidRPr="000B544A" w:rsidRDefault="009635E3" w:rsidP="009635E3">
            <w:pPr>
              <w:spacing w:after="0"/>
              <w:jc w:val="center"/>
              <w:rPr>
                <w:rFonts w:ascii="Times New Roman" w:hAnsi="Times New Roman"/>
                <w:lang w:val="lt-LT" w:eastAsia="lt-LT"/>
              </w:rPr>
            </w:pPr>
            <w:r w:rsidRPr="000B544A">
              <w:rPr>
                <w:rFonts w:ascii="Times New Roman" w:hAnsi="Times New Roman"/>
                <w:lang w:val="lt-LT" w:eastAsia="lt-LT"/>
              </w:rPr>
              <w:t>3</w:t>
            </w:r>
          </w:p>
        </w:tc>
        <w:tc>
          <w:tcPr>
            <w:tcW w:w="2867" w:type="dxa"/>
            <w:tcBorders>
              <w:top w:val="nil"/>
              <w:left w:val="nil"/>
              <w:bottom w:val="single" w:sz="4" w:space="0" w:color="auto"/>
              <w:right w:val="single" w:sz="4" w:space="0" w:color="auto"/>
            </w:tcBorders>
            <w:shd w:val="clear" w:color="auto" w:fill="auto"/>
            <w:noWrap/>
            <w:vAlign w:val="center"/>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Nordecon AS</w:t>
            </w:r>
          </w:p>
        </w:tc>
        <w:tc>
          <w:tcPr>
            <w:tcW w:w="1940"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4,62%</w:t>
            </w:r>
          </w:p>
        </w:tc>
        <w:tc>
          <w:tcPr>
            <w:tcW w:w="1900"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44,90%</w:t>
            </w:r>
          </w:p>
        </w:tc>
      </w:tr>
      <w:tr w:rsidR="009635E3" w:rsidRPr="000B544A" w:rsidTr="00520F7B">
        <w:trPr>
          <w:trHeight w:val="315"/>
          <w:jc w:val="center"/>
        </w:trPr>
        <w:tc>
          <w:tcPr>
            <w:tcW w:w="530" w:type="dxa"/>
            <w:tcBorders>
              <w:top w:val="nil"/>
              <w:left w:val="single" w:sz="4" w:space="0" w:color="auto"/>
              <w:bottom w:val="single" w:sz="4" w:space="0" w:color="auto"/>
              <w:right w:val="single" w:sz="4" w:space="0" w:color="auto"/>
            </w:tcBorders>
            <w:shd w:val="clear" w:color="auto" w:fill="auto"/>
            <w:vAlign w:val="center"/>
          </w:tcPr>
          <w:p w:rsidR="009635E3" w:rsidRPr="000B544A" w:rsidRDefault="009635E3" w:rsidP="009635E3">
            <w:pPr>
              <w:spacing w:after="0"/>
              <w:jc w:val="center"/>
              <w:rPr>
                <w:rFonts w:ascii="Times New Roman" w:hAnsi="Times New Roman"/>
                <w:lang w:val="lt-LT" w:eastAsia="lt-LT"/>
              </w:rPr>
            </w:pPr>
            <w:r w:rsidRPr="000B544A">
              <w:rPr>
                <w:rFonts w:ascii="Times New Roman" w:hAnsi="Times New Roman"/>
                <w:lang w:val="lt-LT" w:eastAsia="lt-LT"/>
              </w:rPr>
              <w:t>4</w:t>
            </w:r>
          </w:p>
        </w:tc>
        <w:tc>
          <w:tcPr>
            <w:tcW w:w="2867" w:type="dxa"/>
            <w:tcBorders>
              <w:top w:val="nil"/>
              <w:left w:val="nil"/>
              <w:bottom w:val="single" w:sz="4" w:space="0" w:color="auto"/>
              <w:right w:val="single" w:sz="4" w:space="0" w:color="auto"/>
            </w:tcBorders>
            <w:shd w:val="clear" w:color="auto" w:fill="auto"/>
            <w:noWrap/>
            <w:vAlign w:val="center"/>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Olympic Entertainment Group</w:t>
            </w:r>
          </w:p>
        </w:tc>
        <w:tc>
          <w:tcPr>
            <w:tcW w:w="1940"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0,00%</w:t>
            </w:r>
          </w:p>
        </w:tc>
        <w:tc>
          <w:tcPr>
            <w:tcW w:w="1900"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11,11%</w:t>
            </w:r>
          </w:p>
        </w:tc>
      </w:tr>
      <w:tr w:rsidR="009635E3" w:rsidRPr="000B544A" w:rsidTr="00520F7B">
        <w:trPr>
          <w:trHeight w:val="315"/>
          <w:jc w:val="center"/>
        </w:trPr>
        <w:tc>
          <w:tcPr>
            <w:tcW w:w="530" w:type="dxa"/>
            <w:tcBorders>
              <w:top w:val="nil"/>
              <w:left w:val="single" w:sz="4" w:space="0" w:color="auto"/>
              <w:bottom w:val="single" w:sz="4" w:space="0" w:color="auto"/>
              <w:right w:val="single" w:sz="4" w:space="0" w:color="auto"/>
            </w:tcBorders>
            <w:shd w:val="clear" w:color="auto" w:fill="auto"/>
            <w:vAlign w:val="center"/>
          </w:tcPr>
          <w:p w:rsidR="009635E3" w:rsidRPr="000B544A" w:rsidRDefault="009635E3" w:rsidP="009635E3">
            <w:pPr>
              <w:spacing w:after="0"/>
              <w:jc w:val="center"/>
              <w:rPr>
                <w:rFonts w:ascii="Times New Roman" w:hAnsi="Times New Roman"/>
                <w:lang w:val="lt-LT" w:eastAsia="lt-LT"/>
              </w:rPr>
            </w:pPr>
            <w:r w:rsidRPr="000B544A">
              <w:rPr>
                <w:rFonts w:ascii="Times New Roman" w:hAnsi="Times New Roman"/>
                <w:lang w:val="lt-LT" w:eastAsia="lt-LT"/>
              </w:rPr>
              <w:t>5</w:t>
            </w:r>
          </w:p>
        </w:tc>
        <w:tc>
          <w:tcPr>
            <w:tcW w:w="2867" w:type="dxa"/>
            <w:tcBorders>
              <w:top w:val="nil"/>
              <w:left w:val="nil"/>
              <w:bottom w:val="single" w:sz="4" w:space="0" w:color="auto"/>
              <w:right w:val="single" w:sz="4" w:space="0" w:color="auto"/>
            </w:tcBorders>
            <w:shd w:val="clear" w:color="auto" w:fill="auto"/>
            <w:noWrap/>
            <w:vAlign w:val="center"/>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Panevėžio statybos trestas</w:t>
            </w:r>
          </w:p>
        </w:tc>
        <w:tc>
          <w:tcPr>
            <w:tcW w:w="1940"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0,00%</w:t>
            </w:r>
          </w:p>
        </w:tc>
        <w:tc>
          <w:tcPr>
            <w:tcW w:w="1900"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0,00%</w:t>
            </w:r>
          </w:p>
        </w:tc>
      </w:tr>
      <w:tr w:rsidR="009635E3" w:rsidRPr="000B544A" w:rsidTr="00520F7B">
        <w:trPr>
          <w:trHeight w:val="315"/>
          <w:jc w:val="center"/>
        </w:trPr>
        <w:tc>
          <w:tcPr>
            <w:tcW w:w="530" w:type="dxa"/>
            <w:tcBorders>
              <w:top w:val="nil"/>
              <w:left w:val="single" w:sz="4" w:space="0" w:color="auto"/>
              <w:bottom w:val="single" w:sz="4" w:space="0" w:color="auto"/>
              <w:right w:val="single" w:sz="4" w:space="0" w:color="auto"/>
            </w:tcBorders>
            <w:shd w:val="clear" w:color="auto" w:fill="auto"/>
            <w:vAlign w:val="center"/>
          </w:tcPr>
          <w:p w:rsidR="009635E3" w:rsidRPr="000B544A" w:rsidRDefault="009635E3" w:rsidP="009635E3">
            <w:pPr>
              <w:spacing w:after="0"/>
              <w:jc w:val="center"/>
              <w:rPr>
                <w:rFonts w:ascii="Times New Roman" w:hAnsi="Times New Roman"/>
                <w:lang w:val="lt-LT" w:eastAsia="lt-LT"/>
              </w:rPr>
            </w:pPr>
            <w:r w:rsidRPr="000B544A">
              <w:rPr>
                <w:rFonts w:ascii="Times New Roman" w:hAnsi="Times New Roman"/>
                <w:lang w:val="lt-LT" w:eastAsia="lt-LT"/>
              </w:rPr>
              <w:t>6</w:t>
            </w:r>
          </w:p>
        </w:tc>
        <w:tc>
          <w:tcPr>
            <w:tcW w:w="2867" w:type="dxa"/>
            <w:tcBorders>
              <w:top w:val="nil"/>
              <w:left w:val="nil"/>
              <w:bottom w:val="single" w:sz="4" w:space="0" w:color="auto"/>
              <w:right w:val="single" w:sz="4" w:space="0" w:color="auto"/>
            </w:tcBorders>
            <w:shd w:val="clear" w:color="auto" w:fill="auto"/>
            <w:noWrap/>
            <w:vAlign w:val="center"/>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Tallink Grupp</w:t>
            </w:r>
          </w:p>
        </w:tc>
        <w:tc>
          <w:tcPr>
            <w:tcW w:w="1940"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0,00%</w:t>
            </w:r>
          </w:p>
        </w:tc>
        <w:tc>
          <w:tcPr>
            <w:tcW w:w="1900"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-9,59%</w:t>
            </w:r>
          </w:p>
        </w:tc>
      </w:tr>
      <w:tr w:rsidR="009635E3" w:rsidRPr="000B544A" w:rsidTr="00520F7B">
        <w:trPr>
          <w:trHeight w:val="315"/>
          <w:jc w:val="center"/>
        </w:trPr>
        <w:tc>
          <w:tcPr>
            <w:tcW w:w="530" w:type="dxa"/>
            <w:tcBorders>
              <w:top w:val="nil"/>
              <w:left w:val="single" w:sz="4" w:space="0" w:color="auto"/>
              <w:bottom w:val="single" w:sz="4" w:space="0" w:color="auto"/>
              <w:right w:val="single" w:sz="4" w:space="0" w:color="auto"/>
            </w:tcBorders>
            <w:shd w:val="clear" w:color="auto" w:fill="auto"/>
            <w:vAlign w:val="center"/>
          </w:tcPr>
          <w:p w:rsidR="009635E3" w:rsidRPr="000B544A" w:rsidRDefault="009635E3" w:rsidP="009635E3">
            <w:pPr>
              <w:spacing w:after="0"/>
              <w:jc w:val="center"/>
              <w:rPr>
                <w:rFonts w:ascii="Times New Roman" w:hAnsi="Times New Roman"/>
                <w:lang w:val="lt-LT" w:eastAsia="lt-LT"/>
              </w:rPr>
            </w:pPr>
            <w:r w:rsidRPr="000B544A">
              <w:rPr>
                <w:rFonts w:ascii="Times New Roman" w:hAnsi="Times New Roman"/>
                <w:lang w:val="lt-LT" w:eastAsia="lt-LT"/>
              </w:rPr>
              <w:t>7</w:t>
            </w:r>
          </w:p>
        </w:tc>
        <w:tc>
          <w:tcPr>
            <w:tcW w:w="2867" w:type="dxa"/>
            <w:tcBorders>
              <w:top w:val="nil"/>
              <w:left w:val="nil"/>
              <w:bottom w:val="single" w:sz="4" w:space="0" w:color="auto"/>
              <w:right w:val="single" w:sz="4" w:space="0" w:color="auto"/>
            </w:tcBorders>
            <w:shd w:val="clear" w:color="auto" w:fill="auto"/>
            <w:noWrap/>
            <w:vAlign w:val="center"/>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TEO LT</w:t>
            </w:r>
          </w:p>
        </w:tc>
        <w:tc>
          <w:tcPr>
            <w:tcW w:w="1940"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3,86%</w:t>
            </w:r>
          </w:p>
        </w:tc>
        <w:tc>
          <w:tcPr>
            <w:tcW w:w="1900"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16,26%</w:t>
            </w:r>
          </w:p>
        </w:tc>
      </w:tr>
      <w:tr w:rsidR="009635E3" w:rsidRPr="000B544A" w:rsidTr="00520F7B">
        <w:trPr>
          <w:trHeight w:val="315"/>
          <w:jc w:val="center"/>
        </w:trPr>
        <w:tc>
          <w:tcPr>
            <w:tcW w:w="530" w:type="dxa"/>
            <w:tcBorders>
              <w:top w:val="nil"/>
              <w:left w:val="single" w:sz="4" w:space="0" w:color="auto"/>
              <w:bottom w:val="single" w:sz="4" w:space="0" w:color="auto"/>
              <w:right w:val="single" w:sz="4" w:space="0" w:color="auto"/>
            </w:tcBorders>
            <w:shd w:val="clear" w:color="auto" w:fill="auto"/>
            <w:vAlign w:val="center"/>
          </w:tcPr>
          <w:p w:rsidR="009635E3" w:rsidRPr="000B544A" w:rsidRDefault="009635E3" w:rsidP="009635E3">
            <w:pPr>
              <w:spacing w:after="0"/>
              <w:jc w:val="center"/>
              <w:rPr>
                <w:rFonts w:ascii="Times New Roman" w:hAnsi="Times New Roman"/>
                <w:lang w:val="lt-LT" w:eastAsia="lt-LT"/>
              </w:rPr>
            </w:pPr>
            <w:r w:rsidRPr="000B544A">
              <w:rPr>
                <w:rFonts w:ascii="Times New Roman" w:hAnsi="Times New Roman"/>
                <w:lang w:val="lt-LT" w:eastAsia="lt-LT"/>
              </w:rPr>
              <w:t>8</w:t>
            </w:r>
          </w:p>
        </w:tc>
        <w:tc>
          <w:tcPr>
            <w:tcW w:w="2867" w:type="dxa"/>
            <w:tcBorders>
              <w:top w:val="nil"/>
              <w:left w:val="nil"/>
              <w:bottom w:val="single" w:sz="4" w:space="0" w:color="auto"/>
              <w:right w:val="single" w:sz="4" w:space="0" w:color="auto"/>
            </w:tcBorders>
            <w:shd w:val="clear" w:color="auto" w:fill="auto"/>
            <w:noWrap/>
            <w:vAlign w:val="center"/>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Tallinna Kaubamaja</w:t>
            </w:r>
          </w:p>
        </w:tc>
        <w:tc>
          <w:tcPr>
            <w:tcW w:w="1940"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5,83%</w:t>
            </w:r>
          </w:p>
        </w:tc>
        <w:tc>
          <w:tcPr>
            <w:tcW w:w="1900"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12,40%</w:t>
            </w:r>
          </w:p>
        </w:tc>
      </w:tr>
      <w:tr w:rsidR="009635E3" w:rsidRPr="000B544A" w:rsidTr="00520F7B">
        <w:trPr>
          <w:trHeight w:val="315"/>
          <w:jc w:val="center"/>
        </w:trPr>
        <w:tc>
          <w:tcPr>
            <w:tcW w:w="530" w:type="dxa"/>
            <w:tcBorders>
              <w:top w:val="nil"/>
              <w:left w:val="single" w:sz="4" w:space="0" w:color="auto"/>
              <w:bottom w:val="single" w:sz="4" w:space="0" w:color="auto"/>
              <w:right w:val="single" w:sz="4" w:space="0" w:color="auto"/>
            </w:tcBorders>
            <w:shd w:val="clear" w:color="auto" w:fill="auto"/>
            <w:vAlign w:val="center"/>
          </w:tcPr>
          <w:p w:rsidR="009635E3" w:rsidRPr="000B544A" w:rsidRDefault="009635E3" w:rsidP="009635E3">
            <w:pPr>
              <w:spacing w:after="0"/>
              <w:jc w:val="center"/>
              <w:rPr>
                <w:rFonts w:ascii="Times New Roman" w:hAnsi="Times New Roman"/>
                <w:lang w:val="lt-LT" w:eastAsia="lt-LT"/>
              </w:rPr>
            </w:pPr>
            <w:r w:rsidRPr="000B544A">
              <w:rPr>
                <w:rFonts w:ascii="Times New Roman" w:hAnsi="Times New Roman"/>
                <w:lang w:val="lt-LT" w:eastAsia="lt-LT"/>
              </w:rPr>
              <w:t>9</w:t>
            </w:r>
          </w:p>
        </w:tc>
        <w:tc>
          <w:tcPr>
            <w:tcW w:w="2867" w:type="dxa"/>
            <w:tcBorders>
              <w:top w:val="nil"/>
              <w:left w:val="nil"/>
              <w:bottom w:val="single" w:sz="4" w:space="0" w:color="auto"/>
              <w:right w:val="single" w:sz="4" w:space="0" w:color="auto"/>
            </w:tcBorders>
            <w:shd w:val="clear" w:color="auto" w:fill="auto"/>
            <w:noWrap/>
            <w:vAlign w:val="center"/>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Tallinna Vesi</w:t>
            </w:r>
          </w:p>
        </w:tc>
        <w:tc>
          <w:tcPr>
            <w:tcW w:w="1940"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-0,86%</w:t>
            </w:r>
          </w:p>
        </w:tc>
        <w:tc>
          <w:tcPr>
            <w:tcW w:w="1900"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26,89%</w:t>
            </w:r>
          </w:p>
        </w:tc>
      </w:tr>
      <w:tr w:rsidR="009635E3" w:rsidRPr="000B544A" w:rsidTr="00520F7B">
        <w:trPr>
          <w:trHeight w:val="315"/>
          <w:jc w:val="center"/>
        </w:trPr>
        <w:tc>
          <w:tcPr>
            <w:tcW w:w="530" w:type="dxa"/>
            <w:tcBorders>
              <w:top w:val="nil"/>
              <w:left w:val="single" w:sz="4" w:space="0" w:color="auto"/>
              <w:bottom w:val="single" w:sz="4" w:space="0" w:color="auto"/>
              <w:right w:val="single" w:sz="4" w:space="0" w:color="auto"/>
            </w:tcBorders>
            <w:shd w:val="clear" w:color="auto" w:fill="auto"/>
            <w:vAlign w:val="center"/>
          </w:tcPr>
          <w:p w:rsidR="009635E3" w:rsidRPr="000B544A" w:rsidRDefault="009635E3" w:rsidP="009635E3">
            <w:pPr>
              <w:spacing w:after="0"/>
              <w:jc w:val="center"/>
              <w:rPr>
                <w:rFonts w:ascii="Times New Roman" w:hAnsi="Times New Roman"/>
                <w:lang w:val="lt-LT" w:eastAsia="lt-LT"/>
              </w:rPr>
            </w:pPr>
            <w:r w:rsidRPr="000B544A">
              <w:rPr>
                <w:rFonts w:ascii="Times New Roman" w:hAnsi="Times New Roman"/>
                <w:lang w:val="lt-LT" w:eastAsia="lt-LT"/>
              </w:rPr>
              <w:t>10</w:t>
            </w:r>
          </w:p>
        </w:tc>
        <w:tc>
          <w:tcPr>
            <w:tcW w:w="2867" w:type="dxa"/>
            <w:tcBorders>
              <w:top w:val="nil"/>
              <w:left w:val="nil"/>
              <w:bottom w:val="single" w:sz="4" w:space="0" w:color="auto"/>
              <w:right w:val="single" w:sz="4" w:space="0" w:color="auto"/>
            </w:tcBorders>
            <w:shd w:val="clear" w:color="auto" w:fill="auto"/>
            <w:noWrap/>
            <w:vAlign w:val="center"/>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Ūkio bankas</w:t>
            </w:r>
          </w:p>
        </w:tc>
        <w:tc>
          <w:tcPr>
            <w:tcW w:w="1940"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0,00%</w:t>
            </w:r>
          </w:p>
        </w:tc>
        <w:tc>
          <w:tcPr>
            <w:tcW w:w="1900"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0,00%</w:t>
            </w:r>
          </w:p>
        </w:tc>
      </w:tr>
      <w:tr w:rsidR="009635E3" w:rsidRPr="000B544A" w:rsidTr="00520F7B">
        <w:trPr>
          <w:trHeight w:val="300"/>
          <w:jc w:val="center"/>
        </w:trPr>
        <w:tc>
          <w:tcPr>
            <w:tcW w:w="530" w:type="dxa"/>
            <w:tcBorders>
              <w:top w:val="nil"/>
              <w:left w:val="single" w:sz="4" w:space="0" w:color="auto"/>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p>
        </w:tc>
        <w:tc>
          <w:tcPr>
            <w:tcW w:w="2867"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Suma</w:t>
            </w:r>
          </w:p>
        </w:tc>
        <w:tc>
          <w:tcPr>
            <w:tcW w:w="1940"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13,90%</w:t>
            </w:r>
          </w:p>
        </w:tc>
        <w:tc>
          <w:tcPr>
            <w:tcW w:w="1900" w:type="dxa"/>
            <w:tcBorders>
              <w:top w:val="nil"/>
              <w:left w:val="nil"/>
              <w:bottom w:val="single" w:sz="4" w:space="0" w:color="auto"/>
              <w:right w:val="single" w:sz="4" w:space="0" w:color="auto"/>
            </w:tcBorders>
            <w:shd w:val="clear" w:color="auto" w:fill="auto"/>
            <w:noWrap/>
            <w:vAlign w:val="bottom"/>
          </w:tcPr>
          <w:p w:rsidR="009635E3" w:rsidRPr="000B544A" w:rsidRDefault="009635E3" w:rsidP="009635E3">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121,06%</w:t>
            </w:r>
          </w:p>
        </w:tc>
      </w:tr>
    </w:tbl>
    <w:p w:rsidR="00B75A10" w:rsidRPr="000B544A" w:rsidRDefault="00520F7B" w:rsidP="00DA691E">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252F1D" w:rsidRPr="000B544A" w:rsidRDefault="009635E3" w:rsidP="00DA691E">
      <w:pPr>
        <w:spacing w:after="0" w:line="360" w:lineRule="auto"/>
        <w:ind w:firstLine="567"/>
        <w:jc w:val="both"/>
        <w:rPr>
          <w:rFonts w:ascii="Times New Roman" w:hAnsi="Times New Roman"/>
          <w:lang w:val="lt-LT"/>
        </w:rPr>
      </w:pPr>
      <w:r w:rsidRPr="000B544A">
        <w:rPr>
          <w:rFonts w:ascii="Times New Roman" w:hAnsi="Times New Roman"/>
          <w:lang w:val="lt-LT"/>
        </w:rPr>
        <w:t xml:space="preserve">Lentelėje pateikti stochastinio osciliatoriaus rezultatai su geriausiais parametrais. Geriausiai indikatorius veikė </w:t>
      </w:r>
      <w:r w:rsidR="00315D9F" w:rsidRPr="000B544A">
        <w:rPr>
          <w:rFonts w:ascii="Times New Roman" w:hAnsi="Times New Roman"/>
          <w:lang w:val="lt-LT"/>
        </w:rPr>
        <w:t>Tallinna Kaubamaja</w:t>
      </w:r>
      <w:r w:rsidRPr="000B544A">
        <w:rPr>
          <w:rFonts w:ascii="Times New Roman" w:hAnsi="Times New Roman"/>
          <w:lang w:val="lt-LT"/>
        </w:rPr>
        <w:t xml:space="preserve"> akcijoms pirkimo sandoriuose, o blogiausiai – </w:t>
      </w:r>
      <w:r w:rsidR="00315D9F" w:rsidRPr="000B544A">
        <w:rPr>
          <w:rFonts w:ascii="Times New Roman" w:hAnsi="Times New Roman"/>
          <w:lang w:val="lt-LT"/>
        </w:rPr>
        <w:t xml:space="preserve">Linas Agro Group </w:t>
      </w:r>
      <w:r w:rsidRPr="000B544A">
        <w:rPr>
          <w:rFonts w:ascii="Times New Roman" w:hAnsi="Times New Roman"/>
          <w:lang w:val="lt-LT"/>
        </w:rPr>
        <w:t xml:space="preserve">akcijoms. Pardavimo sandoriuose geriausiai veikė </w:t>
      </w:r>
      <w:r w:rsidR="00315D9F" w:rsidRPr="000B544A">
        <w:rPr>
          <w:rFonts w:ascii="Times New Roman" w:hAnsi="Times New Roman"/>
          <w:lang w:val="lt-LT"/>
        </w:rPr>
        <w:t>Nordecon AS</w:t>
      </w:r>
      <w:r w:rsidRPr="000B544A">
        <w:rPr>
          <w:rFonts w:ascii="Times New Roman" w:hAnsi="Times New Roman"/>
          <w:lang w:val="lt-LT"/>
        </w:rPr>
        <w:t xml:space="preserve"> akcijoms, o blogiausiai – </w:t>
      </w:r>
      <w:r w:rsidR="00315D9F" w:rsidRPr="000B544A">
        <w:rPr>
          <w:rFonts w:ascii="Times New Roman" w:hAnsi="Times New Roman"/>
          <w:lang w:val="lt-LT"/>
        </w:rPr>
        <w:t>Tallink</w:t>
      </w:r>
      <w:r w:rsidRPr="000B544A">
        <w:rPr>
          <w:rFonts w:ascii="Times New Roman" w:hAnsi="Times New Roman"/>
          <w:lang w:val="lt-LT"/>
        </w:rPr>
        <w:t xml:space="preserve"> Group. </w:t>
      </w:r>
    </w:p>
    <w:p w:rsidR="00252F1D" w:rsidRPr="000B544A" w:rsidRDefault="00B756A4" w:rsidP="0010532D">
      <w:pPr>
        <w:pStyle w:val="Heading3"/>
        <w:spacing w:line="360" w:lineRule="auto"/>
        <w:rPr>
          <w:rFonts w:ascii="Times New Roman" w:hAnsi="Times New Roman"/>
          <w:lang w:val="lt-LT"/>
        </w:rPr>
      </w:pPr>
      <w:bookmarkStart w:id="56" w:name="_Toc312047649"/>
      <w:r w:rsidRPr="000B544A">
        <w:rPr>
          <w:rFonts w:ascii="Times New Roman" w:hAnsi="Times New Roman"/>
          <w:lang w:val="lt-LT"/>
        </w:rPr>
        <w:t>2</w:t>
      </w:r>
      <w:r w:rsidR="00252F1D" w:rsidRPr="000B544A">
        <w:rPr>
          <w:rFonts w:ascii="Times New Roman" w:hAnsi="Times New Roman"/>
          <w:lang w:val="lt-LT"/>
        </w:rPr>
        <w:t>.</w:t>
      </w:r>
      <w:r w:rsidR="0010532D" w:rsidRPr="000B544A">
        <w:rPr>
          <w:rFonts w:ascii="Times New Roman" w:hAnsi="Times New Roman"/>
          <w:lang w:val="lt-LT"/>
        </w:rPr>
        <w:t>2.8</w:t>
      </w:r>
      <w:r w:rsidR="00252F1D" w:rsidRPr="000B544A">
        <w:rPr>
          <w:rFonts w:ascii="Times New Roman" w:hAnsi="Times New Roman"/>
          <w:lang w:val="lt-LT"/>
        </w:rPr>
        <w:t xml:space="preserve"> </w:t>
      </w:r>
      <w:r w:rsidR="00197FAA" w:rsidRPr="000B544A">
        <w:rPr>
          <w:rFonts w:ascii="Times New Roman" w:hAnsi="Times New Roman"/>
          <w:lang w:val="lt-LT"/>
        </w:rPr>
        <w:t>Viljamso procentinis R indikatorius</w:t>
      </w:r>
      <w:r w:rsidR="008E7C0F" w:rsidRPr="000B544A">
        <w:rPr>
          <w:rFonts w:ascii="Times New Roman" w:hAnsi="Times New Roman"/>
          <w:lang w:val="lt-LT"/>
        </w:rPr>
        <w:t xml:space="preserve"> – perpirktos ir perparduotos rinkos matas</w:t>
      </w:r>
      <w:bookmarkEnd w:id="56"/>
    </w:p>
    <w:p w:rsidR="00F1114B" w:rsidRPr="000B544A" w:rsidRDefault="00E42125" w:rsidP="00DA691E">
      <w:pPr>
        <w:spacing w:after="0" w:line="360" w:lineRule="auto"/>
        <w:ind w:firstLine="567"/>
        <w:jc w:val="both"/>
        <w:rPr>
          <w:rFonts w:ascii="Times New Roman" w:hAnsi="Times New Roman"/>
          <w:lang w:val="lt-LT"/>
        </w:rPr>
      </w:pPr>
      <w:r w:rsidRPr="000B544A">
        <w:rPr>
          <w:rFonts w:ascii="Times New Roman" w:hAnsi="Times New Roman"/>
          <w:lang w:val="lt-LT"/>
        </w:rPr>
        <w:t>Viljamso procentinis R indikatorius (angl. Williams %R indicator) yra momentinis indikatorius, kuris matuoja perpirktą/perparduotą rinkas. Šį indikatorių sukūrė Larry Williams.</w:t>
      </w:r>
    </w:p>
    <w:p w:rsidR="00383FC9" w:rsidRPr="000B544A" w:rsidRDefault="00383FC9" w:rsidP="00932181">
      <w:pPr>
        <w:spacing w:after="0" w:line="360" w:lineRule="auto"/>
        <w:ind w:firstLine="567"/>
        <w:jc w:val="both"/>
        <w:rPr>
          <w:rFonts w:ascii="Times New Roman" w:hAnsi="Times New Roman"/>
          <w:lang w:val="lt-LT"/>
        </w:rPr>
      </w:pPr>
      <w:r w:rsidRPr="000B544A">
        <w:rPr>
          <w:rFonts w:ascii="Times New Roman" w:hAnsi="Times New Roman"/>
          <w:lang w:val="lt-LT"/>
        </w:rPr>
        <w:t xml:space="preserve">Viljamso %R indikatoriaus reikšmės interpretuojamos panašiai kaip ir Stochastinio osciliatoriaus. Skirtumas tik tas, kad Viljamso reikšmės svyruoja nuo –100 iki 0, o stochastinio </w:t>
      </w:r>
      <w:r w:rsidR="00F41893" w:rsidRPr="000B544A">
        <w:rPr>
          <w:rFonts w:ascii="Times New Roman" w:hAnsi="Times New Roman"/>
          <w:lang w:val="lt-LT"/>
        </w:rPr>
        <w:t>osciliatoriaus</w:t>
      </w:r>
      <w:r w:rsidRPr="000B544A">
        <w:rPr>
          <w:rFonts w:ascii="Times New Roman" w:hAnsi="Times New Roman"/>
          <w:lang w:val="lt-LT"/>
        </w:rPr>
        <w:t xml:space="preserve"> nuo 0 iki 100. Indikatoriaus reikšmė tarp –80 ir -100 reiškia perparduotą kainą, o tarp 0 ir -20 reiškia perpirktą finansinio instrumento kainą.</w:t>
      </w:r>
      <w:r w:rsidR="00B90270" w:rsidRPr="000B544A">
        <w:rPr>
          <w:rFonts w:ascii="Times New Roman" w:hAnsi="Times New Roman"/>
          <w:lang w:val="lt-LT"/>
        </w:rPr>
        <w:t xml:space="preserve"> </w:t>
      </w:r>
      <w:r w:rsidR="00F87E11" w:rsidRPr="000B544A">
        <w:rPr>
          <w:rFonts w:ascii="Times New Roman" w:hAnsi="Times New Roman"/>
          <w:lang w:val="lt-LT"/>
        </w:rPr>
        <w:t>Kaip ir visuose perpirktos/perparduotos kainos indikatoriuose yra geriausia palaukti, kol kainos kryptis pasikeis ir tik tada daryti sandorius. Pvz. Jei Viljamso %R indikatorius rodo perparduotą kainą, tai reikia palaukti, kol kaina pradės brangti ir tik tada atlikti pirkimo sandorį.</w:t>
      </w:r>
    </w:p>
    <w:p w:rsidR="00F87E11" w:rsidRPr="000B544A" w:rsidRDefault="00F87E11" w:rsidP="00932181">
      <w:pPr>
        <w:spacing w:after="0" w:line="360" w:lineRule="auto"/>
        <w:ind w:firstLine="567"/>
        <w:jc w:val="both"/>
        <w:rPr>
          <w:rFonts w:ascii="Times New Roman" w:hAnsi="Times New Roman"/>
          <w:lang w:val="lt-LT"/>
        </w:rPr>
      </w:pPr>
      <w:r w:rsidRPr="000B544A">
        <w:rPr>
          <w:rFonts w:ascii="Times New Roman" w:hAnsi="Times New Roman"/>
          <w:lang w:val="lt-LT"/>
        </w:rPr>
        <w:t xml:space="preserve">Pastebėtas šio indikatoriaus fenomenas, kad jis parodo signalus dar prieš kainos pasikeitimą. Tarkim indikatoriaus reikšmė pasiekia perpirktos rinkos zoną ir pasiekęs aukščiausią tašką pradeda </w:t>
      </w:r>
      <w:r w:rsidRPr="000B544A">
        <w:rPr>
          <w:rFonts w:ascii="Times New Roman" w:hAnsi="Times New Roman"/>
          <w:lang w:val="lt-LT"/>
        </w:rPr>
        <w:lastRenderedPageBreak/>
        <w:t xml:space="preserve">kristi. Tuo tarpu kaina dažnai pradeda kristi tik po </w:t>
      </w:r>
      <w:r w:rsidR="00F41893" w:rsidRPr="000B544A">
        <w:rPr>
          <w:rFonts w:ascii="Times New Roman" w:hAnsi="Times New Roman"/>
          <w:lang w:val="lt-LT"/>
        </w:rPr>
        <w:t>keleto</w:t>
      </w:r>
      <w:r w:rsidRPr="000B544A">
        <w:rPr>
          <w:rFonts w:ascii="Times New Roman" w:hAnsi="Times New Roman"/>
          <w:lang w:val="lt-LT"/>
        </w:rPr>
        <w:t xml:space="preserve"> dienų, kai indikatorius jau buvo suformavęs viršūnę ir pradėjo kristi.</w:t>
      </w:r>
      <w:r w:rsidR="008D3760" w:rsidRPr="000B544A">
        <w:rPr>
          <w:rFonts w:ascii="Times New Roman" w:hAnsi="Times New Roman"/>
          <w:lang w:val="lt-LT"/>
        </w:rPr>
        <w:t>[29]</w:t>
      </w:r>
    </w:p>
    <w:p w:rsidR="00F1114B" w:rsidRPr="000B544A" w:rsidRDefault="00B90270" w:rsidP="00932181">
      <w:pPr>
        <w:spacing w:after="0" w:line="360" w:lineRule="auto"/>
        <w:ind w:firstLine="567"/>
        <w:jc w:val="both"/>
        <w:rPr>
          <w:rFonts w:ascii="Times New Roman" w:hAnsi="Times New Roman"/>
          <w:lang w:val="lt-LT"/>
        </w:rPr>
      </w:pPr>
      <w:r w:rsidRPr="000B544A">
        <w:rPr>
          <w:rFonts w:ascii="Times New Roman" w:hAnsi="Times New Roman"/>
          <w:lang w:val="lt-LT"/>
        </w:rPr>
        <w:t>Skaičiavimo formulė:</w:t>
      </w:r>
    </w:p>
    <w:p w:rsidR="00B90270" w:rsidRPr="000B544A" w:rsidRDefault="00C41975" w:rsidP="00932181">
      <w:pPr>
        <w:spacing w:after="0" w:line="360" w:lineRule="auto"/>
        <w:ind w:firstLine="567"/>
        <w:jc w:val="both"/>
        <w:rPr>
          <w:rFonts w:ascii="Times New Roman" w:hAnsi="Times New Roman"/>
          <w:lang w:val="lt-LT"/>
        </w:rPr>
      </w:pPr>
      <m:oMathPara>
        <m:oMath>
          <m:r>
            <w:rPr>
              <w:rFonts w:ascii="Cambria Math" w:hAnsi="Cambria Math"/>
              <w:lang w:val="lt-LT"/>
            </w:rPr>
            <m:t>%R=</m:t>
          </m:r>
          <m:f>
            <m:fPr>
              <m:ctrlPr>
                <w:rPr>
                  <w:rFonts w:ascii="Cambria Math" w:hAnsi="Cambria Math"/>
                  <w:i/>
                  <w:lang w:val="lt-LT"/>
                </w:rPr>
              </m:ctrlPr>
            </m:fPr>
            <m:num>
              <m:r>
                <w:rPr>
                  <w:rFonts w:ascii="Cambria Math" w:hAnsi="Cambria Math"/>
                  <w:lang w:val="lt-LT"/>
                </w:rPr>
                <m:t>H-C</m:t>
              </m:r>
            </m:num>
            <m:den>
              <m:r>
                <w:rPr>
                  <w:rFonts w:ascii="Cambria Math" w:hAnsi="Cambria Math"/>
                  <w:lang w:val="lt-LT"/>
                </w:rPr>
                <m:t>H-L</m:t>
              </m:r>
            </m:den>
          </m:f>
          <m:r>
            <w:rPr>
              <w:rFonts w:ascii="Cambria Math" w:hAnsi="Cambria Math"/>
              <w:lang w:val="lt-LT"/>
            </w:rPr>
            <m:t>*</m:t>
          </m:r>
          <m:d>
            <m:dPr>
              <m:ctrlPr>
                <w:rPr>
                  <w:rFonts w:ascii="Cambria Math" w:hAnsi="Cambria Math"/>
                  <w:i/>
                  <w:lang w:val="lt-LT"/>
                </w:rPr>
              </m:ctrlPr>
            </m:dPr>
            <m:e>
              <m:r>
                <w:rPr>
                  <w:rFonts w:ascii="Cambria Math" w:hAnsi="Cambria Math"/>
                  <w:lang w:val="lt-LT"/>
                </w:rPr>
                <m:t>-100</m:t>
              </m:r>
            </m:e>
          </m:d>
          <m:r>
            <w:rPr>
              <w:rFonts w:ascii="Cambria Math" w:hAnsi="Cambria Math"/>
              <w:lang w:val="lt-LT"/>
            </w:rPr>
            <m:t>;</m:t>
          </m:r>
        </m:oMath>
      </m:oMathPara>
    </w:p>
    <w:p w:rsidR="00C41975" w:rsidRPr="000B544A" w:rsidRDefault="00C41975" w:rsidP="00932181">
      <w:pPr>
        <w:spacing w:after="0" w:line="360" w:lineRule="auto"/>
        <w:ind w:firstLine="567"/>
        <w:jc w:val="both"/>
        <w:rPr>
          <w:rFonts w:ascii="Times New Roman" w:hAnsi="Times New Roman"/>
          <w:lang w:val="lt-LT"/>
        </w:rPr>
      </w:pPr>
      <w:r w:rsidRPr="000B544A">
        <w:rPr>
          <w:rFonts w:ascii="Times New Roman" w:hAnsi="Times New Roman"/>
          <w:lang w:val="lt-LT"/>
        </w:rPr>
        <w:t>H – aukščiausia kaina;</w:t>
      </w:r>
    </w:p>
    <w:p w:rsidR="00C41975" w:rsidRPr="000B544A" w:rsidRDefault="00C41975" w:rsidP="00932181">
      <w:pPr>
        <w:spacing w:after="0" w:line="360" w:lineRule="auto"/>
        <w:ind w:firstLine="567"/>
        <w:jc w:val="both"/>
        <w:rPr>
          <w:rFonts w:ascii="Times New Roman" w:hAnsi="Times New Roman"/>
          <w:lang w:val="lt-LT"/>
        </w:rPr>
      </w:pPr>
      <w:r w:rsidRPr="000B544A">
        <w:rPr>
          <w:rFonts w:ascii="Times New Roman" w:hAnsi="Times New Roman"/>
          <w:lang w:val="lt-LT"/>
        </w:rPr>
        <w:t>C – uždarymo kaina;</w:t>
      </w:r>
    </w:p>
    <w:p w:rsidR="00C41975" w:rsidRPr="000B544A" w:rsidRDefault="00C41975" w:rsidP="00932181">
      <w:pPr>
        <w:spacing w:after="0" w:line="360" w:lineRule="auto"/>
        <w:ind w:firstLine="567"/>
        <w:jc w:val="both"/>
        <w:rPr>
          <w:rFonts w:ascii="Times New Roman" w:hAnsi="Times New Roman"/>
          <w:lang w:val="lt-LT"/>
        </w:rPr>
      </w:pPr>
      <w:r w:rsidRPr="000B544A">
        <w:rPr>
          <w:rFonts w:ascii="Times New Roman" w:hAnsi="Times New Roman"/>
          <w:lang w:val="lt-LT"/>
        </w:rPr>
        <w:t>L – mažiausia kaina.</w:t>
      </w:r>
    </w:p>
    <w:p w:rsidR="00B90270" w:rsidRPr="000B544A" w:rsidRDefault="00B90270" w:rsidP="00932181">
      <w:pPr>
        <w:spacing w:after="0" w:line="360" w:lineRule="auto"/>
        <w:ind w:firstLine="567"/>
        <w:jc w:val="both"/>
        <w:rPr>
          <w:rFonts w:ascii="Times New Roman" w:hAnsi="Times New Roman"/>
          <w:lang w:val="lt-LT"/>
        </w:rPr>
      </w:pPr>
    </w:p>
    <w:p w:rsidR="00755CB9" w:rsidRPr="000B544A" w:rsidRDefault="00755CB9" w:rsidP="00932181">
      <w:pPr>
        <w:spacing w:after="0" w:line="360" w:lineRule="auto"/>
        <w:ind w:firstLine="567"/>
        <w:jc w:val="both"/>
        <w:rPr>
          <w:rFonts w:ascii="Times New Roman" w:hAnsi="Times New Roman"/>
          <w:lang w:val="lt-LT"/>
        </w:rPr>
      </w:pPr>
      <w:r w:rsidRPr="000B544A">
        <w:rPr>
          <w:rFonts w:ascii="Times New Roman" w:hAnsi="Times New Roman"/>
          <w:lang w:val="lt-LT"/>
        </w:rPr>
        <w:t>Pritaikant Viljamso %R metodą Baltijos šalių akcijų rinkai surandami geriausi parametrai, su kuriais šis indikatorius generuoja teisingiausius signalus. Taip pat palyginimui suskaičiuojama, koks rezultatas būtų gaunamas, jei indikatoriaus parametrai būtų standartiniai, autoriaus siūlomi ir plačiai naudojami.</w:t>
      </w:r>
    </w:p>
    <w:p w:rsidR="00DA691E" w:rsidRPr="000B544A" w:rsidRDefault="00DA691E" w:rsidP="00DA691E">
      <w:pPr>
        <w:pStyle w:val="Caption"/>
        <w:keepNext/>
        <w:jc w:val="center"/>
        <w:rPr>
          <w:rFonts w:ascii="Times New Roman" w:hAnsi="Times New Roman"/>
          <w:b w:val="0"/>
          <w:lang w:val="lt-LT"/>
        </w:rPr>
      </w:pPr>
      <w:r w:rsidRPr="000B544A">
        <w:rPr>
          <w:rFonts w:ascii="Times New Roman" w:hAnsi="Times New Roman"/>
          <w:b w:val="0"/>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57" w:name="_Toc311718682"/>
      <w:r w:rsidR="00C53DDD">
        <w:rPr>
          <w:rFonts w:ascii="Times New Roman" w:hAnsi="Times New Roman"/>
          <w:b w:val="0"/>
          <w:noProof/>
          <w:lang w:val="lt-LT"/>
        </w:rPr>
        <w:t>16</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 </w:t>
      </w:r>
      <w:r w:rsidRPr="000B544A">
        <w:rPr>
          <w:rFonts w:ascii="Times New Roman" w:hAnsi="Times New Roman"/>
          <w:lang w:val="lt-LT"/>
        </w:rPr>
        <w:t>Viljams indikatoriaus rezultatai su skirtingais parametrais</w:t>
      </w:r>
      <w:bookmarkEnd w:id="57"/>
    </w:p>
    <w:tbl>
      <w:tblPr>
        <w:tblW w:w="4586" w:type="dxa"/>
        <w:jc w:val="center"/>
        <w:tblInd w:w="93" w:type="dxa"/>
        <w:tblLook w:val="0000"/>
      </w:tblPr>
      <w:tblGrid>
        <w:gridCol w:w="1169"/>
        <w:gridCol w:w="1169"/>
        <w:gridCol w:w="1005"/>
        <w:gridCol w:w="1243"/>
      </w:tblGrid>
      <w:tr w:rsidR="00E533D5" w:rsidRPr="000B544A">
        <w:trPr>
          <w:trHeight w:val="300"/>
          <w:jc w:val="center"/>
        </w:trPr>
        <w:tc>
          <w:tcPr>
            <w:tcW w:w="1169" w:type="dxa"/>
            <w:tcBorders>
              <w:top w:val="single" w:sz="4" w:space="0" w:color="auto"/>
              <w:left w:val="single" w:sz="4" w:space="0" w:color="auto"/>
              <w:bottom w:val="single" w:sz="4" w:space="0" w:color="auto"/>
              <w:right w:val="single" w:sz="4" w:space="0" w:color="auto"/>
            </w:tcBorders>
            <w:vAlign w:val="bottom"/>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Nr.</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3D5" w:rsidRPr="000B544A" w:rsidRDefault="00E533D5" w:rsidP="00755CB9">
            <w:pPr>
              <w:spacing w:after="0"/>
              <w:rPr>
                <w:rFonts w:ascii="Times New Roman" w:hAnsi="Times New Roman"/>
                <w:sz w:val="22"/>
                <w:szCs w:val="22"/>
                <w:lang w:val="lt-LT" w:eastAsia="lt-LT"/>
              </w:rPr>
            </w:pPr>
            <w:r w:rsidRPr="000B544A">
              <w:rPr>
                <w:rFonts w:ascii="Times New Roman" w:hAnsi="Times New Roman"/>
                <w:sz w:val="22"/>
                <w:szCs w:val="22"/>
                <w:lang w:val="lt-LT" w:eastAsia="lt-LT"/>
              </w:rPr>
              <w:t>Parametrai</w:t>
            </w:r>
          </w:p>
        </w:tc>
        <w:tc>
          <w:tcPr>
            <w:tcW w:w="1005" w:type="dxa"/>
            <w:tcBorders>
              <w:top w:val="single" w:sz="4" w:space="0" w:color="auto"/>
              <w:left w:val="nil"/>
              <w:bottom w:val="single" w:sz="4" w:space="0" w:color="auto"/>
              <w:right w:val="single" w:sz="4" w:space="0" w:color="auto"/>
            </w:tcBorders>
            <w:shd w:val="clear" w:color="auto" w:fill="auto"/>
            <w:noWrap/>
            <w:vAlign w:val="center"/>
          </w:tcPr>
          <w:p w:rsidR="00E533D5" w:rsidRPr="000B544A" w:rsidRDefault="00E533D5" w:rsidP="00755CB9">
            <w:pPr>
              <w:spacing w:after="0"/>
              <w:rPr>
                <w:rFonts w:ascii="Times New Roman" w:hAnsi="Times New Roman"/>
                <w:sz w:val="22"/>
                <w:szCs w:val="22"/>
                <w:lang w:val="lt-LT" w:eastAsia="lt-LT"/>
              </w:rPr>
            </w:pPr>
            <w:r w:rsidRPr="000B544A">
              <w:rPr>
                <w:rFonts w:ascii="Times New Roman" w:hAnsi="Times New Roman"/>
                <w:sz w:val="22"/>
                <w:szCs w:val="22"/>
                <w:lang w:val="lt-LT" w:eastAsia="lt-LT"/>
              </w:rPr>
              <w:t>Pirkimas</w:t>
            </w:r>
          </w:p>
        </w:tc>
        <w:tc>
          <w:tcPr>
            <w:tcW w:w="1243" w:type="dxa"/>
            <w:tcBorders>
              <w:top w:val="single" w:sz="4" w:space="0" w:color="auto"/>
              <w:left w:val="nil"/>
              <w:bottom w:val="single" w:sz="4" w:space="0" w:color="auto"/>
              <w:right w:val="single" w:sz="4" w:space="0" w:color="auto"/>
            </w:tcBorders>
            <w:shd w:val="clear" w:color="auto" w:fill="auto"/>
            <w:noWrap/>
            <w:vAlign w:val="center"/>
          </w:tcPr>
          <w:p w:rsidR="00E533D5" w:rsidRPr="000B544A" w:rsidRDefault="00E533D5" w:rsidP="00755CB9">
            <w:pPr>
              <w:spacing w:after="0"/>
              <w:rPr>
                <w:rFonts w:ascii="Times New Roman" w:hAnsi="Times New Roman"/>
                <w:sz w:val="22"/>
                <w:szCs w:val="22"/>
                <w:lang w:val="lt-LT" w:eastAsia="lt-LT"/>
              </w:rPr>
            </w:pPr>
            <w:r w:rsidRPr="000B544A">
              <w:rPr>
                <w:rFonts w:ascii="Times New Roman" w:hAnsi="Times New Roman"/>
                <w:sz w:val="22"/>
                <w:szCs w:val="22"/>
                <w:lang w:val="lt-LT" w:eastAsia="lt-LT"/>
              </w:rPr>
              <w:t>Pardavimas</w:t>
            </w:r>
          </w:p>
        </w:tc>
      </w:tr>
      <w:tr w:rsidR="00E533D5" w:rsidRPr="000B544A">
        <w:trPr>
          <w:trHeight w:val="300"/>
          <w:jc w:val="center"/>
        </w:trPr>
        <w:tc>
          <w:tcPr>
            <w:tcW w:w="1169" w:type="dxa"/>
            <w:tcBorders>
              <w:top w:val="nil"/>
              <w:left w:val="single" w:sz="4" w:space="0" w:color="auto"/>
              <w:bottom w:val="single" w:sz="4" w:space="0" w:color="auto"/>
              <w:right w:val="single" w:sz="4" w:space="0" w:color="auto"/>
            </w:tcBorders>
            <w:vAlign w:val="bottom"/>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w:t>
            </w:r>
          </w:p>
        </w:tc>
        <w:tc>
          <w:tcPr>
            <w:tcW w:w="1169"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755CB9">
            <w:pPr>
              <w:spacing w:after="0"/>
              <w:rPr>
                <w:rFonts w:ascii="Times New Roman" w:hAnsi="Times New Roman"/>
                <w:sz w:val="22"/>
                <w:szCs w:val="22"/>
                <w:lang w:val="lt-LT" w:eastAsia="lt-LT"/>
              </w:rPr>
            </w:pPr>
            <w:r w:rsidRPr="000B544A">
              <w:rPr>
                <w:rFonts w:ascii="Times New Roman" w:hAnsi="Times New Roman"/>
                <w:sz w:val="22"/>
                <w:szCs w:val="22"/>
                <w:lang w:val="lt-LT" w:eastAsia="lt-LT"/>
              </w:rPr>
              <w:t>-20/-80</w:t>
            </w:r>
          </w:p>
        </w:tc>
        <w:tc>
          <w:tcPr>
            <w:tcW w:w="1005"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right"/>
              <w:rPr>
                <w:rFonts w:ascii="Times New Roman" w:hAnsi="Times New Roman"/>
                <w:sz w:val="22"/>
                <w:szCs w:val="22"/>
                <w:lang w:val="lt-LT" w:eastAsia="lt-LT"/>
              </w:rPr>
            </w:pPr>
            <w:r w:rsidRPr="000B544A">
              <w:rPr>
                <w:rFonts w:ascii="Times New Roman" w:hAnsi="Times New Roman"/>
                <w:sz w:val="22"/>
                <w:szCs w:val="22"/>
                <w:lang w:val="lt-LT" w:eastAsia="lt-LT"/>
              </w:rPr>
              <w:t>51,62%</w:t>
            </w:r>
          </w:p>
        </w:tc>
        <w:tc>
          <w:tcPr>
            <w:tcW w:w="1243"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right"/>
              <w:rPr>
                <w:rFonts w:ascii="Times New Roman" w:hAnsi="Times New Roman"/>
                <w:sz w:val="22"/>
                <w:szCs w:val="22"/>
                <w:lang w:val="lt-LT" w:eastAsia="lt-LT"/>
              </w:rPr>
            </w:pPr>
            <w:r w:rsidRPr="000B544A">
              <w:rPr>
                <w:rFonts w:ascii="Times New Roman" w:hAnsi="Times New Roman"/>
                <w:sz w:val="22"/>
                <w:szCs w:val="22"/>
                <w:lang w:val="lt-LT" w:eastAsia="lt-LT"/>
              </w:rPr>
              <w:t>-4,53%</w:t>
            </w:r>
          </w:p>
        </w:tc>
      </w:tr>
      <w:tr w:rsidR="00E533D5" w:rsidRPr="000B544A">
        <w:trPr>
          <w:trHeight w:val="300"/>
          <w:jc w:val="center"/>
        </w:trPr>
        <w:tc>
          <w:tcPr>
            <w:tcW w:w="1169" w:type="dxa"/>
            <w:tcBorders>
              <w:top w:val="nil"/>
              <w:left w:val="single" w:sz="4" w:space="0" w:color="auto"/>
              <w:bottom w:val="single" w:sz="4" w:space="0" w:color="auto"/>
              <w:right w:val="single" w:sz="4" w:space="0" w:color="auto"/>
            </w:tcBorders>
            <w:vAlign w:val="bottom"/>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w:t>
            </w:r>
          </w:p>
        </w:tc>
        <w:tc>
          <w:tcPr>
            <w:tcW w:w="1169"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755CB9">
            <w:pPr>
              <w:spacing w:after="0"/>
              <w:rPr>
                <w:rFonts w:ascii="Times New Roman" w:hAnsi="Times New Roman"/>
                <w:sz w:val="22"/>
                <w:szCs w:val="22"/>
                <w:lang w:val="lt-LT" w:eastAsia="lt-LT"/>
              </w:rPr>
            </w:pPr>
            <w:r w:rsidRPr="000B544A">
              <w:rPr>
                <w:rFonts w:ascii="Times New Roman" w:hAnsi="Times New Roman"/>
                <w:sz w:val="22"/>
                <w:szCs w:val="22"/>
                <w:lang w:val="lt-LT" w:eastAsia="lt-LT"/>
              </w:rPr>
              <w:t>-14/-88</w:t>
            </w:r>
          </w:p>
        </w:tc>
        <w:tc>
          <w:tcPr>
            <w:tcW w:w="1005"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right"/>
              <w:rPr>
                <w:rFonts w:ascii="Times New Roman" w:hAnsi="Times New Roman"/>
                <w:sz w:val="22"/>
                <w:szCs w:val="22"/>
                <w:lang w:val="lt-LT" w:eastAsia="lt-LT"/>
              </w:rPr>
            </w:pPr>
            <w:r w:rsidRPr="000B544A">
              <w:rPr>
                <w:rFonts w:ascii="Times New Roman" w:hAnsi="Times New Roman"/>
                <w:sz w:val="22"/>
                <w:szCs w:val="22"/>
                <w:lang w:val="lt-LT" w:eastAsia="lt-LT"/>
              </w:rPr>
              <w:t>126,98%</w:t>
            </w:r>
          </w:p>
        </w:tc>
        <w:tc>
          <w:tcPr>
            <w:tcW w:w="1243"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right"/>
              <w:rPr>
                <w:rFonts w:ascii="Times New Roman" w:hAnsi="Times New Roman"/>
                <w:sz w:val="22"/>
                <w:szCs w:val="22"/>
                <w:lang w:val="lt-LT" w:eastAsia="lt-LT"/>
              </w:rPr>
            </w:pPr>
            <w:r w:rsidRPr="000B544A">
              <w:rPr>
                <w:rFonts w:ascii="Times New Roman" w:hAnsi="Times New Roman"/>
                <w:sz w:val="22"/>
                <w:szCs w:val="22"/>
                <w:lang w:val="lt-LT" w:eastAsia="lt-LT"/>
              </w:rPr>
              <w:t>5,09%</w:t>
            </w:r>
          </w:p>
        </w:tc>
      </w:tr>
    </w:tbl>
    <w:p w:rsidR="00F1114B" w:rsidRPr="000B544A" w:rsidRDefault="00520F7B" w:rsidP="00520F7B">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755CB9" w:rsidRPr="000B544A" w:rsidRDefault="00755CB9" w:rsidP="00932181">
      <w:pPr>
        <w:spacing w:after="0" w:line="360" w:lineRule="auto"/>
        <w:ind w:firstLine="567"/>
        <w:jc w:val="both"/>
        <w:rPr>
          <w:rFonts w:ascii="Times New Roman" w:hAnsi="Times New Roman"/>
          <w:lang w:val="lt-LT"/>
        </w:rPr>
      </w:pPr>
      <w:r w:rsidRPr="000B544A">
        <w:rPr>
          <w:rFonts w:ascii="Times New Roman" w:hAnsi="Times New Roman"/>
          <w:lang w:val="lt-LT"/>
        </w:rPr>
        <w:t>Lentelėje pateikti rezultatai, kurie gauti Viljamso %R indikatorių pritaikius istoriniams duomenims. Su standartiniais parametrais ga</w:t>
      </w:r>
      <w:r w:rsidR="00C41975" w:rsidRPr="000B544A">
        <w:rPr>
          <w:rFonts w:ascii="Times New Roman" w:hAnsi="Times New Roman"/>
          <w:lang w:val="lt-LT"/>
        </w:rPr>
        <w:t>uti rezultatai yra 51,62 proc. p</w:t>
      </w:r>
      <w:r w:rsidRPr="000B544A">
        <w:rPr>
          <w:rFonts w:ascii="Times New Roman" w:hAnsi="Times New Roman"/>
          <w:lang w:val="lt-LT"/>
        </w:rPr>
        <w:t xml:space="preserve">irkimo sandoriams ir -4,53 </w:t>
      </w:r>
      <w:r w:rsidR="00C41975" w:rsidRPr="000B544A">
        <w:rPr>
          <w:rFonts w:ascii="Times New Roman" w:hAnsi="Times New Roman"/>
          <w:lang w:val="lt-LT"/>
        </w:rPr>
        <w:t>proc. p</w:t>
      </w:r>
      <w:r w:rsidRPr="000B544A">
        <w:rPr>
          <w:rFonts w:ascii="Times New Roman" w:hAnsi="Times New Roman"/>
          <w:lang w:val="lt-LT"/>
        </w:rPr>
        <w:t xml:space="preserve">ardavimo sandoriams. Geriausi </w:t>
      </w:r>
      <w:r w:rsidR="00F41893" w:rsidRPr="000B544A">
        <w:rPr>
          <w:rFonts w:ascii="Times New Roman" w:hAnsi="Times New Roman"/>
          <w:lang w:val="lt-LT"/>
        </w:rPr>
        <w:t>parametrai</w:t>
      </w:r>
      <w:r w:rsidRPr="000B544A">
        <w:rPr>
          <w:rFonts w:ascii="Times New Roman" w:hAnsi="Times New Roman"/>
          <w:lang w:val="lt-LT"/>
        </w:rPr>
        <w:t xml:space="preserve"> tirtame laikotarpyje ir 10-čiai likvidžiausių Baltijos šalių akcijų rinkos akcijų buvo -14 ir -88. </w:t>
      </w:r>
    </w:p>
    <w:p w:rsidR="00DA691E" w:rsidRPr="000B544A" w:rsidRDefault="00DA691E" w:rsidP="00DA691E">
      <w:pPr>
        <w:pStyle w:val="Caption"/>
        <w:keepNext/>
        <w:jc w:val="center"/>
        <w:rPr>
          <w:rFonts w:ascii="Times New Roman" w:hAnsi="Times New Roman"/>
          <w:b w:val="0"/>
          <w:lang w:val="lt-LT"/>
        </w:rPr>
      </w:pPr>
      <w:r w:rsidRPr="000B544A">
        <w:rPr>
          <w:rFonts w:ascii="Times New Roman" w:hAnsi="Times New Roman"/>
          <w:b w:val="0"/>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58" w:name="_Toc311718683"/>
      <w:r w:rsidR="00C53DDD">
        <w:rPr>
          <w:rFonts w:ascii="Times New Roman" w:hAnsi="Times New Roman"/>
          <w:b w:val="0"/>
          <w:noProof/>
          <w:lang w:val="lt-LT"/>
        </w:rPr>
        <w:t>17</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 </w:t>
      </w:r>
      <w:r w:rsidRPr="000B544A">
        <w:rPr>
          <w:rFonts w:ascii="Times New Roman" w:hAnsi="Times New Roman"/>
          <w:lang w:val="lt-LT"/>
        </w:rPr>
        <w:t>Viljamso %R indikatoriaus rezultatai su geriausiais parametrais</w:t>
      </w:r>
      <w:bookmarkEnd w:id="58"/>
    </w:p>
    <w:tbl>
      <w:tblPr>
        <w:tblW w:w="7194" w:type="dxa"/>
        <w:jc w:val="center"/>
        <w:tblInd w:w="2413" w:type="dxa"/>
        <w:tblLook w:val="0000"/>
      </w:tblPr>
      <w:tblGrid>
        <w:gridCol w:w="547"/>
        <w:gridCol w:w="2867"/>
        <w:gridCol w:w="1920"/>
        <w:gridCol w:w="1860"/>
      </w:tblGrid>
      <w:tr w:rsidR="00E533D5" w:rsidRPr="000B544A">
        <w:trPr>
          <w:trHeight w:val="300"/>
          <w:jc w:val="center"/>
        </w:trPr>
        <w:tc>
          <w:tcPr>
            <w:tcW w:w="547" w:type="dxa"/>
            <w:tcBorders>
              <w:top w:val="single" w:sz="4" w:space="0" w:color="auto"/>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Nr.</w:t>
            </w:r>
          </w:p>
        </w:tc>
        <w:tc>
          <w:tcPr>
            <w:tcW w:w="28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Akcija</w:t>
            </w:r>
          </w:p>
        </w:tc>
        <w:tc>
          <w:tcPr>
            <w:tcW w:w="1920" w:type="dxa"/>
            <w:tcBorders>
              <w:top w:val="single" w:sz="4" w:space="0" w:color="auto"/>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Pirkimas</w:t>
            </w:r>
          </w:p>
        </w:tc>
        <w:tc>
          <w:tcPr>
            <w:tcW w:w="1860" w:type="dxa"/>
            <w:tcBorders>
              <w:top w:val="single" w:sz="4" w:space="0" w:color="auto"/>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Pardavimas</w:t>
            </w:r>
          </w:p>
        </w:tc>
      </w:tr>
      <w:tr w:rsidR="00E533D5" w:rsidRPr="000B544A">
        <w:trPr>
          <w:trHeight w:val="300"/>
          <w:jc w:val="center"/>
        </w:trPr>
        <w:tc>
          <w:tcPr>
            <w:tcW w:w="547" w:type="dxa"/>
            <w:tcBorders>
              <w:top w:val="nil"/>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w:t>
            </w:r>
          </w:p>
        </w:tc>
        <w:tc>
          <w:tcPr>
            <w:tcW w:w="2867"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Apranga</w:t>
            </w:r>
          </w:p>
        </w:tc>
        <w:tc>
          <w:tcPr>
            <w:tcW w:w="1920"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29,98%</w:t>
            </w:r>
          </w:p>
        </w:tc>
        <w:tc>
          <w:tcPr>
            <w:tcW w:w="1860"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-21,52%</w:t>
            </w:r>
          </w:p>
        </w:tc>
      </w:tr>
      <w:tr w:rsidR="00E533D5" w:rsidRPr="000B544A">
        <w:trPr>
          <w:trHeight w:val="300"/>
          <w:jc w:val="center"/>
        </w:trPr>
        <w:tc>
          <w:tcPr>
            <w:tcW w:w="547" w:type="dxa"/>
            <w:tcBorders>
              <w:top w:val="nil"/>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w:t>
            </w:r>
          </w:p>
        </w:tc>
        <w:tc>
          <w:tcPr>
            <w:tcW w:w="2867"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Linas Agro Group</w:t>
            </w:r>
          </w:p>
        </w:tc>
        <w:tc>
          <w:tcPr>
            <w:tcW w:w="1920"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-12,12%</w:t>
            </w:r>
          </w:p>
        </w:tc>
        <w:tc>
          <w:tcPr>
            <w:tcW w:w="1860"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11,77%</w:t>
            </w:r>
          </w:p>
        </w:tc>
      </w:tr>
      <w:tr w:rsidR="00E533D5" w:rsidRPr="000B544A">
        <w:trPr>
          <w:trHeight w:val="300"/>
          <w:jc w:val="center"/>
        </w:trPr>
        <w:tc>
          <w:tcPr>
            <w:tcW w:w="547" w:type="dxa"/>
            <w:tcBorders>
              <w:top w:val="nil"/>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w:t>
            </w:r>
          </w:p>
        </w:tc>
        <w:tc>
          <w:tcPr>
            <w:tcW w:w="2867"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Nordecon AS</w:t>
            </w:r>
          </w:p>
        </w:tc>
        <w:tc>
          <w:tcPr>
            <w:tcW w:w="1920"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-2,98%</w:t>
            </w:r>
          </w:p>
        </w:tc>
        <w:tc>
          <w:tcPr>
            <w:tcW w:w="1860"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32,28%</w:t>
            </w:r>
          </w:p>
        </w:tc>
      </w:tr>
      <w:tr w:rsidR="00E533D5" w:rsidRPr="000B544A">
        <w:trPr>
          <w:trHeight w:val="300"/>
          <w:jc w:val="center"/>
        </w:trPr>
        <w:tc>
          <w:tcPr>
            <w:tcW w:w="547" w:type="dxa"/>
            <w:tcBorders>
              <w:top w:val="nil"/>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4</w:t>
            </w:r>
          </w:p>
        </w:tc>
        <w:tc>
          <w:tcPr>
            <w:tcW w:w="2867"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Olympic Entertainment Group</w:t>
            </w:r>
          </w:p>
        </w:tc>
        <w:tc>
          <w:tcPr>
            <w:tcW w:w="1920"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53,47%</w:t>
            </w:r>
          </w:p>
        </w:tc>
        <w:tc>
          <w:tcPr>
            <w:tcW w:w="1860"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-9,16%</w:t>
            </w:r>
          </w:p>
        </w:tc>
      </w:tr>
      <w:tr w:rsidR="00E533D5" w:rsidRPr="000B544A">
        <w:trPr>
          <w:trHeight w:val="300"/>
          <w:jc w:val="center"/>
        </w:trPr>
        <w:tc>
          <w:tcPr>
            <w:tcW w:w="547" w:type="dxa"/>
            <w:tcBorders>
              <w:top w:val="nil"/>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w:t>
            </w:r>
          </w:p>
        </w:tc>
        <w:tc>
          <w:tcPr>
            <w:tcW w:w="2867"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Panevėžio statybos trestas</w:t>
            </w:r>
          </w:p>
        </w:tc>
        <w:tc>
          <w:tcPr>
            <w:tcW w:w="1920"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27,62%</w:t>
            </w:r>
          </w:p>
        </w:tc>
        <w:tc>
          <w:tcPr>
            <w:tcW w:w="1860"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-5,36%</w:t>
            </w:r>
          </w:p>
        </w:tc>
      </w:tr>
      <w:tr w:rsidR="00E533D5" w:rsidRPr="000B544A">
        <w:trPr>
          <w:trHeight w:val="300"/>
          <w:jc w:val="center"/>
        </w:trPr>
        <w:tc>
          <w:tcPr>
            <w:tcW w:w="547" w:type="dxa"/>
            <w:tcBorders>
              <w:top w:val="nil"/>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6</w:t>
            </w:r>
          </w:p>
        </w:tc>
        <w:tc>
          <w:tcPr>
            <w:tcW w:w="2867"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Tallink Grupp</w:t>
            </w:r>
          </w:p>
        </w:tc>
        <w:tc>
          <w:tcPr>
            <w:tcW w:w="1920"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8,27%</w:t>
            </w:r>
          </w:p>
        </w:tc>
        <w:tc>
          <w:tcPr>
            <w:tcW w:w="1860"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-13,06%</w:t>
            </w:r>
          </w:p>
        </w:tc>
      </w:tr>
      <w:tr w:rsidR="00E533D5" w:rsidRPr="000B544A">
        <w:trPr>
          <w:trHeight w:val="300"/>
          <w:jc w:val="center"/>
        </w:trPr>
        <w:tc>
          <w:tcPr>
            <w:tcW w:w="547" w:type="dxa"/>
            <w:tcBorders>
              <w:top w:val="nil"/>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7</w:t>
            </w:r>
          </w:p>
        </w:tc>
        <w:tc>
          <w:tcPr>
            <w:tcW w:w="2867"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TEO LT</w:t>
            </w:r>
          </w:p>
        </w:tc>
        <w:tc>
          <w:tcPr>
            <w:tcW w:w="1920"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8,89%</w:t>
            </w:r>
          </w:p>
        </w:tc>
        <w:tc>
          <w:tcPr>
            <w:tcW w:w="1860"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0,93%</w:t>
            </w:r>
          </w:p>
        </w:tc>
      </w:tr>
      <w:tr w:rsidR="00E533D5" w:rsidRPr="000B544A">
        <w:trPr>
          <w:trHeight w:val="300"/>
          <w:jc w:val="center"/>
        </w:trPr>
        <w:tc>
          <w:tcPr>
            <w:tcW w:w="547" w:type="dxa"/>
            <w:tcBorders>
              <w:top w:val="nil"/>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8</w:t>
            </w:r>
          </w:p>
        </w:tc>
        <w:tc>
          <w:tcPr>
            <w:tcW w:w="2867"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Tallinna Kaubamaja</w:t>
            </w:r>
          </w:p>
        </w:tc>
        <w:tc>
          <w:tcPr>
            <w:tcW w:w="1920"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11,03%</w:t>
            </w:r>
          </w:p>
        </w:tc>
        <w:tc>
          <w:tcPr>
            <w:tcW w:w="1860"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5,82%</w:t>
            </w:r>
          </w:p>
        </w:tc>
      </w:tr>
      <w:tr w:rsidR="00E533D5" w:rsidRPr="000B544A">
        <w:trPr>
          <w:trHeight w:val="300"/>
          <w:jc w:val="center"/>
        </w:trPr>
        <w:tc>
          <w:tcPr>
            <w:tcW w:w="547" w:type="dxa"/>
            <w:tcBorders>
              <w:top w:val="nil"/>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9</w:t>
            </w:r>
          </w:p>
        </w:tc>
        <w:tc>
          <w:tcPr>
            <w:tcW w:w="2867"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Tallinna Vesi</w:t>
            </w:r>
          </w:p>
        </w:tc>
        <w:tc>
          <w:tcPr>
            <w:tcW w:w="1920"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-11,53%</w:t>
            </w:r>
          </w:p>
        </w:tc>
        <w:tc>
          <w:tcPr>
            <w:tcW w:w="1860"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8,98%</w:t>
            </w:r>
          </w:p>
        </w:tc>
      </w:tr>
      <w:tr w:rsidR="00E533D5" w:rsidRPr="000B544A">
        <w:trPr>
          <w:trHeight w:val="300"/>
          <w:jc w:val="center"/>
        </w:trPr>
        <w:tc>
          <w:tcPr>
            <w:tcW w:w="547" w:type="dxa"/>
            <w:tcBorders>
              <w:top w:val="nil"/>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10</w:t>
            </w:r>
          </w:p>
        </w:tc>
        <w:tc>
          <w:tcPr>
            <w:tcW w:w="2867"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Ūkio bankas</w:t>
            </w:r>
          </w:p>
        </w:tc>
        <w:tc>
          <w:tcPr>
            <w:tcW w:w="1920"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14,34%</w:t>
            </w:r>
          </w:p>
        </w:tc>
        <w:tc>
          <w:tcPr>
            <w:tcW w:w="1860"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-5,59%</w:t>
            </w:r>
          </w:p>
        </w:tc>
      </w:tr>
      <w:tr w:rsidR="00E533D5" w:rsidRPr="000B544A">
        <w:trPr>
          <w:trHeight w:val="300"/>
          <w:jc w:val="center"/>
        </w:trPr>
        <w:tc>
          <w:tcPr>
            <w:tcW w:w="547" w:type="dxa"/>
            <w:tcBorders>
              <w:top w:val="nil"/>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 </w:t>
            </w:r>
          </w:p>
        </w:tc>
        <w:tc>
          <w:tcPr>
            <w:tcW w:w="2867" w:type="dxa"/>
            <w:tcBorders>
              <w:top w:val="nil"/>
              <w:left w:val="single" w:sz="4" w:space="0" w:color="auto"/>
              <w:bottom w:val="single" w:sz="4" w:space="0" w:color="auto"/>
              <w:right w:val="single" w:sz="4" w:space="0" w:color="auto"/>
            </w:tcBorders>
            <w:shd w:val="clear" w:color="auto" w:fill="auto"/>
            <w:noWrap/>
            <w:vAlign w:val="bottom"/>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Suma</w:t>
            </w:r>
          </w:p>
        </w:tc>
        <w:tc>
          <w:tcPr>
            <w:tcW w:w="1920"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126,98%</w:t>
            </w:r>
          </w:p>
        </w:tc>
        <w:tc>
          <w:tcPr>
            <w:tcW w:w="1860" w:type="dxa"/>
            <w:tcBorders>
              <w:top w:val="nil"/>
              <w:left w:val="nil"/>
              <w:bottom w:val="single" w:sz="4" w:space="0" w:color="auto"/>
              <w:right w:val="single" w:sz="4" w:space="0" w:color="auto"/>
            </w:tcBorders>
            <w:shd w:val="clear" w:color="auto" w:fill="auto"/>
            <w:noWrap/>
            <w:vAlign w:val="center"/>
          </w:tcPr>
          <w:p w:rsidR="00E533D5" w:rsidRPr="000B544A" w:rsidRDefault="00E533D5" w:rsidP="00755CB9">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5,09%</w:t>
            </w:r>
          </w:p>
        </w:tc>
      </w:tr>
    </w:tbl>
    <w:p w:rsidR="00755CB9" w:rsidRPr="000B544A" w:rsidRDefault="00520F7B" w:rsidP="00520F7B">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252F1D" w:rsidRPr="000B544A" w:rsidRDefault="00755CB9" w:rsidP="00DA691E">
      <w:pPr>
        <w:spacing w:after="0" w:line="360" w:lineRule="auto"/>
        <w:ind w:firstLine="567"/>
        <w:jc w:val="both"/>
        <w:rPr>
          <w:rFonts w:ascii="Times New Roman" w:hAnsi="Times New Roman"/>
          <w:lang w:val="lt-LT"/>
        </w:rPr>
      </w:pPr>
      <w:r w:rsidRPr="000B544A">
        <w:rPr>
          <w:rFonts w:ascii="Times New Roman" w:hAnsi="Times New Roman"/>
          <w:lang w:val="lt-LT"/>
        </w:rPr>
        <w:t xml:space="preserve">Lentelėje pateikti indikatoriaus Viljams %R rezultatai. </w:t>
      </w:r>
      <w:r w:rsidR="003D6A2B" w:rsidRPr="000B544A">
        <w:rPr>
          <w:rFonts w:ascii="Times New Roman" w:hAnsi="Times New Roman"/>
          <w:lang w:val="lt-LT"/>
        </w:rPr>
        <w:t>Geriausiai indikatorius veikė su Olympic Entertainment Group akcijomis pirkimo sandoriams ir Nordecon AS akcijoms pardavimo sandoriams. Blogiausi rezultatai gauti Linas Agro Group akcijoms pirkimo sandoriams ir Aprangos akcijoms pardavimo sandoriams.</w:t>
      </w:r>
    </w:p>
    <w:p w:rsidR="00252F1D" w:rsidRPr="000B544A" w:rsidRDefault="00E533D5" w:rsidP="0010532D">
      <w:pPr>
        <w:pStyle w:val="Heading3"/>
        <w:spacing w:line="360" w:lineRule="auto"/>
        <w:rPr>
          <w:rFonts w:ascii="Times New Roman" w:hAnsi="Times New Roman"/>
          <w:lang w:val="lt-LT"/>
        </w:rPr>
      </w:pPr>
      <w:bookmarkStart w:id="59" w:name="_Toc312047650"/>
      <w:r w:rsidRPr="000B544A">
        <w:rPr>
          <w:rFonts w:ascii="Times New Roman" w:hAnsi="Times New Roman"/>
          <w:lang w:val="lt-LT"/>
        </w:rPr>
        <w:lastRenderedPageBreak/>
        <w:t>2</w:t>
      </w:r>
      <w:r w:rsidR="00252F1D" w:rsidRPr="000B544A">
        <w:rPr>
          <w:rFonts w:ascii="Times New Roman" w:hAnsi="Times New Roman"/>
          <w:lang w:val="lt-LT"/>
        </w:rPr>
        <w:t>.</w:t>
      </w:r>
      <w:r w:rsidR="0010532D" w:rsidRPr="000B544A">
        <w:rPr>
          <w:rFonts w:ascii="Times New Roman" w:hAnsi="Times New Roman"/>
          <w:lang w:val="lt-LT"/>
        </w:rPr>
        <w:t>2.9</w:t>
      </w:r>
      <w:r w:rsidR="00252F1D" w:rsidRPr="000B544A">
        <w:rPr>
          <w:rFonts w:ascii="Times New Roman" w:hAnsi="Times New Roman"/>
          <w:lang w:val="lt-LT"/>
        </w:rPr>
        <w:t xml:space="preserve"> Pinigų srauto indeksas</w:t>
      </w:r>
      <w:r w:rsidR="008E7C0F" w:rsidRPr="000B544A">
        <w:rPr>
          <w:rFonts w:ascii="Times New Roman" w:hAnsi="Times New Roman"/>
          <w:lang w:val="lt-LT"/>
        </w:rPr>
        <w:t>, kaip pirkėjų ir pardavėjų matuoklis</w:t>
      </w:r>
      <w:bookmarkEnd w:id="59"/>
    </w:p>
    <w:p w:rsidR="00252F1D" w:rsidRPr="000B544A" w:rsidRDefault="00252F1D" w:rsidP="00DA691E">
      <w:pPr>
        <w:spacing w:after="0" w:line="360" w:lineRule="auto"/>
        <w:ind w:firstLine="567"/>
        <w:jc w:val="both"/>
        <w:rPr>
          <w:rFonts w:ascii="Times New Roman" w:hAnsi="Times New Roman"/>
          <w:lang w:val="lt-LT"/>
        </w:rPr>
      </w:pPr>
      <w:r w:rsidRPr="000B544A">
        <w:rPr>
          <w:rFonts w:ascii="Times New Roman" w:hAnsi="Times New Roman"/>
          <w:lang w:val="lt-LT"/>
        </w:rPr>
        <w:t>Pinigų srauto indeksas (PSI) (angl. Money Flow Index (MFI)) matuoja pinigų srautą</w:t>
      </w:r>
      <w:r w:rsidR="00C41975" w:rsidRPr="000B544A">
        <w:rPr>
          <w:rFonts w:ascii="Times New Roman" w:hAnsi="Times New Roman"/>
          <w:lang w:val="lt-LT"/>
        </w:rPr>
        <w:t>,</w:t>
      </w:r>
      <w:r w:rsidRPr="000B544A">
        <w:rPr>
          <w:rFonts w:ascii="Times New Roman" w:hAnsi="Times New Roman"/>
          <w:lang w:val="lt-LT"/>
        </w:rPr>
        <w:t xml:space="preserve"> tekantį į ir iš finansinio instrument</w:t>
      </w:r>
      <w:r w:rsidR="00C41975" w:rsidRPr="000B544A">
        <w:rPr>
          <w:rFonts w:ascii="Times New Roman" w:hAnsi="Times New Roman"/>
          <w:lang w:val="lt-LT"/>
        </w:rPr>
        <w:t>o</w:t>
      </w:r>
      <w:r w:rsidRPr="000B544A">
        <w:rPr>
          <w:rFonts w:ascii="Times New Roman" w:hAnsi="Times New Roman"/>
          <w:lang w:val="lt-LT"/>
        </w:rPr>
        <w:t>. Kitaip sakant, matuoja pinigų kiekį, kurį siūlo norintys įsigyti finansinį instrumentą ir pinigų kiekį, kuris atspindi parduodančiųjų mastą. Šis indikatorius yra panašus į RSI indikatorių. Šie du in</w:t>
      </w:r>
      <w:r w:rsidR="00952A9C" w:rsidRPr="000B544A">
        <w:rPr>
          <w:rFonts w:ascii="Times New Roman" w:hAnsi="Times New Roman"/>
          <w:lang w:val="lt-LT"/>
        </w:rPr>
        <w:t>dikatoriai skiriasi tuo, kad RSI</w:t>
      </w:r>
      <w:r w:rsidRPr="000B544A">
        <w:rPr>
          <w:rFonts w:ascii="Times New Roman" w:hAnsi="Times New Roman"/>
          <w:lang w:val="lt-LT"/>
        </w:rPr>
        <w:t xml:space="preserve"> koncentruojasi tik ties finansinio instrument</w:t>
      </w:r>
      <w:r w:rsidR="00C41975" w:rsidRPr="000B544A">
        <w:rPr>
          <w:rFonts w:ascii="Times New Roman" w:hAnsi="Times New Roman"/>
          <w:lang w:val="lt-LT"/>
        </w:rPr>
        <w:t>o</w:t>
      </w:r>
      <w:r w:rsidRPr="000B544A">
        <w:rPr>
          <w:rFonts w:ascii="Times New Roman" w:hAnsi="Times New Roman"/>
          <w:lang w:val="lt-LT"/>
        </w:rPr>
        <w:t xml:space="preserve"> kaina, o Pinigų srauto indeksas naudoja dar ir apyvartą.</w:t>
      </w:r>
    </w:p>
    <w:p w:rsidR="00252F1D" w:rsidRPr="000B544A" w:rsidRDefault="00252F1D" w:rsidP="00420269">
      <w:pPr>
        <w:spacing w:after="0" w:line="360" w:lineRule="auto"/>
        <w:ind w:firstLine="567"/>
        <w:jc w:val="both"/>
        <w:rPr>
          <w:rFonts w:ascii="Times New Roman" w:hAnsi="Times New Roman"/>
          <w:lang w:val="lt-LT"/>
        </w:rPr>
      </w:pPr>
      <w:r w:rsidRPr="000B544A">
        <w:rPr>
          <w:rFonts w:ascii="Times New Roman" w:hAnsi="Times New Roman"/>
          <w:lang w:val="lt-LT"/>
        </w:rPr>
        <w:t>Skaičiavimo formulės:</w:t>
      </w:r>
    </w:p>
    <w:p w:rsidR="00252F1D" w:rsidRPr="000B544A" w:rsidRDefault="00B542BF" w:rsidP="00A17EF5">
      <w:pPr>
        <w:spacing w:after="0" w:line="360" w:lineRule="auto"/>
        <w:ind w:firstLine="567"/>
        <w:jc w:val="center"/>
        <w:rPr>
          <w:rFonts w:ascii="Times New Roman" w:hAnsi="Times New Roman"/>
          <w:lang w:val="lt-LT"/>
        </w:rPr>
      </w:pPr>
      <m:oMath>
        <m:r>
          <w:rPr>
            <w:rFonts w:ascii="Cambria Math" w:hAnsi="Cambria Math"/>
            <w:lang w:val="lt-LT"/>
          </w:rPr>
          <m:t xml:space="preserve">Tipinė kaina= </m:t>
        </m:r>
        <m:f>
          <m:fPr>
            <m:ctrlPr>
              <w:rPr>
                <w:rFonts w:ascii="Cambria Math" w:hAnsi="Cambria Math"/>
                <w:i/>
                <w:lang w:val="lt-LT"/>
              </w:rPr>
            </m:ctrlPr>
          </m:fPr>
          <m:num>
            <m:r>
              <w:rPr>
                <w:rFonts w:ascii="Cambria Math" w:hAnsi="Cambria Math"/>
                <w:lang w:val="lt-LT"/>
              </w:rPr>
              <m:t>Aukščiausia+Žemiausia+Uždarymo</m:t>
            </m:r>
          </m:num>
          <m:den>
            <m:r>
              <w:rPr>
                <w:rFonts w:ascii="Cambria Math" w:hAnsi="Cambria Math"/>
                <w:lang w:val="lt-LT"/>
              </w:rPr>
              <m:t>3</m:t>
            </m:r>
          </m:den>
        </m:f>
      </m:oMath>
      <w:r w:rsidR="00252F1D" w:rsidRPr="000B544A">
        <w:rPr>
          <w:rFonts w:ascii="Times New Roman" w:hAnsi="Times New Roman"/>
          <w:lang w:val="lt-LT"/>
        </w:rPr>
        <w:t>;     (7)</w:t>
      </w:r>
    </w:p>
    <w:p w:rsidR="00252F1D" w:rsidRPr="000B544A" w:rsidRDefault="00252F1D" w:rsidP="00A17EF5">
      <w:pPr>
        <w:spacing w:after="0" w:line="360" w:lineRule="auto"/>
        <w:ind w:firstLine="567"/>
        <w:jc w:val="center"/>
        <w:rPr>
          <w:rFonts w:ascii="Times New Roman" w:hAnsi="Times New Roman"/>
          <w:lang w:val="lt-LT"/>
        </w:rPr>
      </w:pPr>
    </w:p>
    <w:p w:rsidR="00252F1D" w:rsidRPr="000B544A" w:rsidRDefault="00B542BF" w:rsidP="00A17EF5">
      <w:pPr>
        <w:spacing w:after="0" w:line="360" w:lineRule="auto"/>
        <w:ind w:firstLine="567"/>
        <w:jc w:val="center"/>
        <w:rPr>
          <w:rFonts w:ascii="Times New Roman" w:hAnsi="Times New Roman"/>
          <w:lang w:val="lt-LT"/>
        </w:rPr>
      </w:pPr>
      <m:oMath>
        <m:r>
          <w:rPr>
            <w:rFonts w:ascii="Cambria Math" w:hAnsi="Cambria Math"/>
            <w:lang w:val="lt-LT"/>
          </w:rPr>
          <m:t>Pinigų srautas=Tipinė kaina × Apyvarta</m:t>
        </m:r>
      </m:oMath>
      <w:r w:rsidR="00252F1D" w:rsidRPr="000B544A">
        <w:rPr>
          <w:rFonts w:ascii="Times New Roman" w:hAnsi="Times New Roman"/>
          <w:lang w:val="lt-LT"/>
        </w:rPr>
        <w:t>;        (8)</w:t>
      </w:r>
    </w:p>
    <w:p w:rsidR="00252F1D" w:rsidRPr="000B544A" w:rsidRDefault="00252F1D" w:rsidP="00A17EF5">
      <w:pPr>
        <w:spacing w:after="0" w:line="360" w:lineRule="auto"/>
        <w:ind w:firstLine="567"/>
        <w:jc w:val="center"/>
        <w:rPr>
          <w:rFonts w:ascii="Times New Roman" w:hAnsi="Times New Roman"/>
          <w:lang w:val="lt-LT"/>
        </w:rPr>
      </w:pPr>
    </w:p>
    <w:p w:rsidR="00252F1D" w:rsidRPr="000B544A" w:rsidRDefault="00B542BF" w:rsidP="00A17EF5">
      <w:pPr>
        <w:spacing w:after="0" w:line="360" w:lineRule="auto"/>
        <w:ind w:firstLine="567"/>
        <w:jc w:val="center"/>
        <w:rPr>
          <w:rFonts w:ascii="Times New Roman" w:hAnsi="Times New Roman"/>
          <w:lang w:val="lt-LT"/>
        </w:rPr>
      </w:pPr>
      <m:oMath>
        <m:r>
          <w:rPr>
            <w:rFonts w:ascii="Cambria Math" w:hAnsi="Cambria Math"/>
            <w:lang w:val="lt-LT"/>
          </w:rPr>
          <m:t xml:space="preserve">Pinigų reitingas = </m:t>
        </m:r>
        <m:f>
          <m:fPr>
            <m:ctrlPr>
              <w:rPr>
                <w:rFonts w:ascii="Cambria Math" w:hAnsi="Cambria Math"/>
                <w:i/>
                <w:lang w:val="lt-LT"/>
              </w:rPr>
            </m:ctrlPr>
          </m:fPr>
          <m:num>
            <m:r>
              <w:rPr>
                <w:rFonts w:ascii="Cambria Math" w:hAnsi="Cambria Math"/>
                <w:lang w:val="lt-LT"/>
              </w:rPr>
              <m:t>Teigiamas pinigų srautas</m:t>
            </m:r>
          </m:num>
          <m:den>
            <m:r>
              <w:rPr>
                <w:rFonts w:ascii="Cambria Math" w:hAnsi="Cambria Math"/>
                <w:lang w:val="lt-LT"/>
              </w:rPr>
              <m:t>Neigiamas pinigų srautas</m:t>
            </m:r>
          </m:den>
        </m:f>
      </m:oMath>
      <w:r w:rsidR="00252F1D" w:rsidRPr="000B544A">
        <w:rPr>
          <w:rFonts w:ascii="Times New Roman" w:hAnsi="Times New Roman"/>
          <w:lang w:val="lt-LT"/>
        </w:rPr>
        <w:t>;            (9)</w:t>
      </w:r>
    </w:p>
    <w:p w:rsidR="00252F1D" w:rsidRPr="000B544A" w:rsidRDefault="00252F1D" w:rsidP="00A17EF5">
      <w:pPr>
        <w:spacing w:after="0" w:line="360" w:lineRule="auto"/>
        <w:ind w:firstLine="567"/>
        <w:jc w:val="center"/>
        <w:rPr>
          <w:rFonts w:ascii="Times New Roman" w:hAnsi="Times New Roman"/>
          <w:lang w:val="lt-LT"/>
        </w:rPr>
      </w:pPr>
    </w:p>
    <w:p w:rsidR="00252F1D" w:rsidRPr="000B544A" w:rsidRDefault="00B542BF" w:rsidP="00A17EF5">
      <w:pPr>
        <w:spacing w:after="0" w:line="360" w:lineRule="auto"/>
        <w:ind w:firstLine="567"/>
        <w:jc w:val="center"/>
        <w:rPr>
          <w:rFonts w:ascii="Times New Roman" w:hAnsi="Times New Roman"/>
          <w:lang w:val="lt-LT"/>
        </w:rPr>
      </w:pPr>
      <m:oMath>
        <m:r>
          <w:rPr>
            <w:rFonts w:ascii="Cambria Math" w:hAnsi="Cambria Math"/>
            <w:lang w:val="lt-LT"/>
          </w:rPr>
          <m:t xml:space="preserve">PSI =100- </m:t>
        </m:r>
        <m:f>
          <m:fPr>
            <m:ctrlPr>
              <w:rPr>
                <w:rFonts w:ascii="Cambria Math" w:hAnsi="Cambria Math"/>
                <w:i/>
                <w:lang w:val="lt-LT"/>
              </w:rPr>
            </m:ctrlPr>
          </m:fPr>
          <m:num>
            <m:r>
              <w:rPr>
                <w:rFonts w:ascii="Cambria Math" w:hAnsi="Cambria Math"/>
                <w:lang w:val="lt-LT"/>
              </w:rPr>
              <m:t>100</m:t>
            </m:r>
          </m:num>
          <m:den>
            <m:r>
              <w:rPr>
                <w:rFonts w:ascii="Cambria Math" w:hAnsi="Cambria Math"/>
                <w:lang w:val="lt-LT"/>
              </w:rPr>
              <m:t>1+Pinigų r</m:t>
            </m:r>
            <m:r>
              <w:rPr>
                <w:rFonts w:ascii="Cambria Math" w:hAnsi="Cambria Math"/>
                <w:lang w:val="lt-LT"/>
              </w:rPr>
              <m:t>eitingas</m:t>
            </m:r>
          </m:den>
        </m:f>
      </m:oMath>
      <w:r w:rsidR="00252F1D" w:rsidRPr="000B544A">
        <w:rPr>
          <w:rFonts w:ascii="Times New Roman" w:hAnsi="Times New Roman"/>
          <w:lang w:val="lt-LT"/>
        </w:rPr>
        <w:t>;                                (10)</w:t>
      </w:r>
    </w:p>
    <w:p w:rsidR="00252F1D" w:rsidRPr="000B544A" w:rsidRDefault="00252F1D" w:rsidP="00420269">
      <w:pPr>
        <w:spacing w:after="0" w:line="360" w:lineRule="auto"/>
        <w:ind w:firstLine="567"/>
        <w:jc w:val="both"/>
        <w:rPr>
          <w:rFonts w:ascii="Times New Roman" w:hAnsi="Times New Roman"/>
          <w:lang w:val="lt-LT"/>
        </w:rPr>
      </w:pPr>
    </w:p>
    <w:p w:rsidR="00252F1D" w:rsidRPr="000B544A" w:rsidRDefault="00252F1D" w:rsidP="00B6238E">
      <w:pPr>
        <w:spacing w:line="360" w:lineRule="auto"/>
        <w:ind w:firstLine="567"/>
        <w:jc w:val="both"/>
        <w:rPr>
          <w:rFonts w:ascii="Times New Roman" w:hAnsi="Times New Roman"/>
          <w:lang w:val="lt-LT"/>
        </w:rPr>
      </w:pPr>
      <w:r w:rsidRPr="000B544A">
        <w:rPr>
          <w:rFonts w:ascii="Times New Roman" w:hAnsi="Times New Roman"/>
          <w:lang w:val="lt-LT"/>
        </w:rPr>
        <w:t>Bennett ir Sias (</w:t>
      </w:r>
      <w:smartTag w:uri="urn:schemas-microsoft-com:office:smarttags" w:element="metricconverter">
        <w:smartTagPr>
          <w:attr w:name="ProductID" w:val="2001 m"/>
        </w:smartTagPr>
        <w:r w:rsidRPr="000B544A">
          <w:rPr>
            <w:rFonts w:ascii="Times New Roman" w:hAnsi="Times New Roman"/>
            <w:lang w:val="lt-LT"/>
          </w:rPr>
          <w:t>2001 m</w:t>
        </w:r>
      </w:smartTag>
      <w:r w:rsidRPr="000B544A">
        <w:rPr>
          <w:rFonts w:ascii="Times New Roman" w:hAnsi="Times New Roman"/>
          <w:lang w:val="lt-LT"/>
        </w:rPr>
        <w:t>.) savo tyrime nustatė, kad teigiami pinigų srautai reiškia padidėjusią paklausą, o neigiami pinigų srautai reiškia padidėjusią pasiūlą</w:t>
      </w:r>
      <w:r w:rsidR="008D3760" w:rsidRPr="000B544A">
        <w:rPr>
          <w:rFonts w:ascii="Times New Roman" w:hAnsi="Times New Roman"/>
          <w:lang w:val="lt-LT"/>
        </w:rPr>
        <w:t>[29]</w:t>
      </w:r>
      <w:r w:rsidRPr="000B544A">
        <w:rPr>
          <w:rFonts w:ascii="Times New Roman" w:hAnsi="Times New Roman"/>
          <w:lang w:val="lt-LT"/>
        </w:rPr>
        <w:t>. Jei tendencija išsilaiko su padidėjusia paklausa ir pasiūla, tai pinigų srauto indekso signalai gali teisingai prognozuoti ateities kainas. Taip pat nustatyta, kad pinigų srautas parodo padidėjusią paklausą ir pasiūlą. Tai teigiama suradus stiprią t</w:t>
      </w:r>
      <w:r w:rsidR="008B62A5" w:rsidRPr="000B544A">
        <w:rPr>
          <w:rFonts w:ascii="Times New Roman" w:hAnsi="Times New Roman"/>
          <w:lang w:val="lt-LT"/>
        </w:rPr>
        <w:t>eigiamą koreliaciją</w:t>
      </w:r>
      <w:r w:rsidRPr="000B544A">
        <w:rPr>
          <w:rFonts w:ascii="Times New Roman" w:hAnsi="Times New Roman"/>
          <w:lang w:val="lt-LT"/>
        </w:rPr>
        <w:t xml:space="preserve"> tarp pinigų srauto ir grąžos. Padidėjęs pinigų srautas pranašauja, kad ir ateityje jis gali išlikti padidėjęs. Svarbiausia šio darbo išvada yra ta, kad padidėjęs pinigų srautas informuoja investuotojus apie padidėjusią finansinio instrumento grąžą ateityje. Taip pat nustatyta, kad ilgesnio periodo pinigų srauto indikatorius (30-40 periodų) generuoja daug teisingesnius signalus, nei trumpas (1-5 periodų).</w:t>
      </w:r>
      <w:r w:rsidR="008D3760" w:rsidRPr="000B544A">
        <w:rPr>
          <w:rFonts w:ascii="Times New Roman" w:hAnsi="Times New Roman"/>
          <w:lang w:val="lt-LT"/>
        </w:rPr>
        <w:t>[29]</w:t>
      </w:r>
    </w:p>
    <w:p w:rsidR="00152748" w:rsidRPr="000B544A" w:rsidRDefault="00152748" w:rsidP="00152748">
      <w:pPr>
        <w:spacing w:after="0" w:line="360" w:lineRule="auto"/>
        <w:ind w:firstLine="567"/>
        <w:jc w:val="both"/>
        <w:rPr>
          <w:rFonts w:ascii="Times New Roman" w:hAnsi="Times New Roman"/>
          <w:lang w:val="lt-LT"/>
        </w:rPr>
      </w:pPr>
      <w:r w:rsidRPr="000B544A">
        <w:rPr>
          <w:rFonts w:ascii="Times New Roman" w:hAnsi="Times New Roman"/>
          <w:lang w:val="lt-LT"/>
        </w:rPr>
        <w:t xml:space="preserve">Šiame tyrime naudojamas 14 periodų pinigų srauto indekso indikatorius. Indikatorius pritaikomas Baltijos šalių akcijų rinkai surandant geriausias ribas, kurias pasiekusi indikatoriaus reikšmė reiškia pirkimo ar pardavimo signalus. Parametrai 20/80 reiškia ribas nuo 0 iki 20 ir nuo 80 iki 100. Šie parametrai yra standartiniai ir naudojami daugelyje indikatorių. </w:t>
      </w:r>
    </w:p>
    <w:p w:rsidR="00DA691E" w:rsidRPr="000B544A" w:rsidRDefault="00DA691E" w:rsidP="00DA691E">
      <w:pPr>
        <w:pStyle w:val="Caption"/>
        <w:keepNext/>
        <w:jc w:val="center"/>
        <w:rPr>
          <w:rFonts w:ascii="Times New Roman" w:hAnsi="Times New Roman"/>
          <w:b w:val="0"/>
          <w:lang w:val="lt-LT"/>
        </w:rPr>
      </w:pPr>
      <w:r w:rsidRPr="000B544A">
        <w:rPr>
          <w:rFonts w:ascii="Times New Roman" w:hAnsi="Times New Roman"/>
          <w:b w:val="0"/>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60" w:name="_Toc311718684"/>
      <w:r w:rsidR="00C53DDD">
        <w:rPr>
          <w:rFonts w:ascii="Times New Roman" w:hAnsi="Times New Roman"/>
          <w:b w:val="0"/>
          <w:noProof/>
          <w:lang w:val="lt-LT"/>
        </w:rPr>
        <w:t>18</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 </w:t>
      </w:r>
      <w:r w:rsidRPr="000B544A">
        <w:rPr>
          <w:rFonts w:ascii="Times New Roman" w:hAnsi="Times New Roman"/>
          <w:lang w:val="lt-LT"/>
        </w:rPr>
        <w:t>Pinigų srauto indekso indikatoriaus rezultatai su skirtingai parametrais</w:t>
      </w:r>
      <w:bookmarkEnd w:id="60"/>
    </w:p>
    <w:tbl>
      <w:tblPr>
        <w:tblW w:w="4010" w:type="dxa"/>
        <w:jc w:val="center"/>
        <w:tblInd w:w="669" w:type="dxa"/>
        <w:tblLook w:val="0000"/>
      </w:tblPr>
      <w:tblGrid>
        <w:gridCol w:w="593"/>
        <w:gridCol w:w="1169"/>
        <w:gridCol w:w="1005"/>
        <w:gridCol w:w="1243"/>
      </w:tblGrid>
      <w:tr w:rsidR="00E533D5" w:rsidRPr="000B544A">
        <w:trPr>
          <w:trHeight w:val="300"/>
          <w:jc w:val="center"/>
        </w:trPr>
        <w:tc>
          <w:tcPr>
            <w:tcW w:w="593" w:type="dxa"/>
            <w:tcBorders>
              <w:top w:val="single" w:sz="4" w:space="0" w:color="auto"/>
              <w:left w:val="single" w:sz="4" w:space="0" w:color="auto"/>
              <w:bottom w:val="single" w:sz="4" w:space="0" w:color="auto"/>
              <w:right w:val="single" w:sz="4" w:space="0" w:color="auto"/>
            </w:tcBorders>
            <w:vAlign w:val="bottom"/>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Nr.</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3D5" w:rsidRPr="000B544A" w:rsidRDefault="00E533D5" w:rsidP="0015274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Parametrai</w:t>
            </w:r>
          </w:p>
        </w:tc>
        <w:tc>
          <w:tcPr>
            <w:tcW w:w="1005" w:type="dxa"/>
            <w:tcBorders>
              <w:top w:val="single" w:sz="4" w:space="0" w:color="auto"/>
              <w:left w:val="nil"/>
              <w:bottom w:val="single" w:sz="4" w:space="0" w:color="auto"/>
              <w:right w:val="single" w:sz="4" w:space="0" w:color="auto"/>
            </w:tcBorders>
            <w:shd w:val="clear" w:color="auto" w:fill="auto"/>
            <w:noWrap/>
            <w:vAlign w:val="center"/>
          </w:tcPr>
          <w:p w:rsidR="00E533D5" w:rsidRPr="000B544A" w:rsidRDefault="00E533D5" w:rsidP="0015274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Pirkimas</w:t>
            </w:r>
          </w:p>
        </w:tc>
        <w:tc>
          <w:tcPr>
            <w:tcW w:w="1243" w:type="dxa"/>
            <w:tcBorders>
              <w:top w:val="single" w:sz="4" w:space="0" w:color="auto"/>
              <w:left w:val="nil"/>
              <w:bottom w:val="single" w:sz="4" w:space="0" w:color="auto"/>
              <w:right w:val="single" w:sz="4" w:space="0" w:color="auto"/>
            </w:tcBorders>
            <w:shd w:val="clear" w:color="auto" w:fill="auto"/>
            <w:noWrap/>
            <w:vAlign w:val="center"/>
          </w:tcPr>
          <w:p w:rsidR="00E533D5" w:rsidRPr="000B544A" w:rsidRDefault="00E533D5" w:rsidP="0015274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Pardavimas</w:t>
            </w:r>
          </w:p>
        </w:tc>
      </w:tr>
      <w:tr w:rsidR="00E533D5" w:rsidRPr="000B544A">
        <w:trPr>
          <w:trHeight w:val="300"/>
          <w:jc w:val="center"/>
        </w:trPr>
        <w:tc>
          <w:tcPr>
            <w:tcW w:w="593" w:type="dxa"/>
            <w:tcBorders>
              <w:top w:val="nil"/>
              <w:left w:val="single" w:sz="4" w:space="0" w:color="auto"/>
              <w:bottom w:val="single" w:sz="4" w:space="0" w:color="auto"/>
              <w:right w:val="single" w:sz="4" w:space="0" w:color="auto"/>
            </w:tcBorders>
            <w:vAlign w:val="bottom"/>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w:t>
            </w:r>
          </w:p>
        </w:tc>
        <w:tc>
          <w:tcPr>
            <w:tcW w:w="1169"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15274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35/72</w:t>
            </w:r>
          </w:p>
        </w:tc>
        <w:tc>
          <w:tcPr>
            <w:tcW w:w="1005" w:type="dxa"/>
            <w:tcBorders>
              <w:top w:val="nil"/>
              <w:left w:val="nil"/>
              <w:bottom w:val="single" w:sz="4" w:space="0" w:color="auto"/>
              <w:right w:val="single" w:sz="4" w:space="0" w:color="auto"/>
            </w:tcBorders>
            <w:shd w:val="clear" w:color="auto" w:fill="auto"/>
            <w:noWrap/>
            <w:vAlign w:val="center"/>
          </w:tcPr>
          <w:p w:rsidR="00E533D5" w:rsidRPr="000B544A" w:rsidRDefault="00E533D5" w:rsidP="0015274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280,44%</w:t>
            </w:r>
          </w:p>
        </w:tc>
        <w:tc>
          <w:tcPr>
            <w:tcW w:w="1243" w:type="dxa"/>
            <w:tcBorders>
              <w:top w:val="nil"/>
              <w:left w:val="nil"/>
              <w:bottom w:val="single" w:sz="4" w:space="0" w:color="auto"/>
              <w:right w:val="single" w:sz="4" w:space="0" w:color="auto"/>
            </w:tcBorders>
            <w:shd w:val="clear" w:color="auto" w:fill="auto"/>
            <w:noWrap/>
            <w:vAlign w:val="center"/>
          </w:tcPr>
          <w:p w:rsidR="00E533D5" w:rsidRPr="000B544A" w:rsidRDefault="00E533D5" w:rsidP="0015274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164%</w:t>
            </w:r>
          </w:p>
        </w:tc>
      </w:tr>
      <w:tr w:rsidR="00E533D5" w:rsidRPr="000B544A">
        <w:trPr>
          <w:trHeight w:val="300"/>
          <w:jc w:val="center"/>
        </w:trPr>
        <w:tc>
          <w:tcPr>
            <w:tcW w:w="593" w:type="dxa"/>
            <w:tcBorders>
              <w:top w:val="nil"/>
              <w:left w:val="single" w:sz="4" w:space="0" w:color="auto"/>
              <w:bottom w:val="single" w:sz="4" w:space="0" w:color="auto"/>
              <w:right w:val="single" w:sz="4" w:space="0" w:color="auto"/>
            </w:tcBorders>
            <w:vAlign w:val="bottom"/>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w:t>
            </w:r>
          </w:p>
        </w:tc>
        <w:tc>
          <w:tcPr>
            <w:tcW w:w="1169"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15274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20/80</w:t>
            </w:r>
          </w:p>
        </w:tc>
        <w:tc>
          <w:tcPr>
            <w:tcW w:w="1005" w:type="dxa"/>
            <w:tcBorders>
              <w:top w:val="nil"/>
              <w:left w:val="nil"/>
              <w:bottom w:val="single" w:sz="4" w:space="0" w:color="auto"/>
              <w:right w:val="single" w:sz="4" w:space="0" w:color="auto"/>
            </w:tcBorders>
            <w:shd w:val="clear" w:color="auto" w:fill="auto"/>
            <w:noWrap/>
            <w:vAlign w:val="center"/>
          </w:tcPr>
          <w:p w:rsidR="00E533D5" w:rsidRPr="000B544A" w:rsidRDefault="00E533D5" w:rsidP="0015274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173,21%</w:t>
            </w:r>
          </w:p>
        </w:tc>
        <w:tc>
          <w:tcPr>
            <w:tcW w:w="1243" w:type="dxa"/>
            <w:tcBorders>
              <w:top w:val="nil"/>
              <w:left w:val="nil"/>
              <w:bottom w:val="single" w:sz="4" w:space="0" w:color="auto"/>
              <w:right w:val="single" w:sz="4" w:space="0" w:color="auto"/>
            </w:tcBorders>
            <w:shd w:val="clear" w:color="auto" w:fill="auto"/>
            <w:noWrap/>
            <w:vAlign w:val="center"/>
          </w:tcPr>
          <w:p w:rsidR="00E533D5" w:rsidRPr="000B544A" w:rsidRDefault="00E533D5" w:rsidP="0015274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91,37%</w:t>
            </w:r>
          </w:p>
        </w:tc>
      </w:tr>
    </w:tbl>
    <w:p w:rsidR="00AA6A08" w:rsidRPr="000B544A" w:rsidRDefault="00520F7B" w:rsidP="006D4610">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152748" w:rsidRPr="000B544A" w:rsidRDefault="00AA6A08" w:rsidP="00152748">
      <w:pPr>
        <w:spacing w:after="0" w:line="360" w:lineRule="auto"/>
        <w:ind w:firstLine="567"/>
        <w:jc w:val="both"/>
        <w:rPr>
          <w:rFonts w:ascii="Times New Roman" w:hAnsi="Times New Roman"/>
          <w:lang w:val="lt-LT"/>
        </w:rPr>
      </w:pPr>
      <w:r w:rsidRPr="000B544A">
        <w:rPr>
          <w:rFonts w:ascii="Times New Roman" w:hAnsi="Times New Roman"/>
          <w:lang w:val="lt-LT"/>
        </w:rPr>
        <w:t>Lentelėje pateikti Pinigų srauto indekso indikatoriaus rezultatai su skirtingais parametrais. Standartiniai parametrai su šiuo indikatoriumi generuoja gerus rezultatus</w:t>
      </w:r>
      <w:r w:rsidR="008B62A5" w:rsidRPr="000B544A">
        <w:rPr>
          <w:rFonts w:ascii="Times New Roman" w:hAnsi="Times New Roman"/>
          <w:lang w:val="lt-LT"/>
        </w:rPr>
        <w:t>,</w:t>
      </w:r>
      <w:r w:rsidRPr="000B544A">
        <w:rPr>
          <w:rFonts w:ascii="Times New Roman" w:hAnsi="Times New Roman"/>
          <w:lang w:val="lt-LT"/>
        </w:rPr>
        <w:t xml:space="preserve"> lyginant su kitais </w:t>
      </w:r>
      <w:r w:rsidRPr="000B544A">
        <w:rPr>
          <w:rFonts w:ascii="Times New Roman" w:hAnsi="Times New Roman"/>
          <w:lang w:val="lt-LT"/>
        </w:rPr>
        <w:lastRenderedPageBreak/>
        <w:t>indikatoriaus. Suradus geriausius parametrus</w:t>
      </w:r>
      <w:r w:rsidR="008B62A5" w:rsidRPr="000B544A">
        <w:rPr>
          <w:rFonts w:ascii="Times New Roman" w:hAnsi="Times New Roman"/>
          <w:lang w:val="lt-LT"/>
        </w:rPr>
        <w:t>,</w:t>
      </w:r>
      <w:r w:rsidRPr="000B544A">
        <w:rPr>
          <w:rFonts w:ascii="Times New Roman" w:hAnsi="Times New Roman"/>
          <w:lang w:val="lt-LT"/>
        </w:rPr>
        <w:t xml:space="preserve"> šio indikatoriaus rezultatai dar pagerėja ir tampa geriausiais iš analizuotų indikatorių.</w:t>
      </w:r>
    </w:p>
    <w:p w:rsidR="00DA691E" w:rsidRPr="000B544A" w:rsidRDefault="00DA691E" w:rsidP="00DA691E">
      <w:pPr>
        <w:pStyle w:val="Caption"/>
        <w:keepNext/>
        <w:jc w:val="center"/>
        <w:rPr>
          <w:rFonts w:ascii="Times New Roman" w:hAnsi="Times New Roman"/>
          <w:b w:val="0"/>
          <w:lang w:val="lt-LT"/>
        </w:rPr>
      </w:pPr>
      <w:r w:rsidRPr="000B544A">
        <w:rPr>
          <w:rFonts w:ascii="Times New Roman" w:hAnsi="Times New Roman"/>
          <w:b w:val="0"/>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61" w:name="_Toc311718685"/>
      <w:r w:rsidR="00C53DDD">
        <w:rPr>
          <w:rFonts w:ascii="Times New Roman" w:hAnsi="Times New Roman"/>
          <w:b w:val="0"/>
          <w:noProof/>
          <w:lang w:val="lt-LT"/>
        </w:rPr>
        <w:t>19</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 </w:t>
      </w:r>
      <w:r w:rsidRPr="000B544A">
        <w:rPr>
          <w:rFonts w:ascii="Times New Roman" w:hAnsi="Times New Roman"/>
          <w:lang w:val="lt-LT"/>
        </w:rPr>
        <w:t>Pinigų srauto indekso indikatoriaus rezultatai su geriausiais parametrais</w:t>
      </w:r>
      <w:bookmarkEnd w:id="61"/>
    </w:p>
    <w:tbl>
      <w:tblPr>
        <w:tblW w:w="7604" w:type="dxa"/>
        <w:jc w:val="center"/>
        <w:tblInd w:w="2103" w:type="dxa"/>
        <w:tblLook w:val="0000"/>
      </w:tblPr>
      <w:tblGrid>
        <w:gridCol w:w="857"/>
        <w:gridCol w:w="2867"/>
        <w:gridCol w:w="1960"/>
        <w:gridCol w:w="1920"/>
      </w:tblGrid>
      <w:tr w:rsidR="00E533D5" w:rsidRPr="000B544A">
        <w:trPr>
          <w:trHeight w:val="300"/>
          <w:jc w:val="center"/>
        </w:trPr>
        <w:tc>
          <w:tcPr>
            <w:tcW w:w="857" w:type="dxa"/>
            <w:tcBorders>
              <w:top w:val="single" w:sz="4" w:space="0" w:color="auto"/>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Nr.</w:t>
            </w:r>
          </w:p>
        </w:tc>
        <w:tc>
          <w:tcPr>
            <w:tcW w:w="28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Akcija</w:t>
            </w:r>
          </w:p>
        </w:tc>
        <w:tc>
          <w:tcPr>
            <w:tcW w:w="1960" w:type="dxa"/>
            <w:tcBorders>
              <w:top w:val="single" w:sz="4" w:space="0" w:color="auto"/>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Pirkimas</w:t>
            </w:r>
          </w:p>
        </w:tc>
        <w:tc>
          <w:tcPr>
            <w:tcW w:w="1920" w:type="dxa"/>
            <w:tcBorders>
              <w:top w:val="single" w:sz="4" w:space="0" w:color="auto"/>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Pardavimas</w:t>
            </w:r>
          </w:p>
        </w:tc>
      </w:tr>
      <w:tr w:rsidR="00E533D5" w:rsidRPr="000B544A">
        <w:trPr>
          <w:trHeight w:val="300"/>
          <w:jc w:val="center"/>
        </w:trPr>
        <w:tc>
          <w:tcPr>
            <w:tcW w:w="857" w:type="dxa"/>
            <w:tcBorders>
              <w:top w:val="nil"/>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w:t>
            </w:r>
          </w:p>
        </w:tc>
        <w:tc>
          <w:tcPr>
            <w:tcW w:w="2867"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Apranga</w:t>
            </w:r>
          </w:p>
        </w:tc>
        <w:tc>
          <w:tcPr>
            <w:tcW w:w="1960" w:type="dxa"/>
            <w:tcBorders>
              <w:top w:val="nil"/>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66,08%</w:t>
            </w:r>
          </w:p>
        </w:tc>
        <w:tc>
          <w:tcPr>
            <w:tcW w:w="1920" w:type="dxa"/>
            <w:tcBorders>
              <w:top w:val="nil"/>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18,96%</w:t>
            </w:r>
          </w:p>
        </w:tc>
      </w:tr>
      <w:tr w:rsidR="00E533D5" w:rsidRPr="000B544A">
        <w:trPr>
          <w:trHeight w:val="300"/>
          <w:jc w:val="center"/>
        </w:trPr>
        <w:tc>
          <w:tcPr>
            <w:tcW w:w="857" w:type="dxa"/>
            <w:tcBorders>
              <w:top w:val="nil"/>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w:t>
            </w:r>
          </w:p>
        </w:tc>
        <w:tc>
          <w:tcPr>
            <w:tcW w:w="2867"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Linas Agro Group</w:t>
            </w:r>
          </w:p>
        </w:tc>
        <w:tc>
          <w:tcPr>
            <w:tcW w:w="1960" w:type="dxa"/>
            <w:tcBorders>
              <w:top w:val="nil"/>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12,65%</w:t>
            </w:r>
          </w:p>
        </w:tc>
        <w:tc>
          <w:tcPr>
            <w:tcW w:w="1920" w:type="dxa"/>
            <w:tcBorders>
              <w:top w:val="nil"/>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9,49%</w:t>
            </w:r>
          </w:p>
        </w:tc>
      </w:tr>
      <w:tr w:rsidR="00E533D5" w:rsidRPr="000B544A">
        <w:trPr>
          <w:trHeight w:val="300"/>
          <w:jc w:val="center"/>
        </w:trPr>
        <w:tc>
          <w:tcPr>
            <w:tcW w:w="857" w:type="dxa"/>
            <w:tcBorders>
              <w:top w:val="nil"/>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w:t>
            </w:r>
          </w:p>
        </w:tc>
        <w:tc>
          <w:tcPr>
            <w:tcW w:w="2867"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Nordecon AS</w:t>
            </w:r>
          </w:p>
        </w:tc>
        <w:tc>
          <w:tcPr>
            <w:tcW w:w="1960" w:type="dxa"/>
            <w:tcBorders>
              <w:top w:val="nil"/>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2,65%</w:t>
            </w:r>
          </w:p>
        </w:tc>
        <w:tc>
          <w:tcPr>
            <w:tcW w:w="1920" w:type="dxa"/>
            <w:tcBorders>
              <w:top w:val="nil"/>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26,61%</w:t>
            </w:r>
          </w:p>
        </w:tc>
      </w:tr>
      <w:tr w:rsidR="00E533D5" w:rsidRPr="000B544A">
        <w:trPr>
          <w:trHeight w:val="300"/>
          <w:jc w:val="center"/>
        </w:trPr>
        <w:tc>
          <w:tcPr>
            <w:tcW w:w="857" w:type="dxa"/>
            <w:tcBorders>
              <w:top w:val="nil"/>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4</w:t>
            </w:r>
          </w:p>
        </w:tc>
        <w:tc>
          <w:tcPr>
            <w:tcW w:w="2867"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Olympic Entertainment Group</w:t>
            </w:r>
          </w:p>
        </w:tc>
        <w:tc>
          <w:tcPr>
            <w:tcW w:w="1960" w:type="dxa"/>
            <w:tcBorders>
              <w:top w:val="nil"/>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76,46%</w:t>
            </w:r>
          </w:p>
        </w:tc>
        <w:tc>
          <w:tcPr>
            <w:tcW w:w="1920" w:type="dxa"/>
            <w:tcBorders>
              <w:top w:val="nil"/>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36,02%</w:t>
            </w:r>
          </w:p>
        </w:tc>
      </w:tr>
      <w:tr w:rsidR="00E533D5" w:rsidRPr="000B544A">
        <w:trPr>
          <w:trHeight w:val="300"/>
          <w:jc w:val="center"/>
        </w:trPr>
        <w:tc>
          <w:tcPr>
            <w:tcW w:w="857" w:type="dxa"/>
            <w:tcBorders>
              <w:top w:val="nil"/>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w:t>
            </w:r>
          </w:p>
        </w:tc>
        <w:tc>
          <w:tcPr>
            <w:tcW w:w="2867"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Panevėžio statybos trestas</w:t>
            </w:r>
          </w:p>
        </w:tc>
        <w:tc>
          <w:tcPr>
            <w:tcW w:w="1960" w:type="dxa"/>
            <w:tcBorders>
              <w:top w:val="nil"/>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52,97%</w:t>
            </w:r>
          </w:p>
        </w:tc>
        <w:tc>
          <w:tcPr>
            <w:tcW w:w="1920" w:type="dxa"/>
            <w:tcBorders>
              <w:top w:val="nil"/>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37,47%</w:t>
            </w:r>
          </w:p>
        </w:tc>
      </w:tr>
      <w:tr w:rsidR="00E533D5" w:rsidRPr="000B544A">
        <w:trPr>
          <w:trHeight w:val="300"/>
          <w:jc w:val="center"/>
        </w:trPr>
        <w:tc>
          <w:tcPr>
            <w:tcW w:w="857" w:type="dxa"/>
            <w:tcBorders>
              <w:top w:val="nil"/>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6</w:t>
            </w:r>
          </w:p>
        </w:tc>
        <w:tc>
          <w:tcPr>
            <w:tcW w:w="2867"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Tallink Grupp</w:t>
            </w:r>
          </w:p>
        </w:tc>
        <w:tc>
          <w:tcPr>
            <w:tcW w:w="1960" w:type="dxa"/>
            <w:tcBorders>
              <w:top w:val="nil"/>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35,15%</w:t>
            </w:r>
          </w:p>
        </w:tc>
        <w:tc>
          <w:tcPr>
            <w:tcW w:w="1920" w:type="dxa"/>
            <w:tcBorders>
              <w:top w:val="nil"/>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11,33%</w:t>
            </w:r>
          </w:p>
        </w:tc>
      </w:tr>
      <w:tr w:rsidR="00E533D5" w:rsidRPr="000B544A">
        <w:trPr>
          <w:trHeight w:val="300"/>
          <w:jc w:val="center"/>
        </w:trPr>
        <w:tc>
          <w:tcPr>
            <w:tcW w:w="857" w:type="dxa"/>
            <w:tcBorders>
              <w:top w:val="nil"/>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7</w:t>
            </w:r>
          </w:p>
        </w:tc>
        <w:tc>
          <w:tcPr>
            <w:tcW w:w="2867"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TEO LT</w:t>
            </w:r>
          </w:p>
        </w:tc>
        <w:tc>
          <w:tcPr>
            <w:tcW w:w="1960" w:type="dxa"/>
            <w:tcBorders>
              <w:top w:val="nil"/>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-1,93%</w:t>
            </w:r>
          </w:p>
        </w:tc>
        <w:tc>
          <w:tcPr>
            <w:tcW w:w="1920" w:type="dxa"/>
            <w:tcBorders>
              <w:top w:val="nil"/>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-3,34%</w:t>
            </w:r>
          </w:p>
        </w:tc>
      </w:tr>
      <w:tr w:rsidR="00E533D5" w:rsidRPr="000B544A">
        <w:trPr>
          <w:trHeight w:val="300"/>
          <w:jc w:val="center"/>
        </w:trPr>
        <w:tc>
          <w:tcPr>
            <w:tcW w:w="857" w:type="dxa"/>
            <w:tcBorders>
              <w:top w:val="nil"/>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8</w:t>
            </w:r>
          </w:p>
        </w:tc>
        <w:tc>
          <w:tcPr>
            <w:tcW w:w="2867"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Tallinna Kaubamaja</w:t>
            </w:r>
          </w:p>
        </w:tc>
        <w:tc>
          <w:tcPr>
            <w:tcW w:w="1960" w:type="dxa"/>
            <w:tcBorders>
              <w:top w:val="nil"/>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20,31%</w:t>
            </w:r>
          </w:p>
        </w:tc>
        <w:tc>
          <w:tcPr>
            <w:tcW w:w="1920" w:type="dxa"/>
            <w:tcBorders>
              <w:top w:val="nil"/>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-5,16%</w:t>
            </w:r>
          </w:p>
        </w:tc>
      </w:tr>
      <w:tr w:rsidR="00E533D5" w:rsidRPr="000B544A">
        <w:trPr>
          <w:trHeight w:val="300"/>
          <w:jc w:val="center"/>
        </w:trPr>
        <w:tc>
          <w:tcPr>
            <w:tcW w:w="857" w:type="dxa"/>
            <w:tcBorders>
              <w:top w:val="nil"/>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9</w:t>
            </w:r>
          </w:p>
        </w:tc>
        <w:tc>
          <w:tcPr>
            <w:tcW w:w="2867"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Tallinna Vesi</w:t>
            </w:r>
          </w:p>
        </w:tc>
        <w:tc>
          <w:tcPr>
            <w:tcW w:w="1960" w:type="dxa"/>
            <w:tcBorders>
              <w:top w:val="nil"/>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3,73%</w:t>
            </w:r>
          </w:p>
        </w:tc>
        <w:tc>
          <w:tcPr>
            <w:tcW w:w="1920" w:type="dxa"/>
            <w:tcBorders>
              <w:top w:val="nil"/>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15,64%</w:t>
            </w:r>
          </w:p>
        </w:tc>
      </w:tr>
      <w:tr w:rsidR="00E533D5" w:rsidRPr="000B544A">
        <w:trPr>
          <w:trHeight w:val="300"/>
          <w:jc w:val="center"/>
        </w:trPr>
        <w:tc>
          <w:tcPr>
            <w:tcW w:w="857" w:type="dxa"/>
            <w:tcBorders>
              <w:top w:val="nil"/>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10</w:t>
            </w:r>
          </w:p>
        </w:tc>
        <w:tc>
          <w:tcPr>
            <w:tcW w:w="2867"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Ūkio bankas</w:t>
            </w:r>
          </w:p>
        </w:tc>
        <w:tc>
          <w:tcPr>
            <w:tcW w:w="1960" w:type="dxa"/>
            <w:tcBorders>
              <w:top w:val="nil"/>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12,39%</w:t>
            </w:r>
          </w:p>
        </w:tc>
        <w:tc>
          <w:tcPr>
            <w:tcW w:w="1920" w:type="dxa"/>
            <w:tcBorders>
              <w:top w:val="nil"/>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16,99%</w:t>
            </w:r>
          </w:p>
        </w:tc>
      </w:tr>
      <w:tr w:rsidR="00E533D5" w:rsidRPr="000B544A">
        <w:trPr>
          <w:trHeight w:val="300"/>
          <w:jc w:val="center"/>
        </w:trPr>
        <w:tc>
          <w:tcPr>
            <w:tcW w:w="857" w:type="dxa"/>
            <w:tcBorders>
              <w:top w:val="nil"/>
              <w:left w:val="single" w:sz="4" w:space="0" w:color="auto"/>
              <w:bottom w:val="single" w:sz="4" w:space="0" w:color="auto"/>
              <w:right w:val="single" w:sz="4" w:space="0" w:color="auto"/>
            </w:tcBorders>
            <w:vAlign w:val="center"/>
          </w:tcPr>
          <w:p w:rsidR="00E533D5" w:rsidRPr="000B544A" w:rsidRDefault="00E533D5" w:rsidP="00470327">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 </w:t>
            </w:r>
          </w:p>
        </w:tc>
        <w:tc>
          <w:tcPr>
            <w:tcW w:w="2867" w:type="dxa"/>
            <w:tcBorders>
              <w:top w:val="nil"/>
              <w:left w:val="single" w:sz="4" w:space="0" w:color="auto"/>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Suma</w:t>
            </w:r>
          </w:p>
        </w:tc>
        <w:tc>
          <w:tcPr>
            <w:tcW w:w="1960" w:type="dxa"/>
            <w:tcBorders>
              <w:top w:val="nil"/>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280,44%</w:t>
            </w:r>
          </w:p>
        </w:tc>
        <w:tc>
          <w:tcPr>
            <w:tcW w:w="1920" w:type="dxa"/>
            <w:tcBorders>
              <w:top w:val="nil"/>
              <w:left w:val="nil"/>
              <w:bottom w:val="single" w:sz="4" w:space="0" w:color="auto"/>
              <w:right w:val="single" w:sz="4" w:space="0" w:color="auto"/>
            </w:tcBorders>
            <w:shd w:val="clear" w:color="auto" w:fill="auto"/>
            <w:noWrap/>
            <w:vAlign w:val="center"/>
          </w:tcPr>
          <w:p w:rsidR="00E533D5" w:rsidRPr="000B544A" w:rsidRDefault="00E533D5" w:rsidP="00AA6A08">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164,00%</w:t>
            </w:r>
          </w:p>
        </w:tc>
      </w:tr>
    </w:tbl>
    <w:p w:rsidR="00AA6A08" w:rsidRPr="000B544A" w:rsidRDefault="00520F7B" w:rsidP="00DA691E">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152748" w:rsidRPr="000B544A" w:rsidRDefault="009F3B01" w:rsidP="00DA691E">
      <w:pPr>
        <w:spacing w:after="0" w:line="360" w:lineRule="auto"/>
        <w:ind w:firstLine="567"/>
        <w:jc w:val="both"/>
        <w:rPr>
          <w:rFonts w:ascii="Times New Roman" w:hAnsi="Times New Roman"/>
          <w:lang w:val="lt-LT"/>
        </w:rPr>
      </w:pPr>
      <w:r w:rsidRPr="000B544A">
        <w:rPr>
          <w:rFonts w:ascii="Times New Roman" w:hAnsi="Times New Roman"/>
          <w:lang w:val="lt-LT"/>
        </w:rPr>
        <w:t>Lentelėje pateikti Pinigų srauto indekso indikatoriaus rezultatai su geriausiais parametrais. Pirkimo sandoriams tik viena akcija iš devynių davė neigiamą rezultatą. Pardavimo sandoriams dvi akcijos davė neigiamą rezultatą. Bendrai sudėjus pirkimo ir pardavimo sandorių r</w:t>
      </w:r>
      <w:r w:rsidR="008B62A5" w:rsidRPr="000B544A">
        <w:rPr>
          <w:rFonts w:ascii="Times New Roman" w:hAnsi="Times New Roman"/>
          <w:lang w:val="lt-LT"/>
        </w:rPr>
        <w:t>ezultatą gaunamas 444,44 proc. r</w:t>
      </w:r>
      <w:r w:rsidRPr="000B544A">
        <w:rPr>
          <w:rFonts w:ascii="Times New Roman" w:hAnsi="Times New Roman"/>
          <w:lang w:val="lt-LT"/>
        </w:rPr>
        <w:t>ezultatas.</w:t>
      </w:r>
    </w:p>
    <w:p w:rsidR="00252F1D" w:rsidRPr="000B544A" w:rsidRDefault="00E533D5" w:rsidP="0010532D">
      <w:pPr>
        <w:pStyle w:val="Heading3"/>
        <w:spacing w:line="360" w:lineRule="auto"/>
        <w:rPr>
          <w:rFonts w:ascii="Times New Roman" w:hAnsi="Times New Roman"/>
          <w:lang w:val="lt-LT"/>
        </w:rPr>
      </w:pPr>
      <w:bookmarkStart w:id="62" w:name="_Toc312047651"/>
      <w:r w:rsidRPr="000B544A">
        <w:rPr>
          <w:rFonts w:ascii="Times New Roman" w:hAnsi="Times New Roman"/>
          <w:lang w:val="lt-LT"/>
        </w:rPr>
        <w:t>2</w:t>
      </w:r>
      <w:r w:rsidR="00252F1D" w:rsidRPr="000B544A">
        <w:rPr>
          <w:rFonts w:ascii="Times New Roman" w:hAnsi="Times New Roman"/>
          <w:lang w:val="lt-LT"/>
        </w:rPr>
        <w:t>.</w:t>
      </w:r>
      <w:r w:rsidR="0010532D" w:rsidRPr="000B544A">
        <w:rPr>
          <w:rFonts w:ascii="Times New Roman" w:hAnsi="Times New Roman"/>
          <w:lang w:val="lt-LT"/>
        </w:rPr>
        <w:t>2.</w:t>
      </w:r>
      <w:r w:rsidR="00252F1D" w:rsidRPr="000B544A">
        <w:rPr>
          <w:rFonts w:ascii="Times New Roman" w:hAnsi="Times New Roman"/>
          <w:lang w:val="lt-LT"/>
        </w:rPr>
        <w:t>1</w:t>
      </w:r>
      <w:r w:rsidR="0010532D" w:rsidRPr="000B544A">
        <w:rPr>
          <w:rFonts w:ascii="Times New Roman" w:hAnsi="Times New Roman"/>
          <w:lang w:val="lt-LT"/>
        </w:rPr>
        <w:t>0</w:t>
      </w:r>
      <w:r w:rsidR="00252F1D" w:rsidRPr="000B544A">
        <w:rPr>
          <w:rFonts w:ascii="Times New Roman" w:hAnsi="Times New Roman"/>
          <w:lang w:val="lt-LT"/>
        </w:rPr>
        <w:t xml:space="preserve"> </w:t>
      </w:r>
      <w:r w:rsidR="00197FAA" w:rsidRPr="000B544A">
        <w:rPr>
          <w:rFonts w:ascii="Times New Roman" w:hAnsi="Times New Roman"/>
          <w:lang w:val="lt-LT"/>
        </w:rPr>
        <w:t>Dončiano kanal</w:t>
      </w:r>
      <w:r w:rsidR="008E7C0F" w:rsidRPr="000B544A">
        <w:rPr>
          <w:rFonts w:ascii="Times New Roman" w:hAnsi="Times New Roman"/>
          <w:lang w:val="lt-LT"/>
        </w:rPr>
        <w:t>o indikatorius, kaip kainos išsiveržimo iš kanalo indikatorius</w:t>
      </w:r>
      <w:bookmarkEnd w:id="62"/>
    </w:p>
    <w:p w:rsidR="00252F1D" w:rsidRPr="000B544A" w:rsidRDefault="00252F1D" w:rsidP="00DA691E">
      <w:pPr>
        <w:spacing w:line="360" w:lineRule="auto"/>
        <w:ind w:firstLine="567"/>
        <w:jc w:val="both"/>
        <w:rPr>
          <w:rFonts w:ascii="Times New Roman" w:hAnsi="Times New Roman"/>
          <w:lang w:val="lt-LT"/>
        </w:rPr>
      </w:pPr>
      <w:r w:rsidRPr="000B544A">
        <w:rPr>
          <w:rFonts w:ascii="Times New Roman" w:hAnsi="Times New Roman"/>
          <w:lang w:val="lt-LT"/>
        </w:rPr>
        <w:t>Ričardo Donchian’o (angl. Richard Donchian) išsiveržimo sistema veikia apskaičiuojant ir piešiant kainos kanalą, kuriame kaina varijuoja. Priešingai nei Bollinger juostos, kurios teigia, kad kaina visada grįžta į kanalo vidų, Donchian kanalo indikatorius rodo ribas, kurias kirtusi kaina turėtų judėti kryptingai toliau. Tai reiškia, kad jei kaina kerta apatinę D</w:t>
      </w:r>
      <w:r w:rsidR="00602937" w:rsidRPr="000B544A">
        <w:rPr>
          <w:rFonts w:ascii="Times New Roman" w:hAnsi="Times New Roman"/>
          <w:lang w:val="lt-LT"/>
        </w:rPr>
        <w:t>o</w:t>
      </w:r>
      <w:r w:rsidRPr="000B544A">
        <w:rPr>
          <w:rFonts w:ascii="Times New Roman" w:hAnsi="Times New Roman"/>
          <w:lang w:val="lt-LT"/>
        </w:rPr>
        <w:t>nchian kanalo indikatoriaus ribą, kaina turėtų toliau kristi, o jei kerta viršutinę kanalo ribą, tai kaina turėtų toliau didėti.</w:t>
      </w:r>
    </w:p>
    <w:p w:rsidR="00252F1D" w:rsidRPr="000B544A" w:rsidRDefault="00252F1D" w:rsidP="002C1431">
      <w:pPr>
        <w:spacing w:line="360" w:lineRule="auto"/>
        <w:ind w:firstLine="567"/>
        <w:jc w:val="both"/>
        <w:rPr>
          <w:rFonts w:ascii="Times New Roman" w:hAnsi="Times New Roman"/>
          <w:lang w:val="lt-LT"/>
        </w:rPr>
      </w:pPr>
      <w:r w:rsidRPr="000B544A">
        <w:rPr>
          <w:rFonts w:ascii="Times New Roman" w:hAnsi="Times New Roman"/>
          <w:lang w:val="lt-LT"/>
        </w:rPr>
        <w:t xml:space="preserve">Donchian kanalo indikatoriaus sėkmė priklauso nuo finansinio instrumento kainos krypties stiprumo, kai išsiveržiama iš kanalo. Kanalas </w:t>
      </w:r>
      <w:r w:rsidR="00F41893" w:rsidRPr="000B544A">
        <w:rPr>
          <w:rFonts w:ascii="Times New Roman" w:hAnsi="Times New Roman"/>
          <w:lang w:val="lt-LT"/>
        </w:rPr>
        <w:t>suformuotas</w:t>
      </w:r>
      <w:r w:rsidRPr="000B544A">
        <w:rPr>
          <w:rFonts w:ascii="Times New Roman" w:hAnsi="Times New Roman"/>
          <w:lang w:val="lt-LT"/>
        </w:rPr>
        <w:t xml:space="preserve"> pagal ankstesnius kainos judesius pagal palaikymo ir pasipriešinimo lygius, </w:t>
      </w:r>
      <w:r w:rsidR="00F41893" w:rsidRPr="000B544A">
        <w:rPr>
          <w:rFonts w:ascii="Times New Roman" w:hAnsi="Times New Roman"/>
          <w:lang w:val="lt-LT"/>
        </w:rPr>
        <w:t>aukščiausias</w:t>
      </w:r>
      <w:r w:rsidRPr="000B544A">
        <w:rPr>
          <w:rFonts w:ascii="Times New Roman" w:hAnsi="Times New Roman"/>
          <w:lang w:val="lt-LT"/>
        </w:rPr>
        <w:t xml:space="preserve"> ir žemiausias kainas. Siūlomas 55 periodų kanalo ilgis. Kai kaina užsidaro virš 55 periodų aukščiausios kainos, tai traktuojama kaip pirkimo signalas. Jei kaina užsidaro žemiau 55 periodų žemiausios kainos, tai traktuojama kaip pardavimo (anlg. Short) signalas.</w:t>
      </w:r>
    </w:p>
    <w:p w:rsidR="00252F1D" w:rsidRPr="000B544A" w:rsidRDefault="00252F1D" w:rsidP="002C1431">
      <w:pPr>
        <w:spacing w:line="360" w:lineRule="auto"/>
        <w:ind w:firstLine="567"/>
        <w:jc w:val="both"/>
        <w:rPr>
          <w:rFonts w:ascii="Times New Roman" w:hAnsi="Times New Roman"/>
          <w:lang w:val="lt-LT"/>
        </w:rPr>
      </w:pPr>
      <w:r w:rsidRPr="000B544A">
        <w:rPr>
          <w:rFonts w:ascii="Times New Roman" w:hAnsi="Times New Roman"/>
          <w:lang w:val="lt-LT"/>
        </w:rPr>
        <w:t xml:space="preserve">D. L. Rayome ir A. Jain </w:t>
      </w:r>
      <w:smartTag w:uri="urn:schemas-microsoft-com:office:smarttags" w:element="metricconverter">
        <w:smartTagPr>
          <w:attr w:name="ProductID" w:val="2008 m"/>
        </w:smartTagPr>
        <w:r w:rsidRPr="000B544A">
          <w:rPr>
            <w:rFonts w:ascii="Times New Roman" w:hAnsi="Times New Roman"/>
            <w:lang w:val="lt-LT"/>
          </w:rPr>
          <w:t>2008 m</w:t>
        </w:r>
      </w:smartTag>
      <w:r w:rsidRPr="000B544A">
        <w:rPr>
          <w:rFonts w:ascii="Times New Roman" w:hAnsi="Times New Roman"/>
          <w:lang w:val="lt-LT"/>
        </w:rPr>
        <w:t>. atliko tyrimą</w:t>
      </w:r>
      <w:r w:rsidR="008B62A5" w:rsidRPr="000B544A">
        <w:rPr>
          <w:rFonts w:ascii="Times New Roman" w:hAnsi="Times New Roman"/>
          <w:lang w:val="lt-LT"/>
        </w:rPr>
        <w:t>,</w:t>
      </w:r>
      <w:r w:rsidRPr="000B544A">
        <w:rPr>
          <w:rFonts w:ascii="Times New Roman" w:hAnsi="Times New Roman"/>
          <w:lang w:val="lt-LT"/>
        </w:rPr>
        <w:t xml:space="preserve"> siekdami išsiaiškinti Donchian kanalo indikatoriaus duodamų signalų teisingumą. Tyrimo rezultatai pasiskirstė per pusę. Pusė indikatoriaus generuojamų signalų davė teigiamus rezultatus, pusė signalų buvo klaidingi. Autoriai siūlo naudoti ne vieną Donchian kanalo metodą, bet kartu ir piramidinę pirkimų sistemą ir slenkantį stabdį. Taip padidinama nauda iš sėkmingų indikatoriaus signalų ir sumažinamas nuostolių dydis. Taip pat autoriai </w:t>
      </w:r>
      <w:r w:rsidRPr="000B544A">
        <w:rPr>
          <w:rFonts w:ascii="Times New Roman" w:hAnsi="Times New Roman"/>
          <w:lang w:val="lt-LT"/>
        </w:rPr>
        <w:lastRenderedPageBreak/>
        <w:t xml:space="preserve">pabrėžia, kad pinigų valdymas yra svarbesnis, nei pirkimo ar pardavimo signalai, kuriuos gauname iš indikatorių. </w:t>
      </w:r>
      <w:r w:rsidR="008D3760" w:rsidRPr="000B544A">
        <w:rPr>
          <w:rFonts w:ascii="Times New Roman" w:hAnsi="Times New Roman"/>
          <w:lang w:val="lt-LT"/>
        </w:rPr>
        <w:t>[28]</w:t>
      </w:r>
    </w:p>
    <w:p w:rsidR="00252F1D" w:rsidRPr="000B544A" w:rsidRDefault="0098255B" w:rsidP="002C1431">
      <w:pPr>
        <w:spacing w:line="360" w:lineRule="auto"/>
        <w:ind w:firstLine="567"/>
        <w:jc w:val="both"/>
        <w:rPr>
          <w:rFonts w:ascii="Times New Roman" w:hAnsi="Times New Roman"/>
          <w:lang w:val="lt-LT"/>
        </w:rPr>
      </w:pPr>
      <w:r w:rsidRPr="000B544A">
        <w:rPr>
          <w:rFonts w:ascii="Times New Roman" w:hAnsi="Times New Roman"/>
          <w:lang w:val="lt-LT"/>
        </w:rPr>
        <w:t>Dončiano kanalo indikatoriaus pritaikymas Baltijos šalių akcijų rinkai vyksta surandant parametrus, su kuriais šis indikatorius generuoja geriausius signalus. Parametrai Dončiano kanalui yra du. Abu reiškia periodų (dienų) skaičių. Šis dienų ska</w:t>
      </w:r>
      <w:r w:rsidR="008B62A5" w:rsidRPr="000B544A">
        <w:rPr>
          <w:rFonts w:ascii="Times New Roman" w:hAnsi="Times New Roman"/>
          <w:lang w:val="lt-LT"/>
        </w:rPr>
        <w:t>ičius reiškia laikota</w:t>
      </w:r>
      <w:r w:rsidRPr="000B544A">
        <w:rPr>
          <w:rFonts w:ascii="Times New Roman" w:hAnsi="Times New Roman"/>
          <w:lang w:val="lt-LT"/>
        </w:rPr>
        <w:t>rpio ilgumą, pagal kurį skaičiuojama indikatoria</w:t>
      </w:r>
      <w:r w:rsidR="00602937" w:rsidRPr="000B544A">
        <w:rPr>
          <w:rFonts w:ascii="Times New Roman" w:hAnsi="Times New Roman"/>
          <w:lang w:val="lt-LT"/>
        </w:rPr>
        <w:t>us reikšmė. Tarkim parametras 55</w:t>
      </w:r>
      <w:r w:rsidRPr="000B544A">
        <w:rPr>
          <w:rFonts w:ascii="Times New Roman" w:hAnsi="Times New Roman"/>
          <w:lang w:val="lt-LT"/>
        </w:rPr>
        <w:t xml:space="preserve"> reiškia, kad Dončiano kanalo ind</w:t>
      </w:r>
      <w:r w:rsidR="00602937" w:rsidRPr="000B544A">
        <w:rPr>
          <w:rFonts w:ascii="Times New Roman" w:hAnsi="Times New Roman"/>
          <w:lang w:val="lt-LT"/>
        </w:rPr>
        <w:t xml:space="preserve">ikatorius naudoja </w:t>
      </w:r>
      <w:r w:rsidR="00F41893" w:rsidRPr="000B544A">
        <w:rPr>
          <w:rFonts w:ascii="Times New Roman" w:hAnsi="Times New Roman"/>
          <w:lang w:val="lt-LT"/>
        </w:rPr>
        <w:t>paskutines</w:t>
      </w:r>
      <w:r w:rsidR="00602937" w:rsidRPr="000B544A">
        <w:rPr>
          <w:rFonts w:ascii="Times New Roman" w:hAnsi="Times New Roman"/>
          <w:lang w:val="lt-LT"/>
        </w:rPr>
        <w:t xml:space="preserve"> 55</w:t>
      </w:r>
      <w:r w:rsidR="008B62A5" w:rsidRPr="000B544A">
        <w:rPr>
          <w:rFonts w:ascii="Times New Roman" w:hAnsi="Times New Roman"/>
          <w:lang w:val="lt-LT"/>
        </w:rPr>
        <w:t xml:space="preserve"> uždarymo kainas</w:t>
      </w:r>
      <w:r w:rsidRPr="000B544A">
        <w:rPr>
          <w:rFonts w:ascii="Times New Roman" w:hAnsi="Times New Roman"/>
          <w:lang w:val="lt-LT"/>
        </w:rPr>
        <w:t>. Parametrai yra du, nes vienas skaičiuoja didžiausią kainą per šį laikotarpį, o kitas – mažiausią.</w:t>
      </w:r>
      <w:r w:rsidR="00602937" w:rsidRPr="000B544A">
        <w:rPr>
          <w:rFonts w:ascii="Times New Roman" w:hAnsi="Times New Roman"/>
          <w:lang w:val="lt-LT"/>
        </w:rPr>
        <w:t xml:space="preserve"> Standartiniai parametrai yra 55/55</w:t>
      </w:r>
      <w:r w:rsidRPr="000B544A">
        <w:rPr>
          <w:rFonts w:ascii="Times New Roman" w:hAnsi="Times New Roman"/>
          <w:lang w:val="lt-LT"/>
        </w:rPr>
        <w:t>.</w:t>
      </w:r>
    </w:p>
    <w:p w:rsidR="000B20B1" w:rsidRPr="000B544A" w:rsidRDefault="000B20B1" w:rsidP="002C1431">
      <w:pPr>
        <w:spacing w:line="360" w:lineRule="auto"/>
        <w:ind w:firstLine="567"/>
        <w:jc w:val="both"/>
        <w:rPr>
          <w:rFonts w:ascii="Times New Roman" w:hAnsi="Times New Roman"/>
          <w:lang w:val="lt-LT"/>
        </w:rPr>
      </w:pPr>
      <w:r w:rsidRPr="000B544A">
        <w:rPr>
          <w:rFonts w:ascii="Times New Roman" w:hAnsi="Times New Roman"/>
          <w:lang w:val="lt-LT"/>
        </w:rPr>
        <w:t>Pritaikant šį indikatorių Nasdaq OMX Baltic rinkai pastebėta, kad kraštinių kanalo ribų kirtimo signalai yra neteisingi. Bandant surasti geriausius parametrus</w:t>
      </w:r>
      <w:r w:rsidR="008B62A5" w:rsidRPr="000B544A">
        <w:rPr>
          <w:rFonts w:ascii="Times New Roman" w:hAnsi="Times New Roman"/>
          <w:lang w:val="lt-LT"/>
        </w:rPr>
        <w:t>,</w:t>
      </w:r>
      <w:r w:rsidRPr="000B544A">
        <w:rPr>
          <w:rFonts w:ascii="Times New Roman" w:hAnsi="Times New Roman"/>
          <w:lang w:val="lt-LT"/>
        </w:rPr>
        <w:t xml:space="preserve"> buvo gaunami vien neigiami rezultatai. Tai leido padaryti išvadą, kad Dončiano kanalo ribų kirtimą reikia suprasti kaip pirkimo signalą, jei kertama apatinė riba ir kaip pardavimo signalą, jei kertama viršutinė riba.</w:t>
      </w:r>
    </w:p>
    <w:p w:rsidR="00DA691E" w:rsidRPr="000B544A" w:rsidRDefault="00DA691E" w:rsidP="00DA691E">
      <w:pPr>
        <w:pStyle w:val="Caption"/>
        <w:keepNext/>
        <w:jc w:val="center"/>
        <w:rPr>
          <w:rFonts w:ascii="Times New Roman" w:hAnsi="Times New Roman"/>
          <w:b w:val="0"/>
          <w:lang w:val="lt-LT"/>
        </w:rPr>
      </w:pPr>
      <w:r w:rsidRPr="000B544A">
        <w:rPr>
          <w:rFonts w:ascii="Times New Roman" w:hAnsi="Times New Roman"/>
          <w:b w:val="0"/>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63" w:name="_Toc311718686"/>
      <w:r w:rsidR="00C53DDD">
        <w:rPr>
          <w:rFonts w:ascii="Times New Roman" w:hAnsi="Times New Roman"/>
          <w:b w:val="0"/>
          <w:noProof/>
          <w:lang w:val="lt-LT"/>
        </w:rPr>
        <w:t>20</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 </w:t>
      </w:r>
      <w:r w:rsidRPr="000B544A">
        <w:rPr>
          <w:rFonts w:ascii="Times New Roman" w:hAnsi="Times New Roman"/>
          <w:lang w:val="lt-LT"/>
        </w:rPr>
        <w:t>Dončiano kanalo indikatoriaus rezultatai su skirtingais parametrais</w:t>
      </w:r>
      <w:bookmarkEnd w:id="63"/>
    </w:p>
    <w:tbl>
      <w:tblPr>
        <w:tblW w:w="4377" w:type="dxa"/>
        <w:jc w:val="center"/>
        <w:tblInd w:w="93" w:type="dxa"/>
        <w:tblLook w:val="0000"/>
      </w:tblPr>
      <w:tblGrid>
        <w:gridCol w:w="960"/>
        <w:gridCol w:w="1169"/>
        <w:gridCol w:w="1005"/>
        <w:gridCol w:w="1243"/>
      </w:tblGrid>
      <w:tr w:rsidR="00063D05" w:rsidRPr="000B544A" w:rsidTr="00520F7B">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Nr.</w:t>
            </w:r>
          </w:p>
        </w:tc>
        <w:tc>
          <w:tcPr>
            <w:tcW w:w="1169" w:type="dxa"/>
            <w:tcBorders>
              <w:top w:val="single" w:sz="4" w:space="0" w:color="auto"/>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Parametrai</w:t>
            </w:r>
          </w:p>
        </w:tc>
        <w:tc>
          <w:tcPr>
            <w:tcW w:w="1005" w:type="dxa"/>
            <w:tcBorders>
              <w:top w:val="single" w:sz="4" w:space="0" w:color="auto"/>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Pirkimas</w:t>
            </w:r>
          </w:p>
        </w:tc>
        <w:tc>
          <w:tcPr>
            <w:tcW w:w="1243" w:type="dxa"/>
            <w:tcBorders>
              <w:top w:val="single" w:sz="4" w:space="0" w:color="auto"/>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Pardavimas</w:t>
            </w:r>
          </w:p>
        </w:tc>
      </w:tr>
      <w:tr w:rsidR="00602937" w:rsidRPr="000B544A" w:rsidTr="00520F7B">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937" w:rsidRPr="000B544A" w:rsidRDefault="00602937"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w:t>
            </w:r>
          </w:p>
        </w:tc>
        <w:tc>
          <w:tcPr>
            <w:tcW w:w="1169" w:type="dxa"/>
            <w:tcBorders>
              <w:top w:val="single" w:sz="4" w:space="0" w:color="auto"/>
              <w:left w:val="nil"/>
              <w:bottom w:val="single" w:sz="4" w:space="0" w:color="auto"/>
              <w:right w:val="single" w:sz="4" w:space="0" w:color="auto"/>
            </w:tcBorders>
            <w:shd w:val="clear" w:color="auto" w:fill="auto"/>
            <w:noWrap/>
            <w:vAlign w:val="center"/>
          </w:tcPr>
          <w:p w:rsidR="00602937" w:rsidRPr="000B544A" w:rsidRDefault="00602937"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55/55</w:t>
            </w:r>
          </w:p>
        </w:tc>
        <w:tc>
          <w:tcPr>
            <w:tcW w:w="1005" w:type="dxa"/>
            <w:tcBorders>
              <w:top w:val="single" w:sz="4" w:space="0" w:color="auto"/>
              <w:left w:val="nil"/>
              <w:bottom w:val="single" w:sz="4" w:space="0" w:color="auto"/>
              <w:right w:val="single" w:sz="4" w:space="0" w:color="auto"/>
            </w:tcBorders>
            <w:shd w:val="clear" w:color="auto" w:fill="auto"/>
            <w:noWrap/>
            <w:vAlign w:val="center"/>
          </w:tcPr>
          <w:p w:rsidR="00602937" w:rsidRPr="000B544A" w:rsidRDefault="00602937"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89,21%</w:t>
            </w:r>
          </w:p>
        </w:tc>
        <w:tc>
          <w:tcPr>
            <w:tcW w:w="1243" w:type="dxa"/>
            <w:tcBorders>
              <w:top w:val="single" w:sz="4" w:space="0" w:color="auto"/>
              <w:left w:val="nil"/>
              <w:bottom w:val="single" w:sz="4" w:space="0" w:color="auto"/>
              <w:right w:val="single" w:sz="4" w:space="0" w:color="auto"/>
            </w:tcBorders>
            <w:shd w:val="clear" w:color="auto" w:fill="auto"/>
            <w:noWrap/>
            <w:vAlign w:val="center"/>
          </w:tcPr>
          <w:p w:rsidR="00602937" w:rsidRPr="000B544A" w:rsidRDefault="00602937"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10,39%</w:t>
            </w:r>
          </w:p>
        </w:tc>
      </w:tr>
      <w:tr w:rsidR="00063D05" w:rsidRPr="000B544A" w:rsidTr="00520F7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063D05" w:rsidRPr="000B544A" w:rsidRDefault="00602937"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w:t>
            </w:r>
          </w:p>
        </w:tc>
        <w:tc>
          <w:tcPr>
            <w:tcW w:w="1169"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40/40</w:t>
            </w:r>
          </w:p>
        </w:tc>
        <w:tc>
          <w:tcPr>
            <w:tcW w:w="1005"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95,59%</w:t>
            </w:r>
          </w:p>
        </w:tc>
        <w:tc>
          <w:tcPr>
            <w:tcW w:w="1243"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51,64%</w:t>
            </w:r>
          </w:p>
        </w:tc>
      </w:tr>
      <w:tr w:rsidR="00063D05" w:rsidRPr="000B544A" w:rsidTr="00520F7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063D05" w:rsidRPr="000B544A" w:rsidRDefault="00602937"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w:t>
            </w:r>
          </w:p>
        </w:tc>
        <w:tc>
          <w:tcPr>
            <w:tcW w:w="1169"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38/38</w:t>
            </w:r>
          </w:p>
        </w:tc>
        <w:tc>
          <w:tcPr>
            <w:tcW w:w="1005"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102,89%</w:t>
            </w:r>
          </w:p>
        </w:tc>
        <w:tc>
          <w:tcPr>
            <w:tcW w:w="1243"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77,50%</w:t>
            </w:r>
          </w:p>
        </w:tc>
      </w:tr>
    </w:tbl>
    <w:p w:rsidR="0098255B" w:rsidRPr="000B544A" w:rsidRDefault="00520F7B" w:rsidP="00DA691E">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252F1D" w:rsidRPr="000B544A" w:rsidRDefault="000F3A40" w:rsidP="00DA691E">
      <w:pPr>
        <w:spacing w:after="0" w:line="360" w:lineRule="auto"/>
        <w:ind w:firstLine="567"/>
        <w:jc w:val="both"/>
        <w:rPr>
          <w:rFonts w:ascii="Times New Roman" w:hAnsi="Times New Roman"/>
          <w:lang w:val="lt-LT"/>
        </w:rPr>
      </w:pPr>
      <w:r w:rsidRPr="000B544A">
        <w:rPr>
          <w:rFonts w:ascii="Times New Roman" w:hAnsi="Times New Roman"/>
          <w:lang w:val="lt-LT"/>
        </w:rPr>
        <w:t xml:space="preserve">Lentelėje pateikti Dončiano kanalo indikatoriaus rezultatai su parametrais </w:t>
      </w:r>
      <w:r w:rsidR="00602937" w:rsidRPr="000B544A">
        <w:rPr>
          <w:rFonts w:ascii="Times New Roman" w:hAnsi="Times New Roman"/>
          <w:lang w:val="lt-LT"/>
        </w:rPr>
        <w:t>55/55, 40/40 ir 38/38. 55/55</w:t>
      </w:r>
      <w:r w:rsidRPr="000B544A">
        <w:rPr>
          <w:rFonts w:ascii="Times New Roman" w:hAnsi="Times New Roman"/>
          <w:lang w:val="lt-LT"/>
        </w:rPr>
        <w:t xml:space="preserve"> parametrai yra standartiniai, o 38/38 parametrai yra pritaikyti Baltijos šalių akcijų rinkai, tiriamam laikotarpiui. Lyginant su kitų indikatorių rezultatais</w:t>
      </w:r>
      <w:r w:rsidR="008B62A5" w:rsidRPr="000B544A">
        <w:rPr>
          <w:rFonts w:ascii="Times New Roman" w:hAnsi="Times New Roman"/>
          <w:lang w:val="lt-LT"/>
        </w:rPr>
        <w:t>,</w:t>
      </w:r>
      <w:r w:rsidRPr="000B544A">
        <w:rPr>
          <w:rFonts w:ascii="Times New Roman" w:hAnsi="Times New Roman"/>
          <w:lang w:val="lt-LT"/>
        </w:rPr>
        <w:t xml:space="preserve"> su standartiniais ir surastais geriausiais parametrais, šio indikatoriaus standartinių parametrų rezultatai mažai atsilieka nuo surastų geriausių.</w:t>
      </w:r>
    </w:p>
    <w:p w:rsidR="00DA691E" w:rsidRPr="000B544A" w:rsidRDefault="00DA691E" w:rsidP="00DA691E">
      <w:pPr>
        <w:pStyle w:val="Caption"/>
        <w:keepNext/>
        <w:jc w:val="center"/>
        <w:rPr>
          <w:rFonts w:ascii="Times New Roman" w:hAnsi="Times New Roman"/>
          <w:b w:val="0"/>
          <w:lang w:val="lt-LT"/>
        </w:rPr>
      </w:pPr>
      <w:r w:rsidRPr="000B544A">
        <w:rPr>
          <w:rFonts w:ascii="Times New Roman" w:hAnsi="Times New Roman"/>
          <w:b w:val="0"/>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64" w:name="_Toc311718687"/>
      <w:r w:rsidR="00C53DDD">
        <w:rPr>
          <w:rFonts w:ascii="Times New Roman" w:hAnsi="Times New Roman"/>
          <w:b w:val="0"/>
          <w:noProof/>
          <w:lang w:val="lt-LT"/>
        </w:rPr>
        <w:t>21</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 </w:t>
      </w:r>
      <w:r w:rsidRPr="000B544A">
        <w:rPr>
          <w:rFonts w:ascii="Times New Roman" w:hAnsi="Times New Roman"/>
          <w:lang w:val="lt-LT"/>
        </w:rPr>
        <w:t>Dončiano kanalo indikatoriaus rezultatai su geriausiais parametrais</w:t>
      </w:r>
      <w:bookmarkEnd w:id="64"/>
    </w:p>
    <w:tbl>
      <w:tblPr>
        <w:tblW w:w="7667" w:type="dxa"/>
        <w:jc w:val="center"/>
        <w:tblInd w:w="93" w:type="dxa"/>
        <w:tblLook w:val="0000"/>
      </w:tblPr>
      <w:tblGrid>
        <w:gridCol w:w="960"/>
        <w:gridCol w:w="2867"/>
        <w:gridCol w:w="1920"/>
        <w:gridCol w:w="1920"/>
      </w:tblGrid>
      <w:tr w:rsidR="00063D05" w:rsidRPr="000B544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Nr.</w:t>
            </w:r>
          </w:p>
        </w:tc>
        <w:tc>
          <w:tcPr>
            <w:tcW w:w="2867" w:type="dxa"/>
            <w:tcBorders>
              <w:top w:val="single" w:sz="4" w:space="0" w:color="auto"/>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Akcija</w:t>
            </w:r>
          </w:p>
        </w:tc>
        <w:tc>
          <w:tcPr>
            <w:tcW w:w="1920" w:type="dxa"/>
            <w:tcBorders>
              <w:top w:val="single" w:sz="4" w:space="0" w:color="auto"/>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Pirkimas</w:t>
            </w:r>
          </w:p>
        </w:tc>
        <w:tc>
          <w:tcPr>
            <w:tcW w:w="1920" w:type="dxa"/>
            <w:tcBorders>
              <w:top w:val="single" w:sz="4" w:space="0" w:color="auto"/>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Pardavimas</w:t>
            </w:r>
          </w:p>
        </w:tc>
      </w:tr>
      <w:tr w:rsidR="00063D05" w:rsidRPr="000B54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w:t>
            </w:r>
          </w:p>
        </w:tc>
        <w:tc>
          <w:tcPr>
            <w:tcW w:w="2867"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Apranga</w:t>
            </w:r>
          </w:p>
        </w:tc>
        <w:tc>
          <w:tcPr>
            <w:tcW w:w="1920"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24,86%</w:t>
            </w:r>
          </w:p>
        </w:tc>
        <w:tc>
          <w:tcPr>
            <w:tcW w:w="1920"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17,71%</w:t>
            </w:r>
          </w:p>
        </w:tc>
      </w:tr>
      <w:tr w:rsidR="00063D05" w:rsidRPr="000B54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w:t>
            </w:r>
          </w:p>
        </w:tc>
        <w:tc>
          <w:tcPr>
            <w:tcW w:w="2867"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Linas Agro Group</w:t>
            </w:r>
          </w:p>
        </w:tc>
        <w:tc>
          <w:tcPr>
            <w:tcW w:w="1920"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0,66%</w:t>
            </w:r>
          </w:p>
        </w:tc>
        <w:tc>
          <w:tcPr>
            <w:tcW w:w="1920"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8,49%</w:t>
            </w:r>
          </w:p>
        </w:tc>
      </w:tr>
      <w:tr w:rsidR="00063D05" w:rsidRPr="000B54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w:t>
            </w:r>
          </w:p>
        </w:tc>
        <w:tc>
          <w:tcPr>
            <w:tcW w:w="2867"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Nordecon AS</w:t>
            </w:r>
          </w:p>
        </w:tc>
        <w:tc>
          <w:tcPr>
            <w:tcW w:w="1920"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6,79%</w:t>
            </w:r>
          </w:p>
        </w:tc>
        <w:tc>
          <w:tcPr>
            <w:tcW w:w="1920"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25,69%</w:t>
            </w:r>
          </w:p>
        </w:tc>
      </w:tr>
      <w:tr w:rsidR="00063D05" w:rsidRPr="000B54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4</w:t>
            </w:r>
          </w:p>
        </w:tc>
        <w:tc>
          <w:tcPr>
            <w:tcW w:w="2867"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Olympic Entertainment Group</w:t>
            </w:r>
          </w:p>
        </w:tc>
        <w:tc>
          <w:tcPr>
            <w:tcW w:w="1920"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16,08%</w:t>
            </w:r>
          </w:p>
        </w:tc>
        <w:tc>
          <w:tcPr>
            <w:tcW w:w="1920"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-2,71%</w:t>
            </w:r>
          </w:p>
        </w:tc>
      </w:tr>
      <w:tr w:rsidR="00063D05" w:rsidRPr="000B54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w:t>
            </w:r>
          </w:p>
        </w:tc>
        <w:tc>
          <w:tcPr>
            <w:tcW w:w="2867"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Panevėžio statybos trestas</w:t>
            </w:r>
          </w:p>
        </w:tc>
        <w:tc>
          <w:tcPr>
            <w:tcW w:w="1920"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11,27%</w:t>
            </w:r>
          </w:p>
        </w:tc>
        <w:tc>
          <w:tcPr>
            <w:tcW w:w="1920"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16,09%</w:t>
            </w:r>
          </w:p>
        </w:tc>
      </w:tr>
      <w:tr w:rsidR="00063D05" w:rsidRPr="000B54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6</w:t>
            </w:r>
          </w:p>
        </w:tc>
        <w:tc>
          <w:tcPr>
            <w:tcW w:w="2867"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Tallink Grupp</w:t>
            </w:r>
          </w:p>
        </w:tc>
        <w:tc>
          <w:tcPr>
            <w:tcW w:w="1920"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18,55%</w:t>
            </w:r>
          </w:p>
        </w:tc>
        <w:tc>
          <w:tcPr>
            <w:tcW w:w="1920"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21,43%</w:t>
            </w:r>
          </w:p>
        </w:tc>
      </w:tr>
      <w:tr w:rsidR="00063D05" w:rsidRPr="000B54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7</w:t>
            </w:r>
          </w:p>
        </w:tc>
        <w:tc>
          <w:tcPr>
            <w:tcW w:w="2867"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TEO LT</w:t>
            </w:r>
          </w:p>
        </w:tc>
        <w:tc>
          <w:tcPr>
            <w:tcW w:w="1920"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0,16%</w:t>
            </w:r>
          </w:p>
        </w:tc>
        <w:tc>
          <w:tcPr>
            <w:tcW w:w="1920"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-2,08%</w:t>
            </w:r>
          </w:p>
        </w:tc>
      </w:tr>
      <w:tr w:rsidR="00063D05" w:rsidRPr="000B54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8</w:t>
            </w:r>
          </w:p>
        </w:tc>
        <w:tc>
          <w:tcPr>
            <w:tcW w:w="2867"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Tallinna Kaubamaja</w:t>
            </w:r>
          </w:p>
        </w:tc>
        <w:tc>
          <w:tcPr>
            <w:tcW w:w="1920"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12,80%</w:t>
            </w:r>
          </w:p>
        </w:tc>
        <w:tc>
          <w:tcPr>
            <w:tcW w:w="1920"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-9,07%</w:t>
            </w:r>
          </w:p>
        </w:tc>
      </w:tr>
      <w:tr w:rsidR="00063D05" w:rsidRPr="000B54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9</w:t>
            </w:r>
          </w:p>
        </w:tc>
        <w:tc>
          <w:tcPr>
            <w:tcW w:w="2867"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Tallinna Vesi</w:t>
            </w:r>
          </w:p>
        </w:tc>
        <w:tc>
          <w:tcPr>
            <w:tcW w:w="1920"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5,71%</w:t>
            </w:r>
          </w:p>
        </w:tc>
        <w:tc>
          <w:tcPr>
            <w:tcW w:w="1920"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3,94%</w:t>
            </w:r>
          </w:p>
        </w:tc>
      </w:tr>
      <w:tr w:rsidR="00063D05" w:rsidRPr="000B54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10</w:t>
            </w:r>
          </w:p>
        </w:tc>
        <w:tc>
          <w:tcPr>
            <w:tcW w:w="2867"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Ūkio bankas</w:t>
            </w:r>
          </w:p>
        </w:tc>
        <w:tc>
          <w:tcPr>
            <w:tcW w:w="1920"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6,00%</w:t>
            </w:r>
          </w:p>
        </w:tc>
        <w:tc>
          <w:tcPr>
            <w:tcW w:w="1920"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-1,99%</w:t>
            </w:r>
          </w:p>
        </w:tc>
      </w:tr>
      <w:tr w:rsidR="00063D05" w:rsidRPr="000B54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 </w:t>
            </w:r>
          </w:p>
        </w:tc>
        <w:tc>
          <w:tcPr>
            <w:tcW w:w="2867"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Suma</w:t>
            </w:r>
          </w:p>
        </w:tc>
        <w:tc>
          <w:tcPr>
            <w:tcW w:w="1920"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102,89%</w:t>
            </w:r>
          </w:p>
        </w:tc>
        <w:tc>
          <w:tcPr>
            <w:tcW w:w="1920" w:type="dxa"/>
            <w:tcBorders>
              <w:top w:val="nil"/>
              <w:left w:val="nil"/>
              <w:bottom w:val="single" w:sz="4" w:space="0" w:color="auto"/>
              <w:right w:val="single" w:sz="4" w:space="0" w:color="auto"/>
            </w:tcBorders>
            <w:shd w:val="clear" w:color="auto" w:fill="auto"/>
            <w:noWrap/>
            <w:vAlign w:val="center"/>
          </w:tcPr>
          <w:p w:rsidR="00063D05" w:rsidRPr="000B544A" w:rsidRDefault="00063D05" w:rsidP="00063D05">
            <w:pPr>
              <w:spacing w:after="0"/>
              <w:jc w:val="center"/>
              <w:rPr>
                <w:rFonts w:ascii="Times New Roman" w:hAnsi="Times New Roman"/>
                <w:sz w:val="22"/>
                <w:szCs w:val="22"/>
                <w:lang w:val="lt-LT" w:eastAsia="lt-LT"/>
              </w:rPr>
            </w:pPr>
            <w:r w:rsidRPr="000B544A">
              <w:rPr>
                <w:rFonts w:ascii="Times New Roman" w:hAnsi="Times New Roman"/>
                <w:sz w:val="22"/>
                <w:szCs w:val="22"/>
                <w:lang w:val="lt-LT" w:eastAsia="lt-LT"/>
              </w:rPr>
              <w:t>77,50%</w:t>
            </w:r>
          </w:p>
        </w:tc>
      </w:tr>
    </w:tbl>
    <w:p w:rsidR="00252F1D" w:rsidRPr="000B544A" w:rsidRDefault="00520F7B" w:rsidP="00DA691E">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E533D5" w:rsidRPr="000B544A" w:rsidRDefault="00447D86" w:rsidP="006A4FF0">
      <w:pPr>
        <w:spacing w:after="0" w:line="360" w:lineRule="auto"/>
        <w:ind w:firstLine="567"/>
        <w:jc w:val="both"/>
        <w:rPr>
          <w:rFonts w:ascii="Times New Roman" w:hAnsi="Times New Roman"/>
          <w:lang w:val="lt-LT"/>
        </w:rPr>
      </w:pPr>
      <w:r w:rsidRPr="000B544A">
        <w:rPr>
          <w:rFonts w:ascii="Times New Roman" w:hAnsi="Times New Roman"/>
          <w:lang w:val="lt-LT"/>
        </w:rPr>
        <w:t xml:space="preserve">Lentelėje pateikti Dončiano kanalo indikatoriaus rezultatai išskirstyti pagal akcijas. </w:t>
      </w:r>
      <w:r w:rsidR="00410CA3" w:rsidRPr="000B544A">
        <w:rPr>
          <w:rFonts w:ascii="Times New Roman" w:hAnsi="Times New Roman"/>
          <w:lang w:val="lt-LT"/>
        </w:rPr>
        <w:t>Pirkimo sandorių rezultatų suma</w:t>
      </w:r>
      <w:r w:rsidRPr="000B544A">
        <w:rPr>
          <w:rFonts w:ascii="Times New Roman" w:hAnsi="Times New Roman"/>
          <w:lang w:val="lt-LT"/>
        </w:rPr>
        <w:t xml:space="preserve"> yra </w:t>
      </w:r>
      <w:r w:rsidR="00410CA3" w:rsidRPr="000B544A">
        <w:rPr>
          <w:rFonts w:ascii="Times New Roman" w:hAnsi="Times New Roman"/>
          <w:lang w:val="lt-LT"/>
        </w:rPr>
        <w:t>teigiama su visomis akcijomis</w:t>
      </w:r>
      <w:r w:rsidRPr="000B544A">
        <w:rPr>
          <w:rFonts w:ascii="Times New Roman" w:hAnsi="Times New Roman"/>
          <w:lang w:val="lt-LT"/>
        </w:rPr>
        <w:t>. Tokio rezultato n</w:t>
      </w:r>
      <w:r w:rsidR="00410CA3" w:rsidRPr="000B544A">
        <w:rPr>
          <w:rFonts w:ascii="Times New Roman" w:hAnsi="Times New Roman"/>
          <w:lang w:val="lt-LT"/>
        </w:rPr>
        <w:t xml:space="preserve">ebuvo gauta nei viename </w:t>
      </w:r>
      <w:r w:rsidR="007702E3" w:rsidRPr="000B544A">
        <w:rPr>
          <w:rFonts w:ascii="Times New Roman" w:hAnsi="Times New Roman"/>
          <w:lang w:val="lt-LT"/>
        </w:rPr>
        <w:lastRenderedPageBreak/>
        <w:t xml:space="preserve">iš anksčiau nagrinėtų rezultatų. Pardavimo sandoriams signalai nebuvo tokie geri, kaip pirkimo sandoriams. </w:t>
      </w:r>
    </w:p>
    <w:p w:rsidR="006A4FF0" w:rsidRPr="000B544A" w:rsidRDefault="006A4FF0" w:rsidP="006A4FF0">
      <w:pPr>
        <w:spacing w:after="0" w:line="360" w:lineRule="auto"/>
        <w:ind w:firstLine="567"/>
        <w:jc w:val="both"/>
        <w:rPr>
          <w:rFonts w:ascii="Times New Roman" w:hAnsi="Times New Roman"/>
          <w:lang w:val="lt-LT"/>
        </w:rPr>
      </w:pPr>
    </w:p>
    <w:p w:rsidR="006A4FF0" w:rsidRPr="000B544A" w:rsidRDefault="006A4FF0" w:rsidP="006A4FF0">
      <w:pPr>
        <w:spacing w:after="0" w:line="360" w:lineRule="auto"/>
        <w:ind w:firstLine="567"/>
        <w:jc w:val="both"/>
        <w:rPr>
          <w:rFonts w:ascii="Times New Roman" w:hAnsi="Times New Roman"/>
          <w:lang w:val="lt-LT"/>
        </w:rPr>
      </w:pPr>
    </w:p>
    <w:p w:rsidR="006A4FF0" w:rsidRPr="000B544A" w:rsidRDefault="006A4FF0" w:rsidP="006A4FF0">
      <w:pPr>
        <w:spacing w:after="0" w:line="360" w:lineRule="auto"/>
        <w:ind w:firstLine="567"/>
        <w:jc w:val="both"/>
        <w:rPr>
          <w:rFonts w:ascii="Times New Roman" w:hAnsi="Times New Roman"/>
          <w:lang w:val="lt-LT"/>
        </w:rPr>
      </w:pPr>
    </w:p>
    <w:p w:rsidR="00E533D5" w:rsidRPr="000B544A" w:rsidRDefault="00E533D5" w:rsidP="00757EAA">
      <w:pPr>
        <w:spacing w:after="0" w:line="360" w:lineRule="auto"/>
        <w:rPr>
          <w:rFonts w:ascii="Times New Roman" w:hAnsi="Times New Roman"/>
          <w:lang w:val="lt-LT"/>
        </w:rPr>
      </w:pPr>
    </w:p>
    <w:p w:rsidR="00FE7637" w:rsidRPr="000B544A" w:rsidRDefault="00252F1D" w:rsidP="00FD008D">
      <w:pPr>
        <w:pStyle w:val="Heading1"/>
        <w:pageBreakBefore/>
        <w:jc w:val="center"/>
        <w:rPr>
          <w:rFonts w:ascii="Times New Roman" w:hAnsi="Times New Roman"/>
          <w:sz w:val="28"/>
          <w:szCs w:val="28"/>
          <w:lang w:val="lt-LT"/>
        </w:rPr>
      </w:pPr>
      <w:bookmarkStart w:id="65" w:name="_Toc165971253"/>
      <w:bookmarkStart w:id="66" w:name="_Toc312047652"/>
      <w:r w:rsidRPr="000B544A">
        <w:rPr>
          <w:rFonts w:ascii="Times New Roman" w:hAnsi="Times New Roman"/>
          <w:sz w:val="28"/>
          <w:szCs w:val="28"/>
          <w:lang w:val="lt-LT"/>
        </w:rPr>
        <w:lastRenderedPageBreak/>
        <w:t>3. TECHNINĖS ANALIZĖS METODŲ TAIKYMAS</w:t>
      </w:r>
      <w:bookmarkEnd w:id="65"/>
      <w:bookmarkEnd w:id="66"/>
    </w:p>
    <w:p w:rsidR="00055799" w:rsidRPr="000B544A" w:rsidRDefault="00055799" w:rsidP="00055799">
      <w:pPr>
        <w:spacing w:after="0" w:line="360" w:lineRule="auto"/>
        <w:ind w:firstLine="567"/>
        <w:jc w:val="both"/>
        <w:rPr>
          <w:rFonts w:ascii="Times New Roman" w:hAnsi="Times New Roman"/>
          <w:lang w:val="lt-LT"/>
        </w:rPr>
      </w:pPr>
      <w:r w:rsidRPr="000B544A">
        <w:rPr>
          <w:rFonts w:ascii="Times New Roman" w:hAnsi="Times New Roman"/>
          <w:lang w:val="lt-LT"/>
        </w:rPr>
        <w:t>Techninės analizės metodų taikymas atliekamas 10-čiai likvidžiausių Baltijos šalių akcijų rinkos akcijų 20</w:t>
      </w:r>
      <w:r w:rsidR="008B62A5" w:rsidRPr="000B544A">
        <w:rPr>
          <w:rFonts w:ascii="Times New Roman" w:hAnsi="Times New Roman"/>
          <w:lang w:val="lt-LT"/>
        </w:rPr>
        <w:t>11 m. l</w:t>
      </w:r>
      <w:r w:rsidRPr="000B544A">
        <w:rPr>
          <w:rFonts w:ascii="Times New Roman" w:hAnsi="Times New Roman"/>
          <w:lang w:val="lt-LT"/>
        </w:rPr>
        <w:t>iepos 1 d. Iš 2 skyriuje pritaikytų 10-ties indikatorių imami 4 geriausi indikatoriai su geriausiais surastais parametrais. 4 indikatoriai išrenkami iš 10</w:t>
      </w:r>
      <w:r w:rsidR="008B62A5" w:rsidRPr="000B544A">
        <w:rPr>
          <w:rFonts w:ascii="Times New Roman" w:hAnsi="Times New Roman"/>
          <w:lang w:val="lt-LT"/>
        </w:rPr>
        <w:t>,</w:t>
      </w:r>
      <w:r w:rsidRPr="000B544A">
        <w:rPr>
          <w:rFonts w:ascii="Times New Roman" w:hAnsi="Times New Roman"/>
          <w:lang w:val="lt-LT"/>
        </w:rPr>
        <w:t xml:space="preserve"> sureitinguojant juos pagal generuojamų pirkimo ir pardavimo signalų teisingumą. </w:t>
      </w:r>
    </w:p>
    <w:p w:rsidR="00055799" w:rsidRPr="000B544A" w:rsidRDefault="00055799" w:rsidP="00055799">
      <w:pPr>
        <w:spacing w:after="0" w:line="360" w:lineRule="auto"/>
        <w:ind w:firstLine="567"/>
        <w:jc w:val="both"/>
        <w:rPr>
          <w:rFonts w:ascii="Times New Roman" w:hAnsi="Times New Roman"/>
          <w:lang w:val="lt-LT"/>
        </w:rPr>
      </w:pPr>
      <w:r w:rsidRPr="000B544A">
        <w:rPr>
          <w:rFonts w:ascii="Times New Roman" w:hAnsi="Times New Roman"/>
          <w:lang w:val="lt-LT"/>
        </w:rPr>
        <w:t>4 geriausiai praeityje vei</w:t>
      </w:r>
      <w:r w:rsidR="009962AF" w:rsidRPr="000B544A">
        <w:rPr>
          <w:rFonts w:ascii="Times New Roman" w:hAnsi="Times New Roman"/>
          <w:lang w:val="lt-LT"/>
        </w:rPr>
        <w:t>kę indikatoriai naudojami inv</w:t>
      </w:r>
      <w:r w:rsidR="008B62A5" w:rsidRPr="000B544A">
        <w:rPr>
          <w:rFonts w:ascii="Times New Roman" w:hAnsi="Times New Roman"/>
          <w:lang w:val="lt-LT"/>
        </w:rPr>
        <w:t>estavimo simuliavimui. 2011 m. liepos 1 d. a</w:t>
      </w:r>
      <w:r w:rsidR="009962AF" w:rsidRPr="000B544A">
        <w:rPr>
          <w:rFonts w:ascii="Times New Roman" w:hAnsi="Times New Roman"/>
          <w:lang w:val="lt-LT"/>
        </w:rPr>
        <w:t>nalizuojami 10-ties likvidžiausių akcijų Baltijos šalių akcijų rinkoje kainų duomenys. Jei indikatoriai rodo pirkimo signalą, tai darome pirkimo įrašą, jei indikatoriai r</w:t>
      </w:r>
      <w:r w:rsidR="008B62A5" w:rsidRPr="000B544A">
        <w:rPr>
          <w:rFonts w:ascii="Times New Roman" w:hAnsi="Times New Roman"/>
          <w:lang w:val="lt-LT"/>
        </w:rPr>
        <w:t>odo pardavimo signalus, darome pard</w:t>
      </w:r>
      <w:r w:rsidR="009962AF" w:rsidRPr="000B544A">
        <w:rPr>
          <w:rFonts w:ascii="Times New Roman" w:hAnsi="Times New Roman"/>
          <w:lang w:val="lt-LT"/>
        </w:rPr>
        <w:t>avimo įrašą. Jei vienas indikatorius rodo pirkimo/pardavimo signalą, o kiti 2-3 priešingai – pardavimo/pirkimo signalą, tai daromas toks įrašas, kurį palaiko daugiau indikatorių. Jei yra vienas</w:t>
      </w:r>
      <w:r w:rsidR="006B606A" w:rsidRPr="000B544A">
        <w:rPr>
          <w:rFonts w:ascii="Times New Roman" w:hAnsi="Times New Roman"/>
          <w:lang w:val="lt-LT"/>
        </w:rPr>
        <w:t xml:space="preserve"> (du)</w:t>
      </w:r>
      <w:r w:rsidR="009962AF" w:rsidRPr="000B544A">
        <w:rPr>
          <w:rFonts w:ascii="Times New Roman" w:hAnsi="Times New Roman"/>
          <w:lang w:val="lt-LT"/>
        </w:rPr>
        <w:t xml:space="preserve"> pirkimo ir vienas</w:t>
      </w:r>
      <w:r w:rsidR="006B606A" w:rsidRPr="000B544A">
        <w:rPr>
          <w:rFonts w:ascii="Times New Roman" w:hAnsi="Times New Roman"/>
          <w:lang w:val="lt-LT"/>
        </w:rPr>
        <w:t xml:space="preserve"> (du)</w:t>
      </w:r>
      <w:r w:rsidR="009962AF" w:rsidRPr="000B544A">
        <w:rPr>
          <w:rFonts w:ascii="Times New Roman" w:hAnsi="Times New Roman"/>
          <w:lang w:val="lt-LT"/>
        </w:rPr>
        <w:t xml:space="preserve"> pardavimo signalas iš keturių indikatorių, tai nevykdomas nei pirkimas nei pardavimas</w:t>
      </w:r>
      <w:r w:rsidR="006B606A" w:rsidRPr="000B544A">
        <w:rPr>
          <w:rFonts w:ascii="Times New Roman" w:hAnsi="Times New Roman"/>
          <w:lang w:val="lt-LT"/>
        </w:rPr>
        <w:t xml:space="preserve">. </w:t>
      </w:r>
    </w:p>
    <w:p w:rsidR="006B606A" w:rsidRPr="000B544A" w:rsidRDefault="006B606A" w:rsidP="00055799">
      <w:pPr>
        <w:spacing w:after="0" w:line="360" w:lineRule="auto"/>
        <w:ind w:firstLine="567"/>
        <w:jc w:val="both"/>
        <w:rPr>
          <w:rFonts w:ascii="Times New Roman" w:hAnsi="Times New Roman"/>
          <w:lang w:val="lt-LT"/>
        </w:rPr>
      </w:pPr>
      <w:r w:rsidRPr="000B544A">
        <w:rPr>
          <w:rFonts w:ascii="Times New Roman" w:hAnsi="Times New Roman"/>
          <w:lang w:val="lt-LT"/>
        </w:rPr>
        <w:t>Atlikus prognozę ir padarius įrašus apie akcijų pirkimą ar pardavimą laukiama rezultat</w:t>
      </w:r>
      <w:r w:rsidR="008B62A5" w:rsidRPr="000B544A">
        <w:rPr>
          <w:rFonts w:ascii="Times New Roman" w:hAnsi="Times New Roman"/>
          <w:lang w:val="lt-LT"/>
        </w:rPr>
        <w:t>ų skaičiavimo dienos – 2011 m. r</w:t>
      </w:r>
      <w:r w:rsidRPr="000B544A">
        <w:rPr>
          <w:rFonts w:ascii="Times New Roman" w:hAnsi="Times New Roman"/>
          <w:lang w:val="lt-LT"/>
        </w:rPr>
        <w:t>ugsėjo 30 d. Po 3 mėnesių lyginamos akcijų kainos</w:t>
      </w:r>
      <w:r w:rsidR="008B62A5" w:rsidRPr="000B544A">
        <w:rPr>
          <w:rFonts w:ascii="Times New Roman" w:hAnsi="Times New Roman"/>
          <w:lang w:val="lt-LT"/>
        </w:rPr>
        <w:t xml:space="preserve"> tarp 2011 liepos 1 d. ir 2011 m. r</w:t>
      </w:r>
      <w:r w:rsidRPr="000B544A">
        <w:rPr>
          <w:rFonts w:ascii="Times New Roman" w:hAnsi="Times New Roman"/>
          <w:lang w:val="lt-LT"/>
        </w:rPr>
        <w:t xml:space="preserve">ugsėjo 30 d. </w:t>
      </w:r>
      <w:r w:rsidR="00D01C34" w:rsidRPr="000B544A">
        <w:rPr>
          <w:rFonts w:ascii="Times New Roman" w:hAnsi="Times New Roman"/>
          <w:lang w:val="lt-LT"/>
        </w:rPr>
        <w:t>kainų i</w:t>
      </w:r>
      <w:r w:rsidRPr="000B544A">
        <w:rPr>
          <w:rFonts w:ascii="Times New Roman" w:hAnsi="Times New Roman"/>
          <w:lang w:val="lt-LT"/>
        </w:rPr>
        <w:t xml:space="preserve">r skaičiuojamas techninės analizės indikatorių signalų teisingumas. Jei techninės analizės indikatoriai rodė pirkimo signalus ir kaina iš tiesų pakilo, tai suskaičiuojamas teigiamas procentinis kainos pokytis, jei kaina nukrito, nors buvo prognozuotas kilimas, skaičiuojamas neigiamas kainos </w:t>
      </w:r>
      <w:r w:rsidR="00D01C34" w:rsidRPr="000B544A">
        <w:rPr>
          <w:rFonts w:ascii="Times New Roman" w:hAnsi="Times New Roman"/>
          <w:lang w:val="lt-LT"/>
        </w:rPr>
        <w:t>procentinis pokytis. Jei akcijos kainai</w:t>
      </w:r>
      <w:r w:rsidRPr="000B544A">
        <w:rPr>
          <w:rFonts w:ascii="Times New Roman" w:hAnsi="Times New Roman"/>
          <w:lang w:val="lt-LT"/>
        </w:rPr>
        <w:t xml:space="preserve"> indikatoriai </w:t>
      </w:r>
      <w:r w:rsidR="00D01C34" w:rsidRPr="000B544A">
        <w:rPr>
          <w:rFonts w:ascii="Times New Roman" w:hAnsi="Times New Roman"/>
          <w:lang w:val="lt-LT"/>
        </w:rPr>
        <w:t>prognozavo kritimą ir kaina nukrito, tai skaičiuojamas teigiamas procentinis kainų skirtumas, o jei indikatoriai generavo pardavimo signalus ir akcijos kaina pakilo, tai skaičiuojamas neigiamas akcijos kainos procentinis pokytis. Sudėjus visų akcijų procentinius kainų pokyčius pagal prognozes gaunamas bendras indikatorių generuojamų signalų teisingumas.</w:t>
      </w:r>
    </w:p>
    <w:p w:rsidR="00FE7637" w:rsidRPr="000B544A" w:rsidRDefault="00E43745" w:rsidP="00757EAA">
      <w:pPr>
        <w:pStyle w:val="Heading2"/>
        <w:spacing w:line="360" w:lineRule="auto"/>
        <w:rPr>
          <w:rFonts w:ascii="Times New Roman" w:hAnsi="Times New Roman"/>
          <w:color w:val="auto"/>
          <w:lang w:val="lt-LT"/>
        </w:rPr>
      </w:pPr>
      <w:bookmarkStart w:id="67" w:name="_Toc312047653"/>
      <w:r w:rsidRPr="000B544A">
        <w:rPr>
          <w:rFonts w:ascii="Times New Roman" w:hAnsi="Times New Roman"/>
          <w:color w:val="auto"/>
          <w:lang w:val="lt-LT"/>
        </w:rPr>
        <w:t xml:space="preserve">3.1 </w:t>
      </w:r>
      <w:r w:rsidR="00FE7637" w:rsidRPr="000B544A">
        <w:rPr>
          <w:rFonts w:ascii="Times New Roman" w:hAnsi="Times New Roman"/>
          <w:color w:val="auto"/>
          <w:lang w:val="lt-LT"/>
        </w:rPr>
        <w:t xml:space="preserve">Techninės analizės indikatorių </w:t>
      </w:r>
      <w:r w:rsidRPr="000B544A">
        <w:rPr>
          <w:rFonts w:ascii="Times New Roman" w:hAnsi="Times New Roman"/>
          <w:color w:val="auto"/>
          <w:lang w:val="lt-LT"/>
        </w:rPr>
        <w:t>reitingavimas</w:t>
      </w:r>
      <w:r w:rsidR="00FE7637" w:rsidRPr="000B544A">
        <w:rPr>
          <w:rFonts w:ascii="Times New Roman" w:hAnsi="Times New Roman"/>
          <w:color w:val="auto"/>
          <w:lang w:val="lt-LT"/>
        </w:rPr>
        <w:t xml:space="preserve"> pagal jų tinkamumą</w:t>
      </w:r>
      <w:r w:rsidR="00836AD9" w:rsidRPr="000B544A">
        <w:rPr>
          <w:rFonts w:ascii="Times New Roman" w:hAnsi="Times New Roman"/>
          <w:color w:val="auto"/>
          <w:lang w:val="lt-LT"/>
        </w:rPr>
        <w:t xml:space="preserve"> NASDAQ OMX Baltic akcijų </w:t>
      </w:r>
      <w:r w:rsidR="00155D3E" w:rsidRPr="000B544A">
        <w:rPr>
          <w:rFonts w:ascii="Times New Roman" w:hAnsi="Times New Roman"/>
          <w:color w:val="auto"/>
          <w:lang w:val="lt-LT"/>
        </w:rPr>
        <w:t>rinkai</w:t>
      </w:r>
      <w:bookmarkEnd w:id="67"/>
    </w:p>
    <w:p w:rsidR="00FE7637" w:rsidRPr="000B544A" w:rsidRDefault="00FE7637" w:rsidP="00FE7637">
      <w:pPr>
        <w:spacing w:after="0" w:line="360" w:lineRule="auto"/>
        <w:ind w:firstLine="567"/>
        <w:jc w:val="both"/>
        <w:rPr>
          <w:rFonts w:ascii="Times New Roman" w:hAnsi="Times New Roman"/>
          <w:lang w:val="lt-LT"/>
        </w:rPr>
      </w:pPr>
      <w:r w:rsidRPr="000B544A">
        <w:rPr>
          <w:rFonts w:ascii="Times New Roman" w:hAnsi="Times New Roman"/>
          <w:lang w:val="lt-LT"/>
        </w:rPr>
        <w:t>Pritaikant 10 techninės analizės indikatorių NASDAQ OMX Baltic akcijų biržai</w:t>
      </w:r>
      <w:r w:rsidR="008B62A5" w:rsidRPr="000B544A">
        <w:rPr>
          <w:rFonts w:ascii="Times New Roman" w:hAnsi="Times New Roman"/>
          <w:lang w:val="lt-LT"/>
        </w:rPr>
        <w:t>,</w:t>
      </w:r>
      <w:r w:rsidRPr="000B544A">
        <w:rPr>
          <w:rFonts w:ascii="Times New Roman" w:hAnsi="Times New Roman"/>
          <w:lang w:val="lt-LT"/>
        </w:rPr>
        <w:t xml:space="preserve"> suskaičiuoti indikatorių rezultatai</w:t>
      </w:r>
      <w:r w:rsidR="00D87739" w:rsidRPr="000B544A">
        <w:rPr>
          <w:rFonts w:ascii="Times New Roman" w:hAnsi="Times New Roman"/>
          <w:lang w:val="lt-LT"/>
        </w:rPr>
        <w:t>, kurie buvo gauti suskaičiavus indikatorių generuojamų signalų teisi</w:t>
      </w:r>
      <w:r w:rsidR="008B62A5" w:rsidRPr="000B544A">
        <w:rPr>
          <w:rFonts w:ascii="Times New Roman" w:hAnsi="Times New Roman"/>
          <w:lang w:val="lt-LT"/>
        </w:rPr>
        <w:t>ngumą laikotarpyje nuo 2010 m. v</w:t>
      </w:r>
      <w:r w:rsidR="00D87739" w:rsidRPr="000B544A">
        <w:rPr>
          <w:rFonts w:ascii="Times New Roman" w:hAnsi="Times New Roman"/>
          <w:lang w:val="lt-LT"/>
        </w:rPr>
        <w:t xml:space="preserve">asario 17 d. iki </w:t>
      </w:r>
      <w:smartTag w:uri="urn:schemas-microsoft-com:office:smarttags" w:element="metricconverter">
        <w:smartTagPr>
          <w:attr w:name="ProductID" w:val="2011 m"/>
        </w:smartTagPr>
        <w:r w:rsidR="00D87739" w:rsidRPr="000B544A">
          <w:rPr>
            <w:rFonts w:ascii="Times New Roman" w:hAnsi="Times New Roman"/>
            <w:lang w:val="lt-LT"/>
          </w:rPr>
          <w:t>2011 m</w:t>
        </w:r>
      </w:smartTag>
      <w:r w:rsidR="008B62A5" w:rsidRPr="000B544A">
        <w:rPr>
          <w:rFonts w:ascii="Times New Roman" w:hAnsi="Times New Roman"/>
          <w:lang w:val="lt-LT"/>
        </w:rPr>
        <w:t>. b</w:t>
      </w:r>
      <w:r w:rsidR="00D87739" w:rsidRPr="000B544A">
        <w:rPr>
          <w:rFonts w:ascii="Times New Roman" w:hAnsi="Times New Roman"/>
          <w:lang w:val="lt-LT"/>
        </w:rPr>
        <w:t xml:space="preserve">alandžio 14 d. </w:t>
      </w:r>
      <w:r w:rsidRPr="000B544A">
        <w:rPr>
          <w:rFonts w:ascii="Times New Roman" w:hAnsi="Times New Roman"/>
          <w:lang w:val="lt-LT"/>
        </w:rPr>
        <w:t>Pagal šiuo</w:t>
      </w:r>
      <w:r w:rsidR="00E13D7C" w:rsidRPr="000B544A">
        <w:rPr>
          <w:rFonts w:ascii="Times New Roman" w:hAnsi="Times New Roman"/>
          <w:lang w:val="lt-LT"/>
        </w:rPr>
        <w:t>s</w:t>
      </w:r>
      <w:r w:rsidRPr="000B544A">
        <w:rPr>
          <w:rFonts w:ascii="Times New Roman" w:hAnsi="Times New Roman"/>
          <w:lang w:val="lt-LT"/>
        </w:rPr>
        <w:t xml:space="preserve"> rezultatus galima sureitinguoti indikatorius pagal jų signalų kokybę. </w:t>
      </w:r>
      <w:r w:rsidR="00B11B4A" w:rsidRPr="000B544A">
        <w:rPr>
          <w:rFonts w:ascii="Times New Roman" w:hAnsi="Times New Roman"/>
          <w:lang w:val="lt-LT"/>
        </w:rPr>
        <w:t>Indikatoriai reitinguojami pagal pirkimo signalų kokybę ir pagal pardavimo signalų kokybę. Pirmiausiai sunumeruojami indikatoriai nuo 1 iki 11 pagal pirkimo signalų kokybę. Kuo geresnė signalų kokybė, tuo daugiau būtų galima uždirbti investuojant</w:t>
      </w:r>
      <w:r w:rsidR="008B62A5" w:rsidRPr="000B544A">
        <w:rPr>
          <w:rFonts w:ascii="Times New Roman" w:hAnsi="Times New Roman"/>
          <w:lang w:val="lt-LT"/>
        </w:rPr>
        <w:t>,</w:t>
      </w:r>
      <w:r w:rsidR="00B11B4A" w:rsidRPr="000B544A">
        <w:rPr>
          <w:rFonts w:ascii="Times New Roman" w:hAnsi="Times New Roman"/>
          <w:lang w:val="lt-LT"/>
        </w:rPr>
        <w:t xml:space="preserve"> vadovaujantis indikatoriaus generuojamais signalais. </w:t>
      </w:r>
      <w:r w:rsidR="00E13D7C" w:rsidRPr="000B544A">
        <w:rPr>
          <w:rFonts w:ascii="Times New Roman" w:hAnsi="Times New Roman"/>
          <w:lang w:val="lt-LT"/>
        </w:rPr>
        <w:t>„</w:t>
      </w:r>
      <w:r w:rsidR="00B11B4A" w:rsidRPr="000B544A">
        <w:rPr>
          <w:rFonts w:ascii="Times New Roman" w:hAnsi="Times New Roman"/>
          <w:lang w:val="lt-LT"/>
        </w:rPr>
        <w:t>1</w:t>
      </w:r>
      <w:r w:rsidR="00E13D7C" w:rsidRPr="000B544A">
        <w:rPr>
          <w:rFonts w:ascii="Times New Roman" w:hAnsi="Times New Roman"/>
          <w:lang w:val="lt-LT"/>
        </w:rPr>
        <w:t>“</w:t>
      </w:r>
      <w:r w:rsidR="00B11B4A" w:rsidRPr="000B544A">
        <w:rPr>
          <w:rFonts w:ascii="Times New Roman" w:hAnsi="Times New Roman"/>
          <w:lang w:val="lt-LT"/>
        </w:rPr>
        <w:t xml:space="preserve"> rašomas prie teisingiausius pirkimo signalus generavusio indikatoriaus (didžiausias skaičius</w:t>
      </w:r>
      <w:r w:rsidR="00E13D7C" w:rsidRPr="000B544A">
        <w:rPr>
          <w:rFonts w:ascii="Times New Roman" w:hAnsi="Times New Roman"/>
          <w:lang w:val="lt-LT"/>
        </w:rPr>
        <w:t xml:space="preserve"> 22</w:t>
      </w:r>
      <w:r w:rsidR="00B11B4A" w:rsidRPr="000B544A">
        <w:rPr>
          <w:rFonts w:ascii="Times New Roman" w:hAnsi="Times New Roman"/>
          <w:lang w:val="lt-LT"/>
        </w:rPr>
        <w:t xml:space="preserve"> lentelės skiltyje „Pirkimas“</w:t>
      </w:r>
      <w:r w:rsidR="00E13D7C" w:rsidRPr="000B544A">
        <w:rPr>
          <w:rFonts w:ascii="Times New Roman" w:hAnsi="Times New Roman"/>
          <w:lang w:val="lt-LT"/>
        </w:rPr>
        <w:t>). „</w:t>
      </w:r>
      <w:r w:rsidR="00B11B4A" w:rsidRPr="000B544A">
        <w:rPr>
          <w:rFonts w:ascii="Times New Roman" w:hAnsi="Times New Roman"/>
          <w:lang w:val="lt-LT"/>
        </w:rPr>
        <w:t>11</w:t>
      </w:r>
      <w:r w:rsidR="00E13D7C" w:rsidRPr="000B544A">
        <w:rPr>
          <w:rFonts w:ascii="Times New Roman" w:hAnsi="Times New Roman"/>
          <w:lang w:val="lt-LT"/>
        </w:rPr>
        <w:t>“</w:t>
      </w:r>
      <w:r w:rsidR="00B11B4A" w:rsidRPr="000B544A">
        <w:rPr>
          <w:rFonts w:ascii="Times New Roman" w:hAnsi="Times New Roman"/>
          <w:lang w:val="lt-LT"/>
        </w:rPr>
        <w:t xml:space="preserve"> rašomas prie neteisingiausius sign</w:t>
      </w:r>
      <w:r w:rsidR="00E13D7C" w:rsidRPr="000B544A">
        <w:rPr>
          <w:rFonts w:ascii="Times New Roman" w:hAnsi="Times New Roman"/>
          <w:lang w:val="lt-LT"/>
        </w:rPr>
        <w:t xml:space="preserve">alus generavusio indikatoriaus (mažiausias skaičius 22 lentelės skiltyje „Pirkimas“). Indikatoriai sunumeruojami ir pagal pardavimo signalų teisingumą. Kaip ir pirkimo reitinge, taip ir pardavimo reitinge „1“ rašoma prie didžiausią skaičių 22 lentelėje, skiltyje </w:t>
      </w:r>
      <w:r w:rsidR="00E13D7C" w:rsidRPr="000B544A">
        <w:rPr>
          <w:rFonts w:ascii="Times New Roman" w:hAnsi="Times New Roman"/>
          <w:lang w:val="lt-LT"/>
        </w:rPr>
        <w:lastRenderedPageBreak/>
        <w:t>„Pardavimas“</w:t>
      </w:r>
      <w:r w:rsidR="008B62A5" w:rsidRPr="000B544A">
        <w:rPr>
          <w:rFonts w:ascii="Times New Roman" w:hAnsi="Times New Roman"/>
          <w:lang w:val="lt-LT"/>
        </w:rPr>
        <w:t>,</w:t>
      </w:r>
      <w:r w:rsidR="00E13D7C" w:rsidRPr="000B544A">
        <w:rPr>
          <w:rFonts w:ascii="Times New Roman" w:hAnsi="Times New Roman"/>
          <w:lang w:val="lt-LT"/>
        </w:rPr>
        <w:t xml:space="preserve"> turinčio indikatoriaus. „11“ rašoma prie mažiausią skaičių 22 lentelėje, skiltyje „Pardavimas“</w:t>
      </w:r>
      <w:r w:rsidR="008B62A5" w:rsidRPr="000B544A">
        <w:rPr>
          <w:rFonts w:ascii="Times New Roman" w:hAnsi="Times New Roman"/>
          <w:lang w:val="lt-LT"/>
        </w:rPr>
        <w:t>,</w:t>
      </w:r>
      <w:r w:rsidR="00E13D7C" w:rsidRPr="000B544A">
        <w:rPr>
          <w:rFonts w:ascii="Times New Roman" w:hAnsi="Times New Roman"/>
          <w:lang w:val="lt-LT"/>
        </w:rPr>
        <w:t xml:space="preserve"> turinčio </w:t>
      </w:r>
      <w:r w:rsidR="00F41893" w:rsidRPr="000B544A">
        <w:rPr>
          <w:rFonts w:ascii="Times New Roman" w:hAnsi="Times New Roman"/>
          <w:lang w:val="lt-LT"/>
        </w:rPr>
        <w:t>indikatoriaus</w:t>
      </w:r>
      <w:r w:rsidR="00E13D7C" w:rsidRPr="000B544A">
        <w:rPr>
          <w:rFonts w:ascii="Times New Roman" w:hAnsi="Times New Roman"/>
          <w:lang w:val="lt-LT"/>
        </w:rPr>
        <w:t>. Bendras reitingas sudarytas pagal pirkimo ir pardavimo reitingus. Sudėjus pirkimo reitingą su pardavimo reitingu gautas bendras reitingas.</w:t>
      </w:r>
      <w:r w:rsidR="0051228A" w:rsidRPr="000B544A">
        <w:rPr>
          <w:rFonts w:ascii="Times New Roman" w:hAnsi="Times New Roman"/>
          <w:lang w:val="lt-LT"/>
        </w:rPr>
        <w:t xml:space="preserve"> Indikatoriaus vieta nustatoma pagal bendrą reitingą. Kuo mažesnis bendras reitingas, tuo aukštesnė indikatoriaus vieta. </w:t>
      </w:r>
    </w:p>
    <w:p w:rsidR="00DA691E" w:rsidRPr="000B544A" w:rsidRDefault="00DA691E" w:rsidP="00DA691E">
      <w:pPr>
        <w:pStyle w:val="Caption"/>
        <w:keepNext/>
        <w:jc w:val="center"/>
        <w:rPr>
          <w:rFonts w:ascii="Times New Roman" w:hAnsi="Times New Roman"/>
          <w:b w:val="0"/>
          <w:lang w:val="lt-LT"/>
        </w:rPr>
      </w:pPr>
      <w:r w:rsidRPr="000B544A">
        <w:rPr>
          <w:rFonts w:ascii="Times New Roman" w:hAnsi="Times New Roman"/>
          <w:b w:val="0"/>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68" w:name="_Toc311718688"/>
      <w:r w:rsidR="00C53DDD">
        <w:rPr>
          <w:rFonts w:ascii="Times New Roman" w:hAnsi="Times New Roman"/>
          <w:b w:val="0"/>
          <w:noProof/>
          <w:lang w:val="lt-LT"/>
        </w:rPr>
        <w:t>22</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 </w:t>
      </w:r>
      <w:r w:rsidRPr="000B544A">
        <w:rPr>
          <w:rFonts w:ascii="Times New Roman" w:hAnsi="Times New Roman"/>
          <w:lang w:val="lt-LT"/>
        </w:rPr>
        <w:t>Techninės analizės metodų reitingas</w:t>
      </w:r>
      <w:bookmarkEnd w:id="68"/>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
        <w:gridCol w:w="1280"/>
        <w:gridCol w:w="1169"/>
        <w:gridCol w:w="1005"/>
        <w:gridCol w:w="1243"/>
        <w:gridCol w:w="974"/>
        <w:gridCol w:w="1170"/>
        <w:gridCol w:w="974"/>
        <w:gridCol w:w="693"/>
      </w:tblGrid>
      <w:tr w:rsidR="00FE7637" w:rsidRPr="000B544A" w:rsidTr="003F4996">
        <w:trPr>
          <w:trHeight w:val="585"/>
          <w:jc w:val="center"/>
        </w:trPr>
        <w:tc>
          <w:tcPr>
            <w:tcW w:w="426" w:type="dxa"/>
            <w:shd w:val="clear" w:color="auto" w:fill="auto"/>
            <w:vAlign w:val="center"/>
          </w:tcPr>
          <w:p w:rsidR="00FE7637" w:rsidRPr="000B544A" w:rsidRDefault="00FE7637"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Nr.</w:t>
            </w:r>
          </w:p>
        </w:tc>
        <w:tc>
          <w:tcPr>
            <w:tcW w:w="1083" w:type="dxa"/>
            <w:shd w:val="clear" w:color="auto" w:fill="auto"/>
            <w:vAlign w:val="center"/>
          </w:tcPr>
          <w:p w:rsidR="00FE7637" w:rsidRPr="000B544A" w:rsidRDefault="00FE7637"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Indikatorius</w:t>
            </w:r>
          </w:p>
        </w:tc>
        <w:tc>
          <w:tcPr>
            <w:tcW w:w="989" w:type="dxa"/>
            <w:shd w:val="clear" w:color="auto" w:fill="auto"/>
            <w:vAlign w:val="center"/>
          </w:tcPr>
          <w:p w:rsidR="00FE7637" w:rsidRPr="000B544A" w:rsidRDefault="00FE7637"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Parametrai</w:t>
            </w:r>
          </w:p>
        </w:tc>
        <w:tc>
          <w:tcPr>
            <w:tcW w:w="850" w:type="dxa"/>
            <w:shd w:val="clear" w:color="auto" w:fill="auto"/>
            <w:vAlign w:val="center"/>
          </w:tcPr>
          <w:p w:rsidR="00FE7637" w:rsidRPr="000B544A" w:rsidRDefault="00FE7637"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Pirkimas</w:t>
            </w:r>
          </w:p>
        </w:tc>
        <w:tc>
          <w:tcPr>
            <w:tcW w:w="1051" w:type="dxa"/>
            <w:shd w:val="clear" w:color="auto" w:fill="auto"/>
            <w:vAlign w:val="center"/>
          </w:tcPr>
          <w:p w:rsidR="00FE7637" w:rsidRPr="000B544A" w:rsidRDefault="00FE7637"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Pardavimas</w:t>
            </w:r>
          </w:p>
        </w:tc>
        <w:tc>
          <w:tcPr>
            <w:tcW w:w="824" w:type="dxa"/>
            <w:shd w:val="clear" w:color="auto" w:fill="auto"/>
            <w:vAlign w:val="center"/>
          </w:tcPr>
          <w:p w:rsidR="00FE7637" w:rsidRPr="000B544A" w:rsidRDefault="00FE7637"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Pirkimo reitingas</w:t>
            </w:r>
          </w:p>
        </w:tc>
        <w:tc>
          <w:tcPr>
            <w:tcW w:w="990" w:type="dxa"/>
            <w:shd w:val="clear" w:color="auto" w:fill="auto"/>
            <w:vAlign w:val="center"/>
          </w:tcPr>
          <w:p w:rsidR="00FE7637" w:rsidRPr="000B544A" w:rsidRDefault="00FE7637"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Pardavimo reitingas</w:t>
            </w:r>
          </w:p>
        </w:tc>
        <w:tc>
          <w:tcPr>
            <w:tcW w:w="824" w:type="dxa"/>
            <w:shd w:val="clear" w:color="auto" w:fill="auto"/>
            <w:vAlign w:val="center"/>
          </w:tcPr>
          <w:p w:rsidR="00FE7637" w:rsidRPr="000B544A" w:rsidRDefault="00FE7637"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Bendras reitingas</w:t>
            </w:r>
          </w:p>
        </w:tc>
        <w:tc>
          <w:tcPr>
            <w:tcW w:w="586" w:type="dxa"/>
            <w:shd w:val="clear" w:color="auto" w:fill="auto"/>
            <w:vAlign w:val="center"/>
          </w:tcPr>
          <w:p w:rsidR="00FE7637" w:rsidRPr="000B544A" w:rsidRDefault="00FE7637"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Vieta</w:t>
            </w:r>
          </w:p>
        </w:tc>
      </w:tr>
      <w:tr w:rsidR="00FE7637" w:rsidRPr="000B544A" w:rsidTr="003F4996">
        <w:trPr>
          <w:trHeight w:val="282"/>
          <w:jc w:val="center"/>
        </w:trPr>
        <w:tc>
          <w:tcPr>
            <w:tcW w:w="426" w:type="dxa"/>
            <w:shd w:val="clear" w:color="auto" w:fill="auto"/>
            <w:vAlign w:val="center"/>
          </w:tcPr>
          <w:p w:rsidR="00FE7637" w:rsidRPr="000B544A" w:rsidRDefault="00FE7637"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w:t>
            </w:r>
          </w:p>
        </w:tc>
        <w:tc>
          <w:tcPr>
            <w:tcW w:w="1083" w:type="dxa"/>
            <w:shd w:val="clear" w:color="auto" w:fill="auto"/>
            <w:vAlign w:val="center"/>
          </w:tcPr>
          <w:p w:rsidR="00FE7637" w:rsidRPr="000B544A" w:rsidRDefault="00871496"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BJ</w:t>
            </w:r>
          </w:p>
        </w:tc>
        <w:tc>
          <w:tcPr>
            <w:tcW w:w="989" w:type="dxa"/>
            <w:shd w:val="clear" w:color="auto" w:fill="auto"/>
            <w:vAlign w:val="center"/>
          </w:tcPr>
          <w:p w:rsidR="00FE7637"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10/1,8</w:t>
            </w:r>
          </w:p>
        </w:tc>
        <w:tc>
          <w:tcPr>
            <w:tcW w:w="850" w:type="dxa"/>
            <w:shd w:val="clear" w:color="auto" w:fill="auto"/>
            <w:vAlign w:val="center"/>
          </w:tcPr>
          <w:p w:rsidR="00FE7637"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23,38%</w:t>
            </w:r>
          </w:p>
        </w:tc>
        <w:tc>
          <w:tcPr>
            <w:tcW w:w="1051" w:type="dxa"/>
            <w:shd w:val="clear" w:color="auto" w:fill="auto"/>
            <w:vAlign w:val="center"/>
          </w:tcPr>
          <w:p w:rsidR="00FE7637"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13,43%</w:t>
            </w:r>
          </w:p>
        </w:tc>
        <w:tc>
          <w:tcPr>
            <w:tcW w:w="824" w:type="dxa"/>
            <w:shd w:val="clear" w:color="auto" w:fill="auto"/>
            <w:vAlign w:val="center"/>
          </w:tcPr>
          <w:p w:rsidR="00FE7637"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10</w:t>
            </w:r>
          </w:p>
        </w:tc>
        <w:tc>
          <w:tcPr>
            <w:tcW w:w="990" w:type="dxa"/>
            <w:shd w:val="clear" w:color="auto" w:fill="auto"/>
            <w:vAlign w:val="center"/>
          </w:tcPr>
          <w:p w:rsidR="00FE7637"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7</w:t>
            </w:r>
          </w:p>
        </w:tc>
        <w:tc>
          <w:tcPr>
            <w:tcW w:w="824" w:type="dxa"/>
            <w:shd w:val="clear" w:color="auto" w:fill="auto"/>
            <w:vAlign w:val="center"/>
          </w:tcPr>
          <w:p w:rsidR="00FE7637"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17</w:t>
            </w:r>
          </w:p>
        </w:tc>
        <w:tc>
          <w:tcPr>
            <w:tcW w:w="586" w:type="dxa"/>
            <w:shd w:val="clear" w:color="auto" w:fill="auto"/>
            <w:vAlign w:val="center"/>
          </w:tcPr>
          <w:p w:rsidR="00FE7637"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10</w:t>
            </w:r>
          </w:p>
        </w:tc>
      </w:tr>
      <w:tr w:rsidR="00450304" w:rsidRPr="000B544A" w:rsidTr="003F4996">
        <w:trPr>
          <w:trHeight w:val="292"/>
          <w:jc w:val="center"/>
        </w:trPr>
        <w:tc>
          <w:tcPr>
            <w:tcW w:w="426"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2</w:t>
            </w:r>
          </w:p>
        </w:tc>
        <w:tc>
          <w:tcPr>
            <w:tcW w:w="1083" w:type="dxa"/>
            <w:shd w:val="clear" w:color="auto" w:fill="auto"/>
            <w:vAlign w:val="center"/>
          </w:tcPr>
          <w:p w:rsidR="00450304" w:rsidRPr="000B544A" w:rsidRDefault="00871496"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SVKD</w:t>
            </w:r>
          </w:p>
        </w:tc>
        <w:tc>
          <w:tcPr>
            <w:tcW w:w="989"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12/26/9</w:t>
            </w:r>
          </w:p>
        </w:tc>
        <w:tc>
          <w:tcPr>
            <w:tcW w:w="850"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52,10%</w:t>
            </w:r>
          </w:p>
        </w:tc>
        <w:tc>
          <w:tcPr>
            <w:tcW w:w="1051"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-26,08%</w:t>
            </w:r>
          </w:p>
        </w:tc>
        <w:tc>
          <w:tcPr>
            <w:tcW w:w="824"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8</w:t>
            </w:r>
          </w:p>
        </w:tc>
        <w:tc>
          <w:tcPr>
            <w:tcW w:w="990"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10</w:t>
            </w:r>
          </w:p>
        </w:tc>
        <w:tc>
          <w:tcPr>
            <w:tcW w:w="824"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18</w:t>
            </w:r>
          </w:p>
        </w:tc>
        <w:tc>
          <w:tcPr>
            <w:tcW w:w="586"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11</w:t>
            </w:r>
          </w:p>
        </w:tc>
      </w:tr>
      <w:tr w:rsidR="00450304" w:rsidRPr="000B544A" w:rsidTr="003F4996">
        <w:trPr>
          <w:trHeight w:val="292"/>
          <w:jc w:val="center"/>
        </w:trPr>
        <w:tc>
          <w:tcPr>
            <w:tcW w:w="426"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3</w:t>
            </w:r>
          </w:p>
        </w:tc>
        <w:tc>
          <w:tcPr>
            <w:tcW w:w="1083" w:type="dxa"/>
            <w:shd w:val="clear" w:color="auto" w:fill="auto"/>
            <w:vAlign w:val="center"/>
          </w:tcPr>
          <w:p w:rsidR="00450304" w:rsidRPr="000B544A" w:rsidRDefault="00871496"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LJI</w:t>
            </w:r>
          </w:p>
        </w:tc>
        <w:tc>
          <w:tcPr>
            <w:tcW w:w="989"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14/68</w:t>
            </w:r>
          </w:p>
        </w:tc>
        <w:tc>
          <w:tcPr>
            <w:tcW w:w="850"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23,56%</w:t>
            </w:r>
          </w:p>
        </w:tc>
        <w:tc>
          <w:tcPr>
            <w:tcW w:w="1051"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16,00%</w:t>
            </w:r>
          </w:p>
        </w:tc>
        <w:tc>
          <w:tcPr>
            <w:tcW w:w="824"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9</w:t>
            </w:r>
          </w:p>
        </w:tc>
        <w:tc>
          <w:tcPr>
            <w:tcW w:w="990"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6</w:t>
            </w:r>
          </w:p>
        </w:tc>
        <w:tc>
          <w:tcPr>
            <w:tcW w:w="824"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15</w:t>
            </w:r>
          </w:p>
        </w:tc>
        <w:tc>
          <w:tcPr>
            <w:tcW w:w="586"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8-9</w:t>
            </w:r>
          </w:p>
        </w:tc>
      </w:tr>
      <w:tr w:rsidR="00450304" w:rsidRPr="000B544A" w:rsidTr="003F4996">
        <w:trPr>
          <w:trHeight w:val="292"/>
          <w:jc w:val="center"/>
        </w:trPr>
        <w:tc>
          <w:tcPr>
            <w:tcW w:w="426"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4</w:t>
            </w:r>
          </w:p>
        </w:tc>
        <w:tc>
          <w:tcPr>
            <w:tcW w:w="1083" w:type="dxa"/>
            <w:shd w:val="clear" w:color="auto" w:fill="auto"/>
            <w:vAlign w:val="center"/>
          </w:tcPr>
          <w:p w:rsidR="00450304" w:rsidRPr="000B544A" w:rsidRDefault="00871496"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ESV</w:t>
            </w:r>
          </w:p>
        </w:tc>
        <w:tc>
          <w:tcPr>
            <w:tcW w:w="989"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34</w:t>
            </w:r>
          </w:p>
        </w:tc>
        <w:tc>
          <w:tcPr>
            <w:tcW w:w="850"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236,11%</w:t>
            </w:r>
          </w:p>
        </w:tc>
        <w:tc>
          <w:tcPr>
            <w:tcW w:w="1051"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-64,00%</w:t>
            </w:r>
          </w:p>
        </w:tc>
        <w:tc>
          <w:tcPr>
            <w:tcW w:w="824"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2</w:t>
            </w:r>
          </w:p>
        </w:tc>
        <w:tc>
          <w:tcPr>
            <w:tcW w:w="990"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11</w:t>
            </w:r>
          </w:p>
        </w:tc>
        <w:tc>
          <w:tcPr>
            <w:tcW w:w="824"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13</w:t>
            </w:r>
          </w:p>
        </w:tc>
        <w:tc>
          <w:tcPr>
            <w:tcW w:w="586"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5-7</w:t>
            </w:r>
          </w:p>
        </w:tc>
      </w:tr>
      <w:tr w:rsidR="00450304" w:rsidRPr="000B544A" w:rsidTr="003F4996">
        <w:trPr>
          <w:trHeight w:val="282"/>
          <w:jc w:val="center"/>
        </w:trPr>
        <w:tc>
          <w:tcPr>
            <w:tcW w:w="426"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5</w:t>
            </w:r>
          </w:p>
        </w:tc>
        <w:tc>
          <w:tcPr>
            <w:tcW w:w="1083" w:type="dxa"/>
            <w:shd w:val="clear" w:color="auto" w:fill="auto"/>
            <w:vAlign w:val="center"/>
          </w:tcPr>
          <w:p w:rsidR="00450304" w:rsidRPr="000B544A" w:rsidRDefault="00871496"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PSV</w:t>
            </w:r>
          </w:p>
        </w:tc>
        <w:tc>
          <w:tcPr>
            <w:tcW w:w="989"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30</w:t>
            </w:r>
          </w:p>
        </w:tc>
        <w:tc>
          <w:tcPr>
            <w:tcW w:w="850"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156,85%</w:t>
            </w:r>
          </w:p>
        </w:tc>
        <w:tc>
          <w:tcPr>
            <w:tcW w:w="1051"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73,65%</w:t>
            </w:r>
          </w:p>
        </w:tc>
        <w:tc>
          <w:tcPr>
            <w:tcW w:w="824"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3</w:t>
            </w:r>
          </w:p>
        </w:tc>
        <w:tc>
          <w:tcPr>
            <w:tcW w:w="990"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5</w:t>
            </w:r>
          </w:p>
        </w:tc>
        <w:tc>
          <w:tcPr>
            <w:tcW w:w="824"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8</w:t>
            </w:r>
          </w:p>
        </w:tc>
        <w:tc>
          <w:tcPr>
            <w:tcW w:w="586"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3</w:t>
            </w:r>
          </w:p>
        </w:tc>
      </w:tr>
      <w:tr w:rsidR="00450304" w:rsidRPr="000B544A" w:rsidTr="003F4996">
        <w:trPr>
          <w:trHeight w:val="292"/>
          <w:jc w:val="center"/>
        </w:trPr>
        <w:tc>
          <w:tcPr>
            <w:tcW w:w="426"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6</w:t>
            </w:r>
          </w:p>
        </w:tc>
        <w:tc>
          <w:tcPr>
            <w:tcW w:w="1083" w:type="dxa"/>
            <w:shd w:val="clear" w:color="auto" w:fill="auto"/>
            <w:vAlign w:val="center"/>
          </w:tcPr>
          <w:p w:rsidR="00450304" w:rsidRPr="000B544A" w:rsidRDefault="00871496"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PI</w:t>
            </w:r>
          </w:p>
        </w:tc>
        <w:tc>
          <w:tcPr>
            <w:tcW w:w="989"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9</w:t>
            </w:r>
          </w:p>
        </w:tc>
        <w:tc>
          <w:tcPr>
            <w:tcW w:w="850"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122,53%</w:t>
            </w:r>
          </w:p>
        </w:tc>
        <w:tc>
          <w:tcPr>
            <w:tcW w:w="1051"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-13,79%</w:t>
            </w:r>
          </w:p>
        </w:tc>
        <w:tc>
          <w:tcPr>
            <w:tcW w:w="824"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6</w:t>
            </w:r>
          </w:p>
        </w:tc>
        <w:tc>
          <w:tcPr>
            <w:tcW w:w="990"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9</w:t>
            </w:r>
          </w:p>
        </w:tc>
        <w:tc>
          <w:tcPr>
            <w:tcW w:w="824"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15</w:t>
            </w:r>
          </w:p>
        </w:tc>
        <w:tc>
          <w:tcPr>
            <w:tcW w:w="586"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8-9</w:t>
            </w:r>
          </w:p>
        </w:tc>
      </w:tr>
      <w:tr w:rsidR="00450304" w:rsidRPr="000B544A" w:rsidTr="003F4996">
        <w:trPr>
          <w:trHeight w:val="292"/>
          <w:jc w:val="center"/>
        </w:trPr>
        <w:tc>
          <w:tcPr>
            <w:tcW w:w="426"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7</w:t>
            </w:r>
          </w:p>
        </w:tc>
        <w:tc>
          <w:tcPr>
            <w:tcW w:w="1083" w:type="dxa"/>
            <w:shd w:val="clear" w:color="auto" w:fill="auto"/>
            <w:vAlign w:val="center"/>
          </w:tcPr>
          <w:p w:rsidR="00450304" w:rsidRPr="000B544A" w:rsidRDefault="00871496"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PMI</w:t>
            </w:r>
          </w:p>
        </w:tc>
        <w:tc>
          <w:tcPr>
            <w:tcW w:w="989"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19</w:t>
            </w:r>
          </w:p>
        </w:tc>
        <w:tc>
          <w:tcPr>
            <w:tcW w:w="850"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135,57%</w:t>
            </w:r>
          </w:p>
        </w:tc>
        <w:tc>
          <w:tcPr>
            <w:tcW w:w="1051"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81,78%</w:t>
            </w:r>
          </w:p>
        </w:tc>
        <w:tc>
          <w:tcPr>
            <w:tcW w:w="824"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4</w:t>
            </w:r>
          </w:p>
        </w:tc>
        <w:tc>
          <w:tcPr>
            <w:tcW w:w="990"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3</w:t>
            </w:r>
          </w:p>
        </w:tc>
        <w:tc>
          <w:tcPr>
            <w:tcW w:w="824"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7</w:t>
            </w:r>
          </w:p>
        </w:tc>
        <w:tc>
          <w:tcPr>
            <w:tcW w:w="586"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2</w:t>
            </w:r>
          </w:p>
        </w:tc>
      </w:tr>
      <w:tr w:rsidR="00450304" w:rsidRPr="000B544A" w:rsidTr="003F4996">
        <w:trPr>
          <w:trHeight w:val="292"/>
          <w:jc w:val="center"/>
        </w:trPr>
        <w:tc>
          <w:tcPr>
            <w:tcW w:w="426"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8</w:t>
            </w:r>
          </w:p>
        </w:tc>
        <w:tc>
          <w:tcPr>
            <w:tcW w:w="1083" w:type="dxa"/>
            <w:shd w:val="clear" w:color="auto" w:fill="auto"/>
            <w:vAlign w:val="center"/>
          </w:tcPr>
          <w:p w:rsidR="00450304" w:rsidRPr="000B544A" w:rsidRDefault="00871496"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SO</w:t>
            </w:r>
          </w:p>
        </w:tc>
        <w:tc>
          <w:tcPr>
            <w:tcW w:w="989"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7/58</w:t>
            </w:r>
          </w:p>
        </w:tc>
        <w:tc>
          <w:tcPr>
            <w:tcW w:w="850"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13,90%</w:t>
            </w:r>
          </w:p>
        </w:tc>
        <w:tc>
          <w:tcPr>
            <w:tcW w:w="1051"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121,06%</w:t>
            </w:r>
          </w:p>
        </w:tc>
        <w:tc>
          <w:tcPr>
            <w:tcW w:w="824"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11</w:t>
            </w:r>
          </w:p>
        </w:tc>
        <w:tc>
          <w:tcPr>
            <w:tcW w:w="990"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2</w:t>
            </w:r>
          </w:p>
        </w:tc>
        <w:tc>
          <w:tcPr>
            <w:tcW w:w="824"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13</w:t>
            </w:r>
          </w:p>
        </w:tc>
        <w:tc>
          <w:tcPr>
            <w:tcW w:w="586"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5-7</w:t>
            </w:r>
          </w:p>
        </w:tc>
      </w:tr>
      <w:tr w:rsidR="00450304" w:rsidRPr="000B544A" w:rsidTr="003F4996">
        <w:trPr>
          <w:trHeight w:val="282"/>
          <w:jc w:val="center"/>
        </w:trPr>
        <w:tc>
          <w:tcPr>
            <w:tcW w:w="426"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9</w:t>
            </w:r>
          </w:p>
        </w:tc>
        <w:tc>
          <w:tcPr>
            <w:tcW w:w="1083" w:type="dxa"/>
            <w:shd w:val="clear" w:color="auto" w:fill="auto"/>
            <w:vAlign w:val="center"/>
          </w:tcPr>
          <w:p w:rsidR="00450304" w:rsidRPr="000B544A" w:rsidRDefault="00871496"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V%R</w:t>
            </w:r>
          </w:p>
        </w:tc>
        <w:tc>
          <w:tcPr>
            <w:tcW w:w="989"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-14/-88</w:t>
            </w:r>
          </w:p>
        </w:tc>
        <w:tc>
          <w:tcPr>
            <w:tcW w:w="850"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126,98%</w:t>
            </w:r>
          </w:p>
        </w:tc>
        <w:tc>
          <w:tcPr>
            <w:tcW w:w="1051"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5,09%</w:t>
            </w:r>
          </w:p>
        </w:tc>
        <w:tc>
          <w:tcPr>
            <w:tcW w:w="824"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5</w:t>
            </w:r>
          </w:p>
        </w:tc>
        <w:tc>
          <w:tcPr>
            <w:tcW w:w="990"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8</w:t>
            </w:r>
          </w:p>
        </w:tc>
        <w:tc>
          <w:tcPr>
            <w:tcW w:w="824"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13</w:t>
            </w:r>
          </w:p>
        </w:tc>
        <w:tc>
          <w:tcPr>
            <w:tcW w:w="586"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5-7</w:t>
            </w:r>
          </w:p>
        </w:tc>
      </w:tr>
      <w:tr w:rsidR="00450304" w:rsidRPr="000B544A" w:rsidTr="003F4996">
        <w:trPr>
          <w:trHeight w:val="292"/>
          <w:jc w:val="center"/>
        </w:trPr>
        <w:tc>
          <w:tcPr>
            <w:tcW w:w="426"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10</w:t>
            </w:r>
          </w:p>
        </w:tc>
        <w:tc>
          <w:tcPr>
            <w:tcW w:w="1083" w:type="dxa"/>
            <w:shd w:val="clear" w:color="auto" w:fill="auto"/>
            <w:vAlign w:val="center"/>
          </w:tcPr>
          <w:p w:rsidR="00450304" w:rsidRPr="000B544A" w:rsidRDefault="00871496"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PSI</w:t>
            </w:r>
          </w:p>
        </w:tc>
        <w:tc>
          <w:tcPr>
            <w:tcW w:w="989"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35/72</w:t>
            </w:r>
          </w:p>
        </w:tc>
        <w:tc>
          <w:tcPr>
            <w:tcW w:w="850"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280,44%</w:t>
            </w:r>
          </w:p>
        </w:tc>
        <w:tc>
          <w:tcPr>
            <w:tcW w:w="1051"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164,00%</w:t>
            </w:r>
          </w:p>
        </w:tc>
        <w:tc>
          <w:tcPr>
            <w:tcW w:w="824"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w:t>
            </w:r>
          </w:p>
        </w:tc>
        <w:tc>
          <w:tcPr>
            <w:tcW w:w="990"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w:t>
            </w:r>
          </w:p>
        </w:tc>
        <w:tc>
          <w:tcPr>
            <w:tcW w:w="824"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2</w:t>
            </w:r>
          </w:p>
        </w:tc>
        <w:tc>
          <w:tcPr>
            <w:tcW w:w="586"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w:t>
            </w:r>
          </w:p>
        </w:tc>
      </w:tr>
      <w:tr w:rsidR="00450304" w:rsidRPr="000B544A" w:rsidTr="003F4996">
        <w:trPr>
          <w:trHeight w:val="302"/>
          <w:jc w:val="center"/>
        </w:trPr>
        <w:tc>
          <w:tcPr>
            <w:tcW w:w="426"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11</w:t>
            </w:r>
          </w:p>
        </w:tc>
        <w:tc>
          <w:tcPr>
            <w:tcW w:w="1083" w:type="dxa"/>
            <w:shd w:val="clear" w:color="auto" w:fill="auto"/>
            <w:vAlign w:val="center"/>
          </w:tcPr>
          <w:p w:rsidR="00450304" w:rsidRPr="000B544A" w:rsidRDefault="00871496"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DK</w:t>
            </w:r>
          </w:p>
        </w:tc>
        <w:tc>
          <w:tcPr>
            <w:tcW w:w="989"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38/38</w:t>
            </w:r>
          </w:p>
        </w:tc>
        <w:tc>
          <w:tcPr>
            <w:tcW w:w="850"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102,89%</w:t>
            </w:r>
          </w:p>
        </w:tc>
        <w:tc>
          <w:tcPr>
            <w:tcW w:w="1051"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77,50%</w:t>
            </w:r>
          </w:p>
        </w:tc>
        <w:tc>
          <w:tcPr>
            <w:tcW w:w="824"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7</w:t>
            </w:r>
          </w:p>
        </w:tc>
        <w:tc>
          <w:tcPr>
            <w:tcW w:w="990"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4</w:t>
            </w:r>
          </w:p>
        </w:tc>
        <w:tc>
          <w:tcPr>
            <w:tcW w:w="824"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11</w:t>
            </w:r>
          </w:p>
        </w:tc>
        <w:tc>
          <w:tcPr>
            <w:tcW w:w="586" w:type="dxa"/>
            <w:shd w:val="clear" w:color="auto" w:fill="auto"/>
            <w:vAlign w:val="center"/>
          </w:tcPr>
          <w:p w:rsidR="00450304" w:rsidRPr="000B544A" w:rsidRDefault="00450304" w:rsidP="003F4996">
            <w:pPr>
              <w:spacing w:after="0"/>
              <w:jc w:val="center"/>
              <w:rPr>
                <w:rFonts w:ascii="Times New Roman" w:hAnsi="Times New Roman"/>
                <w:sz w:val="22"/>
                <w:szCs w:val="22"/>
                <w:lang w:val="lt-LT"/>
              </w:rPr>
            </w:pPr>
            <w:r w:rsidRPr="000B544A">
              <w:rPr>
                <w:rFonts w:ascii="Times New Roman" w:hAnsi="Times New Roman"/>
                <w:sz w:val="22"/>
                <w:szCs w:val="22"/>
                <w:lang w:val="lt-LT"/>
              </w:rPr>
              <w:t>4</w:t>
            </w:r>
          </w:p>
        </w:tc>
      </w:tr>
    </w:tbl>
    <w:p w:rsidR="00252F1D" w:rsidRPr="000B544A" w:rsidRDefault="00520F7B" w:rsidP="00DA691E">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E43745" w:rsidRPr="000B544A" w:rsidRDefault="00E43745" w:rsidP="00DA691E">
      <w:pPr>
        <w:spacing w:line="360" w:lineRule="auto"/>
        <w:ind w:firstLine="567"/>
        <w:jc w:val="both"/>
        <w:rPr>
          <w:rFonts w:ascii="Times New Roman" w:hAnsi="Times New Roman"/>
          <w:lang w:val="lt-LT"/>
        </w:rPr>
      </w:pPr>
      <w:r w:rsidRPr="000B544A">
        <w:rPr>
          <w:rFonts w:ascii="Times New Roman" w:hAnsi="Times New Roman"/>
          <w:lang w:val="lt-LT"/>
        </w:rPr>
        <w:t>Lentelėje pateikti 10-ties techninės analizės metodų reitingavimo rezultatai. Pagal šį reitingą surandame 4 tinkamiausius techninės analizės indikatorius Nasdaq OMX Baltic b</w:t>
      </w:r>
      <w:r w:rsidR="005829BD" w:rsidRPr="000B544A">
        <w:rPr>
          <w:rFonts w:ascii="Times New Roman" w:hAnsi="Times New Roman"/>
          <w:lang w:val="lt-LT"/>
        </w:rPr>
        <w:t>iržai laikota</w:t>
      </w:r>
      <w:r w:rsidR="008B62A5" w:rsidRPr="000B544A">
        <w:rPr>
          <w:rFonts w:ascii="Times New Roman" w:hAnsi="Times New Roman"/>
          <w:lang w:val="lt-LT"/>
        </w:rPr>
        <w:t>rpyje nuo 2010 m. vasario 17 d. iki 2011 m. b</w:t>
      </w:r>
      <w:r w:rsidRPr="000B544A">
        <w:rPr>
          <w:rFonts w:ascii="Times New Roman" w:hAnsi="Times New Roman"/>
          <w:lang w:val="lt-LT"/>
        </w:rPr>
        <w:t>alandžio 14 d. Remiantis pagrindine techninės analizės prielaida, kad istorija kartojasi, panaudosiu 4 geriausius rezultatus davusius indikatorius ateities kainų prognozei.</w:t>
      </w:r>
    </w:p>
    <w:p w:rsidR="00A167F2" w:rsidRPr="000B544A" w:rsidRDefault="00A167F2" w:rsidP="00DA691E">
      <w:pPr>
        <w:pStyle w:val="Heading2"/>
        <w:spacing w:line="360" w:lineRule="auto"/>
        <w:rPr>
          <w:rFonts w:ascii="Times New Roman" w:hAnsi="Times New Roman"/>
          <w:color w:val="auto"/>
          <w:lang w:val="lt-LT"/>
        </w:rPr>
      </w:pPr>
      <w:bookmarkStart w:id="69" w:name="_Toc312047654"/>
      <w:r w:rsidRPr="000B544A">
        <w:rPr>
          <w:rFonts w:ascii="Times New Roman" w:hAnsi="Times New Roman"/>
          <w:color w:val="auto"/>
          <w:lang w:val="lt-LT"/>
        </w:rPr>
        <w:t xml:space="preserve">3.2 </w:t>
      </w:r>
      <w:r w:rsidR="00512A4B" w:rsidRPr="000B544A">
        <w:rPr>
          <w:rFonts w:ascii="Times New Roman" w:hAnsi="Times New Roman"/>
          <w:color w:val="auto"/>
          <w:lang w:val="lt-LT"/>
        </w:rPr>
        <w:t>Pr</w:t>
      </w:r>
      <w:r w:rsidR="000C6F62" w:rsidRPr="000B544A">
        <w:rPr>
          <w:rFonts w:ascii="Times New Roman" w:hAnsi="Times New Roman"/>
          <w:color w:val="auto"/>
          <w:lang w:val="lt-LT"/>
        </w:rPr>
        <w:t>ognozavimas panaudojant techninės analizė</w:t>
      </w:r>
      <w:r w:rsidR="00512A4B" w:rsidRPr="000B544A">
        <w:rPr>
          <w:rFonts w:ascii="Times New Roman" w:hAnsi="Times New Roman"/>
          <w:color w:val="auto"/>
          <w:lang w:val="lt-LT"/>
        </w:rPr>
        <w:t>s indikatorius</w:t>
      </w:r>
      <w:bookmarkEnd w:id="69"/>
    </w:p>
    <w:p w:rsidR="00512A4B" w:rsidRPr="000B544A" w:rsidRDefault="00F1118A" w:rsidP="00DA691E">
      <w:pPr>
        <w:spacing w:line="360" w:lineRule="auto"/>
        <w:ind w:firstLine="567"/>
        <w:jc w:val="both"/>
        <w:rPr>
          <w:rFonts w:ascii="Times New Roman" w:hAnsi="Times New Roman"/>
          <w:lang w:val="lt-LT"/>
        </w:rPr>
      </w:pPr>
      <w:r w:rsidRPr="000B544A">
        <w:rPr>
          <w:rFonts w:ascii="Times New Roman" w:hAnsi="Times New Roman"/>
          <w:lang w:val="lt-LT"/>
        </w:rPr>
        <w:t xml:space="preserve">Techninės analizės taikymas yra labai subjektyvus ir priklauso nuo analitiko įvairių savybių ir suvokimo. Investuoti pagal strategiją, kurios metodai duoda pirkimo ir pardavimo signalus – nėra sudėtinga. Techninės analizės sudėtingumas </w:t>
      </w:r>
      <w:r w:rsidR="00EB02D4" w:rsidRPr="000B544A">
        <w:rPr>
          <w:rFonts w:ascii="Times New Roman" w:hAnsi="Times New Roman"/>
          <w:lang w:val="lt-LT"/>
        </w:rPr>
        <w:t>matant įvairių indikatorių reikšmes</w:t>
      </w:r>
      <w:r w:rsidRPr="000B544A">
        <w:rPr>
          <w:rFonts w:ascii="Times New Roman" w:hAnsi="Times New Roman"/>
          <w:lang w:val="lt-LT"/>
        </w:rPr>
        <w:t xml:space="preserve"> prognozuoti ateities kainas.</w:t>
      </w:r>
    </w:p>
    <w:p w:rsidR="00BD3C80" w:rsidRPr="000B544A" w:rsidRDefault="00BD3C80" w:rsidP="00F1118A">
      <w:pPr>
        <w:spacing w:line="360" w:lineRule="auto"/>
        <w:ind w:firstLine="567"/>
        <w:jc w:val="both"/>
        <w:rPr>
          <w:rFonts w:ascii="Times New Roman" w:hAnsi="Times New Roman"/>
          <w:lang w:val="lt-LT"/>
        </w:rPr>
      </w:pPr>
      <w:r w:rsidRPr="000B544A">
        <w:rPr>
          <w:rFonts w:ascii="Times New Roman" w:hAnsi="Times New Roman"/>
          <w:lang w:val="lt-LT"/>
        </w:rPr>
        <w:t>Reitinguojant techninės analizės indik</w:t>
      </w:r>
      <w:r w:rsidR="00C65CBC" w:rsidRPr="000B544A">
        <w:rPr>
          <w:rFonts w:ascii="Times New Roman" w:hAnsi="Times New Roman"/>
          <w:lang w:val="lt-LT"/>
        </w:rPr>
        <w:t>atorius surasti geriausiai veikę</w:t>
      </w:r>
      <w:r w:rsidRPr="000B544A">
        <w:rPr>
          <w:rFonts w:ascii="Times New Roman" w:hAnsi="Times New Roman"/>
          <w:lang w:val="lt-LT"/>
        </w:rPr>
        <w:t xml:space="preserve"> indikatoriai</w:t>
      </w:r>
      <w:r w:rsidR="00C65CBC" w:rsidRPr="000B544A">
        <w:rPr>
          <w:rFonts w:ascii="Times New Roman" w:hAnsi="Times New Roman"/>
          <w:lang w:val="lt-LT"/>
        </w:rPr>
        <w:t xml:space="preserve"> ir geriausi parametrai</w:t>
      </w:r>
      <w:r w:rsidRPr="000B544A">
        <w:rPr>
          <w:rFonts w:ascii="Times New Roman" w:hAnsi="Times New Roman"/>
          <w:lang w:val="lt-LT"/>
        </w:rPr>
        <w:t xml:space="preserve"> laikotarpyje nuo 20</w:t>
      </w:r>
      <w:r w:rsidR="008B62A5" w:rsidRPr="000B544A">
        <w:rPr>
          <w:rFonts w:ascii="Times New Roman" w:hAnsi="Times New Roman"/>
          <w:lang w:val="lt-LT"/>
        </w:rPr>
        <w:t>10 m. vasario 17 d. iki 2011 m. b</w:t>
      </w:r>
      <w:r w:rsidRPr="000B544A">
        <w:rPr>
          <w:rFonts w:ascii="Times New Roman" w:hAnsi="Times New Roman"/>
          <w:lang w:val="lt-LT"/>
        </w:rPr>
        <w:t>alandžio 14 d.</w:t>
      </w:r>
      <w:r w:rsidR="00C65CBC" w:rsidRPr="000B544A">
        <w:rPr>
          <w:rFonts w:ascii="Times New Roman" w:hAnsi="Times New Roman"/>
          <w:lang w:val="lt-LT"/>
        </w:rPr>
        <w:t xml:space="preserve"> pagal istorinius Nasdaq OMX Baltic rinkos duomenis. Suradus geriausius keturis indikatorius suskaičiuotos indikatorių reikšmės 2011 m. </w:t>
      </w:r>
      <w:r w:rsidR="008B62A5" w:rsidRPr="000B544A">
        <w:rPr>
          <w:rFonts w:ascii="Times New Roman" w:hAnsi="Times New Roman"/>
          <w:lang w:val="lt-LT"/>
        </w:rPr>
        <w:t>l</w:t>
      </w:r>
      <w:r w:rsidR="00C65CBC" w:rsidRPr="000B544A">
        <w:rPr>
          <w:rFonts w:ascii="Times New Roman" w:hAnsi="Times New Roman"/>
          <w:lang w:val="lt-LT"/>
        </w:rPr>
        <w:t>iepos 1 d. Pagal gautas reikšmes padaryta prognozė.</w:t>
      </w:r>
    </w:p>
    <w:p w:rsidR="00AB50DF" w:rsidRPr="000B544A" w:rsidRDefault="00AB50DF" w:rsidP="00F1118A">
      <w:pPr>
        <w:spacing w:line="360" w:lineRule="auto"/>
        <w:ind w:firstLine="567"/>
        <w:jc w:val="both"/>
        <w:rPr>
          <w:rFonts w:ascii="Times New Roman" w:hAnsi="Times New Roman"/>
          <w:lang w:val="lt-LT"/>
        </w:rPr>
      </w:pPr>
    </w:p>
    <w:p w:rsidR="00AB50DF" w:rsidRPr="000B544A" w:rsidRDefault="00AB50DF" w:rsidP="00F1118A">
      <w:pPr>
        <w:spacing w:line="360" w:lineRule="auto"/>
        <w:ind w:firstLine="567"/>
        <w:jc w:val="both"/>
        <w:rPr>
          <w:rFonts w:ascii="Times New Roman" w:hAnsi="Times New Roman"/>
          <w:lang w:val="lt-LT"/>
        </w:rPr>
      </w:pPr>
    </w:p>
    <w:p w:rsidR="00AB50DF" w:rsidRPr="000B544A" w:rsidRDefault="00AB50DF" w:rsidP="00F1118A">
      <w:pPr>
        <w:spacing w:line="360" w:lineRule="auto"/>
        <w:ind w:firstLine="567"/>
        <w:jc w:val="both"/>
        <w:rPr>
          <w:rFonts w:ascii="Times New Roman" w:hAnsi="Times New Roman"/>
          <w:lang w:val="lt-LT"/>
        </w:rPr>
      </w:pPr>
    </w:p>
    <w:p w:rsidR="00DA691E" w:rsidRPr="000B544A" w:rsidRDefault="00DA691E" w:rsidP="00DA691E">
      <w:pPr>
        <w:pStyle w:val="Caption"/>
        <w:keepNext/>
        <w:jc w:val="center"/>
        <w:rPr>
          <w:rFonts w:ascii="Times New Roman" w:hAnsi="Times New Roman"/>
          <w:b w:val="0"/>
          <w:lang w:val="lt-LT"/>
        </w:rPr>
      </w:pPr>
      <w:r w:rsidRPr="000B544A">
        <w:rPr>
          <w:rFonts w:ascii="Times New Roman" w:hAnsi="Times New Roman"/>
          <w:b w:val="0"/>
          <w:lang w:val="lt-LT"/>
        </w:rPr>
        <w:lastRenderedPageBreak/>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70" w:name="_Toc311718689"/>
      <w:r w:rsidR="00C53DDD">
        <w:rPr>
          <w:rFonts w:ascii="Times New Roman" w:hAnsi="Times New Roman"/>
          <w:b w:val="0"/>
          <w:noProof/>
          <w:lang w:val="lt-LT"/>
        </w:rPr>
        <w:t>23</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 </w:t>
      </w:r>
      <w:r w:rsidRPr="000B544A">
        <w:rPr>
          <w:rFonts w:ascii="Times New Roman" w:hAnsi="Times New Roman"/>
          <w:lang w:val="lt-LT"/>
        </w:rPr>
        <w:t>Indikatorių reikšmės prognozei</w:t>
      </w:r>
      <w:bookmarkEnd w:id="70"/>
    </w:p>
    <w:tbl>
      <w:tblPr>
        <w:tblW w:w="10002" w:type="dxa"/>
        <w:tblInd w:w="95" w:type="dxa"/>
        <w:tblLook w:val="04A0"/>
      </w:tblPr>
      <w:tblGrid>
        <w:gridCol w:w="504"/>
        <w:gridCol w:w="1463"/>
        <w:gridCol w:w="711"/>
        <w:gridCol w:w="711"/>
        <w:gridCol w:w="711"/>
        <w:gridCol w:w="711"/>
        <w:gridCol w:w="815"/>
        <w:gridCol w:w="711"/>
        <w:gridCol w:w="711"/>
        <w:gridCol w:w="821"/>
        <w:gridCol w:w="711"/>
        <w:gridCol w:w="711"/>
        <w:gridCol w:w="711"/>
      </w:tblGrid>
      <w:tr w:rsidR="00EB02D4" w:rsidRPr="000B544A" w:rsidTr="00EB02D4">
        <w:trPr>
          <w:cantSplit/>
          <w:trHeight w:val="138"/>
        </w:trPr>
        <w:tc>
          <w:tcPr>
            <w:tcW w:w="50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Nr.</w:t>
            </w:r>
          </w:p>
        </w:tc>
        <w:tc>
          <w:tcPr>
            <w:tcW w:w="1463" w:type="dxa"/>
            <w:tcBorders>
              <w:top w:val="single" w:sz="8" w:space="0" w:color="auto"/>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Akcija</w:t>
            </w:r>
          </w:p>
        </w:tc>
        <w:tc>
          <w:tcPr>
            <w:tcW w:w="711" w:type="dxa"/>
            <w:tcBorders>
              <w:top w:val="single" w:sz="8" w:space="0" w:color="auto"/>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BJ</w:t>
            </w:r>
          </w:p>
        </w:tc>
        <w:tc>
          <w:tcPr>
            <w:tcW w:w="711" w:type="dxa"/>
            <w:tcBorders>
              <w:top w:val="single" w:sz="8" w:space="0" w:color="auto"/>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DK</w:t>
            </w:r>
          </w:p>
        </w:tc>
        <w:tc>
          <w:tcPr>
            <w:tcW w:w="711" w:type="dxa"/>
            <w:tcBorders>
              <w:top w:val="single" w:sz="8" w:space="0" w:color="auto"/>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PSV</w:t>
            </w:r>
          </w:p>
        </w:tc>
        <w:tc>
          <w:tcPr>
            <w:tcW w:w="711" w:type="dxa"/>
            <w:tcBorders>
              <w:top w:val="single" w:sz="8" w:space="0" w:color="auto"/>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ESV</w:t>
            </w:r>
          </w:p>
        </w:tc>
        <w:tc>
          <w:tcPr>
            <w:tcW w:w="815" w:type="dxa"/>
            <w:tcBorders>
              <w:top w:val="single" w:sz="8" w:space="0" w:color="auto"/>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SVKD</w:t>
            </w:r>
          </w:p>
        </w:tc>
        <w:tc>
          <w:tcPr>
            <w:tcW w:w="711" w:type="dxa"/>
            <w:tcBorders>
              <w:top w:val="single" w:sz="8" w:space="0" w:color="auto"/>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PSI</w:t>
            </w:r>
          </w:p>
        </w:tc>
        <w:tc>
          <w:tcPr>
            <w:tcW w:w="711" w:type="dxa"/>
            <w:tcBorders>
              <w:top w:val="single" w:sz="8" w:space="0" w:color="auto"/>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PI</w:t>
            </w:r>
          </w:p>
        </w:tc>
        <w:tc>
          <w:tcPr>
            <w:tcW w:w="821" w:type="dxa"/>
            <w:tcBorders>
              <w:top w:val="single" w:sz="8" w:space="0" w:color="auto"/>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PMI</w:t>
            </w:r>
          </w:p>
        </w:tc>
        <w:tc>
          <w:tcPr>
            <w:tcW w:w="711" w:type="dxa"/>
            <w:tcBorders>
              <w:top w:val="single" w:sz="8" w:space="0" w:color="auto"/>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LJI</w:t>
            </w:r>
          </w:p>
        </w:tc>
        <w:tc>
          <w:tcPr>
            <w:tcW w:w="711" w:type="dxa"/>
            <w:tcBorders>
              <w:top w:val="single" w:sz="8" w:space="0" w:color="auto"/>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SO</w:t>
            </w:r>
          </w:p>
        </w:tc>
        <w:tc>
          <w:tcPr>
            <w:tcW w:w="711" w:type="dxa"/>
            <w:tcBorders>
              <w:top w:val="single" w:sz="8" w:space="0" w:color="auto"/>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V %R</w:t>
            </w:r>
          </w:p>
        </w:tc>
      </w:tr>
      <w:tr w:rsidR="00EB02D4" w:rsidRPr="000B544A" w:rsidTr="00EB02D4">
        <w:trPr>
          <w:cantSplit/>
          <w:trHeight w:val="138"/>
        </w:trPr>
        <w:tc>
          <w:tcPr>
            <w:tcW w:w="504"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jc w:val="right"/>
              <w:rPr>
                <w:rFonts w:ascii="Times New Roman" w:hAnsi="Times New Roman"/>
                <w:color w:val="000000"/>
                <w:sz w:val="22"/>
                <w:szCs w:val="22"/>
                <w:lang w:val="lt-LT"/>
              </w:rPr>
            </w:pPr>
            <w:r w:rsidRPr="000B544A">
              <w:rPr>
                <w:rFonts w:ascii="Times New Roman" w:hAnsi="Times New Roman"/>
                <w:color w:val="000000"/>
                <w:sz w:val="22"/>
                <w:szCs w:val="22"/>
                <w:lang w:val="lt-LT"/>
              </w:rPr>
              <w:t>1</w:t>
            </w:r>
          </w:p>
        </w:tc>
        <w:tc>
          <w:tcPr>
            <w:tcW w:w="1463"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Apranga</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5,97</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6,22</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5,96</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5,98</w:t>
            </w:r>
          </w:p>
        </w:tc>
        <w:tc>
          <w:tcPr>
            <w:tcW w:w="815"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-0,08</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21,35</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-0,04</w:t>
            </w:r>
          </w:p>
        </w:tc>
        <w:tc>
          <w:tcPr>
            <w:tcW w:w="82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94,84</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30,17</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20,00</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-64,55</w:t>
            </w:r>
          </w:p>
        </w:tc>
      </w:tr>
      <w:tr w:rsidR="00EB02D4" w:rsidRPr="000B544A" w:rsidTr="00EB02D4">
        <w:trPr>
          <w:cantSplit/>
          <w:trHeight w:val="138"/>
        </w:trPr>
        <w:tc>
          <w:tcPr>
            <w:tcW w:w="504"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1463"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5,86</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5,58</w:t>
            </w: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815"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-0,05</w:t>
            </w: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82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r>
      <w:tr w:rsidR="00EB02D4" w:rsidRPr="000B544A" w:rsidTr="00EB02D4">
        <w:trPr>
          <w:cantSplit/>
          <w:trHeight w:val="257"/>
        </w:trPr>
        <w:tc>
          <w:tcPr>
            <w:tcW w:w="504"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jc w:val="right"/>
              <w:rPr>
                <w:rFonts w:ascii="Times New Roman" w:hAnsi="Times New Roman"/>
                <w:color w:val="000000"/>
                <w:sz w:val="22"/>
                <w:szCs w:val="22"/>
                <w:lang w:val="lt-LT"/>
              </w:rPr>
            </w:pPr>
            <w:r w:rsidRPr="000B544A">
              <w:rPr>
                <w:rFonts w:ascii="Times New Roman" w:hAnsi="Times New Roman"/>
                <w:color w:val="000000"/>
                <w:sz w:val="22"/>
                <w:szCs w:val="22"/>
                <w:lang w:val="lt-LT"/>
              </w:rPr>
              <w:t>2</w:t>
            </w:r>
          </w:p>
        </w:tc>
        <w:tc>
          <w:tcPr>
            <w:tcW w:w="1463"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Linas Agro Group</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1,76</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1,83</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1,77</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1,77</w:t>
            </w:r>
          </w:p>
        </w:tc>
        <w:tc>
          <w:tcPr>
            <w:tcW w:w="815"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-0,02</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27,93</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-0,06</w:t>
            </w:r>
          </w:p>
        </w:tc>
        <w:tc>
          <w:tcPr>
            <w:tcW w:w="82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93,56</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29,73</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94,82</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-7,69</w:t>
            </w:r>
          </w:p>
        </w:tc>
      </w:tr>
      <w:tr w:rsidR="00EB02D4" w:rsidRPr="000B544A" w:rsidTr="00EB02D4">
        <w:trPr>
          <w:cantSplit/>
          <w:trHeight w:val="138"/>
        </w:trPr>
        <w:tc>
          <w:tcPr>
            <w:tcW w:w="504"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1463"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1,75</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1,66</w:t>
            </w: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815"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-0,01</w:t>
            </w: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82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r>
      <w:tr w:rsidR="00EB02D4" w:rsidRPr="000B544A" w:rsidTr="00EB02D4">
        <w:trPr>
          <w:cantSplit/>
          <w:trHeight w:val="138"/>
        </w:trPr>
        <w:tc>
          <w:tcPr>
            <w:tcW w:w="504"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jc w:val="right"/>
              <w:rPr>
                <w:rFonts w:ascii="Times New Roman" w:hAnsi="Times New Roman"/>
                <w:color w:val="000000"/>
                <w:sz w:val="22"/>
                <w:szCs w:val="22"/>
                <w:lang w:val="lt-LT"/>
              </w:rPr>
            </w:pPr>
            <w:r w:rsidRPr="000B544A">
              <w:rPr>
                <w:rFonts w:ascii="Times New Roman" w:hAnsi="Times New Roman"/>
                <w:color w:val="000000"/>
                <w:sz w:val="22"/>
                <w:szCs w:val="22"/>
                <w:lang w:val="lt-LT"/>
              </w:rPr>
              <w:t>3</w:t>
            </w:r>
          </w:p>
        </w:tc>
        <w:tc>
          <w:tcPr>
            <w:tcW w:w="1463"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Nordecon AS</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4,53</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4,70</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4,48</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4,51</w:t>
            </w:r>
          </w:p>
        </w:tc>
        <w:tc>
          <w:tcPr>
            <w:tcW w:w="815"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0,07</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50,74</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0,01</w:t>
            </w:r>
          </w:p>
        </w:tc>
        <w:tc>
          <w:tcPr>
            <w:tcW w:w="82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103,42</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46,51</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95,76</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-4,93</w:t>
            </w:r>
          </w:p>
        </w:tc>
      </w:tr>
      <w:tr w:rsidR="00EB02D4" w:rsidRPr="000B544A" w:rsidTr="00EB02D4">
        <w:trPr>
          <w:cantSplit/>
          <w:trHeight w:val="138"/>
        </w:trPr>
        <w:tc>
          <w:tcPr>
            <w:tcW w:w="504"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1463"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4,47</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4,30</w:t>
            </w: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815"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0,05</w:t>
            </w: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82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r>
      <w:tr w:rsidR="00EB02D4" w:rsidRPr="000B544A" w:rsidTr="00EB02D4">
        <w:trPr>
          <w:cantSplit/>
          <w:trHeight w:val="386"/>
        </w:trPr>
        <w:tc>
          <w:tcPr>
            <w:tcW w:w="504"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jc w:val="right"/>
              <w:rPr>
                <w:rFonts w:ascii="Times New Roman" w:hAnsi="Times New Roman"/>
                <w:color w:val="000000"/>
                <w:sz w:val="22"/>
                <w:szCs w:val="22"/>
                <w:lang w:val="lt-LT"/>
              </w:rPr>
            </w:pPr>
            <w:r w:rsidRPr="000B544A">
              <w:rPr>
                <w:rFonts w:ascii="Times New Roman" w:hAnsi="Times New Roman"/>
                <w:color w:val="000000"/>
                <w:sz w:val="22"/>
                <w:szCs w:val="22"/>
                <w:lang w:val="lt-LT"/>
              </w:rPr>
              <w:t>4</w:t>
            </w:r>
          </w:p>
        </w:tc>
        <w:tc>
          <w:tcPr>
            <w:tcW w:w="1463"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Olympic Entertainment Group</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4,97</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5,13</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4,88</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4,92</w:t>
            </w:r>
          </w:p>
        </w:tc>
        <w:tc>
          <w:tcPr>
            <w:tcW w:w="815"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-0,06 0,03</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39,37</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-0,05</w:t>
            </w:r>
          </w:p>
        </w:tc>
        <w:tc>
          <w:tcPr>
            <w:tcW w:w="82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94,62</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21,02</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90,05</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-9,00</w:t>
            </w:r>
          </w:p>
        </w:tc>
      </w:tr>
      <w:tr w:rsidR="00EB02D4" w:rsidRPr="000B544A" w:rsidTr="00EB02D4">
        <w:trPr>
          <w:cantSplit/>
          <w:trHeight w:val="138"/>
        </w:trPr>
        <w:tc>
          <w:tcPr>
            <w:tcW w:w="504"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1463"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4,85</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4,61</w:t>
            </w: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815"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82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r>
      <w:tr w:rsidR="00EB02D4" w:rsidRPr="000B544A" w:rsidTr="00EB02D4">
        <w:trPr>
          <w:cantSplit/>
          <w:trHeight w:val="257"/>
        </w:trPr>
        <w:tc>
          <w:tcPr>
            <w:tcW w:w="504"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jc w:val="right"/>
              <w:rPr>
                <w:rFonts w:ascii="Times New Roman" w:hAnsi="Times New Roman"/>
                <w:color w:val="000000"/>
                <w:sz w:val="22"/>
                <w:szCs w:val="22"/>
                <w:lang w:val="lt-LT"/>
              </w:rPr>
            </w:pPr>
            <w:r w:rsidRPr="000B544A">
              <w:rPr>
                <w:rFonts w:ascii="Times New Roman" w:hAnsi="Times New Roman"/>
                <w:color w:val="000000"/>
                <w:sz w:val="22"/>
                <w:szCs w:val="22"/>
                <w:lang w:val="lt-LT"/>
              </w:rPr>
              <w:t>5</w:t>
            </w:r>
          </w:p>
        </w:tc>
        <w:tc>
          <w:tcPr>
            <w:tcW w:w="1463"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Panevėžio statybos trestas</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6,20</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6,39</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6,13</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6,17</w:t>
            </w:r>
          </w:p>
        </w:tc>
        <w:tc>
          <w:tcPr>
            <w:tcW w:w="815"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0,06</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79,27</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0,02</w:t>
            </w:r>
          </w:p>
        </w:tc>
        <w:tc>
          <w:tcPr>
            <w:tcW w:w="82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104,41</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61,06</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61,58</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-33,24</w:t>
            </w:r>
          </w:p>
        </w:tc>
      </w:tr>
      <w:tr w:rsidR="00EB02D4" w:rsidRPr="000B544A" w:rsidTr="00EB02D4">
        <w:trPr>
          <w:cantSplit/>
          <w:trHeight w:val="138"/>
        </w:trPr>
        <w:tc>
          <w:tcPr>
            <w:tcW w:w="504"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1463"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6,15</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5,83</w:t>
            </w: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815"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0,06</w:t>
            </w: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82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r>
      <w:tr w:rsidR="00EB02D4" w:rsidRPr="000B544A" w:rsidTr="00EB02D4">
        <w:trPr>
          <w:cantSplit/>
          <w:trHeight w:val="138"/>
        </w:trPr>
        <w:tc>
          <w:tcPr>
            <w:tcW w:w="504"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jc w:val="right"/>
              <w:rPr>
                <w:rFonts w:ascii="Times New Roman" w:hAnsi="Times New Roman"/>
                <w:color w:val="000000"/>
                <w:sz w:val="22"/>
                <w:szCs w:val="22"/>
                <w:lang w:val="lt-LT"/>
              </w:rPr>
            </w:pPr>
            <w:r w:rsidRPr="000B544A">
              <w:rPr>
                <w:rFonts w:ascii="Times New Roman" w:hAnsi="Times New Roman"/>
                <w:color w:val="000000"/>
                <w:sz w:val="22"/>
                <w:szCs w:val="22"/>
                <w:lang w:val="lt-LT"/>
              </w:rPr>
              <w:t>6</w:t>
            </w:r>
          </w:p>
        </w:tc>
        <w:tc>
          <w:tcPr>
            <w:tcW w:w="1463"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Tallink Grupp</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2,44</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2,58</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2,45</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2,47</w:t>
            </w:r>
          </w:p>
        </w:tc>
        <w:tc>
          <w:tcPr>
            <w:tcW w:w="815"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-0,02</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18,07</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-0,02</w:t>
            </w:r>
          </w:p>
        </w:tc>
        <w:tc>
          <w:tcPr>
            <w:tcW w:w="82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99,59</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28,38</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95,42</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-2,90</w:t>
            </w:r>
          </w:p>
        </w:tc>
      </w:tr>
      <w:tr w:rsidR="00EB02D4" w:rsidRPr="000B544A" w:rsidTr="00EB02D4">
        <w:trPr>
          <w:cantSplit/>
          <w:trHeight w:val="138"/>
        </w:trPr>
        <w:tc>
          <w:tcPr>
            <w:tcW w:w="504"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1463"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2,43</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2,36</w:t>
            </w: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815"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-0,02</w:t>
            </w: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82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r>
      <w:tr w:rsidR="00EB02D4" w:rsidRPr="000B544A" w:rsidTr="00EB02D4">
        <w:trPr>
          <w:cantSplit/>
          <w:trHeight w:val="138"/>
        </w:trPr>
        <w:tc>
          <w:tcPr>
            <w:tcW w:w="504"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jc w:val="right"/>
              <w:rPr>
                <w:rFonts w:ascii="Times New Roman" w:hAnsi="Times New Roman"/>
                <w:color w:val="000000"/>
                <w:sz w:val="22"/>
                <w:szCs w:val="22"/>
                <w:lang w:val="lt-LT"/>
              </w:rPr>
            </w:pPr>
            <w:r w:rsidRPr="000B544A">
              <w:rPr>
                <w:rFonts w:ascii="Times New Roman" w:hAnsi="Times New Roman"/>
                <w:color w:val="000000"/>
                <w:sz w:val="22"/>
                <w:szCs w:val="22"/>
                <w:lang w:val="lt-LT"/>
              </w:rPr>
              <w:t>7</w:t>
            </w:r>
          </w:p>
        </w:tc>
        <w:tc>
          <w:tcPr>
            <w:tcW w:w="1463"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TEO LT</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2,22</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2,33</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2,16</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2,21</w:t>
            </w:r>
          </w:p>
        </w:tc>
        <w:tc>
          <w:tcPr>
            <w:tcW w:w="815"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0,09</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73,12</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0,005</w:t>
            </w:r>
          </w:p>
        </w:tc>
        <w:tc>
          <w:tcPr>
            <w:tcW w:w="82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107,14</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55,50</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63,72</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-50,86</w:t>
            </w:r>
          </w:p>
        </w:tc>
      </w:tr>
      <w:tr w:rsidR="00EB02D4" w:rsidRPr="000B544A" w:rsidTr="00EB02D4">
        <w:trPr>
          <w:cantSplit/>
          <w:trHeight w:val="138"/>
        </w:trPr>
        <w:tc>
          <w:tcPr>
            <w:tcW w:w="504"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1463"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2,18</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2,05</w:t>
            </w: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815"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0,07</w:t>
            </w: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82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r>
      <w:tr w:rsidR="00EB02D4" w:rsidRPr="000B544A" w:rsidTr="00EB02D4">
        <w:trPr>
          <w:cantSplit/>
          <w:trHeight w:val="257"/>
        </w:trPr>
        <w:tc>
          <w:tcPr>
            <w:tcW w:w="504"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jc w:val="right"/>
              <w:rPr>
                <w:rFonts w:ascii="Times New Roman" w:hAnsi="Times New Roman"/>
                <w:color w:val="000000"/>
                <w:sz w:val="22"/>
                <w:szCs w:val="22"/>
                <w:lang w:val="lt-LT"/>
              </w:rPr>
            </w:pPr>
            <w:r w:rsidRPr="000B544A">
              <w:rPr>
                <w:rFonts w:ascii="Times New Roman" w:hAnsi="Times New Roman"/>
                <w:color w:val="000000"/>
                <w:sz w:val="22"/>
                <w:szCs w:val="22"/>
                <w:lang w:val="lt-LT"/>
              </w:rPr>
              <w:t>8</w:t>
            </w:r>
          </w:p>
        </w:tc>
        <w:tc>
          <w:tcPr>
            <w:tcW w:w="1463"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Tallinna Kaubamaja</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21,58</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22,88</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19,91</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20,09</w:t>
            </w:r>
          </w:p>
        </w:tc>
        <w:tc>
          <w:tcPr>
            <w:tcW w:w="815"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-0,36</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2,23</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-0,05</w:t>
            </w:r>
          </w:p>
        </w:tc>
        <w:tc>
          <w:tcPr>
            <w:tcW w:w="82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95,05</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24,46</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88,97</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-8,72</w:t>
            </w:r>
          </w:p>
        </w:tc>
      </w:tr>
      <w:tr w:rsidR="00EB02D4" w:rsidRPr="000B544A" w:rsidTr="00EB02D4">
        <w:trPr>
          <w:cantSplit/>
          <w:trHeight w:val="138"/>
        </w:trPr>
        <w:tc>
          <w:tcPr>
            <w:tcW w:w="504"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1463"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17,88</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17,88</w:t>
            </w: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815"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-0,17</w:t>
            </w: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82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r>
      <w:tr w:rsidR="00EB02D4" w:rsidRPr="000B544A" w:rsidTr="00EB02D4">
        <w:trPr>
          <w:cantSplit/>
          <w:trHeight w:val="138"/>
        </w:trPr>
        <w:tc>
          <w:tcPr>
            <w:tcW w:w="504"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jc w:val="right"/>
              <w:rPr>
                <w:rFonts w:ascii="Times New Roman" w:hAnsi="Times New Roman"/>
                <w:color w:val="000000"/>
                <w:sz w:val="22"/>
                <w:szCs w:val="22"/>
                <w:lang w:val="lt-LT"/>
              </w:rPr>
            </w:pPr>
            <w:r w:rsidRPr="000B544A">
              <w:rPr>
                <w:rFonts w:ascii="Times New Roman" w:hAnsi="Times New Roman"/>
                <w:color w:val="000000"/>
                <w:sz w:val="22"/>
                <w:szCs w:val="22"/>
                <w:lang w:val="lt-LT"/>
              </w:rPr>
              <w:t>9</w:t>
            </w:r>
          </w:p>
        </w:tc>
        <w:tc>
          <w:tcPr>
            <w:tcW w:w="1463"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Tallinna Vesi</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33,28</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30,73</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27,14</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27,19</w:t>
            </w:r>
          </w:p>
        </w:tc>
        <w:tc>
          <w:tcPr>
            <w:tcW w:w="815"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-0,60</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48,34</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-0,008</w:t>
            </w:r>
          </w:p>
        </w:tc>
        <w:tc>
          <w:tcPr>
            <w:tcW w:w="82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99,87</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57,56</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96,99</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-1,09</w:t>
            </w:r>
          </w:p>
        </w:tc>
      </w:tr>
      <w:tr w:rsidR="00EB02D4" w:rsidRPr="000B544A" w:rsidTr="00EB02D4">
        <w:trPr>
          <w:cantSplit/>
          <w:trHeight w:val="138"/>
        </w:trPr>
        <w:tc>
          <w:tcPr>
            <w:tcW w:w="504"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1463"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19,20</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25,27</w:t>
            </w: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815"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-1,13</w:t>
            </w: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82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r>
      <w:tr w:rsidR="00EB02D4" w:rsidRPr="000B544A" w:rsidTr="00EB02D4">
        <w:trPr>
          <w:cantSplit/>
          <w:trHeight w:val="138"/>
        </w:trPr>
        <w:tc>
          <w:tcPr>
            <w:tcW w:w="504"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jc w:val="right"/>
              <w:rPr>
                <w:rFonts w:ascii="Times New Roman" w:hAnsi="Times New Roman"/>
                <w:color w:val="000000"/>
                <w:sz w:val="22"/>
                <w:szCs w:val="22"/>
                <w:lang w:val="lt-LT"/>
              </w:rPr>
            </w:pPr>
            <w:r w:rsidRPr="000B544A">
              <w:rPr>
                <w:rFonts w:ascii="Times New Roman" w:hAnsi="Times New Roman"/>
                <w:color w:val="000000"/>
                <w:sz w:val="22"/>
                <w:szCs w:val="22"/>
                <w:lang w:val="lt-LT"/>
              </w:rPr>
              <w:t>10</w:t>
            </w:r>
          </w:p>
        </w:tc>
        <w:tc>
          <w:tcPr>
            <w:tcW w:w="1463"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Ūkio bankas</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1,04</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1,07</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1,04</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1,05</w:t>
            </w:r>
          </w:p>
        </w:tc>
        <w:tc>
          <w:tcPr>
            <w:tcW w:w="815"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0,00</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50,46</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-0,004</w:t>
            </w:r>
          </w:p>
        </w:tc>
        <w:tc>
          <w:tcPr>
            <w:tcW w:w="82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99,33</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53,86</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42,46</w:t>
            </w:r>
          </w:p>
        </w:tc>
        <w:tc>
          <w:tcPr>
            <w:tcW w:w="711" w:type="dxa"/>
            <w:vMerge w:val="restart"/>
            <w:tcBorders>
              <w:top w:val="nil"/>
              <w:left w:val="single" w:sz="8" w:space="0" w:color="auto"/>
              <w:bottom w:val="single" w:sz="8" w:space="0" w:color="000000"/>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-66,67</w:t>
            </w:r>
          </w:p>
        </w:tc>
      </w:tr>
      <w:tr w:rsidR="00EB02D4" w:rsidRPr="000B544A" w:rsidTr="00EB02D4">
        <w:trPr>
          <w:cantSplit/>
          <w:trHeight w:val="138"/>
        </w:trPr>
        <w:tc>
          <w:tcPr>
            <w:tcW w:w="504"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1463"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1,04</w:t>
            </w:r>
          </w:p>
        </w:tc>
        <w:tc>
          <w:tcPr>
            <w:tcW w:w="711"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1,02</w:t>
            </w: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815" w:type="dxa"/>
            <w:tcBorders>
              <w:top w:val="nil"/>
              <w:left w:val="nil"/>
              <w:bottom w:val="single" w:sz="8" w:space="0" w:color="auto"/>
              <w:right w:val="single" w:sz="8" w:space="0" w:color="auto"/>
            </w:tcBorders>
            <w:shd w:val="clear" w:color="auto" w:fill="auto"/>
            <w:vAlign w:val="bottom"/>
            <w:hideMark/>
          </w:tcPr>
          <w:p w:rsidR="00EB02D4" w:rsidRPr="000B544A" w:rsidRDefault="00EB02D4" w:rsidP="00871496">
            <w:pPr>
              <w:spacing w:after="0"/>
              <w:rPr>
                <w:rFonts w:ascii="Times New Roman" w:hAnsi="Times New Roman"/>
                <w:color w:val="000000"/>
                <w:sz w:val="22"/>
                <w:szCs w:val="22"/>
                <w:lang w:val="lt-LT"/>
              </w:rPr>
            </w:pPr>
            <w:r w:rsidRPr="000B544A">
              <w:rPr>
                <w:rFonts w:ascii="Times New Roman" w:hAnsi="Times New Roman"/>
                <w:color w:val="000000"/>
                <w:sz w:val="22"/>
                <w:szCs w:val="22"/>
                <w:lang w:val="lt-LT"/>
              </w:rPr>
              <w:t>0,00</w:t>
            </w: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82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c>
          <w:tcPr>
            <w:tcW w:w="711" w:type="dxa"/>
            <w:vMerge/>
            <w:tcBorders>
              <w:top w:val="nil"/>
              <w:left w:val="single" w:sz="8" w:space="0" w:color="auto"/>
              <w:bottom w:val="single" w:sz="8" w:space="0" w:color="000000"/>
              <w:right w:val="single" w:sz="8" w:space="0" w:color="auto"/>
            </w:tcBorders>
            <w:vAlign w:val="center"/>
            <w:hideMark/>
          </w:tcPr>
          <w:p w:rsidR="00EB02D4" w:rsidRPr="000B544A" w:rsidRDefault="00EB02D4" w:rsidP="00871496">
            <w:pPr>
              <w:spacing w:after="0"/>
              <w:rPr>
                <w:rFonts w:ascii="Times New Roman" w:hAnsi="Times New Roman"/>
                <w:color w:val="000000"/>
                <w:sz w:val="22"/>
                <w:szCs w:val="22"/>
                <w:lang w:val="lt-LT"/>
              </w:rPr>
            </w:pPr>
          </w:p>
        </w:tc>
      </w:tr>
    </w:tbl>
    <w:p w:rsidR="003E4289" w:rsidRPr="000B544A" w:rsidRDefault="003E4289" w:rsidP="003E4289">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357418" w:rsidRPr="000B544A" w:rsidRDefault="00357418" w:rsidP="00DA691E">
      <w:pPr>
        <w:spacing w:after="0" w:line="360" w:lineRule="auto"/>
        <w:ind w:firstLine="567"/>
        <w:jc w:val="both"/>
        <w:rPr>
          <w:rFonts w:ascii="Times New Roman" w:hAnsi="Times New Roman"/>
          <w:lang w:val="lt-LT"/>
        </w:rPr>
      </w:pPr>
      <w:r w:rsidRPr="000B544A">
        <w:rPr>
          <w:rFonts w:ascii="Times New Roman" w:hAnsi="Times New Roman"/>
          <w:lang w:val="lt-LT"/>
        </w:rPr>
        <w:t xml:space="preserve">23 lentelėje pateiktos visų 10-ties techninių indikatorių reikšmės 10-čiai likvidžiausių Baltijos šalių akcijų rinkos akcijų pagal 2011 m. </w:t>
      </w:r>
      <w:r w:rsidR="008B62A5" w:rsidRPr="000B544A">
        <w:rPr>
          <w:rFonts w:ascii="Times New Roman" w:hAnsi="Times New Roman"/>
          <w:lang w:val="lt-LT"/>
        </w:rPr>
        <w:t>l</w:t>
      </w:r>
      <w:r w:rsidRPr="000B544A">
        <w:rPr>
          <w:rFonts w:ascii="Times New Roman" w:hAnsi="Times New Roman"/>
          <w:lang w:val="lt-LT"/>
        </w:rPr>
        <w:t xml:space="preserve">iepos 1 d. duomenis. Kai kurie indikatoriai turi po dvi reikšmes. Tie indikatoriai, kurie turi po dvi reikšmes, veikia kainos kanalo principu. </w:t>
      </w:r>
      <w:r w:rsidR="00EB02D4" w:rsidRPr="000B544A">
        <w:rPr>
          <w:rFonts w:ascii="Times New Roman" w:hAnsi="Times New Roman"/>
          <w:lang w:val="lt-LT"/>
        </w:rPr>
        <w:t>Kai skaičiuojamas kainos</w:t>
      </w:r>
      <w:r w:rsidRPr="000B544A">
        <w:rPr>
          <w:rFonts w:ascii="Times New Roman" w:hAnsi="Times New Roman"/>
          <w:lang w:val="lt-LT"/>
        </w:rPr>
        <w:t xml:space="preserve"> kanal</w:t>
      </w:r>
      <w:r w:rsidR="00EB02D4" w:rsidRPr="000B544A">
        <w:rPr>
          <w:rFonts w:ascii="Times New Roman" w:hAnsi="Times New Roman"/>
          <w:lang w:val="lt-LT"/>
        </w:rPr>
        <w:t>as</w:t>
      </w:r>
      <w:r w:rsidRPr="000B544A">
        <w:rPr>
          <w:rFonts w:ascii="Times New Roman" w:hAnsi="Times New Roman"/>
          <w:lang w:val="lt-LT"/>
        </w:rPr>
        <w:t>, kuriame kaina juda,</w:t>
      </w:r>
      <w:r w:rsidR="00EB02D4" w:rsidRPr="000B544A">
        <w:rPr>
          <w:rFonts w:ascii="Times New Roman" w:hAnsi="Times New Roman"/>
          <w:lang w:val="lt-LT"/>
        </w:rPr>
        <w:t xml:space="preserve"> suskaičiuojamos dvi ribos (viršutinė nei apatinė) tarp kurių juda kaina.</w:t>
      </w:r>
      <w:r w:rsidRPr="000B544A">
        <w:rPr>
          <w:rFonts w:ascii="Times New Roman" w:hAnsi="Times New Roman"/>
          <w:lang w:val="lt-LT"/>
        </w:rPr>
        <w:t xml:space="preserve"> </w:t>
      </w:r>
      <w:r w:rsidR="00EB02D4" w:rsidRPr="000B544A">
        <w:rPr>
          <w:rFonts w:ascii="Times New Roman" w:hAnsi="Times New Roman"/>
          <w:lang w:val="lt-LT"/>
        </w:rPr>
        <w:t>J</w:t>
      </w:r>
      <w:r w:rsidRPr="000B544A">
        <w:rPr>
          <w:rFonts w:ascii="Times New Roman" w:hAnsi="Times New Roman"/>
          <w:lang w:val="lt-LT"/>
        </w:rPr>
        <w:t>ei kaina „iššoka“ iš šio kanalo, tai gaunamas pirkimo arba pardavimo signalas.</w:t>
      </w:r>
      <w:r w:rsidR="00EB02D4" w:rsidRPr="000B544A">
        <w:rPr>
          <w:rFonts w:ascii="Times New Roman" w:hAnsi="Times New Roman"/>
          <w:lang w:val="lt-LT"/>
        </w:rPr>
        <w:t xml:space="preserve"> </w:t>
      </w:r>
    </w:p>
    <w:p w:rsidR="00D168B5" w:rsidRPr="000B544A" w:rsidRDefault="00D168B5" w:rsidP="00D168B5">
      <w:pPr>
        <w:pStyle w:val="Caption"/>
        <w:keepNext/>
        <w:jc w:val="center"/>
        <w:rPr>
          <w:rFonts w:ascii="Times New Roman" w:hAnsi="Times New Roman"/>
          <w:lang w:val="lt-LT"/>
        </w:rPr>
      </w:pPr>
      <w:r w:rsidRPr="000B544A">
        <w:rPr>
          <w:rFonts w:ascii="Times New Roman" w:hAnsi="Times New Roman"/>
          <w:b w:val="0"/>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71" w:name="_Toc311718690"/>
      <w:r w:rsidR="00C53DDD">
        <w:rPr>
          <w:rFonts w:ascii="Times New Roman" w:hAnsi="Times New Roman"/>
          <w:b w:val="0"/>
          <w:noProof/>
          <w:lang w:val="lt-LT"/>
        </w:rPr>
        <w:t>24</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w:t>
      </w:r>
      <w:r w:rsidRPr="000B544A">
        <w:rPr>
          <w:rFonts w:ascii="Times New Roman" w:hAnsi="Times New Roman"/>
          <w:lang w:val="lt-LT"/>
        </w:rPr>
        <w:t xml:space="preserve"> Indikatorių reikšmės prognozei</w:t>
      </w:r>
      <w:bookmarkEnd w:id="71"/>
    </w:p>
    <w:tbl>
      <w:tblPr>
        <w:tblW w:w="7290" w:type="dxa"/>
        <w:jc w:val="center"/>
        <w:tblLook w:val="04A0"/>
      </w:tblPr>
      <w:tblGrid>
        <w:gridCol w:w="504"/>
        <w:gridCol w:w="2905"/>
        <w:gridCol w:w="534"/>
        <w:gridCol w:w="620"/>
        <w:gridCol w:w="534"/>
        <w:gridCol w:w="608"/>
        <w:gridCol w:w="1585"/>
      </w:tblGrid>
      <w:tr w:rsidR="00D87AF6" w:rsidRPr="000B544A" w:rsidTr="00D87AF6">
        <w:trPr>
          <w:trHeight w:val="28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Nr.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Akcija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DK</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PSV</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PSI</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PMI</w:t>
            </w:r>
          </w:p>
        </w:tc>
        <w:tc>
          <w:tcPr>
            <w:tcW w:w="0" w:type="auto"/>
            <w:tcBorders>
              <w:top w:val="single" w:sz="4" w:space="0" w:color="auto"/>
              <w:left w:val="nil"/>
              <w:bottom w:val="single" w:sz="4" w:space="0" w:color="auto"/>
              <w:right w:val="single" w:sz="4" w:space="0" w:color="auto"/>
            </w:tcBorders>
            <w:vAlign w:val="center"/>
          </w:tcPr>
          <w:p w:rsidR="00D87AF6" w:rsidRPr="000B544A" w:rsidRDefault="00D87AF6" w:rsidP="00D87AF6">
            <w:pPr>
              <w:spacing w:after="0"/>
              <w:jc w:val="center"/>
              <w:rPr>
                <w:rFonts w:ascii="Times New Roman" w:hAnsi="Times New Roman"/>
                <w:sz w:val="22"/>
                <w:szCs w:val="22"/>
                <w:lang w:val="lt-LT"/>
              </w:rPr>
            </w:pPr>
            <w:r w:rsidRPr="000B544A">
              <w:rPr>
                <w:rFonts w:ascii="Times New Roman" w:hAnsi="Times New Roman"/>
                <w:sz w:val="22"/>
                <w:szCs w:val="22"/>
                <w:lang w:val="lt-LT"/>
              </w:rPr>
              <w:t>Rekomendacija</w:t>
            </w:r>
          </w:p>
        </w:tc>
      </w:tr>
      <w:tr w:rsidR="00D87AF6" w:rsidRPr="000B544A" w:rsidTr="00D87AF6">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1</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Apranga</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single" w:sz="4" w:space="0" w:color="auto"/>
              <w:left w:val="nil"/>
              <w:bottom w:val="single" w:sz="4" w:space="0" w:color="auto"/>
              <w:right w:val="single" w:sz="4" w:space="0" w:color="auto"/>
            </w:tcBorders>
            <w:vAlign w:val="center"/>
          </w:tcPr>
          <w:p w:rsidR="00D87AF6" w:rsidRPr="000B544A" w:rsidRDefault="00D87AF6" w:rsidP="00D87AF6">
            <w:pPr>
              <w:spacing w:after="0"/>
              <w:jc w:val="center"/>
              <w:rPr>
                <w:rFonts w:ascii="Times New Roman" w:hAnsi="Times New Roman"/>
                <w:sz w:val="22"/>
                <w:szCs w:val="22"/>
                <w:lang w:val="lt-LT"/>
              </w:rPr>
            </w:pPr>
            <w:r w:rsidRPr="000B544A">
              <w:rPr>
                <w:rFonts w:ascii="Times New Roman" w:hAnsi="Times New Roman"/>
                <w:sz w:val="22"/>
                <w:szCs w:val="22"/>
                <w:lang w:val="lt-LT"/>
              </w:rPr>
              <w:t>+</w:t>
            </w:r>
          </w:p>
        </w:tc>
      </w:tr>
      <w:tr w:rsidR="00D87AF6" w:rsidRPr="000B544A" w:rsidTr="00D87AF6">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2</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Linas Agro Group</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single" w:sz="4" w:space="0" w:color="auto"/>
              <w:left w:val="nil"/>
              <w:bottom w:val="single" w:sz="4" w:space="0" w:color="auto"/>
              <w:right w:val="single" w:sz="4" w:space="0" w:color="auto"/>
            </w:tcBorders>
            <w:vAlign w:val="center"/>
          </w:tcPr>
          <w:p w:rsidR="00D87AF6" w:rsidRPr="000B544A" w:rsidRDefault="00D87AF6" w:rsidP="00D87AF6">
            <w:pPr>
              <w:spacing w:after="0"/>
              <w:jc w:val="center"/>
              <w:rPr>
                <w:rFonts w:ascii="Times New Roman" w:hAnsi="Times New Roman"/>
                <w:sz w:val="22"/>
                <w:szCs w:val="22"/>
                <w:lang w:val="lt-LT"/>
              </w:rPr>
            </w:pPr>
            <w:r w:rsidRPr="000B544A">
              <w:rPr>
                <w:rFonts w:ascii="Times New Roman" w:hAnsi="Times New Roman"/>
                <w:sz w:val="22"/>
                <w:szCs w:val="22"/>
                <w:lang w:val="lt-LT"/>
              </w:rPr>
              <w:t>+</w:t>
            </w:r>
          </w:p>
        </w:tc>
      </w:tr>
      <w:tr w:rsidR="00D87AF6" w:rsidRPr="000B544A" w:rsidTr="00D87AF6">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3</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Nordecon AS</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w:t>
            </w:r>
          </w:p>
        </w:tc>
        <w:tc>
          <w:tcPr>
            <w:tcW w:w="0" w:type="auto"/>
            <w:tcBorders>
              <w:top w:val="single" w:sz="4" w:space="0" w:color="auto"/>
              <w:left w:val="nil"/>
              <w:bottom w:val="single" w:sz="4" w:space="0" w:color="auto"/>
              <w:right w:val="single" w:sz="4" w:space="0" w:color="auto"/>
            </w:tcBorders>
            <w:vAlign w:val="center"/>
          </w:tcPr>
          <w:p w:rsidR="00D87AF6" w:rsidRPr="000B544A" w:rsidRDefault="00D87AF6" w:rsidP="00D87AF6">
            <w:pPr>
              <w:spacing w:after="0"/>
              <w:jc w:val="center"/>
              <w:rPr>
                <w:rFonts w:ascii="Times New Roman" w:hAnsi="Times New Roman"/>
                <w:sz w:val="22"/>
                <w:szCs w:val="22"/>
                <w:lang w:val="lt-LT"/>
              </w:rPr>
            </w:pPr>
            <w:r w:rsidRPr="000B544A">
              <w:rPr>
                <w:rFonts w:ascii="Times New Roman" w:hAnsi="Times New Roman"/>
                <w:sz w:val="22"/>
                <w:szCs w:val="22"/>
                <w:lang w:val="lt-LT"/>
              </w:rPr>
              <w:t>+</w:t>
            </w:r>
          </w:p>
        </w:tc>
      </w:tr>
      <w:tr w:rsidR="00D87AF6" w:rsidRPr="000B544A" w:rsidTr="00D87AF6">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4</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Olympic Entertainment Group</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single" w:sz="4" w:space="0" w:color="auto"/>
              <w:left w:val="nil"/>
              <w:bottom w:val="single" w:sz="4" w:space="0" w:color="auto"/>
              <w:right w:val="single" w:sz="4" w:space="0" w:color="auto"/>
            </w:tcBorders>
            <w:vAlign w:val="center"/>
          </w:tcPr>
          <w:p w:rsidR="00D87AF6" w:rsidRPr="000B544A" w:rsidRDefault="00D87AF6" w:rsidP="00D87AF6">
            <w:pPr>
              <w:spacing w:after="0"/>
              <w:jc w:val="center"/>
              <w:rPr>
                <w:rFonts w:ascii="Times New Roman" w:hAnsi="Times New Roman"/>
                <w:sz w:val="22"/>
                <w:szCs w:val="22"/>
                <w:lang w:val="lt-LT"/>
              </w:rPr>
            </w:pPr>
            <w:r w:rsidRPr="000B544A">
              <w:rPr>
                <w:rFonts w:ascii="Times New Roman" w:hAnsi="Times New Roman"/>
                <w:sz w:val="22"/>
                <w:szCs w:val="22"/>
                <w:lang w:val="lt-LT"/>
              </w:rPr>
              <w:t>0</w:t>
            </w:r>
          </w:p>
        </w:tc>
      </w:tr>
      <w:tr w:rsidR="00D87AF6" w:rsidRPr="000B544A" w:rsidTr="00D87AF6">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5</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Panevėžio statybos trestas</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single" w:sz="4" w:space="0" w:color="auto"/>
              <w:left w:val="nil"/>
              <w:bottom w:val="single" w:sz="4" w:space="0" w:color="auto"/>
              <w:right w:val="single" w:sz="4" w:space="0" w:color="auto"/>
            </w:tcBorders>
            <w:vAlign w:val="center"/>
          </w:tcPr>
          <w:p w:rsidR="00D87AF6" w:rsidRPr="000B544A" w:rsidRDefault="00D87AF6" w:rsidP="00D87AF6">
            <w:pPr>
              <w:spacing w:after="0"/>
              <w:jc w:val="center"/>
              <w:rPr>
                <w:rFonts w:ascii="Times New Roman" w:hAnsi="Times New Roman"/>
                <w:sz w:val="22"/>
                <w:szCs w:val="22"/>
                <w:lang w:val="lt-LT"/>
              </w:rPr>
            </w:pPr>
            <w:r w:rsidRPr="000B544A">
              <w:rPr>
                <w:rFonts w:ascii="Times New Roman" w:hAnsi="Times New Roman"/>
                <w:sz w:val="22"/>
                <w:szCs w:val="22"/>
                <w:lang w:val="lt-LT"/>
              </w:rPr>
              <w:t>-</w:t>
            </w:r>
          </w:p>
        </w:tc>
      </w:tr>
      <w:tr w:rsidR="00D87AF6" w:rsidRPr="000B544A" w:rsidTr="00D87AF6">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6</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Tallink Grupp</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single" w:sz="4" w:space="0" w:color="auto"/>
              <w:left w:val="nil"/>
              <w:bottom w:val="single" w:sz="4" w:space="0" w:color="auto"/>
              <w:right w:val="single" w:sz="4" w:space="0" w:color="auto"/>
            </w:tcBorders>
            <w:vAlign w:val="center"/>
          </w:tcPr>
          <w:p w:rsidR="00D87AF6" w:rsidRPr="000B544A" w:rsidRDefault="00D87AF6" w:rsidP="00D87AF6">
            <w:pPr>
              <w:spacing w:after="0"/>
              <w:jc w:val="center"/>
              <w:rPr>
                <w:rFonts w:ascii="Times New Roman" w:hAnsi="Times New Roman"/>
                <w:sz w:val="22"/>
                <w:szCs w:val="22"/>
                <w:lang w:val="lt-LT"/>
              </w:rPr>
            </w:pPr>
            <w:r w:rsidRPr="000B544A">
              <w:rPr>
                <w:rFonts w:ascii="Times New Roman" w:hAnsi="Times New Roman"/>
                <w:sz w:val="22"/>
                <w:szCs w:val="22"/>
                <w:lang w:val="lt-LT"/>
              </w:rPr>
              <w:t>+</w:t>
            </w:r>
          </w:p>
        </w:tc>
      </w:tr>
      <w:tr w:rsidR="00D87AF6" w:rsidRPr="000B544A" w:rsidTr="00D87AF6">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7</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TEO LT</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single" w:sz="4" w:space="0" w:color="auto"/>
              <w:left w:val="nil"/>
              <w:bottom w:val="single" w:sz="4" w:space="0" w:color="auto"/>
              <w:right w:val="single" w:sz="4" w:space="0" w:color="auto"/>
            </w:tcBorders>
            <w:vAlign w:val="center"/>
          </w:tcPr>
          <w:p w:rsidR="00D87AF6" w:rsidRPr="000B544A" w:rsidRDefault="00D87AF6" w:rsidP="00D87AF6">
            <w:pPr>
              <w:spacing w:after="0"/>
              <w:jc w:val="center"/>
              <w:rPr>
                <w:rFonts w:ascii="Times New Roman" w:hAnsi="Times New Roman"/>
                <w:sz w:val="22"/>
                <w:szCs w:val="22"/>
                <w:lang w:val="lt-LT"/>
              </w:rPr>
            </w:pPr>
            <w:r w:rsidRPr="000B544A">
              <w:rPr>
                <w:rFonts w:ascii="Times New Roman" w:hAnsi="Times New Roman"/>
                <w:sz w:val="22"/>
                <w:szCs w:val="22"/>
                <w:lang w:val="lt-LT"/>
              </w:rPr>
              <w:t>-</w:t>
            </w:r>
          </w:p>
        </w:tc>
      </w:tr>
      <w:tr w:rsidR="00D87AF6" w:rsidRPr="000B544A" w:rsidTr="00D87AF6">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8</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Tallinna Kaubamaja</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single" w:sz="4" w:space="0" w:color="auto"/>
              <w:left w:val="nil"/>
              <w:bottom w:val="single" w:sz="4" w:space="0" w:color="auto"/>
              <w:right w:val="single" w:sz="4" w:space="0" w:color="auto"/>
            </w:tcBorders>
            <w:vAlign w:val="center"/>
          </w:tcPr>
          <w:p w:rsidR="00D87AF6" w:rsidRPr="000B544A" w:rsidRDefault="00D87AF6" w:rsidP="00D87AF6">
            <w:pPr>
              <w:spacing w:after="0"/>
              <w:jc w:val="center"/>
              <w:rPr>
                <w:rFonts w:ascii="Times New Roman" w:hAnsi="Times New Roman"/>
                <w:sz w:val="22"/>
                <w:szCs w:val="22"/>
                <w:lang w:val="lt-LT"/>
              </w:rPr>
            </w:pPr>
            <w:r w:rsidRPr="000B544A">
              <w:rPr>
                <w:rFonts w:ascii="Times New Roman" w:hAnsi="Times New Roman"/>
                <w:sz w:val="22"/>
                <w:szCs w:val="22"/>
                <w:lang w:val="lt-LT"/>
              </w:rPr>
              <w:t>+</w:t>
            </w:r>
          </w:p>
        </w:tc>
      </w:tr>
      <w:tr w:rsidR="00D87AF6" w:rsidRPr="000B544A" w:rsidTr="00D87AF6">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9</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Tallinna Vesi</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single" w:sz="4" w:space="0" w:color="auto"/>
              <w:left w:val="nil"/>
              <w:bottom w:val="single" w:sz="4" w:space="0" w:color="auto"/>
              <w:right w:val="single" w:sz="4" w:space="0" w:color="auto"/>
            </w:tcBorders>
            <w:vAlign w:val="center"/>
          </w:tcPr>
          <w:p w:rsidR="00D87AF6" w:rsidRPr="000B544A" w:rsidRDefault="00D87AF6" w:rsidP="00D87AF6">
            <w:pPr>
              <w:spacing w:after="0"/>
              <w:jc w:val="center"/>
              <w:rPr>
                <w:rFonts w:ascii="Times New Roman" w:hAnsi="Times New Roman"/>
                <w:sz w:val="22"/>
                <w:szCs w:val="22"/>
                <w:lang w:val="lt-LT"/>
              </w:rPr>
            </w:pPr>
            <w:r w:rsidRPr="000B544A">
              <w:rPr>
                <w:rFonts w:ascii="Times New Roman" w:hAnsi="Times New Roman"/>
                <w:sz w:val="22"/>
                <w:szCs w:val="22"/>
                <w:lang w:val="lt-LT"/>
              </w:rPr>
              <w:t>0</w:t>
            </w:r>
          </w:p>
        </w:tc>
      </w:tr>
      <w:tr w:rsidR="00D87AF6" w:rsidRPr="000B544A" w:rsidTr="00D87AF6">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Ūkio bankas</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nil"/>
              <w:left w:val="nil"/>
              <w:bottom w:val="single" w:sz="4" w:space="0" w:color="auto"/>
              <w:right w:val="single" w:sz="4" w:space="0" w:color="auto"/>
            </w:tcBorders>
            <w:shd w:val="clear" w:color="auto" w:fill="auto"/>
            <w:noWrap/>
            <w:vAlign w:val="center"/>
            <w:hideMark/>
          </w:tcPr>
          <w:p w:rsidR="00D87AF6" w:rsidRPr="000B544A" w:rsidRDefault="00D87AF6" w:rsidP="00D87AF6">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c>
          <w:tcPr>
            <w:tcW w:w="0" w:type="auto"/>
            <w:tcBorders>
              <w:top w:val="single" w:sz="4" w:space="0" w:color="auto"/>
              <w:left w:val="nil"/>
              <w:bottom w:val="single" w:sz="4" w:space="0" w:color="auto"/>
              <w:right w:val="single" w:sz="4" w:space="0" w:color="auto"/>
            </w:tcBorders>
            <w:vAlign w:val="center"/>
          </w:tcPr>
          <w:p w:rsidR="00D87AF6" w:rsidRPr="000B544A" w:rsidRDefault="00D87AF6" w:rsidP="00D87AF6">
            <w:pPr>
              <w:spacing w:after="0"/>
              <w:jc w:val="center"/>
              <w:rPr>
                <w:rFonts w:ascii="Times New Roman" w:hAnsi="Times New Roman"/>
                <w:sz w:val="22"/>
                <w:szCs w:val="22"/>
                <w:lang w:val="lt-LT"/>
              </w:rPr>
            </w:pPr>
            <w:r w:rsidRPr="000B544A">
              <w:rPr>
                <w:rFonts w:ascii="Times New Roman" w:hAnsi="Times New Roman"/>
                <w:sz w:val="22"/>
                <w:szCs w:val="22"/>
                <w:lang w:val="lt-LT"/>
              </w:rPr>
              <w:t>0</w:t>
            </w:r>
          </w:p>
        </w:tc>
      </w:tr>
    </w:tbl>
    <w:p w:rsidR="00D168B5" w:rsidRPr="000B544A" w:rsidRDefault="00D168B5" w:rsidP="00D168B5">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357418" w:rsidRPr="000B544A" w:rsidRDefault="00405D37" w:rsidP="00D168B5">
      <w:pPr>
        <w:spacing w:after="0" w:line="360" w:lineRule="auto"/>
        <w:jc w:val="both"/>
        <w:rPr>
          <w:rFonts w:ascii="Times New Roman" w:hAnsi="Times New Roman"/>
          <w:lang w:val="lt-LT"/>
        </w:rPr>
      </w:pPr>
      <w:r w:rsidRPr="000B544A">
        <w:rPr>
          <w:rFonts w:ascii="Times New Roman" w:hAnsi="Times New Roman"/>
          <w:lang w:val="lt-LT"/>
        </w:rPr>
        <w:tab/>
        <w:t>24 lentelėje pateiktas 23 lentelėje pateiktų skaičių interpretavimas. 24 lentelėje naudojami simboliai „0“, „+“ ir „-“. 0 reiškia – „laukti“, „+“ – „pirkt</w:t>
      </w:r>
      <w:r w:rsidR="003A2ECE" w:rsidRPr="000B544A">
        <w:rPr>
          <w:rFonts w:ascii="Times New Roman" w:hAnsi="Times New Roman"/>
          <w:lang w:val="lt-LT"/>
        </w:rPr>
        <w:t>i“, o „-“ – parduoti“. Paprasto slankiojo vidurkio indikatorius</w:t>
      </w:r>
      <w:r w:rsidRPr="000B544A">
        <w:rPr>
          <w:rFonts w:ascii="Times New Roman" w:hAnsi="Times New Roman"/>
          <w:lang w:val="lt-LT"/>
        </w:rPr>
        <w:t xml:space="preserve"> neparodė nei vieno signalo „pirkti“ ar „parduoti“ akcijas. Dončiano kanalas ir pasikeitimo masto indikatorius parodė po viena pirkimo signalą. Daugiausiai signalų – 5, parodė </w:t>
      </w:r>
      <w:r w:rsidRPr="000B544A">
        <w:rPr>
          <w:rFonts w:ascii="Times New Roman" w:hAnsi="Times New Roman"/>
          <w:lang w:val="lt-LT"/>
        </w:rPr>
        <w:lastRenderedPageBreak/>
        <w:t xml:space="preserve">pinigų srauto indekso indikatorius. </w:t>
      </w:r>
      <w:r w:rsidR="00952A9C" w:rsidRPr="000B544A">
        <w:rPr>
          <w:rFonts w:ascii="Times New Roman" w:hAnsi="Times New Roman"/>
          <w:lang w:val="lt-LT"/>
        </w:rPr>
        <w:t>Signalų skaičius priklauso nuo indikatoriaus skaičiavimo metodikos. Pinigų srauto indekso indikatorius turi tam tikras pirkimo arba pardavimo zonas. Jei kaina patenka į šias zonas, tai interpretuojama kaip pirkimo arba pardavimo signalas. Kaina šiose zonose gali išsilaikyti keletą dienų, todėl žiūrint konkrečios dienos indikatorių signalus</w:t>
      </w:r>
      <w:r w:rsidR="008B62A5" w:rsidRPr="000B544A">
        <w:rPr>
          <w:rFonts w:ascii="Times New Roman" w:hAnsi="Times New Roman"/>
          <w:lang w:val="lt-LT"/>
        </w:rPr>
        <w:t>,</w:t>
      </w:r>
      <w:r w:rsidR="00952A9C" w:rsidRPr="000B544A">
        <w:rPr>
          <w:rFonts w:ascii="Times New Roman" w:hAnsi="Times New Roman"/>
          <w:lang w:val="lt-LT"/>
        </w:rPr>
        <w:t xml:space="preserve"> šis indikatorius dažniau rodys pirkimo ar pardavimo signalą, nei tokie indikatoriai kaip paprastas slankusis vidurkis arba pasikeitimo masto </w:t>
      </w:r>
      <w:r w:rsidR="00F41893" w:rsidRPr="000B544A">
        <w:rPr>
          <w:rFonts w:ascii="Times New Roman" w:hAnsi="Times New Roman"/>
          <w:lang w:val="lt-LT"/>
        </w:rPr>
        <w:t>indikatorius</w:t>
      </w:r>
      <w:r w:rsidR="00952A9C" w:rsidRPr="000B544A">
        <w:rPr>
          <w:rFonts w:ascii="Times New Roman" w:hAnsi="Times New Roman"/>
          <w:lang w:val="lt-LT"/>
        </w:rPr>
        <w:t>, kadangi šių indikatorių signalai gaunami kertant tam tikrą ribą.</w:t>
      </w:r>
    </w:p>
    <w:p w:rsidR="00295488" w:rsidRPr="000B544A" w:rsidRDefault="00562744" w:rsidP="007441F1">
      <w:pPr>
        <w:pStyle w:val="Heading2"/>
        <w:spacing w:line="360" w:lineRule="auto"/>
        <w:rPr>
          <w:rFonts w:ascii="Times New Roman" w:hAnsi="Times New Roman"/>
          <w:color w:val="auto"/>
          <w:lang w:val="lt-LT"/>
        </w:rPr>
      </w:pPr>
      <w:bookmarkStart w:id="72" w:name="_Toc312047655"/>
      <w:bookmarkStart w:id="73" w:name="_Toc165971254"/>
      <w:r w:rsidRPr="000B544A">
        <w:rPr>
          <w:rFonts w:ascii="Times New Roman" w:hAnsi="Times New Roman"/>
          <w:color w:val="auto"/>
          <w:lang w:val="lt-LT"/>
        </w:rPr>
        <w:t xml:space="preserve">3.3 </w:t>
      </w:r>
      <w:r w:rsidR="004D10B3" w:rsidRPr="000B544A">
        <w:rPr>
          <w:rFonts w:ascii="Times New Roman" w:hAnsi="Times New Roman"/>
          <w:color w:val="auto"/>
          <w:lang w:val="lt-LT"/>
        </w:rPr>
        <w:t>Prognozės, parengtos naudojant techninės analizės indikatorius, vertinimas</w:t>
      </w:r>
      <w:bookmarkEnd w:id="72"/>
    </w:p>
    <w:p w:rsidR="00463242" w:rsidRPr="000B544A" w:rsidRDefault="00463242" w:rsidP="00AE7460">
      <w:pPr>
        <w:pStyle w:val="Caption"/>
        <w:keepNext/>
        <w:spacing w:line="360" w:lineRule="auto"/>
        <w:ind w:firstLine="567"/>
        <w:jc w:val="both"/>
        <w:rPr>
          <w:rFonts w:ascii="Times New Roman" w:hAnsi="Times New Roman"/>
          <w:b w:val="0"/>
          <w:sz w:val="24"/>
          <w:szCs w:val="24"/>
          <w:lang w:val="lt-LT"/>
        </w:rPr>
      </w:pPr>
      <w:r w:rsidRPr="000B544A">
        <w:rPr>
          <w:rFonts w:ascii="Times New Roman" w:hAnsi="Times New Roman"/>
          <w:b w:val="0"/>
          <w:sz w:val="24"/>
          <w:szCs w:val="24"/>
          <w:lang w:val="lt-LT"/>
        </w:rPr>
        <w:t>Pagal gautus techninės analizės indikatorių – Dončiano kanalo, paprastojo slankiojo vidurkio, pinigų srauto indekso ir pasikeitimo masto in</w:t>
      </w:r>
      <w:r w:rsidR="008B62A5" w:rsidRPr="000B544A">
        <w:rPr>
          <w:rFonts w:ascii="Times New Roman" w:hAnsi="Times New Roman"/>
          <w:b w:val="0"/>
          <w:sz w:val="24"/>
          <w:szCs w:val="24"/>
          <w:lang w:val="lt-LT"/>
        </w:rPr>
        <w:t>dikatoriaus – signalus 2011 m. l</w:t>
      </w:r>
      <w:r w:rsidRPr="000B544A">
        <w:rPr>
          <w:rFonts w:ascii="Times New Roman" w:hAnsi="Times New Roman"/>
          <w:b w:val="0"/>
          <w:sz w:val="24"/>
          <w:szCs w:val="24"/>
          <w:lang w:val="lt-LT"/>
        </w:rPr>
        <w:t>iepos 1 d. buvo sudaryta prognozė.</w:t>
      </w:r>
      <w:r w:rsidR="008B62A5" w:rsidRPr="000B544A">
        <w:rPr>
          <w:rFonts w:ascii="Times New Roman" w:hAnsi="Times New Roman"/>
          <w:b w:val="0"/>
          <w:sz w:val="24"/>
          <w:szCs w:val="24"/>
          <w:lang w:val="lt-LT"/>
        </w:rPr>
        <w:t xml:space="preserve"> Po 3 mėn. 2011 m. r</w:t>
      </w:r>
      <w:r w:rsidRPr="000B544A">
        <w:rPr>
          <w:rFonts w:ascii="Times New Roman" w:hAnsi="Times New Roman"/>
          <w:b w:val="0"/>
          <w:sz w:val="24"/>
          <w:szCs w:val="24"/>
          <w:lang w:val="lt-LT"/>
        </w:rPr>
        <w:t xml:space="preserve">ugsėjo 30 d. fiksuojamos tos dienos akcijų kainos ir daromas palyginimas tarp </w:t>
      </w:r>
      <w:r w:rsidR="008B62A5" w:rsidRPr="000B544A">
        <w:rPr>
          <w:rFonts w:ascii="Times New Roman" w:hAnsi="Times New Roman"/>
          <w:b w:val="0"/>
          <w:sz w:val="24"/>
          <w:szCs w:val="24"/>
          <w:lang w:val="lt-LT"/>
        </w:rPr>
        <w:t>l</w:t>
      </w:r>
      <w:r w:rsidRPr="000B544A">
        <w:rPr>
          <w:rFonts w:ascii="Times New Roman" w:hAnsi="Times New Roman"/>
          <w:b w:val="0"/>
          <w:sz w:val="24"/>
          <w:szCs w:val="24"/>
          <w:lang w:val="lt-LT"/>
        </w:rPr>
        <w:t xml:space="preserve">iepos 1 d. ir </w:t>
      </w:r>
      <w:r w:rsidR="008B62A5" w:rsidRPr="000B544A">
        <w:rPr>
          <w:rFonts w:ascii="Times New Roman" w:hAnsi="Times New Roman"/>
          <w:b w:val="0"/>
          <w:sz w:val="24"/>
          <w:szCs w:val="24"/>
          <w:lang w:val="lt-LT"/>
        </w:rPr>
        <w:t>r</w:t>
      </w:r>
      <w:r w:rsidRPr="000B544A">
        <w:rPr>
          <w:rFonts w:ascii="Times New Roman" w:hAnsi="Times New Roman"/>
          <w:b w:val="0"/>
          <w:sz w:val="24"/>
          <w:szCs w:val="24"/>
          <w:lang w:val="lt-LT"/>
        </w:rPr>
        <w:t>ugsėjo 30 d. kainų atsižvelgiant į pagal indikatorių signalus padarytą prognozę.</w:t>
      </w:r>
    </w:p>
    <w:p w:rsidR="00DA691E" w:rsidRPr="000B544A" w:rsidRDefault="00DA691E" w:rsidP="007441F1">
      <w:pPr>
        <w:pStyle w:val="Caption"/>
        <w:keepNext/>
        <w:spacing w:line="360" w:lineRule="auto"/>
        <w:jc w:val="center"/>
        <w:rPr>
          <w:rFonts w:ascii="Times New Roman" w:hAnsi="Times New Roman"/>
          <w:lang w:val="lt-LT"/>
        </w:rPr>
      </w:pPr>
      <w:r w:rsidRPr="000B544A">
        <w:rPr>
          <w:rFonts w:ascii="Times New Roman" w:hAnsi="Times New Roman"/>
          <w:b w:val="0"/>
          <w:lang w:val="lt-LT"/>
        </w:rPr>
        <w:t xml:space="preserve"> </w:t>
      </w:r>
      <w:r w:rsidR="00A56BC3" w:rsidRPr="000B544A">
        <w:rPr>
          <w:rFonts w:ascii="Times New Roman" w:hAnsi="Times New Roman"/>
          <w:b w:val="0"/>
          <w:lang w:val="lt-LT"/>
        </w:rPr>
        <w:fldChar w:fldCharType="begin"/>
      </w:r>
      <w:r w:rsidRPr="000B544A">
        <w:rPr>
          <w:rFonts w:ascii="Times New Roman" w:hAnsi="Times New Roman"/>
          <w:b w:val="0"/>
          <w:lang w:val="lt-LT"/>
        </w:rPr>
        <w:instrText xml:space="preserve"> SEQ Table \* ARABIC </w:instrText>
      </w:r>
      <w:r w:rsidR="00A56BC3" w:rsidRPr="000B544A">
        <w:rPr>
          <w:rFonts w:ascii="Times New Roman" w:hAnsi="Times New Roman"/>
          <w:b w:val="0"/>
          <w:lang w:val="lt-LT"/>
        </w:rPr>
        <w:fldChar w:fldCharType="separate"/>
      </w:r>
      <w:bookmarkStart w:id="74" w:name="_Toc311718691"/>
      <w:r w:rsidR="00C53DDD">
        <w:rPr>
          <w:rFonts w:ascii="Times New Roman" w:hAnsi="Times New Roman"/>
          <w:b w:val="0"/>
          <w:noProof/>
          <w:lang w:val="lt-LT"/>
        </w:rPr>
        <w:t>25</w:t>
      </w:r>
      <w:r w:rsidR="00A56BC3" w:rsidRPr="000B544A">
        <w:rPr>
          <w:rFonts w:ascii="Times New Roman" w:hAnsi="Times New Roman"/>
          <w:b w:val="0"/>
          <w:lang w:val="lt-LT"/>
        </w:rPr>
        <w:fldChar w:fldCharType="end"/>
      </w:r>
      <w:r w:rsidRPr="000B544A">
        <w:rPr>
          <w:rFonts w:ascii="Times New Roman" w:hAnsi="Times New Roman"/>
          <w:b w:val="0"/>
          <w:lang w:val="lt-LT"/>
        </w:rPr>
        <w:t xml:space="preserve"> Lentelė. </w:t>
      </w:r>
      <w:r w:rsidRPr="000B544A">
        <w:rPr>
          <w:rFonts w:ascii="Times New Roman" w:hAnsi="Times New Roman"/>
          <w:lang w:val="lt-LT"/>
        </w:rPr>
        <w:t>Techninių rinkos indikatorių prognozės rezultatai</w:t>
      </w:r>
      <w:bookmarkEnd w:id="74"/>
    </w:p>
    <w:tbl>
      <w:tblPr>
        <w:tblW w:w="9935" w:type="dxa"/>
        <w:tblInd w:w="96" w:type="dxa"/>
        <w:tblLook w:val="04A0"/>
      </w:tblPr>
      <w:tblGrid>
        <w:gridCol w:w="751"/>
        <w:gridCol w:w="1505"/>
        <w:gridCol w:w="1641"/>
        <w:gridCol w:w="1360"/>
        <w:gridCol w:w="1276"/>
        <w:gridCol w:w="1134"/>
        <w:gridCol w:w="1134"/>
        <w:gridCol w:w="1134"/>
      </w:tblGrid>
      <w:tr w:rsidR="00C73830" w:rsidRPr="000B544A" w:rsidTr="00C73830">
        <w:trPr>
          <w:trHeight w:val="176"/>
        </w:trPr>
        <w:tc>
          <w:tcPr>
            <w:tcW w:w="7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Nr.</w:t>
            </w:r>
          </w:p>
        </w:tc>
        <w:tc>
          <w:tcPr>
            <w:tcW w:w="15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Akcija</w:t>
            </w:r>
          </w:p>
        </w:tc>
        <w:tc>
          <w:tcPr>
            <w:tcW w:w="16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Rekomendacija</w:t>
            </w:r>
          </w:p>
        </w:tc>
        <w:tc>
          <w:tcPr>
            <w:tcW w:w="1360" w:type="dxa"/>
            <w:tcBorders>
              <w:top w:val="single" w:sz="8" w:space="0" w:color="auto"/>
              <w:left w:val="nil"/>
              <w:bottom w:val="nil"/>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Kaina Lt.</w:t>
            </w:r>
          </w:p>
        </w:tc>
        <w:tc>
          <w:tcPr>
            <w:tcW w:w="1276" w:type="dxa"/>
            <w:tcBorders>
              <w:top w:val="single" w:sz="8" w:space="0" w:color="auto"/>
              <w:left w:val="nil"/>
              <w:bottom w:val="nil"/>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Kaina</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Pokytis Lt.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Pokytis proc.</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Rezultatas proc.</w:t>
            </w:r>
          </w:p>
        </w:tc>
      </w:tr>
      <w:tr w:rsidR="00C73830" w:rsidRPr="000B544A" w:rsidTr="00C73830">
        <w:trPr>
          <w:trHeight w:val="184"/>
        </w:trPr>
        <w:tc>
          <w:tcPr>
            <w:tcW w:w="751" w:type="dxa"/>
            <w:vMerge/>
            <w:tcBorders>
              <w:top w:val="single" w:sz="8" w:space="0" w:color="auto"/>
              <w:left w:val="single" w:sz="8" w:space="0" w:color="auto"/>
              <w:bottom w:val="single" w:sz="8" w:space="0" w:color="000000"/>
              <w:right w:val="single" w:sz="8" w:space="0" w:color="auto"/>
            </w:tcBorders>
            <w:vAlign w:val="center"/>
            <w:hideMark/>
          </w:tcPr>
          <w:p w:rsidR="00C73830" w:rsidRPr="000B544A" w:rsidRDefault="00C73830" w:rsidP="00C73830">
            <w:pPr>
              <w:spacing w:after="0"/>
              <w:jc w:val="center"/>
              <w:rPr>
                <w:rFonts w:ascii="Times New Roman" w:hAnsi="Times New Roman"/>
                <w:color w:val="000000"/>
                <w:sz w:val="22"/>
                <w:szCs w:val="22"/>
                <w:lang w:val="lt-LT"/>
              </w:rPr>
            </w:pPr>
          </w:p>
        </w:tc>
        <w:tc>
          <w:tcPr>
            <w:tcW w:w="1505" w:type="dxa"/>
            <w:vMerge/>
            <w:tcBorders>
              <w:top w:val="single" w:sz="8" w:space="0" w:color="auto"/>
              <w:left w:val="single" w:sz="8" w:space="0" w:color="auto"/>
              <w:bottom w:val="single" w:sz="8" w:space="0" w:color="000000"/>
              <w:right w:val="single" w:sz="8" w:space="0" w:color="auto"/>
            </w:tcBorders>
            <w:vAlign w:val="center"/>
            <w:hideMark/>
          </w:tcPr>
          <w:p w:rsidR="00C73830" w:rsidRPr="000B544A" w:rsidRDefault="00C73830" w:rsidP="00C73830">
            <w:pPr>
              <w:spacing w:after="0"/>
              <w:jc w:val="center"/>
              <w:rPr>
                <w:rFonts w:ascii="Times New Roman" w:hAnsi="Times New Roman"/>
                <w:color w:val="000000"/>
                <w:sz w:val="22"/>
                <w:szCs w:val="22"/>
                <w:lang w:val="lt-LT"/>
              </w:rPr>
            </w:pPr>
          </w:p>
        </w:tc>
        <w:tc>
          <w:tcPr>
            <w:tcW w:w="1641" w:type="dxa"/>
            <w:vMerge/>
            <w:tcBorders>
              <w:top w:val="single" w:sz="8" w:space="0" w:color="auto"/>
              <w:left w:val="single" w:sz="8" w:space="0" w:color="auto"/>
              <w:bottom w:val="single" w:sz="8" w:space="0" w:color="000000"/>
              <w:right w:val="single" w:sz="8" w:space="0" w:color="auto"/>
            </w:tcBorders>
            <w:vAlign w:val="center"/>
            <w:hideMark/>
          </w:tcPr>
          <w:p w:rsidR="00C73830" w:rsidRPr="000B544A" w:rsidRDefault="00C73830" w:rsidP="00C73830">
            <w:pPr>
              <w:spacing w:after="0"/>
              <w:jc w:val="center"/>
              <w:rPr>
                <w:rFonts w:ascii="Times New Roman" w:hAnsi="Times New Roman"/>
                <w:color w:val="000000"/>
                <w:sz w:val="22"/>
                <w:szCs w:val="22"/>
                <w:lang w:val="lt-LT"/>
              </w:rPr>
            </w:pPr>
          </w:p>
        </w:tc>
        <w:tc>
          <w:tcPr>
            <w:tcW w:w="1360"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2011-07-01</w:t>
            </w:r>
          </w:p>
        </w:tc>
        <w:tc>
          <w:tcPr>
            <w:tcW w:w="1276"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2011-09-30</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73830" w:rsidRPr="000B544A" w:rsidRDefault="00C73830" w:rsidP="00C73830">
            <w:pPr>
              <w:spacing w:after="0"/>
              <w:jc w:val="center"/>
              <w:rPr>
                <w:rFonts w:ascii="Times New Roman" w:hAnsi="Times New Roman"/>
                <w:color w:val="000000"/>
                <w:sz w:val="22"/>
                <w:szCs w:val="22"/>
                <w:lang w:val="lt-LT"/>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73830" w:rsidRPr="000B544A" w:rsidRDefault="00C73830" w:rsidP="00C73830">
            <w:pPr>
              <w:spacing w:after="0"/>
              <w:jc w:val="center"/>
              <w:rPr>
                <w:rFonts w:ascii="Times New Roman" w:hAnsi="Times New Roman"/>
                <w:color w:val="000000"/>
                <w:sz w:val="22"/>
                <w:szCs w:val="22"/>
                <w:lang w:val="lt-LT"/>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73830" w:rsidRPr="000B544A" w:rsidRDefault="00C73830" w:rsidP="00C73830">
            <w:pPr>
              <w:spacing w:after="0"/>
              <w:jc w:val="center"/>
              <w:rPr>
                <w:rFonts w:ascii="Times New Roman" w:hAnsi="Times New Roman"/>
                <w:color w:val="000000"/>
                <w:sz w:val="22"/>
                <w:szCs w:val="22"/>
                <w:lang w:val="lt-LT"/>
              </w:rPr>
            </w:pPr>
          </w:p>
        </w:tc>
      </w:tr>
      <w:tr w:rsidR="00C73830" w:rsidRPr="000B544A" w:rsidTr="00C73830">
        <w:trPr>
          <w:trHeight w:val="184"/>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1</w:t>
            </w:r>
          </w:p>
        </w:tc>
        <w:tc>
          <w:tcPr>
            <w:tcW w:w="1505"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Apranga</w:t>
            </w:r>
          </w:p>
        </w:tc>
        <w:tc>
          <w:tcPr>
            <w:tcW w:w="1641"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Pirkti</w:t>
            </w:r>
          </w:p>
        </w:tc>
        <w:tc>
          <w:tcPr>
            <w:tcW w:w="1360"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5.714</w:t>
            </w:r>
          </w:p>
        </w:tc>
        <w:tc>
          <w:tcPr>
            <w:tcW w:w="1276"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4.903</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-0.811</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-14.193</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-14,19</w:t>
            </w:r>
          </w:p>
        </w:tc>
      </w:tr>
      <w:tr w:rsidR="00C73830" w:rsidRPr="000B544A" w:rsidTr="00C73830">
        <w:trPr>
          <w:trHeight w:val="184"/>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2</w:t>
            </w:r>
          </w:p>
        </w:tc>
        <w:tc>
          <w:tcPr>
            <w:tcW w:w="1505"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Linas Agro Group</w:t>
            </w:r>
          </w:p>
        </w:tc>
        <w:tc>
          <w:tcPr>
            <w:tcW w:w="1641"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Pirkti</w:t>
            </w:r>
          </w:p>
        </w:tc>
        <w:tc>
          <w:tcPr>
            <w:tcW w:w="1360"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1.657</w:t>
            </w:r>
          </w:p>
        </w:tc>
        <w:tc>
          <w:tcPr>
            <w:tcW w:w="1276"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1.934</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0.277</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16.717</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16,72</w:t>
            </w:r>
          </w:p>
        </w:tc>
      </w:tr>
      <w:tr w:rsidR="00C73830" w:rsidRPr="000B544A" w:rsidTr="00C73830">
        <w:trPr>
          <w:trHeight w:val="184"/>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3</w:t>
            </w:r>
          </w:p>
        </w:tc>
        <w:tc>
          <w:tcPr>
            <w:tcW w:w="1505"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Nordecon AS</w:t>
            </w:r>
          </w:p>
        </w:tc>
        <w:tc>
          <w:tcPr>
            <w:tcW w:w="1641"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Pirkti</w:t>
            </w:r>
          </w:p>
        </w:tc>
        <w:tc>
          <w:tcPr>
            <w:tcW w:w="1360"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4.471</w:t>
            </w:r>
          </w:p>
        </w:tc>
        <w:tc>
          <w:tcPr>
            <w:tcW w:w="1276"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3.394</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-1.077</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-24.089</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-24,09</w:t>
            </w:r>
          </w:p>
        </w:tc>
      </w:tr>
      <w:tr w:rsidR="00C73830" w:rsidRPr="000B544A" w:rsidTr="00C73830">
        <w:trPr>
          <w:trHeight w:val="536"/>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4</w:t>
            </w:r>
          </w:p>
        </w:tc>
        <w:tc>
          <w:tcPr>
            <w:tcW w:w="1505"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Olympic Entertainment Group</w:t>
            </w:r>
          </w:p>
        </w:tc>
        <w:tc>
          <w:tcPr>
            <w:tcW w:w="1641"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Laukti</w:t>
            </w:r>
          </w:p>
        </w:tc>
        <w:tc>
          <w:tcPr>
            <w:tcW w:w="1360"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4.682</w:t>
            </w:r>
          </w:p>
        </w:tc>
        <w:tc>
          <w:tcPr>
            <w:tcW w:w="1276"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3.280</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-1.402</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-29.944</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r>
      <w:tr w:rsidR="00C73830" w:rsidRPr="000B544A" w:rsidTr="00C73830">
        <w:trPr>
          <w:trHeight w:val="360"/>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5</w:t>
            </w:r>
          </w:p>
        </w:tc>
        <w:tc>
          <w:tcPr>
            <w:tcW w:w="1505"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Panevėžio statybos trestas</w:t>
            </w:r>
          </w:p>
        </w:tc>
        <w:tc>
          <w:tcPr>
            <w:tcW w:w="1641"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Parduoti</w:t>
            </w:r>
          </w:p>
        </w:tc>
        <w:tc>
          <w:tcPr>
            <w:tcW w:w="1360"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6.298</w:t>
            </w:r>
          </w:p>
        </w:tc>
        <w:tc>
          <w:tcPr>
            <w:tcW w:w="1276"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4.074</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-2.224</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-35.313</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35,31</w:t>
            </w:r>
          </w:p>
        </w:tc>
      </w:tr>
      <w:tr w:rsidR="00C73830" w:rsidRPr="000B544A" w:rsidTr="00C73830">
        <w:trPr>
          <w:trHeight w:val="184"/>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6</w:t>
            </w:r>
          </w:p>
        </w:tc>
        <w:tc>
          <w:tcPr>
            <w:tcW w:w="1505"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Tallink Grupp</w:t>
            </w:r>
          </w:p>
        </w:tc>
        <w:tc>
          <w:tcPr>
            <w:tcW w:w="1641"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Pirkti</w:t>
            </w:r>
          </w:p>
        </w:tc>
        <w:tc>
          <w:tcPr>
            <w:tcW w:w="1360"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2.414</w:t>
            </w:r>
          </w:p>
        </w:tc>
        <w:tc>
          <w:tcPr>
            <w:tcW w:w="1276"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2.037</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-0.377</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-15.617</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-15,62</w:t>
            </w:r>
          </w:p>
        </w:tc>
      </w:tr>
      <w:tr w:rsidR="00C73830" w:rsidRPr="000B544A" w:rsidTr="00C73830">
        <w:trPr>
          <w:trHeight w:val="184"/>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7</w:t>
            </w:r>
          </w:p>
        </w:tc>
        <w:tc>
          <w:tcPr>
            <w:tcW w:w="1505"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TEO LT</w:t>
            </w:r>
          </w:p>
        </w:tc>
        <w:tc>
          <w:tcPr>
            <w:tcW w:w="1641"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Parduoti</w:t>
            </w:r>
          </w:p>
        </w:tc>
        <w:tc>
          <w:tcPr>
            <w:tcW w:w="1360"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2.220</w:t>
            </w:r>
          </w:p>
        </w:tc>
        <w:tc>
          <w:tcPr>
            <w:tcW w:w="1276"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2.110</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-0.110</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-4.955</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4,95</w:t>
            </w:r>
          </w:p>
        </w:tc>
      </w:tr>
      <w:tr w:rsidR="00C73830" w:rsidRPr="000B544A" w:rsidTr="00C73830">
        <w:trPr>
          <w:trHeight w:val="360"/>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8</w:t>
            </w:r>
          </w:p>
        </w:tc>
        <w:tc>
          <w:tcPr>
            <w:tcW w:w="1505"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Tallinna Kaubamaja</w:t>
            </w:r>
          </w:p>
        </w:tc>
        <w:tc>
          <w:tcPr>
            <w:tcW w:w="1641"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Pirkti</w:t>
            </w:r>
          </w:p>
        </w:tc>
        <w:tc>
          <w:tcPr>
            <w:tcW w:w="1360"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18.904</w:t>
            </w:r>
          </w:p>
        </w:tc>
        <w:tc>
          <w:tcPr>
            <w:tcW w:w="1276"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16.038</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-2.866</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-15.161</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-15,16</w:t>
            </w:r>
          </w:p>
        </w:tc>
      </w:tr>
      <w:tr w:rsidR="00C73830" w:rsidRPr="000B544A" w:rsidTr="00C73830">
        <w:trPr>
          <w:trHeight w:val="184"/>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9</w:t>
            </w:r>
          </w:p>
        </w:tc>
        <w:tc>
          <w:tcPr>
            <w:tcW w:w="1505"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Tallinna Vesi</w:t>
            </w:r>
          </w:p>
        </w:tc>
        <w:tc>
          <w:tcPr>
            <w:tcW w:w="1641"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Laukti</w:t>
            </w:r>
          </w:p>
        </w:tc>
        <w:tc>
          <w:tcPr>
            <w:tcW w:w="1360"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26.379</w:t>
            </w:r>
          </w:p>
        </w:tc>
        <w:tc>
          <w:tcPr>
            <w:tcW w:w="1276"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24.860</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-1.519</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-5.758</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r>
      <w:tr w:rsidR="00C73830" w:rsidRPr="000B544A" w:rsidTr="00C73830">
        <w:trPr>
          <w:trHeight w:val="184"/>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10</w:t>
            </w:r>
          </w:p>
        </w:tc>
        <w:tc>
          <w:tcPr>
            <w:tcW w:w="1505"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Ūkio bankas</w:t>
            </w:r>
          </w:p>
        </w:tc>
        <w:tc>
          <w:tcPr>
            <w:tcW w:w="1641"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Laukti</w:t>
            </w:r>
          </w:p>
        </w:tc>
        <w:tc>
          <w:tcPr>
            <w:tcW w:w="1360"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1.039</w:t>
            </w:r>
          </w:p>
        </w:tc>
        <w:tc>
          <w:tcPr>
            <w:tcW w:w="1276"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0.739</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-0.300</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-28.874</w:t>
            </w:r>
          </w:p>
        </w:tc>
        <w:tc>
          <w:tcPr>
            <w:tcW w:w="1134" w:type="dxa"/>
            <w:tcBorders>
              <w:top w:val="nil"/>
              <w:left w:val="nil"/>
              <w:bottom w:val="single" w:sz="8" w:space="0" w:color="auto"/>
              <w:right w:val="single" w:sz="8" w:space="0" w:color="auto"/>
            </w:tcBorders>
            <w:shd w:val="clear" w:color="auto" w:fill="auto"/>
            <w:vAlign w:val="center"/>
            <w:hideMark/>
          </w:tcPr>
          <w:p w:rsidR="00C73830" w:rsidRPr="000B544A" w:rsidRDefault="00C73830" w:rsidP="00C73830">
            <w:pPr>
              <w:spacing w:after="0"/>
              <w:jc w:val="center"/>
              <w:rPr>
                <w:rFonts w:ascii="Times New Roman" w:hAnsi="Times New Roman"/>
                <w:color w:val="000000"/>
                <w:sz w:val="22"/>
                <w:szCs w:val="22"/>
                <w:lang w:val="lt-LT"/>
              </w:rPr>
            </w:pPr>
            <w:r w:rsidRPr="000B544A">
              <w:rPr>
                <w:rFonts w:ascii="Times New Roman" w:hAnsi="Times New Roman"/>
                <w:color w:val="000000"/>
                <w:sz w:val="22"/>
                <w:szCs w:val="22"/>
                <w:lang w:val="lt-LT"/>
              </w:rPr>
              <w:t>0</w:t>
            </w:r>
          </w:p>
        </w:tc>
      </w:tr>
    </w:tbl>
    <w:p w:rsidR="00A13A56" w:rsidRPr="000B544A" w:rsidRDefault="00520F7B" w:rsidP="00625E1C">
      <w:pPr>
        <w:spacing w:after="0" w:line="360" w:lineRule="auto"/>
        <w:ind w:firstLine="567"/>
        <w:jc w:val="both"/>
        <w:rPr>
          <w:rFonts w:ascii="Times New Roman" w:hAnsi="Times New Roman"/>
          <w:sz w:val="20"/>
          <w:szCs w:val="20"/>
          <w:lang w:val="lt-LT"/>
        </w:rPr>
      </w:pPr>
      <w:r w:rsidRPr="000B544A">
        <w:rPr>
          <w:rFonts w:ascii="Times New Roman" w:hAnsi="Times New Roman"/>
          <w:b/>
          <w:sz w:val="20"/>
          <w:szCs w:val="20"/>
          <w:lang w:val="lt-LT"/>
        </w:rPr>
        <w:t>Šaltinis:</w:t>
      </w:r>
      <w:r w:rsidRPr="000B544A">
        <w:rPr>
          <w:rFonts w:ascii="Times New Roman" w:hAnsi="Times New Roman"/>
          <w:sz w:val="20"/>
          <w:szCs w:val="20"/>
          <w:lang w:val="lt-LT"/>
        </w:rPr>
        <w:t xml:space="preserve"> Sudaryta autoriaus</w:t>
      </w:r>
    </w:p>
    <w:p w:rsidR="00892CFB" w:rsidRPr="000B544A" w:rsidRDefault="00405D37" w:rsidP="00625E1C">
      <w:pPr>
        <w:spacing w:after="0" w:line="360" w:lineRule="auto"/>
        <w:ind w:firstLine="567"/>
        <w:jc w:val="both"/>
        <w:rPr>
          <w:rFonts w:ascii="Times New Roman" w:hAnsi="Times New Roman"/>
          <w:lang w:val="lt-LT"/>
        </w:rPr>
      </w:pPr>
      <w:r w:rsidRPr="000B544A">
        <w:rPr>
          <w:rFonts w:ascii="Times New Roman" w:hAnsi="Times New Roman"/>
          <w:lang w:val="lt-LT"/>
        </w:rPr>
        <w:t xml:space="preserve">25 </w:t>
      </w:r>
      <w:r w:rsidR="00892CFB" w:rsidRPr="000B544A">
        <w:rPr>
          <w:rFonts w:ascii="Times New Roman" w:hAnsi="Times New Roman"/>
          <w:lang w:val="lt-LT"/>
        </w:rPr>
        <w:t xml:space="preserve">Lentelėje pateikti duomenys apie akcijų kainų prognozę ir kainos pokyčius. </w:t>
      </w:r>
      <w:r w:rsidR="00D432E8" w:rsidRPr="000B544A">
        <w:rPr>
          <w:rFonts w:ascii="Times New Roman" w:hAnsi="Times New Roman"/>
          <w:lang w:val="lt-LT"/>
        </w:rPr>
        <w:t xml:space="preserve">Daugiausiai kaina pasikeitė Panevėžio statybos tresto akcijai. Akcijos kaina nukrito 35,31 proc. Pagal techninių rinkos indikatorių generuojamus signalus buvo gauta rekomendacija šiai akcijai – parduoti. Iš </w:t>
      </w:r>
      <w:r w:rsidR="00547218" w:rsidRPr="000B544A">
        <w:rPr>
          <w:rFonts w:ascii="Times New Roman" w:hAnsi="Times New Roman"/>
          <w:lang w:val="lt-LT"/>
        </w:rPr>
        <w:t>penkių</w:t>
      </w:r>
      <w:r w:rsidR="00D432E8" w:rsidRPr="000B544A">
        <w:rPr>
          <w:rFonts w:ascii="Times New Roman" w:hAnsi="Times New Roman"/>
          <w:lang w:val="lt-LT"/>
        </w:rPr>
        <w:t xml:space="preserve"> rekomendacijų </w:t>
      </w:r>
      <w:r w:rsidR="00547218" w:rsidRPr="000B544A">
        <w:rPr>
          <w:rFonts w:ascii="Times New Roman" w:hAnsi="Times New Roman"/>
          <w:lang w:val="lt-LT"/>
        </w:rPr>
        <w:t>„</w:t>
      </w:r>
      <w:r w:rsidR="00D432E8" w:rsidRPr="000B544A">
        <w:rPr>
          <w:rFonts w:ascii="Times New Roman" w:hAnsi="Times New Roman"/>
          <w:lang w:val="lt-LT"/>
        </w:rPr>
        <w:t>pirkti</w:t>
      </w:r>
      <w:r w:rsidR="00547218" w:rsidRPr="000B544A">
        <w:rPr>
          <w:rFonts w:ascii="Times New Roman" w:hAnsi="Times New Roman"/>
          <w:lang w:val="lt-LT"/>
        </w:rPr>
        <w:t>“</w:t>
      </w:r>
      <w:r w:rsidR="00D432E8" w:rsidRPr="000B544A">
        <w:rPr>
          <w:rFonts w:ascii="Times New Roman" w:hAnsi="Times New Roman"/>
          <w:lang w:val="lt-LT"/>
        </w:rPr>
        <w:t xml:space="preserve"> tik viena buvo teisinga. Linas Agro Group akcija pakilo 16,72 proc. Tallink Grupp akcijos rekomendacija buvo „pirkti“, o akcijos kaina nukrito 15,62 proc. Tai buvo didžiausia nuostolinga pozicija</w:t>
      </w:r>
      <w:r w:rsidR="00883354" w:rsidRPr="000B544A">
        <w:rPr>
          <w:rFonts w:ascii="Times New Roman" w:hAnsi="Times New Roman"/>
          <w:lang w:val="lt-LT"/>
        </w:rPr>
        <w:t xml:space="preserve"> (žr. 9 pav.)</w:t>
      </w:r>
      <w:r w:rsidR="00D432E8" w:rsidRPr="000B544A">
        <w:rPr>
          <w:rFonts w:ascii="Times New Roman" w:hAnsi="Times New Roman"/>
          <w:lang w:val="lt-LT"/>
        </w:rPr>
        <w:t>.</w:t>
      </w:r>
    </w:p>
    <w:p w:rsidR="004A092F" w:rsidRPr="000B544A" w:rsidRDefault="00B542BF" w:rsidP="004A092F">
      <w:pPr>
        <w:keepNext/>
        <w:spacing w:after="0" w:line="360" w:lineRule="auto"/>
        <w:ind w:firstLine="567"/>
        <w:jc w:val="center"/>
        <w:rPr>
          <w:lang w:val="lt-LT"/>
        </w:rPr>
      </w:pPr>
      <w:r w:rsidRPr="000B544A">
        <w:rPr>
          <w:rFonts w:ascii="Times New Roman" w:hAnsi="Times New Roman"/>
          <w:noProof/>
        </w:rPr>
        <w:lastRenderedPageBreak/>
        <w:drawing>
          <wp:inline distT="0" distB="0" distL="0" distR="0">
            <wp:extent cx="5448300" cy="3619500"/>
            <wp:effectExtent l="19050" t="0" r="19050" b="0"/>
            <wp:docPr id="52"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A092F" w:rsidRPr="000B544A" w:rsidRDefault="004A092F" w:rsidP="004A092F">
      <w:pPr>
        <w:pStyle w:val="Caption"/>
        <w:jc w:val="center"/>
        <w:rPr>
          <w:rFonts w:ascii="Times New Roman" w:hAnsi="Times New Roman"/>
          <w:lang w:val="lt-LT"/>
        </w:rPr>
      </w:pPr>
      <w:r w:rsidRPr="000B544A">
        <w:rPr>
          <w:b w:val="0"/>
          <w:lang w:val="lt-LT"/>
        </w:rPr>
        <w:t xml:space="preserve"> </w:t>
      </w:r>
      <w:r w:rsidR="00A56BC3" w:rsidRPr="000B544A">
        <w:rPr>
          <w:b w:val="0"/>
          <w:lang w:val="lt-LT"/>
        </w:rPr>
        <w:fldChar w:fldCharType="begin"/>
      </w:r>
      <w:r w:rsidRPr="000B544A">
        <w:rPr>
          <w:b w:val="0"/>
          <w:lang w:val="lt-LT"/>
        </w:rPr>
        <w:instrText xml:space="preserve"> SEQ Figure \* ARABIC </w:instrText>
      </w:r>
      <w:r w:rsidR="00A56BC3" w:rsidRPr="000B544A">
        <w:rPr>
          <w:b w:val="0"/>
          <w:lang w:val="lt-LT"/>
        </w:rPr>
        <w:fldChar w:fldCharType="separate"/>
      </w:r>
      <w:bookmarkStart w:id="75" w:name="_Toc311718700"/>
      <w:r w:rsidR="00C53DDD">
        <w:rPr>
          <w:b w:val="0"/>
          <w:noProof/>
          <w:lang w:val="lt-LT"/>
        </w:rPr>
        <w:t>9</w:t>
      </w:r>
      <w:r w:rsidR="00A56BC3" w:rsidRPr="000B544A">
        <w:rPr>
          <w:b w:val="0"/>
          <w:lang w:val="lt-LT"/>
        </w:rPr>
        <w:fldChar w:fldCharType="end"/>
      </w:r>
      <w:r w:rsidRPr="000B544A">
        <w:rPr>
          <w:b w:val="0"/>
          <w:lang w:val="lt-LT"/>
        </w:rPr>
        <w:t xml:space="preserve"> pav</w:t>
      </w:r>
      <w:r w:rsidRPr="000B544A">
        <w:rPr>
          <w:lang w:val="lt-LT"/>
        </w:rPr>
        <w:t>. Atskirų akcijų rezultatai</w:t>
      </w:r>
      <w:bookmarkEnd w:id="75"/>
    </w:p>
    <w:p w:rsidR="00530AB3" w:rsidRPr="000B544A" w:rsidRDefault="0031473F" w:rsidP="00625E1C">
      <w:pPr>
        <w:spacing w:after="0" w:line="360" w:lineRule="auto"/>
        <w:ind w:firstLine="567"/>
        <w:jc w:val="both"/>
        <w:rPr>
          <w:rFonts w:ascii="Times New Roman" w:hAnsi="Times New Roman"/>
          <w:lang w:val="lt-LT"/>
        </w:rPr>
      </w:pPr>
      <w:r w:rsidRPr="000B544A">
        <w:rPr>
          <w:rFonts w:ascii="Times New Roman" w:hAnsi="Times New Roman"/>
          <w:lang w:val="lt-LT"/>
        </w:rPr>
        <w:t xml:space="preserve">Suskaičiavus </w:t>
      </w:r>
      <w:r w:rsidR="00547218" w:rsidRPr="000B544A">
        <w:rPr>
          <w:rFonts w:ascii="Times New Roman" w:hAnsi="Times New Roman"/>
          <w:lang w:val="lt-LT"/>
        </w:rPr>
        <w:t>visus rezultatus</w:t>
      </w:r>
      <w:r w:rsidR="005829BD" w:rsidRPr="000B544A">
        <w:rPr>
          <w:rFonts w:ascii="Times New Roman" w:hAnsi="Times New Roman"/>
          <w:lang w:val="lt-LT"/>
        </w:rPr>
        <w:t>,</w:t>
      </w:r>
      <w:r w:rsidR="00547218" w:rsidRPr="000B544A">
        <w:rPr>
          <w:rFonts w:ascii="Times New Roman" w:hAnsi="Times New Roman"/>
          <w:lang w:val="lt-LT"/>
        </w:rPr>
        <w:t xml:space="preserve"> gautas </w:t>
      </w:r>
      <w:r w:rsidR="00C73830" w:rsidRPr="000B544A">
        <w:rPr>
          <w:rFonts w:ascii="Times New Roman" w:hAnsi="Times New Roman"/>
          <w:lang w:val="lt-LT"/>
        </w:rPr>
        <w:t>12,08</w:t>
      </w:r>
      <w:r w:rsidRPr="000B544A">
        <w:rPr>
          <w:rFonts w:ascii="Times New Roman" w:hAnsi="Times New Roman"/>
          <w:lang w:val="lt-LT"/>
        </w:rPr>
        <w:t xml:space="preserve"> proc. </w:t>
      </w:r>
      <w:r w:rsidR="00547218" w:rsidRPr="000B544A">
        <w:rPr>
          <w:rFonts w:ascii="Times New Roman" w:hAnsi="Times New Roman"/>
          <w:lang w:val="lt-LT"/>
        </w:rPr>
        <w:t>nuostolis</w:t>
      </w:r>
      <w:r w:rsidR="008B62A5" w:rsidRPr="000B544A">
        <w:rPr>
          <w:rFonts w:ascii="Times New Roman" w:hAnsi="Times New Roman"/>
          <w:lang w:val="lt-LT"/>
        </w:rPr>
        <w:t xml:space="preserve"> per laikotarpį nuo 2011 m. l</w:t>
      </w:r>
      <w:r w:rsidRPr="000B544A">
        <w:rPr>
          <w:rFonts w:ascii="Times New Roman" w:hAnsi="Times New Roman"/>
          <w:lang w:val="lt-LT"/>
        </w:rPr>
        <w:t xml:space="preserve">iepos 1 d. </w:t>
      </w:r>
      <w:r w:rsidR="008B62A5" w:rsidRPr="000B544A">
        <w:rPr>
          <w:rFonts w:ascii="Times New Roman" w:hAnsi="Times New Roman"/>
          <w:lang w:val="lt-LT"/>
        </w:rPr>
        <w:t>i</w:t>
      </w:r>
      <w:r w:rsidRPr="000B544A">
        <w:rPr>
          <w:rFonts w:ascii="Times New Roman" w:hAnsi="Times New Roman"/>
          <w:lang w:val="lt-LT"/>
        </w:rPr>
        <w:t xml:space="preserve">ki 2011 m. </w:t>
      </w:r>
      <w:r w:rsidR="008B62A5" w:rsidRPr="000B544A">
        <w:rPr>
          <w:rFonts w:ascii="Times New Roman" w:hAnsi="Times New Roman"/>
          <w:lang w:val="lt-LT"/>
        </w:rPr>
        <w:t>r</w:t>
      </w:r>
      <w:r w:rsidRPr="000B544A">
        <w:rPr>
          <w:rFonts w:ascii="Times New Roman" w:hAnsi="Times New Roman"/>
          <w:lang w:val="lt-LT"/>
        </w:rPr>
        <w:t xml:space="preserve">ugsėjo 30 d. Pirkimo rekomendacijos davė vidutiniškai </w:t>
      </w:r>
      <w:r w:rsidR="00782D2B" w:rsidRPr="000B544A">
        <w:rPr>
          <w:rFonts w:ascii="Times New Roman" w:hAnsi="Times New Roman"/>
          <w:lang w:val="lt-LT"/>
        </w:rPr>
        <w:t>10,47</w:t>
      </w:r>
      <w:r w:rsidRPr="000B544A">
        <w:rPr>
          <w:rFonts w:ascii="Times New Roman" w:hAnsi="Times New Roman"/>
          <w:lang w:val="lt-LT"/>
        </w:rPr>
        <w:t xml:space="preserve"> proc. </w:t>
      </w:r>
      <w:r w:rsidR="008B62A5" w:rsidRPr="000B544A">
        <w:rPr>
          <w:rFonts w:ascii="Times New Roman" w:hAnsi="Times New Roman"/>
          <w:lang w:val="lt-LT"/>
        </w:rPr>
        <w:t>n</w:t>
      </w:r>
      <w:r w:rsidRPr="000B544A">
        <w:rPr>
          <w:rFonts w:ascii="Times New Roman" w:hAnsi="Times New Roman"/>
          <w:lang w:val="lt-LT"/>
        </w:rPr>
        <w:t xml:space="preserve">uostolį. Pardavimo pozicijos visos buvo pelningos ir davė vidutiniškai 20,13 proc. </w:t>
      </w:r>
      <w:r w:rsidR="00547218" w:rsidRPr="000B544A">
        <w:rPr>
          <w:rFonts w:ascii="Times New Roman" w:hAnsi="Times New Roman"/>
          <w:lang w:val="lt-LT"/>
        </w:rPr>
        <w:t>p</w:t>
      </w:r>
      <w:r w:rsidRPr="000B544A">
        <w:rPr>
          <w:rFonts w:ascii="Times New Roman" w:hAnsi="Times New Roman"/>
          <w:lang w:val="lt-LT"/>
        </w:rPr>
        <w:t xml:space="preserve">elną. </w:t>
      </w:r>
    </w:p>
    <w:p w:rsidR="00B02A94" w:rsidRPr="000B544A" w:rsidRDefault="004A092F" w:rsidP="00625E1C">
      <w:pPr>
        <w:spacing w:after="0" w:line="360" w:lineRule="auto"/>
        <w:ind w:firstLine="567"/>
        <w:jc w:val="both"/>
        <w:rPr>
          <w:rFonts w:ascii="Times New Roman" w:hAnsi="Times New Roman"/>
          <w:lang w:val="lt-LT"/>
        </w:rPr>
      </w:pPr>
      <w:r w:rsidRPr="000B544A">
        <w:rPr>
          <w:rFonts w:ascii="Times New Roman" w:hAnsi="Times New Roman"/>
          <w:lang w:val="lt-LT"/>
        </w:rPr>
        <w:t>Šis tyrimas atskleidžia, kad techninės analizės indikatorių – Dončiano kanalo, paprastojo slankaus vidurkio, pinigų srauto indekso ir pasikeitimo masto indikatoriaus – signalai nepadėjo inves</w:t>
      </w:r>
      <w:r w:rsidR="008B62A5" w:rsidRPr="000B544A">
        <w:rPr>
          <w:rFonts w:ascii="Times New Roman" w:hAnsi="Times New Roman"/>
          <w:lang w:val="lt-LT"/>
        </w:rPr>
        <w:t>tuotojams uždirbti nuo 2011 m. l</w:t>
      </w:r>
      <w:r w:rsidRPr="000B544A">
        <w:rPr>
          <w:rFonts w:ascii="Times New Roman" w:hAnsi="Times New Roman"/>
          <w:lang w:val="lt-LT"/>
        </w:rPr>
        <w:t xml:space="preserve">iepos 1 d. </w:t>
      </w:r>
      <w:r w:rsidR="008B62A5" w:rsidRPr="000B544A">
        <w:rPr>
          <w:rFonts w:ascii="Times New Roman" w:hAnsi="Times New Roman"/>
          <w:lang w:val="lt-LT"/>
        </w:rPr>
        <w:t>i</w:t>
      </w:r>
      <w:r w:rsidRPr="000B544A">
        <w:rPr>
          <w:rFonts w:ascii="Times New Roman" w:hAnsi="Times New Roman"/>
          <w:lang w:val="lt-LT"/>
        </w:rPr>
        <w:t xml:space="preserve">ki 2011 m. </w:t>
      </w:r>
      <w:r w:rsidR="008B62A5" w:rsidRPr="000B544A">
        <w:rPr>
          <w:rFonts w:ascii="Times New Roman" w:hAnsi="Times New Roman"/>
          <w:lang w:val="lt-LT"/>
        </w:rPr>
        <w:t>r</w:t>
      </w:r>
      <w:r w:rsidRPr="000B544A">
        <w:rPr>
          <w:rFonts w:ascii="Times New Roman" w:hAnsi="Times New Roman"/>
          <w:lang w:val="lt-LT"/>
        </w:rPr>
        <w:t xml:space="preserve">ugsėjo 30 d. </w:t>
      </w:r>
    </w:p>
    <w:p w:rsidR="004A092F" w:rsidRPr="000B544A" w:rsidRDefault="00B02A94" w:rsidP="00625E1C">
      <w:pPr>
        <w:spacing w:after="0" w:line="360" w:lineRule="auto"/>
        <w:ind w:firstLine="567"/>
        <w:jc w:val="both"/>
        <w:rPr>
          <w:rFonts w:ascii="Times New Roman" w:hAnsi="Times New Roman"/>
          <w:lang w:val="lt-LT"/>
        </w:rPr>
      </w:pPr>
      <w:r w:rsidRPr="000B544A">
        <w:rPr>
          <w:rFonts w:ascii="Times New Roman" w:hAnsi="Times New Roman"/>
          <w:lang w:val="lt-LT"/>
        </w:rPr>
        <w:t>Nors buvo gauti neigiami techninės analizės signalų teisingumo rezultatai, šiu</w:t>
      </w:r>
      <w:r w:rsidR="00911E21" w:rsidRPr="000B544A">
        <w:rPr>
          <w:rFonts w:ascii="Times New Roman" w:hAnsi="Times New Roman"/>
          <w:lang w:val="lt-LT"/>
        </w:rPr>
        <w:t>os rezultatus galėjo įtakoti 2011</w:t>
      </w:r>
      <w:r w:rsidRPr="000B544A">
        <w:rPr>
          <w:rFonts w:ascii="Times New Roman" w:hAnsi="Times New Roman"/>
          <w:lang w:val="lt-LT"/>
        </w:rPr>
        <w:t xml:space="preserve"> m. </w:t>
      </w:r>
      <w:r w:rsidR="00911E21" w:rsidRPr="000B544A">
        <w:rPr>
          <w:rFonts w:ascii="Times New Roman" w:hAnsi="Times New Roman"/>
          <w:lang w:val="lt-LT"/>
        </w:rPr>
        <w:t xml:space="preserve">Europos </w:t>
      </w:r>
      <w:r w:rsidRPr="000B544A">
        <w:rPr>
          <w:rFonts w:ascii="Times New Roman" w:hAnsi="Times New Roman"/>
          <w:lang w:val="lt-LT"/>
        </w:rPr>
        <w:t xml:space="preserve">finansų krizė. </w:t>
      </w:r>
      <w:r w:rsidR="00211458" w:rsidRPr="000B544A">
        <w:rPr>
          <w:rFonts w:ascii="Times New Roman" w:hAnsi="Times New Roman"/>
          <w:lang w:val="lt-LT"/>
        </w:rPr>
        <w:t>Tuo metu, kai krečia finansų krizė, tai žmonės pradeda panikuoti ir parduoda savo turimus finansinius instrumentus kuo greičiau, bandydami atgauti nors mažą dalį savo santaupų ir rizikingų aktyvų, kurie buvo nupirkti siekiant didelės grąžos. Esant tokiai situacijai nei fundamentali analizė, nei techninė analizė negali tinkamai prognozuoti, kada rinkos sustos</w:t>
      </w:r>
      <w:r w:rsidR="00911E21" w:rsidRPr="000B544A">
        <w:rPr>
          <w:rFonts w:ascii="Times New Roman" w:hAnsi="Times New Roman"/>
          <w:lang w:val="lt-LT"/>
        </w:rPr>
        <w:t xml:space="preserve"> kristi</w:t>
      </w:r>
      <w:r w:rsidR="00211458" w:rsidRPr="000B544A">
        <w:rPr>
          <w:rFonts w:ascii="Times New Roman" w:hAnsi="Times New Roman"/>
          <w:lang w:val="lt-LT"/>
        </w:rPr>
        <w:t xml:space="preserve">. </w:t>
      </w:r>
    </w:p>
    <w:p w:rsidR="002F4359" w:rsidRPr="000B544A" w:rsidRDefault="002F4359" w:rsidP="00F015AC">
      <w:pPr>
        <w:spacing w:after="0" w:line="360" w:lineRule="auto"/>
        <w:ind w:firstLine="567"/>
        <w:jc w:val="both"/>
        <w:rPr>
          <w:rFonts w:ascii="Times New Roman" w:hAnsi="Times New Roman"/>
          <w:lang w:val="lt-LT"/>
        </w:rPr>
      </w:pPr>
      <w:r w:rsidRPr="000B544A">
        <w:rPr>
          <w:rFonts w:ascii="Times New Roman" w:hAnsi="Times New Roman"/>
          <w:lang w:val="lt-LT"/>
        </w:rPr>
        <w:t>Netikėtas rinkų kritimas  siejamas su Japonijoje 2011 m. kovo 11 d.</w:t>
      </w:r>
      <w:r w:rsidR="00F41893">
        <w:rPr>
          <w:rFonts w:ascii="Times New Roman" w:hAnsi="Times New Roman"/>
          <w:lang w:val="lt-LT"/>
        </w:rPr>
        <w:t xml:space="preserve"> </w:t>
      </w:r>
      <w:r w:rsidRPr="000B544A">
        <w:rPr>
          <w:rFonts w:ascii="Times New Roman" w:hAnsi="Times New Roman"/>
          <w:lang w:val="lt-LT"/>
        </w:rPr>
        <w:t xml:space="preserve">įvykusiu žemės drebėjimu. Kai kurių analitikų nuomone šio žemės drebėjimo poveikis </w:t>
      </w:r>
      <w:r w:rsidR="00F015AC" w:rsidRPr="000B544A">
        <w:rPr>
          <w:rFonts w:ascii="Times New Roman" w:hAnsi="Times New Roman"/>
          <w:lang w:val="lt-LT"/>
        </w:rPr>
        <w:t xml:space="preserve">akcijų rinkoms </w:t>
      </w:r>
      <w:r w:rsidRPr="000B544A">
        <w:rPr>
          <w:rFonts w:ascii="Times New Roman" w:hAnsi="Times New Roman"/>
          <w:lang w:val="lt-LT"/>
        </w:rPr>
        <w:t xml:space="preserve">prilygsta 2008 m. bankrutavusio </w:t>
      </w:r>
      <w:r w:rsidR="00F015AC" w:rsidRPr="000B544A">
        <w:rPr>
          <w:rFonts w:ascii="Times New Roman" w:hAnsi="Times New Roman"/>
          <w:lang w:val="lt-LT"/>
        </w:rPr>
        <w:t>„Lehman Brothers“ banko poveikiui akcijų rinkoms.</w:t>
      </w:r>
    </w:p>
    <w:p w:rsidR="00530AB3" w:rsidRPr="000B544A" w:rsidRDefault="00F015AC" w:rsidP="0003614C">
      <w:pPr>
        <w:spacing w:after="0" w:line="360" w:lineRule="auto"/>
        <w:ind w:firstLine="567"/>
        <w:jc w:val="both"/>
        <w:rPr>
          <w:rFonts w:ascii="Times New Roman" w:hAnsi="Times New Roman"/>
          <w:lang w:val="lt-LT"/>
        </w:rPr>
      </w:pPr>
      <w:r w:rsidRPr="000B544A">
        <w:rPr>
          <w:rFonts w:ascii="Times New Roman" w:hAnsi="Times New Roman"/>
          <w:lang w:val="lt-LT"/>
        </w:rPr>
        <w:t xml:space="preserve">Daug analitikų, investuotojų ir mokslininkų </w:t>
      </w:r>
      <w:r w:rsidR="00F41893" w:rsidRPr="000B544A">
        <w:rPr>
          <w:rFonts w:ascii="Times New Roman" w:hAnsi="Times New Roman"/>
          <w:lang w:val="lt-LT"/>
        </w:rPr>
        <w:t>ginčijasi</w:t>
      </w:r>
      <w:r w:rsidRPr="000B544A">
        <w:rPr>
          <w:rFonts w:ascii="Times New Roman" w:hAnsi="Times New Roman"/>
          <w:lang w:val="lt-LT"/>
        </w:rPr>
        <w:t xml:space="preserve">, kuris prognozavimo metodas – techninė ar fundamentali analizė – </w:t>
      </w:r>
      <w:r w:rsidR="005829BD" w:rsidRPr="000B544A">
        <w:rPr>
          <w:rFonts w:ascii="Times New Roman" w:hAnsi="Times New Roman"/>
          <w:lang w:val="lt-LT"/>
        </w:rPr>
        <w:t>padeda investuotojams pasiekti geresnių rezultatų</w:t>
      </w:r>
      <w:r w:rsidRPr="000B544A">
        <w:rPr>
          <w:rFonts w:ascii="Times New Roman" w:hAnsi="Times New Roman"/>
          <w:lang w:val="lt-LT"/>
        </w:rPr>
        <w:t>. Netylančios diskusijos neranda vienareikšmiško sprendimo, bet tai neabejotinai įrodo, kad ši tema yra aktuali ir tiek fundamentali, tiek techninė analizė yra</w:t>
      </w:r>
      <w:r w:rsidR="0003614C" w:rsidRPr="000B544A">
        <w:rPr>
          <w:rFonts w:ascii="Times New Roman" w:hAnsi="Times New Roman"/>
          <w:lang w:val="lt-LT"/>
        </w:rPr>
        <w:t xml:space="preserve"> pasaulyje plačiai</w:t>
      </w:r>
      <w:r w:rsidRPr="000B544A">
        <w:rPr>
          <w:rFonts w:ascii="Times New Roman" w:hAnsi="Times New Roman"/>
          <w:lang w:val="lt-LT"/>
        </w:rPr>
        <w:t xml:space="preserve"> naudojami prognozavimo metodai. Šio tyrimo rezultatai yra neigiami techninės analizės atžvilgiu, </w:t>
      </w:r>
      <w:r w:rsidR="0003614C" w:rsidRPr="000B544A">
        <w:rPr>
          <w:rFonts w:ascii="Times New Roman" w:hAnsi="Times New Roman"/>
          <w:lang w:val="lt-LT"/>
        </w:rPr>
        <w:t>bet tiriamuoju laikotarpiu buvo stiprių sukrėtimų rinkose, kurie galėjo paveikti investuotojų veiksmus.</w:t>
      </w:r>
    </w:p>
    <w:p w:rsidR="00252F1D" w:rsidRPr="000B544A" w:rsidRDefault="00252F1D" w:rsidP="00545CD3">
      <w:pPr>
        <w:pStyle w:val="Heading1"/>
        <w:pageBreakBefore/>
        <w:jc w:val="center"/>
        <w:rPr>
          <w:rFonts w:ascii="Times New Roman" w:hAnsi="Times New Roman"/>
          <w:sz w:val="32"/>
          <w:szCs w:val="32"/>
          <w:lang w:val="lt-LT"/>
        </w:rPr>
      </w:pPr>
      <w:bookmarkStart w:id="76" w:name="_Toc312047656"/>
      <w:r w:rsidRPr="000B544A">
        <w:rPr>
          <w:rFonts w:ascii="Times New Roman" w:hAnsi="Times New Roman"/>
          <w:sz w:val="32"/>
          <w:szCs w:val="32"/>
          <w:lang w:val="lt-LT"/>
        </w:rPr>
        <w:lastRenderedPageBreak/>
        <w:t>IŠVADOS</w:t>
      </w:r>
      <w:bookmarkEnd w:id="73"/>
      <w:r w:rsidR="00757EAA" w:rsidRPr="000B544A">
        <w:rPr>
          <w:rFonts w:ascii="Times New Roman" w:hAnsi="Times New Roman"/>
          <w:sz w:val="32"/>
          <w:szCs w:val="32"/>
          <w:lang w:val="lt-LT"/>
        </w:rPr>
        <w:t xml:space="preserve"> IR SIŪLYMAI</w:t>
      </w:r>
      <w:bookmarkEnd w:id="76"/>
    </w:p>
    <w:p w:rsidR="002552FA" w:rsidRPr="000B544A" w:rsidRDefault="002552FA" w:rsidP="002552FA">
      <w:pPr>
        <w:pStyle w:val="ListParagraph"/>
        <w:numPr>
          <w:ilvl w:val="0"/>
          <w:numId w:val="14"/>
        </w:numPr>
        <w:spacing w:after="0" w:line="360" w:lineRule="auto"/>
        <w:jc w:val="both"/>
        <w:rPr>
          <w:rFonts w:ascii="Times New Roman" w:hAnsi="Times New Roman"/>
          <w:lang w:val="lt-LT"/>
        </w:rPr>
      </w:pPr>
      <w:r w:rsidRPr="000B544A">
        <w:rPr>
          <w:rFonts w:ascii="Times New Roman" w:hAnsi="Times New Roman"/>
          <w:lang w:val="lt-LT"/>
        </w:rPr>
        <w:t xml:space="preserve">Techninė analizė – tai mokslas apie finansinių instrumentų kainų dinamiką, kai remiantis praeities duomenimis prognozuojamas ateities kainų judėjimas. Šiam prognozavimui pasitelkiami įvairūs instrumentai, kurie sudaryti pagal tam tikras matematines formules ar </w:t>
      </w:r>
      <w:r w:rsidR="005829BD" w:rsidRPr="000B544A">
        <w:rPr>
          <w:rFonts w:ascii="Times New Roman" w:hAnsi="Times New Roman"/>
          <w:lang w:val="lt-LT"/>
        </w:rPr>
        <w:t>kainų grafiko brėžiamas figūras.</w:t>
      </w:r>
    </w:p>
    <w:p w:rsidR="007D64F2" w:rsidRPr="000B544A" w:rsidRDefault="007D64F2" w:rsidP="006566A3">
      <w:pPr>
        <w:pStyle w:val="ListParagraph"/>
        <w:numPr>
          <w:ilvl w:val="0"/>
          <w:numId w:val="14"/>
        </w:numPr>
        <w:spacing w:line="360" w:lineRule="auto"/>
        <w:jc w:val="both"/>
        <w:rPr>
          <w:rFonts w:ascii="Times New Roman" w:hAnsi="Times New Roman"/>
          <w:lang w:val="lt-LT"/>
        </w:rPr>
      </w:pPr>
      <w:r w:rsidRPr="000B544A">
        <w:rPr>
          <w:rFonts w:ascii="Times New Roman" w:hAnsi="Times New Roman"/>
          <w:lang w:val="lt-LT"/>
        </w:rPr>
        <w:t>Išnagrinėjus literatūrą apie techninės analizės indikatorius gauta, kad t</w:t>
      </w:r>
      <w:r w:rsidR="006D4610" w:rsidRPr="000B544A">
        <w:rPr>
          <w:rFonts w:ascii="Times New Roman" w:hAnsi="Times New Roman"/>
          <w:lang w:val="lt-LT"/>
        </w:rPr>
        <w:t>echninė analizė</w:t>
      </w:r>
      <w:r w:rsidRPr="000B544A">
        <w:rPr>
          <w:rFonts w:ascii="Times New Roman" w:hAnsi="Times New Roman"/>
          <w:lang w:val="lt-LT"/>
        </w:rPr>
        <w:t>s</w:t>
      </w:r>
      <w:r w:rsidR="006D4610" w:rsidRPr="000B544A">
        <w:rPr>
          <w:rFonts w:ascii="Times New Roman" w:hAnsi="Times New Roman"/>
          <w:lang w:val="lt-LT"/>
        </w:rPr>
        <w:t xml:space="preserve"> </w:t>
      </w:r>
      <w:r w:rsidRPr="000B544A">
        <w:rPr>
          <w:rFonts w:ascii="Times New Roman" w:hAnsi="Times New Roman"/>
          <w:lang w:val="lt-LT"/>
        </w:rPr>
        <w:t>indikatoriai gali būti matematiniai, grafiniai arba mišrūs. Taip pat nustatyta, kad vieningos techninės analizės indikatorių klasifikacijos</w:t>
      </w:r>
      <w:r w:rsidR="00835829" w:rsidRPr="000B544A">
        <w:rPr>
          <w:rFonts w:ascii="Times New Roman" w:hAnsi="Times New Roman"/>
          <w:lang w:val="lt-LT"/>
        </w:rPr>
        <w:t xml:space="preserve"> nėra ir indikatoriai gali būti skirstomi pagal metodiką: grafiniai ar matematiniai; pagal signalų vėlavimą: pirmaujantys ar atsili</w:t>
      </w:r>
      <w:r w:rsidR="005829BD" w:rsidRPr="000B544A">
        <w:rPr>
          <w:rFonts w:ascii="Times New Roman" w:hAnsi="Times New Roman"/>
          <w:lang w:val="lt-LT"/>
        </w:rPr>
        <w:t>ekantys.</w:t>
      </w:r>
    </w:p>
    <w:p w:rsidR="002552FA" w:rsidRPr="000B544A" w:rsidRDefault="002552FA" w:rsidP="006566A3">
      <w:pPr>
        <w:pStyle w:val="ListParagraph"/>
        <w:numPr>
          <w:ilvl w:val="0"/>
          <w:numId w:val="14"/>
        </w:numPr>
        <w:spacing w:line="360" w:lineRule="auto"/>
        <w:jc w:val="both"/>
        <w:rPr>
          <w:rFonts w:ascii="Times New Roman" w:hAnsi="Times New Roman"/>
          <w:lang w:val="lt-LT"/>
        </w:rPr>
      </w:pPr>
      <w:r w:rsidRPr="000B544A">
        <w:rPr>
          <w:rFonts w:ascii="Times New Roman" w:hAnsi="Times New Roman"/>
          <w:lang w:val="lt-LT"/>
        </w:rPr>
        <w:t>Kertine techninės analizės teorija laikoma – Dow teorija. Visa techninė analizė yra paremta pagal Dow teoriją Praėjus beveik 100 m. nuo Dow teorijos sukūrimo jos principai išliko</w:t>
      </w:r>
      <w:r w:rsidR="00D4140B" w:rsidRPr="000B544A">
        <w:rPr>
          <w:rFonts w:ascii="Times New Roman" w:hAnsi="Times New Roman"/>
          <w:lang w:val="lt-LT"/>
        </w:rPr>
        <w:t xml:space="preserve"> s</w:t>
      </w:r>
      <w:r w:rsidR="005829BD" w:rsidRPr="000B544A">
        <w:rPr>
          <w:rFonts w:ascii="Times New Roman" w:hAnsi="Times New Roman"/>
          <w:lang w:val="lt-LT"/>
        </w:rPr>
        <w:t>varbūs šiuolaikiniame pasaulyje.</w:t>
      </w:r>
    </w:p>
    <w:p w:rsidR="002144A6" w:rsidRPr="000B544A" w:rsidRDefault="002144A6" w:rsidP="006566A3">
      <w:pPr>
        <w:pStyle w:val="ListParagraph"/>
        <w:numPr>
          <w:ilvl w:val="0"/>
          <w:numId w:val="14"/>
        </w:numPr>
        <w:spacing w:line="360" w:lineRule="auto"/>
        <w:jc w:val="both"/>
        <w:rPr>
          <w:rFonts w:ascii="Times New Roman" w:hAnsi="Times New Roman"/>
          <w:lang w:val="lt-LT"/>
        </w:rPr>
      </w:pPr>
      <w:r w:rsidRPr="000B544A">
        <w:rPr>
          <w:rFonts w:ascii="Times New Roman" w:hAnsi="Times New Roman"/>
          <w:lang w:val="lt-LT"/>
        </w:rPr>
        <w:t>Išanalizavus mokslini</w:t>
      </w:r>
      <w:r w:rsidR="00911E21" w:rsidRPr="000B544A">
        <w:rPr>
          <w:rFonts w:ascii="Times New Roman" w:hAnsi="Times New Roman"/>
          <w:lang w:val="lt-LT"/>
        </w:rPr>
        <w:t>us</w:t>
      </w:r>
      <w:r w:rsidRPr="000B544A">
        <w:rPr>
          <w:rFonts w:ascii="Times New Roman" w:hAnsi="Times New Roman"/>
          <w:lang w:val="lt-LT"/>
        </w:rPr>
        <w:t xml:space="preserve"> straipsni</w:t>
      </w:r>
      <w:r w:rsidR="00911E21" w:rsidRPr="000B544A">
        <w:rPr>
          <w:rFonts w:ascii="Times New Roman" w:hAnsi="Times New Roman"/>
          <w:lang w:val="lt-LT"/>
        </w:rPr>
        <w:t>us</w:t>
      </w:r>
      <w:r w:rsidRPr="000B544A">
        <w:rPr>
          <w:rFonts w:ascii="Times New Roman" w:hAnsi="Times New Roman"/>
          <w:lang w:val="lt-LT"/>
        </w:rPr>
        <w:t xml:space="preserve"> apie techninės analizės kritiką nustatyta, kad egzistuoja dvi pagrindinės techninės analizės kritikos šakos. Pirmieji kritikuoja, kad techninė analizė yra labai populiari ir visi ją naudojantys pakreipia rinką. Antrieji </w:t>
      </w:r>
      <w:r w:rsidR="007D64F2" w:rsidRPr="000B544A">
        <w:rPr>
          <w:rFonts w:ascii="Times New Roman" w:hAnsi="Times New Roman"/>
          <w:lang w:val="lt-LT"/>
        </w:rPr>
        <w:t xml:space="preserve">sako, kad techninės analizės interpretavimas yra subjektyvus ir kiekvienas jos signalus gali interpretuoti skirtingai. Šios dvi </w:t>
      </w:r>
      <w:r w:rsidR="00843868" w:rsidRPr="000B544A">
        <w:rPr>
          <w:rFonts w:ascii="Times New Roman" w:hAnsi="Times New Roman"/>
          <w:lang w:val="lt-LT"/>
        </w:rPr>
        <w:t>šakos prieštarauja viena</w:t>
      </w:r>
      <w:r w:rsidR="00BB60D5" w:rsidRPr="000B544A">
        <w:rPr>
          <w:rFonts w:ascii="Times New Roman" w:hAnsi="Times New Roman"/>
          <w:lang w:val="lt-LT"/>
        </w:rPr>
        <w:t xml:space="preserve"> kitai ir viena kita eli</w:t>
      </w:r>
      <w:r w:rsidR="005829BD" w:rsidRPr="000B544A">
        <w:rPr>
          <w:rFonts w:ascii="Times New Roman" w:hAnsi="Times New Roman"/>
          <w:lang w:val="lt-LT"/>
        </w:rPr>
        <w:t>minuoja.</w:t>
      </w:r>
    </w:p>
    <w:p w:rsidR="00D4140B" w:rsidRPr="000B544A" w:rsidRDefault="00D4140B" w:rsidP="006566A3">
      <w:pPr>
        <w:pStyle w:val="ListParagraph"/>
        <w:numPr>
          <w:ilvl w:val="0"/>
          <w:numId w:val="14"/>
        </w:numPr>
        <w:spacing w:line="360" w:lineRule="auto"/>
        <w:jc w:val="both"/>
        <w:rPr>
          <w:rFonts w:ascii="Times New Roman" w:hAnsi="Times New Roman"/>
          <w:lang w:val="lt-LT"/>
        </w:rPr>
      </w:pPr>
      <w:r w:rsidRPr="000B544A">
        <w:rPr>
          <w:rFonts w:ascii="Times New Roman" w:hAnsi="Times New Roman"/>
          <w:lang w:val="lt-LT"/>
        </w:rPr>
        <w:t xml:space="preserve">Aprašius Baltijos šalių akcijų rinką pastebėta, kad didžiausią dalį Baltijos šalių akcijų rinkoje užima Lietuvos įmonės ir investuotojai: Nasdaq OMX Vilnius </w:t>
      </w:r>
      <w:r w:rsidR="00BB60D5" w:rsidRPr="000B544A">
        <w:rPr>
          <w:rFonts w:ascii="Times New Roman" w:hAnsi="Times New Roman"/>
          <w:lang w:val="lt-LT"/>
        </w:rPr>
        <w:t>kotiruojama</w:t>
      </w:r>
      <w:r w:rsidRPr="000B544A">
        <w:rPr>
          <w:rFonts w:ascii="Times New Roman" w:hAnsi="Times New Roman"/>
          <w:lang w:val="lt-LT"/>
        </w:rPr>
        <w:t xml:space="preserve"> </w:t>
      </w:r>
      <w:r w:rsidR="00BB60D5" w:rsidRPr="000B544A">
        <w:rPr>
          <w:rFonts w:ascii="Times New Roman" w:hAnsi="Times New Roman"/>
          <w:lang w:val="lt-LT"/>
        </w:rPr>
        <w:t>36</w:t>
      </w:r>
      <w:r w:rsidRPr="000B544A">
        <w:rPr>
          <w:rFonts w:ascii="Times New Roman" w:hAnsi="Times New Roman"/>
          <w:lang w:val="lt-LT"/>
        </w:rPr>
        <w:t xml:space="preserve"> įmonių, Latvijos biržoje – 3</w:t>
      </w:r>
      <w:r w:rsidR="00BB60D5" w:rsidRPr="000B544A">
        <w:rPr>
          <w:rFonts w:ascii="Times New Roman" w:hAnsi="Times New Roman"/>
          <w:lang w:val="lt-LT"/>
        </w:rPr>
        <w:t>2</w:t>
      </w:r>
      <w:r w:rsidRPr="000B544A">
        <w:rPr>
          <w:rFonts w:ascii="Times New Roman" w:hAnsi="Times New Roman"/>
          <w:lang w:val="lt-LT"/>
        </w:rPr>
        <w:t xml:space="preserve">, o Estijos – 15. Sandorių sudaroma taip pat Nasdaq OMXV daugiausiai </w:t>
      </w:r>
      <w:r w:rsidR="00BB60D5" w:rsidRPr="000B544A">
        <w:rPr>
          <w:rFonts w:ascii="Times New Roman" w:hAnsi="Times New Roman"/>
          <w:lang w:val="lt-LT"/>
        </w:rPr>
        <w:t>567</w:t>
      </w:r>
      <w:r w:rsidRPr="000B544A">
        <w:rPr>
          <w:rFonts w:ascii="Times New Roman" w:hAnsi="Times New Roman"/>
          <w:lang w:val="lt-LT"/>
        </w:rPr>
        <w:t xml:space="preserve"> (vi</w:t>
      </w:r>
      <w:r w:rsidR="00BB60D5" w:rsidRPr="000B544A">
        <w:rPr>
          <w:rFonts w:ascii="Times New Roman" w:hAnsi="Times New Roman"/>
          <w:lang w:val="lt-LT"/>
        </w:rPr>
        <w:t>dutiniškai per vieną sesiją 2011</w:t>
      </w:r>
      <w:r w:rsidRPr="000B544A">
        <w:rPr>
          <w:rFonts w:ascii="Times New Roman" w:hAnsi="Times New Roman"/>
          <w:lang w:val="lt-LT"/>
        </w:rPr>
        <w:t xml:space="preserve"> m. </w:t>
      </w:r>
      <w:r w:rsidR="00BB60D5" w:rsidRPr="000B544A">
        <w:rPr>
          <w:rFonts w:ascii="Times New Roman" w:hAnsi="Times New Roman"/>
          <w:lang w:val="lt-LT"/>
        </w:rPr>
        <w:t>lapkričio</w:t>
      </w:r>
      <w:r w:rsidRPr="000B544A">
        <w:rPr>
          <w:rFonts w:ascii="Times New Roman" w:hAnsi="Times New Roman"/>
          <w:lang w:val="lt-LT"/>
        </w:rPr>
        <w:t xml:space="preserve"> mėn.), Latvijoje – 7</w:t>
      </w:r>
      <w:r w:rsidR="00BB60D5" w:rsidRPr="000B544A">
        <w:rPr>
          <w:rFonts w:ascii="Times New Roman" w:hAnsi="Times New Roman"/>
          <w:lang w:val="lt-LT"/>
        </w:rPr>
        <w:t>2</w:t>
      </w:r>
      <w:r w:rsidRPr="000B544A">
        <w:rPr>
          <w:rFonts w:ascii="Times New Roman" w:hAnsi="Times New Roman"/>
          <w:lang w:val="lt-LT"/>
        </w:rPr>
        <w:t>, o Estijoje –</w:t>
      </w:r>
      <w:r w:rsidR="0042055B" w:rsidRPr="000B544A">
        <w:rPr>
          <w:rFonts w:ascii="Times New Roman" w:hAnsi="Times New Roman"/>
          <w:lang w:val="lt-LT"/>
        </w:rPr>
        <w:t xml:space="preserve"> </w:t>
      </w:r>
      <w:r w:rsidR="00BB60D5" w:rsidRPr="000B544A">
        <w:rPr>
          <w:rFonts w:ascii="Times New Roman" w:hAnsi="Times New Roman"/>
          <w:lang w:val="lt-LT"/>
        </w:rPr>
        <w:t>296</w:t>
      </w:r>
      <w:r w:rsidR="005829BD" w:rsidRPr="000B544A">
        <w:rPr>
          <w:rFonts w:ascii="Times New Roman" w:hAnsi="Times New Roman"/>
          <w:lang w:val="lt-LT"/>
        </w:rPr>
        <w:t>.</w:t>
      </w:r>
    </w:p>
    <w:p w:rsidR="00252F1D" w:rsidRPr="000B544A" w:rsidRDefault="00835829" w:rsidP="006566A3">
      <w:pPr>
        <w:pStyle w:val="ListParagraph"/>
        <w:numPr>
          <w:ilvl w:val="0"/>
          <w:numId w:val="14"/>
        </w:numPr>
        <w:spacing w:line="360" w:lineRule="auto"/>
        <w:jc w:val="both"/>
        <w:rPr>
          <w:rFonts w:ascii="Times New Roman" w:hAnsi="Times New Roman"/>
          <w:lang w:val="lt-LT"/>
        </w:rPr>
      </w:pPr>
      <w:r w:rsidRPr="000B544A">
        <w:rPr>
          <w:rFonts w:ascii="Times New Roman" w:hAnsi="Times New Roman"/>
          <w:lang w:val="lt-LT"/>
        </w:rPr>
        <w:t xml:space="preserve">Pritaikius </w:t>
      </w:r>
      <w:r w:rsidR="0090194E" w:rsidRPr="000B544A">
        <w:rPr>
          <w:rFonts w:ascii="Times New Roman" w:hAnsi="Times New Roman"/>
          <w:lang w:val="lt-LT"/>
        </w:rPr>
        <w:t xml:space="preserve">10 techninių rinkos indikatorių </w:t>
      </w:r>
      <w:r w:rsidRPr="000B544A">
        <w:rPr>
          <w:rFonts w:ascii="Times New Roman" w:hAnsi="Times New Roman"/>
          <w:lang w:val="lt-LT"/>
        </w:rPr>
        <w:t xml:space="preserve">Baltijos šalių akcijų rinkai </w:t>
      </w:r>
      <w:r w:rsidR="0090194E" w:rsidRPr="000B544A">
        <w:rPr>
          <w:rFonts w:ascii="Times New Roman" w:hAnsi="Times New Roman"/>
          <w:lang w:val="lt-LT"/>
        </w:rPr>
        <w:t xml:space="preserve">surasti </w:t>
      </w:r>
      <w:r w:rsidR="008B62A5" w:rsidRPr="000B544A">
        <w:rPr>
          <w:rFonts w:ascii="Times New Roman" w:hAnsi="Times New Roman"/>
          <w:lang w:val="lt-LT"/>
        </w:rPr>
        <w:t>4 geriausiai veikę</w:t>
      </w:r>
      <w:r w:rsidRPr="000B544A">
        <w:rPr>
          <w:rFonts w:ascii="Times New Roman" w:hAnsi="Times New Roman"/>
          <w:lang w:val="lt-LT"/>
        </w:rPr>
        <w:t xml:space="preserve"> indikatoriai</w:t>
      </w:r>
      <w:r w:rsidR="008B62A5" w:rsidRPr="000B544A">
        <w:rPr>
          <w:rFonts w:ascii="Times New Roman" w:hAnsi="Times New Roman"/>
          <w:lang w:val="lt-LT"/>
        </w:rPr>
        <w:t xml:space="preserve"> nuo 2010 m. v</w:t>
      </w:r>
      <w:r w:rsidR="0090194E" w:rsidRPr="000B544A">
        <w:rPr>
          <w:rFonts w:ascii="Times New Roman" w:hAnsi="Times New Roman"/>
          <w:lang w:val="lt-LT"/>
        </w:rPr>
        <w:t xml:space="preserve">asario 17 d. </w:t>
      </w:r>
      <w:r w:rsidR="008B62A5" w:rsidRPr="000B544A">
        <w:rPr>
          <w:rFonts w:ascii="Times New Roman" w:hAnsi="Times New Roman"/>
          <w:lang w:val="lt-LT"/>
        </w:rPr>
        <w:t>i</w:t>
      </w:r>
      <w:r w:rsidR="0090194E" w:rsidRPr="000B544A">
        <w:rPr>
          <w:rFonts w:ascii="Times New Roman" w:hAnsi="Times New Roman"/>
          <w:lang w:val="lt-LT"/>
        </w:rPr>
        <w:t>ki 2011 m.</w:t>
      </w:r>
      <w:r w:rsidR="00296306" w:rsidRPr="000B544A">
        <w:rPr>
          <w:rFonts w:ascii="Times New Roman" w:hAnsi="Times New Roman"/>
          <w:lang w:val="lt-LT"/>
        </w:rPr>
        <w:t>, 10-čiai likvidžiausių akcijų.</w:t>
      </w:r>
      <w:r w:rsidR="0090194E" w:rsidRPr="000B544A">
        <w:rPr>
          <w:rFonts w:ascii="Times New Roman" w:hAnsi="Times New Roman"/>
          <w:lang w:val="lt-LT"/>
        </w:rPr>
        <w:t xml:space="preserve"> Geriausius signalus generavę </w:t>
      </w:r>
      <w:r w:rsidR="006560D8" w:rsidRPr="000B544A">
        <w:rPr>
          <w:rFonts w:ascii="Times New Roman" w:hAnsi="Times New Roman"/>
          <w:lang w:val="lt-LT"/>
        </w:rPr>
        <w:t xml:space="preserve">indikatoriai: </w:t>
      </w:r>
      <w:r w:rsidR="008B62A5" w:rsidRPr="000B544A">
        <w:rPr>
          <w:rFonts w:ascii="Times New Roman" w:hAnsi="Times New Roman"/>
          <w:lang w:val="lt-LT"/>
        </w:rPr>
        <w:t>p</w:t>
      </w:r>
      <w:r w:rsidR="006560D8" w:rsidRPr="000B544A">
        <w:rPr>
          <w:rFonts w:ascii="Times New Roman" w:hAnsi="Times New Roman"/>
          <w:lang w:val="lt-LT"/>
        </w:rPr>
        <w:t xml:space="preserve">inigų srauto indeksas, pasikeitimo masto indikatorius, paprastasis slankusis vidurkis ir </w:t>
      </w:r>
      <w:r w:rsidR="002A7EC2">
        <w:rPr>
          <w:rFonts w:ascii="Times New Roman" w:hAnsi="Times New Roman"/>
          <w:lang w:val="lt-LT"/>
        </w:rPr>
        <w:t>D</w:t>
      </w:r>
      <w:r w:rsidR="005829BD" w:rsidRPr="000B544A">
        <w:rPr>
          <w:rFonts w:ascii="Times New Roman" w:hAnsi="Times New Roman"/>
          <w:lang w:val="lt-LT"/>
        </w:rPr>
        <w:t>ončiano kanalo indikatorius.</w:t>
      </w:r>
    </w:p>
    <w:p w:rsidR="00E456DD" w:rsidRPr="000B544A" w:rsidRDefault="00E456DD" w:rsidP="006566A3">
      <w:pPr>
        <w:pStyle w:val="ListParagraph"/>
        <w:numPr>
          <w:ilvl w:val="0"/>
          <w:numId w:val="14"/>
        </w:numPr>
        <w:spacing w:line="360" w:lineRule="auto"/>
        <w:jc w:val="both"/>
        <w:rPr>
          <w:rFonts w:ascii="Times New Roman" w:hAnsi="Times New Roman"/>
          <w:lang w:val="lt-LT"/>
        </w:rPr>
      </w:pPr>
      <w:r w:rsidRPr="000B544A">
        <w:rPr>
          <w:rFonts w:ascii="Times New Roman" w:hAnsi="Times New Roman"/>
          <w:lang w:val="lt-LT"/>
        </w:rPr>
        <w:t xml:space="preserve">Sudarius reitingą pirmą vietą užėmė pinigų srauto indekso indikatorius. Pritaikant techninės analizės indikatorius Baltijos šalių akcijų rinkai </w:t>
      </w:r>
      <w:r w:rsidR="0042055B" w:rsidRPr="000B544A">
        <w:rPr>
          <w:rFonts w:ascii="Times New Roman" w:hAnsi="Times New Roman"/>
          <w:lang w:val="lt-LT"/>
        </w:rPr>
        <w:t xml:space="preserve">pinigų srauto indekso signalai </w:t>
      </w:r>
      <w:r w:rsidR="002E73A7" w:rsidRPr="000B544A">
        <w:rPr>
          <w:rFonts w:ascii="Times New Roman" w:hAnsi="Times New Roman"/>
          <w:lang w:val="lt-LT"/>
        </w:rPr>
        <w:t>galėjo padėti uždirbti</w:t>
      </w:r>
      <w:r w:rsidR="0042055B" w:rsidRPr="000B544A">
        <w:rPr>
          <w:rFonts w:ascii="Times New Roman" w:hAnsi="Times New Roman"/>
          <w:lang w:val="lt-LT"/>
        </w:rPr>
        <w:t xml:space="preserve"> 280,44 proc. </w:t>
      </w:r>
      <w:r w:rsidR="002E73A7" w:rsidRPr="000B544A">
        <w:rPr>
          <w:rFonts w:ascii="Times New Roman" w:hAnsi="Times New Roman"/>
          <w:lang w:val="lt-LT"/>
        </w:rPr>
        <w:t>pelno pirkimo sandoriai</w:t>
      </w:r>
      <w:r w:rsidR="0042055B" w:rsidRPr="000B544A">
        <w:rPr>
          <w:rFonts w:ascii="Times New Roman" w:hAnsi="Times New Roman"/>
          <w:lang w:val="lt-LT"/>
        </w:rPr>
        <w:t>s ir</w:t>
      </w:r>
      <w:r w:rsidR="005829BD" w:rsidRPr="000B544A">
        <w:rPr>
          <w:rFonts w:ascii="Times New Roman" w:hAnsi="Times New Roman"/>
          <w:lang w:val="lt-LT"/>
        </w:rPr>
        <w:t xml:space="preserve"> 164 proc.</w:t>
      </w:r>
      <w:r w:rsidR="002E73A7" w:rsidRPr="000B544A">
        <w:rPr>
          <w:rFonts w:ascii="Times New Roman" w:hAnsi="Times New Roman"/>
          <w:lang w:val="lt-LT"/>
        </w:rPr>
        <w:t xml:space="preserve"> pelno pardavimo sandoriai</w:t>
      </w:r>
      <w:r w:rsidR="005829BD" w:rsidRPr="000B544A">
        <w:rPr>
          <w:rFonts w:ascii="Times New Roman" w:hAnsi="Times New Roman"/>
          <w:lang w:val="lt-LT"/>
        </w:rPr>
        <w:t>s.</w:t>
      </w:r>
    </w:p>
    <w:p w:rsidR="00F51489" w:rsidRPr="000B544A" w:rsidRDefault="00F51489" w:rsidP="006566A3">
      <w:pPr>
        <w:pStyle w:val="ListParagraph"/>
        <w:numPr>
          <w:ilvl w:val="0"/>
          <w:numId w:val="14"/>
        </w:numPr>
        <w:spacing w:line="360" w:lineRule="auto"/>
        <w:jc w:val="both"/>
        <w:rPr>
          <w:rFonts w:ascii="Times New Roman" w:hAnsi="Times New Roman"/>
          <w:lang w:val="lt-LT"/>
        </w:rPr>
      </w:pPr>
      <w:r w:rsidRPr="000B544A">
        <w:rPr>
          <w:rFonts w:ascii="Times New Roman" w:hAnsi="Times New Roman"/>
          <w:lang w:val="lt-LT"/>
        </w:rPr>
        <w:t>Imituojant investavimą pagal 4-ių geriausius rezultatus pr</w:t>
      </w:r>
      <w:r w:rsidR="008B62A5" w:rsidRPr="000B544A">
        <w:rPr>
          <w:rFonts w:ascii="Times New Roman" w:hAnsi="Times New Roman"/>
          <w:lang w:val="lt-LT"/>
        </w:rPr>
        <w:t>a</w:t>
      </w:r>
      <w:r w:rsidRPr="000B544A">
        <w:rPr>
          <w:rFonts w:ascii="Times New Roman" w:hAnsi="Times New Roman"/>
          <w:lang w:val="lt-LT"/>
        </w:rPr>
        <w:t>eityje</w:t>
      </w:r>
      <w:r w:rsidR="005237F3" w:rsidRPr="000B544A">
        <w:rPr>
          <w:rFonts w:ascii="Times New Roman" w:hAnsi="Times New Roman"/>
          <w:lang w:val="lt-LT"/>
        </w:rPr>
        <w:t xml:space="preserve"> generavu</w:t>
      </w:r>
      <w:r w:rsidR="00BB60D5" w:rsidRPr="000B544A">
        <w:rPr>
          <w:rFonts w:ascii="Times New Roman" w:hAnsi="Times New Roman"/>
          <w:lang w:val="lt-LT"/>
        </w:rPr>
        <w:t>sių indikatorių parodymus gauti</w:t>
      </w:r>
      <w:r w:rsidR="005237F3" w:rsidRPr="000B544A">
        <w:rPr>
          <w:rFonts w:ascii="Times New Roman" w:hAnsi="Times New Roman"/>
          <w:lang w:val="lt-LT"/>
        </w:rPr>
        <w:t xml:space="preserve"> </w:t>
      </w:r>
      <w:r w:rsidR="00782D2B" w:rsidRPr="000B544A">
        <w:rPr>
          <w:rFonts w:ascii="Times New Roman" w:hAnsi="Times New Roman"/>
          <w:lang w:val="lt-LT"/>
        </w:rPr>
        <w:t xml:space="preserve">12,08 </w:t>
      </w:r>
      <w:r w:rsidR="005237F3" w:rsidRPr="000B544A">
        <w:rPr>
          <w:rFonts w:ascii="Times New Roman" w:hAnsi="Times New Roman"/>
          <w:lang w:val="lt-LT"/>
        </w:rPr>
        <w:t>proc. nuostoli</w:t>
      </w:r>
      <w:r w:rsidR="00BB60D5" w:rsidRPr="000B544A">
        <w:rPr>
          <w:rFonts w:ascii="Times New Roman" w:hAnsi="Times New Roman"/>
          <w:lang w:val="lt-LT"/>
        </w:rPr>
        <w:t>ai</w:t>
      </w:r>
      <w:r w:rsidR="005237F3" w:rsidRPr="000B544A">
        <w:rPr>
          <w:rFonts w:ascii="Times New Roman" w:hAnsi="Times New Roman"/>
          <w:lang w:val="lt-LT"/>
        </w:rPr>
        <w:t>. Dėl</w:t>
      </w:r>
      <w:r w:rsidR="00A54394" w:rsidRPr="000B544A">
        <w:rPr>
          <w:rFonts w:ascii="Times New Roman" w:hAnsi="Times New Roman"/>
          <w:lang w:val="lt-LT"/>
        </w:rPr>
        <w:t xml:space="preserve"> gaut</w:t>
      </w:r>
      <w:r w:rsidR="00BB60D5" w:rsidRPr="000B544A">
        <w:rPr>
          <w:rFonts w:ascii="Times New Roman" w:hAnsi="Times New Roman"/>
          <w:lang w:val="lt-LT"/>
        </w:rPr>
        <w:t>ų</w:t>
      </w:r>
      <w:r w:rsidR="00A54394" w:rsidRPr="000B544A">
        <w:rPr>
          <w:rFonts w:ascii="Times New Roman" w:hAnsi="Times New Roman"/>
          <w:lang w:val="lt-LT"/>
        </w:rPr>
        <w:t xml:space="preserve"> nuostoli</w:t>
      </w:r>
      <w:r w:rsidR="00BB60D5" w:rsidRPr="000B544A">
        <w:rPr>
          <w:rFonts w:ascii="Times New Roman" w:hAnsi="Times New Roman"/>
          <w:lang w:val="lt-LT"/>
        </w:rPr>
        <w:t>ų</w:t>
      </w:r>
      <w:r w:rsidR="00A54394" w:rsidRPr="000B544A">
        <w:rPr>
          <w:rFonts w:ascii="Times New Roman" w:hAnsi="Times New Roman"/>
          <w:lang w:val="lt-LT"/>
        </w:rPr>
        <w:t xml:space="preserve"> daroma išvada, kad tiriamieji techniniai rinkos indikatoriai su parinktais parametrais laikotarpyje nuo 2011-07-01 iki 2011-09-30 buvo neefektyvūs</w:t>
      </w:r>
      <w:r w:rsidR="00835829" w:rsidRPr="000B544A">
        <w:rPr>
          <w:rFonts w:ascii="Times New Roman" w:hAnsi="Times New Roman"/>
          <w:lang w:val="lt-LT"/>
        </w:rPr>
        <w:t xml:space="preserve"> Baltijos šalių akcijų rinkoje. Toks neigiamas </w:t>
      </w:r>
      <w:r w:rsidR="00835829" w:rsidRPr="000B544A">
        <w:rPr>
          <w:rFonts w:ascii="Times New Roman" w:hAnsi="Times New Roman"/>
          <w:lang w:val="lt-LT"/>
        </w:rPr>
        <w:lastRenderedPageBreak/>
        <w:t>rezu</w:t>
      </w:r>
      <w:r w:rsidR="004E4D64" w:rsidRPr="000B544A">
        <w:rPr>
          <w:rFonts w:ascii="Times New Roman" w:hAnsi="Times New Roman"/>
          <w:lang w:val="lt-LT"/>
        </w:rPr>
        <w:t>ltatas galėjo būti įtakotas 2011</w:t>
      </w:r>
      <w:r w:rsidR="00835829" w:rsidRPr="000B544A">
        <w:rPr>
          <w:rFonts w:ascii="Times New Roman" w:hAnsi="Times New Roman"/>
          <w:lang w:val="lt-LT"/>
        </w:rPr>
        <w:t xml:space="preserve"> m. </w:t>
      </w:r>
      <w:r w:rsidR="004E4D64" w:rsidRPr="000B544A">
        <w:rPr>
          <w:rFonts w:ascii="Times New Roman" w:hAnsi="Times New Roman"/>
          <w:lang w:val="lt-LT"/>
        </w:rPr>
        <w:t>Europos finansų krizės</w:t>
      </w:r>
      <w:r w:rsidR="00B70515" w:rsidRPr="000B544A">
        <w:rPr>
          <w:rFonts w:ascii="Times New Roman" w:hAnsi="Times New Roman"/>
          <w:lang w:val="lt-LT"/>
        </w:rPr>
        <w:t>, žemės drebėjimo Japonijoje ar kitų veiksnių</w:t>
      </w:r>
      <w:r w:rsidR="005829BD" w:rsidRPr="000B544A">
        <w:rPr>
          <w:rFonts w:ascii="Times New Roman" w:hAnsi="Times New Roman"/>
          <w:lang w:val="lt-LT"/>
        </w:rPr>
        <w:t>.</w:t>
      </w:r>
    </w:p>
    <w:p w:rsidR="00B62971" w:rsidRPr="000B544A" w:rsidRDefault="00B62971" w:rsidP="006566A3">
      <w:pPr>
        <w:pStyle w:val="ListParagraph"/>
        <w:numPr>
          <w:ilvl w:val="0"/>
          <w:numId w:val="14"/>
        </w:numPr>
        <w:spacing w:line="360" w:lineRule="auto"/>
        <w:jc w:val="both"/>
        <w:rPr>
          <w:rFonts w:ascii="Times New Roman" w:hAnsi="Times New Roman"/>
          <w:lang w:val="lt-LT"/>
        </w:rPr>
      </w:pPr>
      <w:r w:rsidRPr="000B544A">
        <w:rPr>
          <w:rFonts w:ascii="Times New Roman" w:hAnsi="Times New Roman"/>
          <w:lang w:val="lt-LT"/>
        </w:rPr>
        <w:t xml:space="preserve">Hipotezė H: </w:t>
      </w:r>
      <w:r w:rsidR="008B62A5" w:rsidRPr="000B544A">
        <w:rPr>
          <w:rFonts w:ascii="Times New Roman" w:hAnsi="Times New Roman"/>
          <w:lang w:val="lt-LT"/>
        </w:rPr>
        <w:t>t</w:t>
      </w:r>
      <w:r w:rsidRPr="000B544A">
        <w:rPr>
          <w:rFonts w:ascii="Times New Roman" w:hAnsi="Times New Roman"/>
          <w:lang w:val="lt-LT"/>
        </w:rPr>
        <w:t>echninė analizė padeda in</w:t>
      </w:r>
      <w:r w:rsidR="005829BD" w:rsidRPr="000B544A">
        <w:rPr>
          <w:rFonts w:ascii="Times New Roman" w:hAnsi="Times New Roman"/>
          <w:lang w:val="lt-LT"/>
        </w:rPr>
        <w:t>vestuoti pelningai yra atmetama.</w:t>
      </w:r>
    </w:p>
    <w:p w:rsidR="00241449" w:rsidRPr="000B544A" w:rsidRDefault="003D5150" w:rsidP="006566A3">
      <w:pPr>
        <w:pStyle w:val="ListParagraph"/>
        <w:numPr>
          <w:ilvl w:val="0"/>
          <w:numId w:val="14"/>
        </w:numPr>
        <w:spacing w:line="360" w:lineRule="auto"/>
        <w:jc w:val="both"/>
        <w:rPr>
          <w:rFonts w:ascii="Times New Roman" w:hAnsi="Times New Roman"/>
          <w:lang w:val="lt-LT"/>
        </w:rPr>
      </w:pPr>
      <w:r w:rsidRPr="000B544A">
        <w:rPr>
          <w:rFonts w:ascii="Times New Roman" w:hAnsi="Times New Roman"/>
          <w:lang w:val="lt-LT"/>
        </w:rPr>
        <w:t>Kituose</w:t>
      </w:r>
      <w:r w:rsidR="00241449" w:rsidRPr="000B544A">
        <w:rPr>
          <w:rFonts w:ascii="Times New Roman" w:hAnsi="Times New Roman"/>
          <w:lang w:val="lt-LT"/>
        </w:rPr>
        <w:t xml:space="preserve"> darbuose siūlau išplėsti analizuojamų indikatorių skaičių. </w:t>
      </w:r>
      <w:r w:rsidRPr="000B544A">
        <w:rPr>
          <w:rFonts w:ascii="Times New Roman" w:hAnsi="Times New Roman"/>
          <w:lang w:val="lt-LT"/>
        </w:rPr>
        <w:t xml:space="preserve">Mokslinėje literatūroje aprašyta daug daugiau techninių rinkos indikatorių, todėl reikia patikrinti </w:t>
      </w:r>
      <w:r w:rsidR="00E456DD" w:rsidRPr="000B544A">
        <w:rPr>
          <w:rFonts w:ascii="Times New Roman" w:hAnsi="Times New Roman"/>
          <w:lang w:val="lt-LT"/>
        </w:rPr>
        <w:t xml:space="preserve">nepopuliarius indikatorius </w:t>
      </w:r>
      <w:r w:rsidR="005829BD" w:rsidRPr="000B544A">
        <w:rPr>
          <w:rFonts w:ascii="Times New Roman" w:hAnsi="Times New Roman"/>
          <w:lang w:val="lt-LT"/>
        </w:rPr>
        <w:t>Nasdaq OMX Baltic rinkoje.</w:t>
      </w:r>
    </w:p>
    <w:p w:rsidR="003D5150" w:rsidRPr="000B544A" w:rsidRDefault="003D5150" w:rsidP="006566A3">
      <w:pPr>
        <w:pStyle w:val="ListParagraph"/>
        <w:numPr>
          <w:ilvl w:val="0"/>
          <w:numId w:val="14"/>
        </w:numPr>
        <w:spacing w:line="360" w:lineRule="auto"/>
        <w:jc w:val="both"/>
        <w:rPr>
          <w:rFonts w:ascii="Times New Roman" w:hAnsi="Times New Roman"/>
          <w:lang w:val="lt-LT"/>
        </w:rPr>
      </w:pPr>
      <w:r w:rsidRPr="000B544A">
        <w:rPr>
          <w:rFonts w:ascii="Times New Roman" w:hAnsi="Times New Roman"/>
          <w:lang w:val="lt-LT"/>
        </w:rPr>
        <w:t>Kituose darbuose siūlau techninę analizę taikyti Nasdaq OMX Baltic indeksams</w:t>
      </w:r>
      <w:r w:rsidR="00EF2BF0" w:rsidRPr="000B544A">
        <w:rPr>
          <w:rFonts w:ascii="Times New Roman" w:hAnsi="Times New Roman"/>
          <w:lang w:val="lt-LT"/>
        </w:rPr>
        <w:t xml:space="preserve"> ar akcijoms, kurios kotiruojamos ilgiau nei </w:t>
      </w:r>
      <w:r w:rsidR="0039012D" w:rsidRPr="000B544A">
        <w:rPr>
          <w:rFonts w:ascii="Times New Roman" w:hAnsi="Times New Roman"/>
          <w:lang w:val="lt-LT"/>
        </w:rPr>
        <w:t>6</w:t>
      </w:r>
      <w:r w:rsidR="00EF2BF0" w:rsidRPr="000B544A">
        <w:rPr>
          <w:rFonts w:ascii="Times New Roman" w:hAnsi="Times New Roman"/>
          <w:lang w:val="lt-LT"/>
        </w:rPr>
        <w:t xml:space="preserve"> m. Tokiu būdu </w:t>
      </w:r>
      <w:r w:rsidR="0039012D" w:rsidRPr="000B544A">
        <w:rPr>
          <w:rFonts w:ascii="Times New Roman" w:hAnsi="Times New Roman"/>
          <w:lang w:val="lt-LT"/>
        </w:rPr>
        <w:t xml:space="preserve">bus išvengta rezultatų paklaidos dėl </w:t>
      </w:r>
      <w:r w:rsidR="00296306" w:rsidRPr="000B544A">
        <w:rPr>
          <w:rFonts w:ascii="Times New Roman" w:hAnsi="Times New Roman"/>
          <w:lang w:val="lt-LT"/>
        </w:rPr>
        <w:t xml:space="preserve">trumpalaikių </w:t>
      </w:r>
      <w:r w:rsidR="0039012D" w:rsidRPr="000B544A">
        <w:rPr>
          <w:rFonts w:ascii="Times New Roman" w:hAnsi="Times New Roman"/>
          <w:lang w:val="lt-LT"/>
        </w:rPr>
        <w:t>ci</w:t>
      </w:r>
      <w:r w:rsidR="005829BD" w:rsidRPr="000B544A">
        <w:rPr>
          <w:rFonts w:ascii="Times New Roman" w:hAnsi="Times New Roman"/>
          <w:lang w:val="lt-LT"/>
        </w:rPr>
        <w:t>klų.</w:t>
      </w:r>
    </w:p>
    <w:p w:rsidR="00FA37A3" w:rsidRPr="000B544A" w:rsidRDefault="00FA37A3" w:rsidP="006566A3">
      <w:pPr>
        <w:pStyle w:val="ListParagraph"/>
        <w:numPr>
          <w:ilvl w:val="0"/>
          <w:numId w:val="14"/>
        </w:numPr>
        <w:spacing w:line="360" w:lineRule="auto"/>
        <w:jc w:val="both"/>
        <w:rPr>
          <w:rFonts w:ascii="Times New Roman" w:hAnsi="Times New Roman"/>
          <w:lang w:val="lt-LT"/>
        </w:rPr>
      </w:pPr>
      <w:r w:rsidRPr="000B544A">
        <w:rPr>
          <w:rFonts w:ascii="Times New Roman" w:hAnsi="Times New Roman"/>
          <w:lang w:val="lt-LT"/>
        </w:rPr>
        <w:t>Kituose darbuose siūlau naudoti populiariausius techninės analizės indikatorių parametrus, nes ieškant geriausių parametrų trumpame laikotarpyje (1-2 metai)</w:t>
      </w:r>
      <w:r w:rsidR="00296306" w:rsidRPr="000B544A">
        <w:rPr>
          <w:rFonts w:ascii="Times New Roman" w:hAnsi="Times New Roman"/>
          <w:lang w:val="lt-LT"/>
        </w:rPr>
        <w:t xml:space="preserve"> dėl per mažos imties iškraipomi rezultatai pagal to laikotarpio </w:t>
      </w:r>
      <w:r w:rsidR="00B63CDB" w:rsidRPr="000B544A">
        <w:rPr>
          <w:rFonts w:ascii="Times New Roman" w:hAnsi="Times New Roman"/>
          <w:lang w:val="lt-LT"/>
        </w:rPr>
        <w:t>reikšmingus įvykius</w:t>
      </w:r>
      <w:r w:rsidR="005829BD" w:rsidRPr="000B544A">
        <w:rPr>
          <w:rFonts w:ascii="Times New Roman" w:hAnsi="Times New Roman"/>
          <w:lang w:val="lt-LT"/>
        </w:rPr>
        <w:t>.</w:t>
      </w:r>
    </w:p>
    <w:p w:rsidR="00252F1D" w:rsidRPr="000B544A" w:rsidRDefault="00252F1D" w:rsidP="00545CD3">
      <w:pPr>
        <w:pStyle w:val="Heading1"/>
        <w:pageBreakBefore/>
        <w:jc w:val="center"/>
        <w:rPr>
          <w:rFonts w:ascii="Times New Roman" w:hAnsi="Times New Roman"/>
          <w:sz w:val="32"/>
          <w:szCs w:val="32"/>
          <w:lang w:val="lt-LT"/>
        </w:rPr>
      </w:pPr>
      <w:bookmarkStart w:id="77" w:name="_Toc165971255"/>
      <w:bookmarkStart w:id="78" w:name="_Toc312047657"/>
      <w:r w:rsidRPr="000B544A">
        <w:rPr>
          <w:rFonts w:ascii="Times New Roman" w:hAnsi="Times New Roman"/>
          <w:sz w:val="32"/>
          <w:szCs w:val="32"/>
          <w:lang w:val="lt-LT"/>
        </w:rPr>
        <w:lastRenderedPageBreak/>
        <w:t>LITERATŪRA</w:t>
      </w:r>
      <w:bookmarkEnd w:id="77"/>
      <w:bookmarkEnd w:id="78"/>
    </w:p>
    <w:p w:rsidR="00252F1D" w:rsidRPr="000B544A" w:rsidRDefault="00252F1D" w:rsidP="006566A3">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Abbondante P.</w:t>
      </w:r>
      <w:r w:rsidRPr="000B544A">
        <w:rPr>
          <w:rFonts w:ascii="Times New Roman" w:hAnsi="Times New Roman"/>
          <w:lang w:val="lt-LT"/>
        </w:rPr>
        <w:t xml:space="preserve"> Trading Volume and Stock Indices: A Test of Technical Analysis // American Journal of Economics &amp; Business Administration, College of Business and Public Management, University of La Verne, USA, 2010, Vol. 2 Issue 3, p. 287-292. – ISSN 1945-5488</w:t>
      </w:r>
    </w:p>
    <w:p w:rsidR="00252F1D" w:rsidRPr="000B544A" w:rsidRDefault="00252F1D" w:rsidP="006566A3">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Chong T.</w:t>
      </w:r>
      <w:r w:rsidRPr="000B544A">
        <w:rPr>
          <w:rFonts w:ascii="Times New Roman" w:hAnsi="Times New Roman"/>
          <w:lang w:val="lt-LT"/>
        </w:rPr>
        <w:t xml:space="preserve"> </w:t>
      </w:r>
      <w:r w:rsidRPr="000B544A">
        <w:rPr>
          <w:rFonts w:ascii="Times New Roman" w:hAnsi="Times New Roman"/>
          <w:b/>
          <w:lang w:val="lt-LT"/>
        </w:rPr>
        <w:t>Ir Wing-Kam Ng</w:t>
      </w:r>
      <w:r w:rsidRPr="000B544A">
        <w:rPr>
          <w:rFonts w:ascii="Times New Roman" w:hAnsi="Times New Roman"/>
          <w:lang w:val="lt-LT"/>
        </w:rPr>
        <w:t xml:space="preserve"> Technical analysis and the London stock exchange: testing the MACD and RSI rules using the FT30 // Applied Econimics Letters, The Chinese University of Hong Kong, Hong Kong, 2008, Vol. 15 Issue 14, p. 1111-1114. – ISSN 1350-4851</w:t>
      </w:r>
    </w:p>
    <w:p w:rsidR="00252F1D" w:rsidRPr="000B544A" w:rsidRDefault="00252F1D" w:rsidP="006566A3">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Dajan E.</w:t>
      </w:r>
      <w:r w:rsidRPr="000B544A">
        <w:rPr>
          <w:rFonts w:ascii="Times New Roman" w:hAnsi="Times New Roman"/>
          <w:lang w:val="lt-LT"/>
        </w:rPr>
        <w:t xml:space="preserve"> </w:t>
      </w:r>
      <w:r w:rsidRPr="000B544A">
        <w:rPr>
          <w:rFonts w:ascii="Times New Roman" w:hAnsi="Times New Roman"/>
          <w:b/>
          <w:lang w:val="lt-LT"/>
        </w:rPr>
        <w:t>Ir kt.</w:t>
      </w:r>
      <w:r w:rsidRPr="000B544A">
        <w:rPr>
          <w:rFonts w:ascii="Times New Roman" w:hAnsi="Times New Roman"/>
          <w:lang w:val="lt-LT"/>
        </w:rPr>
        <w:t xml:space="preserve"> Application of MACD and RVI Indicators as Functions of Investment Strategy Optimization on the Financial Market // Journal of Economics and Business, Institute of Economic Sciences, Belgrade, 2009, v. 27, p. 171-195. – ISSN 13318004 </w:t>
      </w:r>
    </w:p>
    <w:p w:rsidR="00252F1D" w:rsidRPr="000B544A" w:rsidRDefault="00252F1D" w:rsidP="006566A3">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Grigaliūnienė Ž.</w:t>
      </w:r>
      <w:r w:rsidRPr="000B544A">
        <w:rPr>
          <w:rFonts w:ascii="Times New Roman" w:hAnsi="Times New Roman"/>
          <w:lang w:val="lt-LT"/>
        </w:rPr>
        <w:t xml:space="preserve"> </w:t>
      </w:r>
      <w:r w:rsidRPr="000B544A">
        <w:rPr>
          <w:rFonts w:ascii="Times New Roman" w:hAnsi="Times New Roman"/>
          <w:b/>
          <w:lang w:val="lt-LT"/>
        </w:rPr>
        <w:t>Ir Cibulskienė D.</w:t>
      </w:r>
      <w:r w:rsidRPr="000B544A">
        <w:rPr>
          <w:rFonts w:ascii="Times New Roman" w:hAnsi="Times New Roman"/>
          <w:lang w:val="lt-LT"/>
        </w:rPr>
        <w:t xml:space="preserve"> Investor Sentiment Effect on Stock Returns in Scandinavian Stock Market // Economics and management, Šiauliai university, Šiauliai, Lithuania, 2010, p 929-940. – ISSN 1822-6515</w:t>
      </w:r>
    </w:p>
    <w:p w:rsidR="00252F1D" w:rsidRPr="000B544A" w:rsidRDefault="00252F1D" w:rsidP="006566A3">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Kabasinskas A. Ir Macys U.</w:t>
      </w:r>
      <w:r w:rsidRPr="000B544A">
        <w:rPr>
          <w:rFonts w:ascii="Times New Roman" w:hAnsi="Times New Roman"/>
          <w:lang w:val="lt-LT"/>
        </w:rPr>
        <w:t xml:space="preserve"> Calibration of Bollinger Bands Parameters for Trading Strategy Development in the Baltic Stock Market // Inžinerinė ekonomika - Engineering Economics, Kaunas University of Technology, Kaunas, Lithuania, 2010, Nr. 21(3), p. 244-254. – ISSN 1392 – 2785</w:t>
      </w:r>
    </w:p>
    <w:p w:rsidR="00252F1D" w:rsidRPr="000B544A" w:rsidRDefault="00252F1D" w:rsidP="006566A3">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Kavajecz K. A. Ir Odders-White E. R.</w:t>
      </w:r>
      <w:r w:rsidRPr="000B544A">
        <w:rPr>
          <w:rFonts w:ascii="Times New Roman" w:hAnsi="Times New Roman"/>
          <w:lang w:val="lt-LT"/>
        </w:rPr>
        <w:t xml:space="preserve"> Technical analysis and Liquidity Provision // Review of Financial studies, University of Wisconsin</w:t>
      </w:r>
      <w:r w:rsidR="00910FD4">
        <w:rPr>
          <w:rFonts w:ascii="Times New Roman" w:hAnsi="Times New Roman"/>
          <w:lang w:val="lt-LT"/>
        </w:rPr>
        <w:t xml:space="preserve"> </w:t>
      </w:r>
      <w:r w:rsidRPr="000B544A">
        <w:rPr>
          <w:rFonts w:ascii="Times New Roman" w:hAnsi="Times New Roman"/>
          <w:lang w:val="lt-LT"/>
        </w:rPr>
        <w:t>-</w:t>
      </w:r>
      <w:r w:rsidR="00910FD4">
        <w:rPr>
          <w:rFonts w:ascii="Times New Roman" w:hAnsi="Times New Roman"/>
          <w:lang w:val="lt-LT"/>
        </w:rPr>
        <w:t xml:space="preserve"> </w:t>
      </w:r>
      <w:r w:rsidRPr="000B544A">
        <w:rPr>
          <w:rFonts w:ascii="Times New Roman" w:hAnsi="Times New Roman"/>
          <w:lang w:val="lt-LT"/>
        </w:rPr>
        <w:t>Madison, USA, 2004, Vol. 17. Issue 4, p. 1043-1071. – ISSN 0893-9454</w:t>
      </w:r>
    </w:p>
    <w:p w:rsidR="00252F1D" w:rsidRPr="000B544A" w:rsidRDefault="00252F1D" w:rsidP="006566A3">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Lento C. ir kt.</w:t>
      </w:r>
      <w:r w:rsidRPr="000B544A">
        <w:rPr>
          <w:rFonts w:ascii="Times New Roman" w:hAnsi="Times New Roman"/>
          <w:lang w:val="lt-LT"/>
        </w:rPr>
        <w:t xml:space="preserve"> Investment information content in Bollinger Bands // Applied Financial Economics Letters / Faculty of Business Administration, Lakehead University, Thunder Bay - Ontario, Canada, 2007, v. 3, p. 263-267. – ISSN 17446546</w:t>
      </w:r>
    </w:p>
    <w:p w:rsidR="00252F1D" w:rsidRPr="000B544A" w:rsidRDefault="00252F1D" w:rsidP="006566A3">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Lento C.</w:t>
      </w:r>
      <w:r w:rsidRPr="000B544A">
        <w:rPr>
          <w:rFonts w:ascii="Times New Roman" w:hAnsi="Times New Roman"/>
          <w:lang w:val="lt-LT"/>
        </w:rPr>
        <w:t xml:space="preserve"> Long-term Dependecies and the Profitability of Technical Analysis // International Research Journal of Finance &amp; Economics, Faculty of Business Administration, Lakehead University, Thunder Bay, Ontario, Canada, 2009, Issue 29, p. 126-133. – ISSN 1450-2887</w:t>
      </w:r>
    </w:p>
    <w:p w:rsidR="00252F1D" w:rsidRPr="000B544A" w:rsidRDefault="00252F1D" w:rsidP="006566A3">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Tsokos C.</w:t>
      </w:r>
      <w:r w:rsidRPr="000B544A">
        <w:rPr>
          <w:rFonts w:ascii="Times New Roman" w:hAnsi="Times New Roman"/>
          <w:lang w:val="lt-LT"/>
        </w:rPr>
        <w:t xml:space="preserve"> </w:t>
      </w:r>
      <w:r w:rsidRPr="000B544A">
        <w:rPr>
          <w:rFonts w:ascii="Times New Roman" w:hAnsi="Times New Roman"/>
          <w:b/>
          <w:lang w:val="lt-LT"/>
        </w:rPr>
        <w:t>P.</w:t>
      </w:r>
      <w:r w:rsidRPr="000B544A">
        <w:rPr>
          <w:rFonts w:ascii="Times New Roman" w:hAnsi="Times New Roman"/>
          <w:lang w:val="lt-LT"/>
        </w:rPr>
        <w:t xml:space="preserve"> K-th Moving, Weighted and Exponential Moving Average for Time Series Forecasting Models // European Journal of Pure &amp; Applied Mathematics, Department of Mathematics and Statistics, University of South Florida, Florida, USA, 2010, Vol. 3 Issue 3, p. 406-416. – ISSN 13075543</w:t>
      </w:r>
    </w:p>
    <w:p w:rsidR="00252F1D" w:rsidRPr="000B544A" w:rsidRDefault="00252F1D" w:rsidP="006566A3">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Wong W. K.</w:t>
      </w:r>
      <w:r w:rsidRPr="000B544A">
        <w:rPr>
          <w:rFonts w:ascii="Times New Roman" w:hAnsi="Times New Roman"/>
          <w:lang w:val="lt-LT"/>
        </w:rPr>
        <w:t xml:space="preserve"> </w:t>
      </w:r>
      <w:r w:rsidRPr="000B544A">
        <w:rPr>
          <w:rFonts w:ascii="Times New Roman" w:hAnsi="Times New Roman"/>
          <w:b/>
          <w:lang w:val="lt-LT"/>
        </w:rPr>
        <w:t>ir kt.</w:t>
      </w:r>
      <w:r w:rsidRPr="000B544A">
        <w:rPr>
          <w:rFonts w:ascii="Times New Roman" w:hAnsi="Times New Roman"/>
          <w:lang w:val="lt-LT"/>
        </w:rPr>
        <w:t xml:space="preserve"> How Rewarding Is Technical Analysis? Evidence from Singapore Stock Market, Applied Financial Economics, Department of Economics, National University of Singapore, 2003, v. 13, iss. 7, p. 543-551. – ISSN 09603107</w:t>
      </w:r>
    </w:p>
    <w:p w:rsidR="00252F1D" w:rsidRPr="000B544A" w:rsidRDefault="00252F1D" w:rsidP="006566A3">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Bollinger J.</w:t>
      </w:r>
      <w:r w:rsidRPr="000B544A">
        <w:rPr>
          <w:rFonts w:ascii="Times New Roman" w:hAnsi="Times New Roman"/>
          <w:lang w:val="lt-LT"/>
        </w:rPr>
        <w:t xml:space="preserve"> Bollinger on Bollinger bands, New York, USA, 2001. ISBN – 0-07-137368-3</w:t>
      </w:r>
    </w:p>
    <w:p w:rsidR="00252F1D" w:rsidRPr="000B544A" w:rsidRDefault="00252F1D" w:rsidP="006566A3">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lastRenderedPageBreak/>
        <w:t>Wyckoff J.</w:t>
      </w:r>
      <w:r w:rsidRPr="000B544A">
        <w:rPr>
          <w:rFonts w:ascii="Times New Roman" w:hAnsi="Times New Roman"/>
          <w:lang w:val="lt-LT"/>
        </w:rPr>
        <w:t xml:space="preserve"> Tech talk: MACD makes the difference // Futures: News, Analysis &amp; strategies for Futures, Options &amp; Derivatives Traders, 2005, Vol. 34 Issue 4, p.28-29. – ISSN 07462468</w:t>
      </w:r>
    </w:p>
    <w:p w:rsidR="00252F1D" w:rsidRPr="000B544A" w:rsidRDefault="00252F1D" w:rsidP="006566A3">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Murphy J. J.</w:t>
      </w:r>
      <w:r w:rsidRPr="000B544A">
        <w:rPr>
          <w:rFonts w:ascii="Times New Roman" w:hAnsi="Times New Roman"/>
          <w:lang w:val="lt-LT"/>
        </w:rPr>
        <w:t xml:space="preserve"> Technical Analysis of the Financial Markets: A Comprehensive Guide to Trading Methods and Applications, New York, USA, 1999. – ISBN 0-7352-0066-1</w:t>
      </w:r>
    </w:p>
    <w:p w:rsidR="00F035D3" w:rsidRPr="000B544A" w:rsidRDefault="00252F1D" w:rsidP="00F035D3">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Kancerevyčius G.</w:t>
      </w:r>
      <w:r w:rsidRPr="000B544A">
        <w:rPr>
          <w:rFonts w:ascii="Times New Roman" w:hAnsi="Times New Roman"/>
          <w:lang w:val="lt-LT"/>
        </w:rPr>
        <w:t xml:space="preserve"> Finansai ir investicijos, 2-asis atnaujintas leidimas, Kaunas, 2006. – ISBN 9955551933 </w:t>
      </w:r>
    </w:p>
    <w:p w:rsidR="00F035D3" w:rsidRPr="000B544A" w:rsidRDefault="00252F1D" w:rsidP="00F035D3">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Rastenienė Aušra</w:t>
      </w:r>
      <w:r w:rsidRPr="000B544A">
        <w:rPr>
          <w:rFonts w:ascii="Times New Roman" w:hAnsi="Times New Roman"/>
          <w:lang w:val="lt-LT"/>
        </w:rPr>
        <w:t xml:space="preserve"> Vertybinių popierių rinka, </w:t>
      </w:r>
      <w:smartTag w:uri="urn:schemas-microsoft-com:office:smarttags" w:element="metricconverter">
        <w:smartTagPr>
          <w:attr w:name="ProductID" w:val="1998 m"/>
        </w:smartTagPr>
        <w:r w:rsidRPr="000B544A">
          <w:rPr>
            <w:rFonts w:ascii="Times New Roman" w:hAnsi="Times New Roman"/>
            <w:lang w:val="lt-LT"/>
          </w:rPr>
          <w:t>1998 m</w:t>
        </w:r>
      </w:smartTag>
      <w:r w:rsidRPr="000B544A">
        <w:rPr>
          <w:rFonts w:ascii="Times New Roman" w:hAnsi="Times New Roman"/>
          <w:lang w:val="lt-LT"/>
        </w:rPr>
        <w:t>. Vilnius, ISBN 9986-12-159-0.</w:t>
      </w:r>
    </w:p>
    <w:p w:rsidR="00F035D3" w:rsidRPr="000B544A" w:rsidRDefault="00252F1D" w:rsidP="00F035D3">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Defosse G., Balley P.</w:t>
      </w:r>
      <w:r w:rsidRPr="000B544A">
        <w:rPr>
          <w:rFonts w:ascii="Times New Roman" w:hAnsi="Times New Roman"/>
          <w:lang w:val="lt-LT"/>
        </w:rPr>
        <w:t xml:space="preserve"> Birža ir biržos operacijos, </w:t>
      </w:r>
      <w:smartTag w:uri="urn:schemas-microsoft-com:office:smarttags" w:element="metricconverter">
        <w:smartTagPr>
          <w:attr w:name="ProductID" w:val="1994 m"/>
        </w:smartTagPr>
        <w:r w:rsidRPr="000B544A">
          <w:rPr>
            <w:rFonts w:ascii="Times New Roman" w:hAnsi="Times New Roman"/>
            <w:lang w:val="lt-LT"/>
          </w:rPr>
          <w:t>1994 m</w:t>
        </w:r>
      </w:smartTag>
      <w:r w:rsidRPr="000B544A">
        <w:rPr>
          <w:rFonts w:ascii="Times New Roman" w:hAnsi="Times New Roman"/>
          <w:lang w:val="lt-LT"/>
        </w:rPr>
        <w:t>. Kaunas, ISBN 9986-481-02-3.</w:t>
      </w:r>
    </w:p>
    <w:p w:rsidR="00F035D3" w:rsidRPr="000B544A" w:rsidRDefault="00252F1D" w:rsidP="00F035D3">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Pečiulis S., Šiaudinis S.</w:t>
      </w:r>
      <w:r w:rsidRPr="000B544A">
        <w:rPr>
          <w:rFonts w:ascii="Times New Roman" w:hAnsi="Times New Roman"/>
          <w:lang w:val="lt-LT"/>
        </w:rPr>
        <w:t xml:space="preserve"> Įvadas į vertybinių popierių rinką, </w:t>
      </w:r>
      <w:smartTag w:uri="urn:schemas-microsoft-com:office:smarttags" w:element="metricconverter">
        <w:smartTagPr>
          <w:attr w:name="ProductID" w:val="1998 m"/>
        </w:smartTagPr>
        <w:r w:rsidRPr="000B544A">
          <w:rPr>
            <w:rFonts w:ascii="Times New Roman" w:hAnsi="Times New Roman"/>
            <w:lang w:val="lt-LT"/>
          </w:rPr>
          <w:t>1998 m</w:t>
        </w:r>
      </w:smartTag>
      <w:r w:rsidRPr="000B544A">
        <w:rPr>
          <w:rFonts w:ascii="Times New Roman" w:hAnsi="Times New Roman"/>
          <w:lang w:val="lt-LT"/>
        </w:rPr>
        <w:t>. Vilnius, UDK 336.5 Pe23.</w:t>
      </w:r>
    </w:p>
    <w:p w:rsidR="00F035D3" w:rsidRPr="000B544A" w:rsidRDefault="00252F1D" w:rsidP="00F035D3">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NASDAQ omx Baltic</w:t>
      </w:r>
      <w:r w:rsidRPr="000B544A">
        <w:rPr>
          <w:rFonts w:ascii="Times New Roman" w:hAnsi="Times New Roman"/>
          <w:lang w:val="lt-LT"/>
        </w:rPr>
        <w:t xml:space="preserve"> http://www.nasdaqomxbaltic.com/lt/birzu-informacija/apie-mus, [Žiūrėta 2011-01-14].</w:t>
      </w:r>
    </w:p>
    <w:p w:rsidR="00F035D3" w:rsidRPr="000B544A" w:rsidRDefault="001B7141" w:rsidP="00F035D3">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 xml:space="preserve">NASDAQ omx Baltic </w:t>
      </w:r>
      <w:r w:rsidRPr="000B544A">
        <w:rPr>
          <w:rFonts w:ascii="Times New Roman" w:hAnsi="Times New Roman"/>
          <w:lang w:val="lt-LT"/>
        </w:rPr>
        <w:t>http://www.nasdaqomxbaltic.com/lt/indexes/about-indexes/, [Žiūrėta 2011-10-25].</w:t>
      </w:r>
    </w:p>
    <w:p w:rsidR="00F035D3" w:rsidRPr="000B544A" w:rsidRDefault="00252F1D" w:rsidP="00F035D3">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Vertybinių popierių rinkos įstatymas</w:t>
      </w:r>
      <w:r w:rsidRPr="000B544A">
        <w:rPr>
          <w:rFonts w:ascii="Times New Roman" w:hAnsi="Times New Roman"/>
          <w:lang w:val="lt-LT"/>
        </w:rPr>
        <w:t xml:space="preserve"> http://www3.lrs.lt/pls/inter2/dokpaieska.showdoc_l?p_id=259447, [Žiūrėta 2011-01-14].</w:t>
      </w:r>
    </w:p>
    <w:p w:rsidR="008D3760" w:rsidRPr="000B544A" w:rsidRDefault="00252F1D" w:rsidP="008D3760">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NASDAQ OMX Baltic biuletenis</w:t>
      </w:r>
      <w:r w:rsidRPr="000B544A">
        <w:rPr>
          <w:rFonts w:ascii="Times New Roman" w:hAnsi="Times New Roman"/>
          <w:lang w:val="lt-LT"/>
        </w:rPr>
        <w:t xml:space="preserve"> </w:t>
      </w:r>
      <w:r w:rsidR="005829BD" w:rsidRPr="000B544A">
        <w:rPr>
          <w:rFonts w:ascii="Times New Roman" w:hAnsi="Times New Roman"/>
          <w:lang w:val="lt-LT"/>
        </w:rPr>
        <w:t>http://www.nasdaqomxbaltic.com/market/?pg=bulletins&amp;bb_id=197</w:t>
      </w:r>
      <w:r w:rsidRPr="000B544A">
        <w:rPr>
          <w:rFonts w:ascii="Times New Roman" w:hAnsi="Times New Roman"/>
          <w:lang w:val="lt-LT"/>
        </w:rPr>
        <w:t xml:space="preserve">, </w:t>
      </w:r>
      <w:r w:rsidR="005829BD" w:rsidRPr="000B544A">
        <w:rPr>
          <w:rFonts w:ascii="Times New Roman" w:hAnsi="Times New Roman"/>
          <w:lang w:val="lt-LT"/>
        </w:rPr>
        <w:t>[Žiūrėta 2011-12-15</w:t>
      </w:r>
      <w:r w:rsidRPr="000B544A">
        <w:rPr>
          <w:rFonts w:ascii="Times New Roman" w:hAnsi="Times New Roman"/>
          <w:lang w:val="lt-LT"/>
        </w:rPr>
        <w:t>].</w:t>
      </w:r>
    </w:p>
    <w:p w:rsidR="008D3760" w:rsidRPr="000B544A" w:rsidRDefault="00252F1D" w:rsidP="008D3760">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Bondie Z. Kane A. Marcus A. J.,</w:t>
      </w:r>
      <w:r w:rsidRPr="000B544A">
        <w:rPr>
          <w:rFonts w:ascii="Times New Roman" w:hAnsi="Times New Roman"/>
          <w:lang w:val="lt-LT"/>
        </w:rPr>
        <w:t xml:space="preserve"> Investments, 2009, ISBN 978-007-127828-7.</w:t>
      </w:r>
    </w:p>
    <w:p w:rsidR="008D3760" w:rsidRPr="000B544A" w:rsidRDefault="00252F1D" w:rsidP="008D3760">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Valakevičius E.,</w:t>
      </w:r>
      <w:r w:rsidRPr="000B544A">
        <w:rPr>
          <w:rFonts w:ascii="Times New Roman" w:hAnsi="Times New Roman"/>
          <w:lang w:val="lt-LT"/>
        </w:rPr>
        <w:t xml:space="preserve"> Investavimas finansų rinkose, 2008, ISBN 978-9955-25-556-7.</w:t>
      </w:r>
    </w:p>
    <w:p w:rsidR="008D3760" w:rsidRPr="000B544A" w:rsidRDefault="00252F1D" w:rsidP="008D3760">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Salcedo Y.</w:t>
      </w:r>
      <w:r w:rsidRPr="000B544A">
        <w:rPr>
          <w:rFonts w:ascii="Times New Roman" w:hAnsi="Times New Roman"/>
          <w:lang w:val="lt-LT"/>
        </w:rPr>
        <w:t xml:space="preserve"> Oscillators explained // Futures: News, Analysis and Strategies for Futures, Options and Derivatives Traders, Sausis 2005, Vol. 34 Issue 1, p56-59. – ISSN 07462468</w:t>
      </w:r>
    </w:p>
    <w:p w:rsidR="008D3760" w:rsidRPr="000B544A" w:rsidRDefault="00252F1D" w:rsidP="008D3760">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Dourra H. ir Siy P.</w:t>
      </w:r>
      <w:r w:rsidRPr="000B544A">
        <w:rPr>
          <w:rFonts w:ascii="Times New Roman" w:hAnsi="Times New Roman"/>
          <w:lang w:val="lt-LT"/>
        </w:rPr>
        <w:t xml:space="preserve"> Stock Evaluation Using Fuzzy Logic // International Journal of Theoretical and Applied Finance, Rugpjūtis 2001, v. 4, iss. 4, pp. 585-602. – ISSN 02190249</w:t>
      </w:r>
    </w:p>
    <w:p w:rsidR="008D3760" w:rsidRPr="000B544A" w:rsidRDefault="00252F1D" w:rsidP="008D3760">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Holter J. T.</w:t>
      </w:r>
      <w:r w:rsidRPr="000B544A">
        <w:rPr>
          <w:rFonts w:ascii="Times New Roman" w:hAnsi="Times New Roman"/>
          <w:lang w:val="lt-LT"/>
        </w:rPr>
        <w:t xml:space="preserve"> Markets in motion // Futures: News, Analysis and Strategies for Futures, Options and Derivatives Traders, Spalis 2009, Vol 38, Issue 10, p60-62. – ISSN 07462468</w:t>
      </w:r>
    </w:p>
    <w:p w:rsidR="008D3760" w:rsidRPr="000B544A" w:rsidRDefault="00252F1D" w:rsidP="008D3760">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Moldovan D. ir kt.</w:t>
      </w:r>
      <w:r w:rsidRPr="000B544A">
        <w:rPr>
          <w:rFonts w:ascii="Times New Roman" w:hAnsi="Times New Roman"/>
          <w:lang w:val="lt-LT"/>
        </w:rPr>
        <w:t xml:space="preserve"> A Stock Trading Algorithm Model Proposal, based on Technical Indicators Signals // Informatica Economica, 2011, Vol 15, Issue 1, p183-188. – ISSN 1453-1305</w:t>
      </w:r>
    </w:p>
    <w:p w:rsidR="008D3760" w:rsidRPr="000B544A" w:rsidRDefault="00252F1D" w:rsidP="008D3760">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Rayome D. L. ir Jain A.</w:t>
      </w:r>
      <w:r w:rsidRPr="000B544A">
        <w:rPr>
          <w:rFonts w:ascii="Times New Roman" w:hAnsi="Times New Roman"/>
          <w:lang w:val="lt-LT"/>
        </w:rPr>
        <w:t xml:space="preserve"> Technical trading: Donchian channels and soybeans I // Review of Business Research, 2008, Vol. 8, Issue 4, p187-198. – ISSN 1546-2609</w:t>
      </w:r>
    </w:p>
    <w:p w:rsidR="008D3760" w:rsidRPr="000B544A" w:rsidRDefault="005968BE" w:rsidP="008D3760">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Achelis S.</w:t>
      </w:r>
      <w:r w:rsidRPr="000B544A">
        <w:rPr>
          <w:rFonts w:ascii="Times New Roman" w:hAnsi="Times New Roman"/>
          <w:lang w:val="lt-LT"/>
        </w:rPr>
        <w:t xml:space="preserve"> Technical analysis from A to Z, 2000, ISBN 0071363483</w:t>
      </w:r>
    </w:p>
    <w:p w:rsidR="008D3760" w:rsidRPr="000B544A" w:rsidRDefault="00D4626B" w:rsidP="008D3760">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Fernandez-Blanco P. ir kt.</w:t>
      </w:r>
      <w:r w:rsidRPr="000B544A">
        <w:rPr>
          <w:rFonts w:ascii="Times New Roman" w:hAnsi="Times New Roman"/>
          <w:lang w:val="lt-LT"/>
        </w:rPr>
        <w:t xml:space="preserve"> Technical Market Indicators Optimization using Evolutionary Algorithms //  </w:t>
      </w:r>
      <w:r w:rsidR="008563A2" w:rsidRPr="000B544A">
        <w:rPr>
          <w:rFonts w:ascii="Times New Roman" w:hAnsi="Times New Roman"/>
          <w:lang w:val="lt-LT"/>
        </w:rPr>
        <w:t>ACM New York, USA, 2008. - ISBN 978-1-60558-131-6</w:t>
      </w:r>
    </w:p>
    <w:p w:rsidR="008D3760" w:rsidRPr="000B544A" w:rsidRDefault="00747A18" w:rsidP="008D3760">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Laurinavičius V. ir Jazbutis A.</w:t>
      </w:r>
      <w:r w:rsidRPr="000B544A">
        <w:rPr>
          <w:rFonts w:ascii="Times New Roman" w:hAnsi="Times New Roman"/>
          <w:lang w:val="lt-LT"/>
        </w:rPr>
        <w:t xml:space="preserve"> Vertybiniai popi</w:t>
      </w:r>
      <w:r w:rsidR="002A5B50" w:rsidRPr="000B544A">
        <w:rPr>
          <w:rFonts w:ascii="Times New Roman" w:hAnsi="Times New Roman"/>
          <w:lang w:val="lt-LT"/>
        </w:rPr>
        <w:t>eriai Lietuvoje. Akcijos ir lakš</w:t>
      </w:r>
      <w:r w:rsidRPr="000B544A">
        <w:rPr>
          <w:rFonts w:ascii="Times New Roman" w:hAnsi="Times New Roman"/>
          <w:lang w:val="lt-LT"/>
        </w:rPr>
        <w:t>tai. 1872-1940</w:t>
      </w:r>
      <w:r w:rsidRPr="000B544A">
        <w:rPr>
          <w:rFonts w:ascii="Times New Roman" w:hAnsi="Times New Roman"/>
          <w:b/>
          <w:lang w:val="lt-LT"/>
        </w:rPr>
        <w:t xml:space="preserve"> // </w:t>
      </w:r>
      <w:r w:rsidRPr="000B544A">
        <w:rPr>
          <w:rFonts w:ascii="Times New Roman" w:hAnsi="Times New Roman"/>
          <w:lang w:val="lt-LT"/>
        </w:rPr>
        <w:t>Lietuvos banko muziejaus leidinys, Vilnius, 2001, ISBN 9986-651-29-8</w:t>
      </w:r>
    </w:p>
    <w:p w:rsidR="002A5B50" w:rsidRPr="000B544A" w:rsidRDefault="002A5B50" w:rsidP="008D3760">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lastRenderedPageBreak/>
        <w:t xml:space="preserve">Colby R. W. </w:t>
      </w:r>
      <w:r w:rsidRPr="000B544A">
        <w:rPr>
          <w:rFonts w:ascii="Times New Roman" w:hAnsi="Times New Roman"/>
          <w:lang w:val="lt-LT"/>
        </w:rPr>
        <w:t>The Encyclopedia of Technical Market Indicators</w:t>
      </w:r>
      <w:r w:rsidR="00865C78" w:rsidRPr="000B544A">
        <w:rPr>
          <w:rFonts w:ascii="Times New Roman" w:hAnsi="Times New Roman"/>
          <w:lang w:val="lt-LT"/>
        </w:rPr>
        <w:t>. Completely revised second edition</w:t>
      </w:r>
      <w:r w:rsidRPr="000B544A">
        <w:rPr>
          <w:rFonts w:ascii="Times New Roman" w:hAnsi="Times New Roman"/>
          <w:lang w:val="lt-LT"/>
        </w:rPr>
        <w:t xml:space="preserve"> // JAV, </w:t>
      </w:r>
      <w:r w:rsidR="00865C78" w:rsidRPr="000B544A">
        <w:rPr>
          <w:rFonts w:ascii="Times New Roman" w:hAnsi="Times New Roman"/>
          <w:lang w:val="lt-LT"/>
        </w:rPr>
        <w:t>2002, ISBN 978-0-07-17</w:t>
      </w:r>
      <w:r w:rsidRPr="000B544A">
        <w:rPr>
          <w:rFonts w:ascii="Times New Roman" w:hAnsi="Times New Roman"/>
          <w:lang w:val="lt-LT"/>
        </w:rPr>
        <w:t>1162-3</w:t>
      </w:r>
    </w:p>
    <w:p w:rsidR="00FE0CF8" w:rsidRPr="000B544A" w:rsidRDefault="00FE0CF8" w:rsidP="00FE0CF8">
      <w:pPr>
        <w:numPr>
          <w:ilvl w:val="0"/>
          <w:numId w:val="13"/>
        </w:numPr>
        <w:spacing w:after="0" w:line="360" w:lineRule="auto"/>
        <w:jc w:val="both"/>
        <w:rPr>
          <w:rFonts w:ascii="Times New Roman" w:hAnsi="Times New Roman"/>
          <w:lang w:val="lt-LT"/>
        </w:rPr>
      </w:pPr>
      <w:r w:rsidRPr="000B544A">
        <w:rPr>
          <w:rFonts w:ascii="Times New Roman" w:hAnsi="Times New Roman"/>
          <w:b/>
          <w:lang w:val="lt-LT"/>
        </w:rPr>
        <w:t>Kancerevičius G.,</w:t>
      </w:r>
      <w:r w:rsidRPr="000B544A">
        <w:rPr>
          <w:rFonts w:ascii="Times New Roman" w:hAnsi="Times New Roman"/>
          <w:lang w:val="lt-LT"/>
        </w:rPr>
        <w:t xml:space="preserve"> Finansai ir investicijos, 2006, ISBN 9955-551-93-3. </w:t>
      </w:r>
    </w:p>
    <w:p w:rsidR="006C2128" w:rsidRPr="000B544A" w:rsidRDefault="006C2128" w:rsidP="006C2128">
      <w:pPr>
        <w:pStyle w:val="ListParagraph"/>
        <w:numPr>
          <w:ilvl w:val="0"/>
          <w:numId w:val="13"/>
        </w:numPr>
        <w:spacing w:line="360" w:lineRule="auto"/>
        <w:rPr>
          <w:rFonts w:ascii="Times New Roman" w:hAnsi="Times New Roman"/>
          <w:lang w:val="lt-LT"/>
        </w:rPr>
      </w:pPr>
      <w:r w:rsidRPr="000B544A">
        <w:rPr>
          <w:rFonts w:ascii="Times New Roman" w:hAnsi="Times New Roman"/>
          <w:b/>
          <w:lang w:val="lt-LT"/>
        </w:rPr>
        <w:t>Gradojevic N. ir kt.</w:t>
      </w:r>
      <w:r w:rsidRPr="000B544A">
        <w:rPr>
          <w:rFonts w:ascii="Times New Roman" w:hAnsi="Times New Roman"/>
          <w:lang w:val="lt-LT"/>
        </w:rPr>
        <w:t xml:space="preserve"> Random walk theory and exchange rate dynamics in transition Economies // University of Novi Sad, Serbia, Panoeconomicus, 2010, DOI: 10.2298/PAN1003303G</w:t>
      </w:r>
    </w:p>
    <w:p w:rsidR="006C2128" w:rsidRPr="000B544A" w:rsidRDefault="006B1D81" w:rsidP="00FE0CF8">
      <w:pPr>
        <w:numPr>
          <w:ilvl w:val="0"/>
          <w:numId w:val="13"/>
        </w:numPr>
        <w:spacing w:after="0" w:line="360" w:lineRule="auto"/>
        <w:jc w:val="both"/>
        <w:rPr>
          <w:rFonts w:ascii="Times New Roman" w:hAnsi="Times New Roman"/>
          <w:lang w:val="lt-LT"/>
        </w:rPr>
      </w:pPr>
      <w:r w:rsidRPr="000B544A">
        <w:rPr>
          <w:rFonts w:ascii="Times New Roman" w:hAnsi="Times New Roman"/>
          <w:b/>
          <w:lang w:val="lt-LT"/>
        </w:rPr>
        <w:t>Rom Y.</w:t>
      </w:r>
      <w:r w:rsidRPr="000B544A">
        <w:rPr>
          <w:rFonts w:ascii="Times New Roman" w:hAnsi="Times New Roman"/>
          <w:lang w:val="lt-LT"/>
        </w:rPr>
        <w:t xml:space="preserve"> The advantages of technical analysis // Finweek, 2006, ISSN 18124658.</w:t>
      </w:r>
    </w:p>
    <w:p w:rsidR="006B1D81" w:rsidRPr="000B544A" w:rsidRDefault="006B1D81" w:rsidP="00FE0CF8">
      <w:pPr>
        <w:numPr>
          <w:ilvl w:val="0"/>
          <w:numId w:val="13"/>
        </w:numPr>
        <w:spacing w:after="0" w:line="360" w:lineRule="auto"/>
        <w:jc w:val="both"/>
        <w:rPr>
          <w:rFonts w:ascii="Times New Roman" w:hAnsi="Times New Roman"/>
          <w:lang w:val="lt-LT"/>
        </w:rPr>
      </w:pPr>
      <w:r w:rsidRPr="000B544A">
        <w:rPr>
          <w:rFonts w:ascii="Times New Roman" w:hAnsi="Times New Roman"/>
          <w:b/>
          <w:lang w:val="lt-LT"/>
        </w:rPr>
        <w:t>Rom Y.</w:t>
      </w:r>
      <w:r w:rsidRPr="000B544A">
        <w:rPr>
          <w:rFonts w:ascii="Times New Roman" w:hAnsi="Times New Roman"/>
          <w:lang w:val="lt-LT"/>
        </w:rPr>
        <w:t xml:space="preserve"> What is technical analysis? // Finweek, 2006, ISSN 18124658.</w:t>
      </w:r>
    </w:p>
    <w:p w:rsidR="006B1D81" w:rsidRPr="000B544A" w:rsidRDefault="006B1D81" w:rsidP="00FE0CF8">
      <w:pPr>
        <w:numPr>
          <w:ilvl w:val="0"/>
          <w:numId w:val="13"/>
        </w:numPr>
        <w:spacing w:after="0" w:line="360" w:lineRule="auto"/>
        <w:jc w:val="both"/>
        <w:rPr>
          <w:rFonts w:ascii="Times New Roman" w:hAnsi="Times New Roman"/>
          <w:lang w:val="lt-LT"/>
        </w:rPr>
      </w:pPr>
      <w:r w:rsidRPr="000B544A">
        <w:rPr>
          <w:rFonts w:ascii="Times New Roman" w:hAnsi="Times New Roman"/>
          <w:b/>
          <w:lang w:val="lt-LT"/>
        </w:rPr>
        <w:t>Fama E. F.</w:t>
      </w:r>
      <w:r w:rsidRPr="000B544A">
        <w:rPr>
          <w:rFonts w:ascii="Times New Roman" w:hAnsi="Times New Roman"/>
          <w:lang w:val="lt-LT"/>
        </w:rPr>
        <w:t xml:space="preserve"> Efficient capital markets: II // </w:t>
      </w:r>
      <w:r w:rsidR="001A5BC6" w:rsidRPr="000B544A">
        <w:rPr>
          <w:rFonts w:ascii="Times New Roman" w:hAnsi="Times New Roman"/>
          <w:lang w:val="lt-LT"/>
        </w:rPr>
        <w:t>T</w:t>
      </w:r>
      <w:r w:rsidRPr="000B544A">
        <w:rPr>
          <w:rFonts w:ascii="Times New Roman" w:hAnsi="Times New Roman"/>
          <w:lang w:val="lt-LT"/>
        </w:rPr>
        <w:t xml:space="preserve">he journal of finance, 1991, </w:t>
      </w:r>
      <w:r w:rsidR="001A5BC6" w:rsidRPr="000B544A">
        <w:rPr>
          <w:rFonts w:ascii="Times New Roman" w:hAnsi="Times New Roman"/>
          <w:lang w:val="lt-LT"/>
        </w:rPr>
        <w:t>46:1575-1617</w:t>
      </w:r>
      <w:r w:rsidRPr="000B544A">
        <w:rPr>
          <w:rFonts w:ascii="Times New Roman" w:hAnsi="Times New Roman"/>
          <w:lang w:val="lt-LT"/>
        </w:rPr>
        <w:t>.</w:t>
      </w:r>
    </w:p>
    <w:p w:rsidR="006B1D81" w:rsidRPr="000B544A" w:rsidRDefault="001A5BC6" w:rsidP="00FE0CF8">
      <w:pPr>
        <w:numPr>
          <w:ilvl w:val="0"/>
          <w:numId w:val="13"/>
        </w:numPr>
        <w:spacing w:after="0" w:line="360" w:lineRule="auto"/>
        <w:jc w:val="both"/>
        <w:rPr>
          <w:rFonts w:ascii="Times New Roman" w:hAnsi="Times New Roman"/>
          <w:lang w:val="lt-LT"/>
        </w:rPr>
      </w:pPr>
      <w:r w:rsidRPr="000B544A">
        <w:rPr>
          <w:rFonts w:ascii="Times New Roman" w:hAnsi="Times New Roman"/>
          <w:b/>
          <w:lang w:val="lt-LT"/>
        </w:rPr>
        <w:t>Fama E. F.</w:t>
      </w:r>
      <w:r w:rsidRPr="000B544A">
        <w:rPr>
          <w:rFonts w:ascii="Times New Roman" w:hAnsi="Times New Roman"/>
          <w:lang w:val="lt-LT"/>
        </w:rPr>
        <w:t xml:space="preserve"> Efficient capital markets: A review of theory and empirical work // The journal of finance, 1970, ISSN 00221082.</w:t>
      </w:r>
    </w:p>
    <w:p w:rsidR="001A5BC6" w:rsidRPr="000B544A" w:rsidRDefault="001A5BC6" w:rsidP="00FE0CF8">
      <w:pPr>
        <w:numPr>
          <w:ilvl w:val="0"/>
          <w:numId w:val="13"/>
        </w:numPr>
        <w:spacing w:after="0" w:line="360" w:lineRule="auto"/>
        <w:jc w:val="both"/>
        <w:rPr>
          <w:rFonts w:ascii="Times New Roman" w:hAnsi="Times New Roman"/>
          <w:lang w:val="lt-LT"/>
        </w:rPr>
      </w:pPr>
      <w:r w:rsidRPr="000B544A">
        <w:rPr>
          <w:rFonts w:ascii="Times New Roman" w:hAnsi="Times New Roman"/>
          <w:b/>
          <w:lang w:val="lt-LT"/>
        </w:rPr>
        <w:t>Jensen M.</w:t>
      </w:r>
      <w:r w:rsidRPr="000B544A">
        <w:rPr>
          <w:rFonts w:ascii="Times New Roman" w:hAnsi="Times New Roman"/>
          <w:lang w:val="lt-LT"/>
        </w:rPr>
        <w:t xml:space="preserve"> Some anomalous evidence regarding market efficiency // Journal of financial economics, 1978, ISSN 0304405X</w:t>
      </w:r>
      <w:r w:rsidR="00AE5647" w:rsidRPr="000B544A">
        <w:rPr>
          <w:rFonts w:ascii="Times New Roman" w:hAnsi="Times New Roman"/>
          <w:lang w:val="lt-LT"/>
        </w:rPr>
        <w:t>.</w:t>
      </w:r>
    </w:p>
    <w:p w:rsidR="00AE5647" w:rsidRPr="000B544A" w:rsidRDefault="00AE5647" w:rsidP="00FE0CF8">
      <w:pPr>
        <w:numPr>
          <w:ilvl w:val="0"/>
          <w:numId w:val="13"/>
        </w:numPr>
        <w:spacing w:after="0" w:line="360" w:lineRule="auto"/>
        <w:jc w:val="both"/>
        <w:rPr>
          <w:rFonts w:ascii="Times New Roman" w:hAnsi="Times New Roman"/>
          <w:lang w:val="lt-LT"/>
        </w:rPr>
      </w:pPr>
      <w:r w:rsidRPr="000B544A">
        <w:rPr>
          <w:rFonts w:ascii="Times New Roman" w:hAnsi="Times New Roman"/>
          <w:b/>
          <w:lang w:val="lt-LT"/>
        </w:rPr>
        <w:t>Timmermann A. ir Granger C.</w:t>
      </w:r>
      <w:r w:rsidRPr="000B544A">
        <w:rPr>
          <w:rFonts w:ascii="Times New Roman" w:hAnsi="Times New Roman"/>
          <w:lang w:val="lt-LT"/>
        </w:rPr>
        <w:t xml:space="preserve"> Efficient market hypothesis and forecasting // International journal of forecasting, 2004, ISSN 01692070.</w:t>
      </w:r>
    </w:p>
    <w:p w:rsidR="00AE5647" w:rsidRPr="000B544A" w:rsidRDefault="00AE5647" w:rsidP="00FE0CF8">
      <w:pPr>
        <w:numPr>
          <w:ilvl w:val="0"/>
          <w:numId w:val="13"/>
        </w:numPr>
        <w:spacing w:after="0" w:line="360" w:lineRule="auto"/>
        <w:jc w:val="both"/>
        <w:rPr>
          <w:rFonts w:ascii="Times New Roman" w:hAnsi="Times New Roman"/>
          <w:lang w:val="lt-LT"/>
        </w:rPr>
      </w:pPr>
      <w:r w:rsidRPr="000B544A">
        <w:rPr>
          <w:rFonts w:ascii="Times New Roman" w:hAnsi="Times New Roman"/>
          <w:b/>
          <w:lang w:val="lt-LT"/>
        </w:rPr>
        <w:t>William P.</w:t>
      </w:r>
      <w:r w:rsidRPr="000B544A">
        <w:rPr>
          <w:rFonts w:ascii="Times New Roman" w:hAnsi="Times New Roman"/>
          <w:lang w:val="lt-LT"/>
        </w:rPr>
        <w:t xml:space="preserve"> </w:t>
      </w:r>
      <w:r w:rsidRPr="000B544A">
        <w:rPr>
          <w:rFonts w:ascii="Times New Roman" w:hAnsi="Times New Roman"/>
          <w:b/>
          <w:lang w:val="lt-LT"/>
        </w:rPr>
        <w:t>H.</w:t>
      </w:r>
      <w:r w:rsidRPr="000B544A">
        <w:rPr>
          <w:rFonts w:ascii="Times New Roman" w:hAnsi="Times New Roman"/>
          <w:lang w:val="lt-LT"/>
        </w:rPr>
        <w:t xml:space="preserve"> Stock market barometer // New York, 1998, ISBN 10: 0471247642.</w:t>
      </w:r>
    </w:p>
    <w:p w:rsidR="00AE5647" w:rsidRPr="000B544A" w:rsidRDefault="00AE5647" w:rsidP="00FE0CF8">
      <w:pPr>
        <w:numPr>
          <w:ilvl w:val="0"/>
          <w:numId w:val="13"/>
        </w:numPr>
        <w:spacing w:after="0" w:line="360" w:lineRule="auto"/>
        <w:jc w:val="both"/>
        <w:rPr>
          <w:rFonts w:ascii="Times New Roman" w:hAnsi="Times New Roman"/>
          <w:lang w:val="lt-LT"/>
        </w:rPr>
      </w:pPr>
      <w:r w:rsidRPr="000B544A">
        <w:rPr>
          <w:rFonts w:ascii="Times New Roman" w:hAnsi="Times New Roman"/>
          <w:b/>
          <w:lang w:val="lt-LT"/>
        </w:rPr>
        <w:t>Rhea R.</w:t>
      </w:r>
      <w:r w:rsidRPr="000B544A">
        <w:rPr>
          <w:rFonts w:ascii="Times New Roman" w:hAnsi="Times New Roman"/>
          <w:lang w:val="lt-LT"/>
        </w:rPr>
        <w:t xml:space="preserve"> The Dow Theory // Fraser Publishing Co., 1994, ISBN 10: 0870341103</w:t>
      </w:r>
    </w:p>
    <w:p w:rsidR="00AE5647" w:rsidRPr="000B544A" w:rsidRDefault="00AE5647" w:rsidP="00FE0CF8">
      <w:pPr>
        <w:numPr>
          <w:ilvl w:val="0"/>
          <w:numId w:val="13"/>
        </w:numPr>
        <w:spacing w:after="0" w:line="360" w:lineRule="auto"/>
        <w:jc w:val="both"/>
        <w:rPr>
          <w:rFonts w:ascii="Times New Roman" w:hAnsi="Times New Roman"/>
          <w:lang w:val="lt-LT"/>
        </w:rPr>
      </w:pPr>
      <w:r w:rsidRPr="000B544A">
        <w:rPr>
          <w:rFonts w:ascii="Times New Roman" w:hAnsi="Times New Roman"/>
          <w:b/>
          <w:lang w:val="lt-LT"/>
        </w:rPr>
        <w:t>Schaefer E.</w:t>
      </w:r>
      <w:r w:rsidRPr="000B544A">
        <w:rPr>
          <w:rFonts w:ascii="Times New Roman" w:hAnsi="Times New Roman"/>
          <w:lang w:val="lt-LT"/>
        </w:rPr>
        <w:t xml:space="preserve"> </w:t>
      </w:r>
      <w:r w:rsidRPr="000B544A">
        <w:rPr>
          <w:rFonts w:ascii="Times New Roman" w:hAnsi="Times New Roman"/>
          <w:b/>
          <w:lang w:val="lt-LT"/>
        </w:rPr>
        <w:t>G.</w:t>
      </w:r>
      <w:r w:rsidRPr="000B544A">
        <w:rPr>
          <w:rFonts w:ascii="Times New Roman" w:hAnsi="Times New Roman"/>
          <w:lang w:val="lt-LT"/>
        </w:rPr>
        <w:t xml:space="preserve"> How I Helped More Than 10 000 Investors To Profit in Stocks // Prentice</w:t>
      </w:r>
      <w:r w:rsidR="00910FD4">
        <w:rPr>
          <w:rFonts w:ascii="Times New Roman" w:hAnsi="Times New Roman"/>
          <w:lang w:val="lt-LT"/>
        </w:rPr>
        <w:t xml:space="preserve"> </w:t>
      </w:r>
      <w:r w:rsidRPr="000B544A">
        <w:rPr>
          <w:rFonts w:ascii="Times New Roman" w:hAnsi="Times New Roman"/>
          <w:lang w:val="lt-LT"/>
        </w:rPr>
        <w:t>-Hall, 1960, ASIN B0006AWQ6K.</w:t>
      </w:r>
    </w:p>
    <w:p w:rsidR="00AE5647" w:rsidRPr="000B544A" w:rsidRDefault="00AE5647" w:rsidP="00FE0CF8">
      <w:pPr>
        <w:numPr>
          <w:ilvl w:val="0"/>
          <w:numId w:val="13"/>
        </w:numPr>
        <w:spacing w:after="0" w:line="360" w:lineRule="auto"/>
        <w:jc w:val="both"/>
        <w:rPr>
          <w:rFonts w:ascii="Times New Roman" w:hAnsi="Times New Roman"/>
          <w:lang w:val="lt-LT"/>
        </w:rPr>
      </w:pPr>
      <w:r w:rsidRPr="000B544A">
        <w:rPr>
          <w:rFonts w:ascii="Times New Roman" w:hAnsi="Times New Roman"/>
          <w:b/>
          <w:lang w:val="lt-LT"/>
        </w:rPr>
        <w:t>Russel R.</w:t>
      </w:r>
      <w:r w:rsidRPr="000B544A">
        <w:rPr>
          <w:rFonts w:ascii="Times New Roman" w:hAnsi="Times New Roman"/>
          <w:lang w:val="lt-LT"/>
        </w:rPr>
        <w:t xml:space="preserve"> The Dow Theory Today // </w:t>
      </w:r>
      <w:r w:rsidR="008879C9" w:rsidRPr="000B544A">
        <w:rPr>
          <w:rFonts w:ascii="Times New Roman" w:hAnsi="Times New Roman"/>
          <w:lang w:val="lt-LT"/>
        </w:rPr>
        <w:t>Fraser Publishing Co., 1997, ISBN 10: 0870340611</w:t>
      </w:r>
    </w:p>
    <w:p w:rsidR="00AD2515" w:rsidRPr="000B544A" w:rsidRDefault="00AD2515" w:rsidP="00FE0CF8">
      <w:pPr>
        <w:numPr>
          <w:ilvl w:val="0"/>
          <w:numId w:val="13"/>
        </w:numPr>
        <w:spacing w:after="0" w:line="360" w:lineRule="auto"/>
        <w:jc w:val="both"/>
        <w:rPr>
          <w:rFonts w:ascii="Times New Roman" w:hAnsi="Times New Roman"/>
          <w:lang w:val="lt-LT"/>
        </w:rPr>
      </w:pPr>
      <w:r w:rsidRPr="000B544A">
        <w:rPr>
          <w:rFonts w:ascii="Times New Roman" w:hAnsi="Times New Roman"/>
          <w:b/>
          <w:lang w:val="lt-LT"/>
        </w:rPr>
        <w:t>Sanders D.</w:t>
      </w:r>
      <w:r w:rsidRPr="000B544A">
        <w:rPr>
          <w:rFonts w:ascii="Times New Roman" w:hAnsi="Times New Roman"/>
          <w:lang w:val="lt-LT"/>
        </w:rPr>
        <w:t xml:space="preserve"> R. ir kt. The theory of contrary opinion: A test using sentiment indices in futures markets // Journal of Agribusiness, 2003.</w:t>
      </w:r>
    </w:p>
    <w:p w:rsidR="006C2128" w:rsidRPr="000B544A" w:rsidRDefault="006C2128" w:rsidP="006C2128">
      <w:pPr>
        <w:pStyle w:val="ListParagraph"/>
        <w:spacing w:line="360" w:lineRule="auto"/>
        <w:rPr>
          <w:rFonts w:ascii="Times New Roman" w:hAnsi="Times New Roman"/>
          <w:lang w:val="lt-LT"/>
        </w:rPr>
      </w:pPr>
    </w:p>
    <w:p w:rsidR="00844F01" w:rsidRDefault="00844F01">
      <w:pPr>
        <w:spacing w:after="0"/>
        <w:rPr>
          <w:rFonts w:ascii="Times New Roman" w:hAnsi="Times New Roman"/>
          <w:lang w:val="lt-LT"/>
        </w:rPr>
      </w:pPr>
      <w:r>
        <w:rPr>
          <w:rFonts w:ascii="Times New Roman" w:hAnsi="Times New Roman"/>
          <w:lang w:val="lt-LT"/>
        </w:rPr>
        <w:br w:type="page"/>
      </w:r>
    </w:p>
    <w:p w:rsidR="000D09A9" w:rsidRDefault="000D09A9" w:rsidP="000D09A9">
      <w:pPr>
        <w:spacing w:after="0" w:line="360" w:lineRule="auto"/>
        <w:ind w:firstLine="567"/>
        <w:rPr>
          <w:rFonts w:ascii="Times New Roman" w:hAnsi="Times New Roman"/>
          <w:lang w:val="lt-LT"/>
        </w:rPr>
      </w:pPr>
      <w:bookmarkStart w:id="79" w:name="_GoBack"/>
      <w:bookmarkEnd w:id="79"/>
      <w:r w:rsidRPr="0013039D">
        <w:rPr>
          <w:rFonts w:ascii="Times New Roman" w:hAnsi="Times New Roman"/>
          <w:b/>
          <w:lang w:val="lt-LT"/>
        </w:rPr>
        <w:lastRenderedPageBreak/>
        <w:t>Ambrazaitis K.</w:t>
      </w:r>
      <w:r>
        <w:rPr>
          <w:rFonts w:ascii="Times New Roman" w:hAnsi="Times New Roman"/>
          <w:lang w:val="lt-LT"/>
        </w:rPr>
        <w:t xml:space="preserve"> Techninės analizės taikymas Baltijos šalių akcijų rinkai / Finansų rinkų magistro baigiamasis darbas. Vadovė dr. D. Teresienė. – Vilnius: Mykolo Romerio universitetas, Ekonomikos ir finans</w:t>
      </w:r>
      <w:r w:rsidR="00DA007F">
        <w:rPr>
          <w:rFonts w:ascii="Times New Roman" w:hAnsi="Times New Roman"/>
          <w:lang w:val="lt-LT"/>
        </w:rPr>
        <w:t>ų valdymo fakultetas, 2011. – 61</w:t>
      </w:r>
      <w:r>
        <w:rPr>
          <w:rFonts w:ascii="Times New Roman" w:hAnsi="Times New Roman"/>
          <w:lang w:val="lt-LT"/>
        </w:rPr>
        <w:t xml:space="preserve"> p.</w:t>
      </w:r>
    </w:p>
    <w:p w:rsidR="000D09A9" w:rsidRPr="003544A3" w:rsidRDefault="000D09A9" w:rsidP="000D09A9">
      <w:pPr>
        <w:pStyle w:val="Heading1"/>
        <w:jc w:val="center"/>
        <w:rPr>
          <w:rFonts w:ascii="Times New Roman" w:hAnsi="Times New Roman"/>
          <w:sz w:val="24"/>
          <w:szCs w:val="24"/>
        </w:rPr>
      </w:pPr>
      <w:bookmarkStart w:id="80" w:name="_Toc185841214"/>
      <w:bookmarkStart w:id="81" w:name="_Toc312047658"/>
      <w:r w:rsidRPr="003544A3">
        <w:rPr>
          <w:rFonts w:ascii="Times New Roman" w:hAnsi="Times New Roman"/>
          <w:sz w:val="24"/>
          <w:szCs w:val="24"/>
        </w:rPr>
        <w:t>ANOTACIJA</w:t>
      </w:r>
      <w:bookmarkEnd w:id="80"/>
      <w:bookmarkEnd w:id="81"/>
    </w:p>
    <w:p w:rsidR="000D09A9" w:rsidRDefault="000D09A9" w:rsidP="000D09A9">
      <w:pPr>
        <w:spacing w:after="0" w:line="360" w:lineRule="auto"/>
        <w:ind w:firstLine="567"/>
        <w:jc w:val="both"/>
        <w:rPr>
          <w:rFonts w:ascii="Times New Roman" w:hAnsi="Times New Roman"/>
          <w:lang w:val="lt-LT"/>
        </w:rPr>
      </w:pPr>
      <w:r>
        <w:rPr>
          <w:rFonts w:ascii="Times New Roman" w:hAnsi="Times New Roman"/>
          <w:lang w:val="lt-LT"/>
        </w:rPr>
        <w:t xml:space="preserve">Magistro baigiamajame darbe išanalizuotas techninės analizės metodų tinkamumas Baltijos šalių akcijų rinkai. Pirmoje dalyje aprašyta techninė analizė, jos principai, pagrindas ir kritika. Antroje dalyje išanalizuoti 10 dažniausiai praktikoje naudojamų techninės analizės metodų. Panaudojant istorinius 10-ties likvidžiausių Baltijos šalių akcijų rinkos akcijų duomenis nustatyti 4 tinkamiausi prognozei techniniai rinkos indikatoriai ir surasti jiems geriausi parametrai. Analitinėje dalyje ištirtas techninės analizės metodų tinkamumas Baltijos šalių akcijų rinkos prognozei. Pagal 4 atrinktų techninės analizės indikatorių - </w:t>
      </w:r>
      <w:r w:rsidRPr="000B544A">
        <w:rPr>
          <w:rFonts w:ascii="Times New Roman" w:hAnsi="Times New Roman"/>
          <w:lang w:val="lt-LT"/>
        </w:rPr>
        <w:t>p</w:t>
      </w:r>
      <w:r>
        <w:rPr>
          <w:rFonts w:ascii="Times New Roman" w:hAnsi="Times New Roman"/>
          <w:lang w:val="lt-LT"/>
        </w:rPr>
        <w:t>inigų srauto indekso</w:t>
      </w:r>
      <w:r w:rsidRPr="000B544A">
        <w:rPr>
          <w:rFonts w:ascii="Times New Roman" w:hAnsi="Times New Roman"/>
          <w:lang w:val="lt-LT"/>
        </w:rPr>
        <w:t>, pasikeitimo masto indikatori</w:t>
      </w:r>
      <w:r>
        <w:rPr>
          <w:rFonts w:ascii="Times New Roman" w:hAnsi="Times New Roman"/>
          <w:lang w:val="lt-LT"/>
        </w:rPr>
        <w:t>a</w:t>
      </w:r>
      <w:r w:rsidRPr="000B544A">
        <w:rPr>
          <w:rFonts w:ascii="Times New Roman" w:hAnsi="Times New Roman"/>
          <w:lang w:val="lt-LT"/>
        </w:rPr>
        <w:t xml:space="preserve">us, </w:t>
      </w:r>
      <w:r>
        <w:rPr>
          <w:rFonts w:ascii="Times New Roman" w:hAnsi="Times New Roman"/>
          <w:lang w:val="lt-LT"/>
        </w:rPr>
        <w:t>paprastojo slankiojo vidurkio,</w:t>
      </w:r>
      <w:r w:rsidRPr="000B544A">
        <w:rPr>
          <w:rFonts w:ascii="Times New Roman" w:hAnsi="Times New Roman"/>
          <w:lang w:val="lt-LT"/>
        </w:rPr>
        <w:t xml:space="preserve"> dončiano kanalo</w:t>
      </w:r>
      <w:r>
        <w:rPr>
          <w:rFonts w:ascii="Times New Roman" w:hAnsi="Times New Roman"/>
          <w:lang w:val="lt-LT"/>
        </w:rPr>
        <w:t xml:space="preserve"> –</w:t>
      </w:r>
      <w:r w:rsidRPr="000B544A">
        <w:rPr>
          <w:rFonts w:ascii="Times New Roman" w:hAnsi="Times New Roman"/>
          <w:lang w:val="lt-LT"/>
        </w:rPr>
        <w:t xml:space="preserve"> </w:t>
      </w:r>
      <w:r>
        <w:rPr>
          <w:rFonts w:ascii="Times New Roman" w:hAnsi="Times New Roman"/>
          <w:lang w:val="lt-LT"/>
        </w:rPr>
        <w:t>reikšmes sudaryta prognozė ir patikrinta, ar prognozė pasitvirtino.</w:t>
      </w:r>
    </w:p>
    <w:p w:rsidR="000D09A9" w:rsidRDefault="000D09A9" w:rsidP="000D09A9">
      <w:pPr>
        <w:spacing w:after="0" w:line="360" w:lineRule="auto"/>
        <w:ind w:firstLine="567"/>
        <w:rPr>
          <w:rFonts w:ascii="Times New Roman" w:hAnsi="Times New Roman"/>
          <w:lang w:val="lt-LT"/>
        </w:rPr>
      </w:pPr>
      <w:r w:rsidRPr="0013039D">
        <w:rPr>
          <w:rFonts w:ascii="Times New Roman" w:hAnsi="Times New Roman"/>
          <w:b/>
          <w:lang w:val="lt-LT"/>
        </w:rPr>
        <w:t>P</w:t>
      </w:r>
      <w:r>
        <w:rPr>
          <w:rFonts w:ascii="Times New Roman" w:hAnsi="Times New Roman"/>
          <w:b/>
          <w:lang w:val="lt-LT"/>
        </w:rPr>
        <w:t>a</w:t>
      </w:r>
      <w:r w:rsidRPr="0013039D">
        <w:rPr>
          <w:rFonts w:ascii="Times New Roman" w:hAnsi="Times New Roman"/>
          <w:b/>
          <w:lang w:val="lt-LT"/>
        </w:rPr>
        <w:t>grindiniai žodžiai:</w:t>
      </w:r>
      <w:r>
        <w:rPr>
          <w:rFonts w:ascii="Times New Roman" w:hAnsi="Times New Roman"/>
          <w:lang w:val="lt-LT"/>
        </w:rPr>
        <w:t xml:space="preserve"> techninė analizė, Baltijos šalių akcijų rinka, </w:t>
      </w:r>
      <w:r w:rsidRPr="000B544A">
        <w:rPr>
          <w:rFonts w:ascii="Times New Roman" w:hAnsi="Times New Roman"/>
          <w:lang w:val="lt-LT"/>
        </w:rPr>
        <w:t xml:space="preserve">pinigų srauto indeksas, pasikeitimo masto indikatorius, </w:t>
      </w:r>
      <w:r>
        <w:rPr>
          <w:rFonts w:ascii="Times New Roman" w:hAnsi="Times New Roman"/>
          <w:lang w:val="lt-LT"/>
        </w:rPr>
        <w:t>paprastasis slankusis vidurkis,</w:t>
      </w:r>
      <w:r w:rsidRPr="000B544A">
        <w:rPr>
          <w:rFonts w:ascii="Times New Roman" w:hAnsi="Times New Roman"/>
          <w:lang w:val="lt-LT"/>
        </w:rPr>
        <w:t xml:space="preserve"> dončiano kanalo indikatorius.</w:t>
      </w:r>
    </w:p>
    <w:p w:rsidR="000D09A9" w:rsidRDefault="000D09A9" w:rsidP="000D09A9">
      <w:pPr>
        <w:spacing w:after="0" w:line="360" w:lineRule="auto"/>
        <w:rPr>
          <w:rFonts w:ascii="Times New Roman" w:hAnsi="Times New Roman"/>
          <w:lang w:val="lt-LT"/>
        </w:rPr>
      </w:pPr>
    </w:p>
    <w:p w:rsidR="000D09A9" w:rsidRPr="00284425" w:rsidRDefault="000D09A9" w:rsidP="000D09A9">
      <w:pPr>
        <w:spacing w:after="0" w:line="360" w:lineRule="auto"/>
        <w:ind w:firstLine="567"/>
        <w:rPr>
          <w:rFonts w:ascii="Times New Roman" w:hAnsi="Times New Roman"/>
        </w:rPr>
      </w:pPr>
      <w:r w:rsidRPr="00284425">
        <w:rPr>
          <w:rFonts w:ascii="Times New Roman" w:hAnsi="Times New Roman"/>
          <w:b/>
        </w:rPr>
        <w:t>Ambrazaitis K.</w:t>
      </w:r>
      <w:r w:rsidRPr="00284425">
        <w:rPr>
          <w:rFonts w:ascii="Times New Roman" w:hAnsi="Times New Roman"/>
        </w:rPr>
        <w:t xml:space="preserve"> Technical Analysis of the Baltic Stock Market / Thesis in Financial Markets. Supervisor: D. Teresienė. – Vilnius: Mykol</w:t>
      </w:r>
      <w:r>
        <w:rPr>
          <w:rFonts w:ascii="Times New Roman" w:hAnsi="Times New Roman"/>
        </w:rPr>
        <w:t>as</w:t>
      </w:r>
      <w:r w:rsidRPr="00284425">
        <w:rPr>
          <w:rFonts w:ascii="Times New Roman" w:hAnsi="Times New Roman"/>
        </w:rPr>
        <w:t xml:space="preserve"> Romeri</w:t>
      </w:r>
      <w:r>
        <w:rPr>
          <w:rFonts w:ascii="Times New Roman" w:hAnsi="Times New Roman"/>
        </w:rPr>
        <w:t>s</w:t>
      </w:r>
      <w:r w:rsidRPr="00284425">
        <w:rPr>
          <w:rFonts w:ascii="Times New Roman" w:hAnsi="Times New Roman"/>
        </w:rPr>
        <w:t xml:space="preserve"> University, Faculty of Economics and Financial Management, 2011. – 6</w:t>
      </w:r>
      <w:r>
        <w:rPr>
          <w:rFonts w:ascii="Times New Roman" w:hAnsi="Times New Roman"/>
        </w:rPr>
        <w:t>1</w:t>
      </w:r>
      <w:r w:rsidRPr="00284425">
        <w:rPr>
          <w:rFonts w:ascii="Times New Roman" w:hAnsi="Times New Roman"/>
        </w:rPr>
        <w:t xml:space="preserve"> p.</w:t>
      </w:r>
    </w:p>
    <w:p w:rsidR="000D09A9" w:rsidRPr="003544A3" w:rsidRDefault="000D09A9" w:rsidP="000D09A9">
      <w:pPr>
        <w:jc w:val="center"/>
      </w:pPr>
      <w:bookmarkStart w:id="82" w:name="_Toc185841215"/>
      <w:r w:rsidRPr="000D09A9">
        <w:rPr>
          <w:rFonts w:ascii="Times New Roman" w:hAnsi="Times New Roman"/>
          <w:b/>
        </w:rPr>
        <w:t>ANNOTATION</w:t>
      </w:r>
      <w:bookmarkEnd w:id="82"/>
    </w:p>
    <w:p w:rsidR="000D09A9" w:rsidRPr="00DE4EF9" w:rsidRDefault="000D09A9" w:rsidP="000D09A9">
      <w:pPr>
        <w:spacing w:after="0" w:line="360" w:lineRule="auto"/>
        <w:ind w:firstLine="567"/>
        <w:jc w:val="both"/>
        <w:rPr>
          <w:rFonts w:ascii="Times New Roman" w:hAnsi="Times New Roman"/>
        </w:rPr>
      </w:pPr>
      <w:r w:rsidRPr="00DE4EF9">
        <w:rPr>
          <w:rFonts w:ascii="Times New Roman" w:hAnsi="Times New Roman"/>
        </w:rPr>
        <w:t xml:space="preserve">My final thesis of financial markets explores the availability of using technical </w:t>
      </w:r>
      <w:r>
        <w:rPr>
          <w:rFonts w:ascii="Times New Roman" w:hAnsi="Times New Roman"/>
        </w:rPr>
        <w:t xml:space="preserve">analysis methods in NASDAQ OMX Baltic. First part of master thesis describes technical analysis, main principles, foundations and criticism. Second part analyses main 10 technical analysis methods which are used in practice. With the help of historical analysis of 10 most liquid Baltic shares 4 most suitable for prediction technical indicators parameters for them are found. Analytical part of the thesis analyzes the </w:t>
      </w:r>
      <w:r w:rsidRPr="007904E7">
        <w:rPr>
          <w:rFonts w:ascii="Times New Roman" w:hAnsi="Times New Roman"/>
        </w:rPr>
        <w:t>suitability of technical analysis methods for prediction of movements in Baltic share market. With the help of 4 chosen technical analysis indicators – money flow index, rate of change, simple mo</w:t>
      </w:r>
      <w:r>
        <w:rPr>
          <w:rFonts w:ascii="Times New Roman" w:hAnsi="Times New Roman"/>
        </w:rPr>
        <w:t>v</w:t>
      </w:r>
      <w:r w:rsidRPr="007904E7">
        <w:rPr>
          <w:rFonts w:ascii="Times New Roman" w:hAnsi="Times New Roman"/>
        </w:rPr>
        <w:t>ing average,</w:t>
      </w:r>
      <w:r>
        <w:rPr>
          <w:rFonts w:ascii="Times New Roman" w:hAnsi="Times New Roman"/>
        </w:rPr>
        <w:t xml:space="preserve"> D</w:t>
      </w:r>
      <w:r w:rsidRPr="007904E7">
        <w:rPr>
          <w:rFonts w:ascii="Times New Roman" w:hAnsi="Times New Roman"/>
        </w:rPr>
        <w:t>onchian channel</w:t>
      </w:r>
      <w:r>
        <w:rPr>
          <w:rFonts w:ascii="Times New Roman" w:hAnsi="Times New Roman"/>
        </w:rPr>
        <w:t xml:space="preserve"> – forecast is made and tested. The results are analyzed.  </w:t>
      </w:r>
    </w:p>
    <w:p w:rsidR="000D09A9" w:rsidRDefault="000D09A9" w:rsidP="000D09A9">
      <w:pPr>
        <w:spacing w:after="0" w:line="360" w:lineRule="auto"/>
        <w:ind w:firstLine="567"/>
        <w:rPr>
          <w:rFonts w:ascii="Times New Roman" w:hAnsi="Times New Roman"/>
        </w:rPr>
      </w:pPr>
      <w:r w:rsidRPr="00DE4EF9">
        <w:rPr>
          <w:rFonts w:ascii="Times New Roman" w:hAnsi="Times New Roman"/>
          <w:b/>
        </w:rPr>
        <w:t>Key Words:</w:t>
      </w:r>
      <w:r w:rsidRPr="00DE4EF9">
        <w:rPr>
          <w:rFonts w:ascii="Times New Roman" w:hAnsi="Times New Roman"/>
        </w:rPr>
        <w:t xml:space="preserve"> Technical Analysis, Baltic Stock Market, Money Flow Index, Rate of Change, Simple Moving Average, Donchian Channel.</w:t>
      </w:r>
    </w:p>
    <w:p w:rsidR="00DA007F" w:rsidRDefault="00DA007F" w:rsidP="000D09A9">
      <w:pPr>
        <w:spacing w:after="0" w:line="360" w:lineRule="auto"/>
        <w:ind w:firstLine="567"/>
        <w:rPr>
          <w:rFonts w:ascii="Times New Roman" w:hAnsi="Times New Roman"/>
        </w:rPr>
      </w:pPr>
    </w:p>
    <w:p w:rsidR="00DA007F" w:rsidRPr="00DE4EF9" w:rsidRDefault="00DA007F" w:rsidP="000D09A9">
      <w:pPr>
        <w:spacing w:after="0" w:line="360" w:lineRule="auto"/>
        <w:ind w:firstLine="567"/>
        <w:rPr>
          <w:rFonts w:ascii="Times New Roman" w:hAnsi="Times New Roman"/>
        </w:rPr>
      </w:pPr>
    </w:p>
    <w:p w:rsidR="000D09A9" w:rsidRDefault="000D09A9" w:rsidP="000D09A9">
      <w:pPr>
        <w:autoSpaceDE w:val="0"/>
        <w:autoSpaceDN w:val="0"/>
        <w:adjustRightInd w:val="0"/>
        <w:spacing w:after="0" w:line="360" w:lineRule="auto"/>
        <w:jc w:val="both"/>
        <w:rPr>
          <w:rFonts w:ascii="Times New Roman" w:eastAsia="TT747o00" w:hAnsi="Times New Roman"/>
        </w:rPr>
      </w:pPr>
    </w:p>
    <w:p w:rsidR="000D09A9" w:rsidRDefault="000D09A9" w:rsidP="000D09A9">
      <w:pPr>
        <w:spacing w:after="0" w:line="360" w:lineRule="auto"/>
        <w:ind w:firstLine="567"/>
        <w:rPr>
          <w:rFonts w:ascii="Times New Roman" w:hAnsi="Times New Roman"/>
          <w:lang w:val="lt-LT"/>
        </w:rPr>
      </w:pPr>
      <w:r w:rsidRPr="0013039D">
        <w:rPr>
          <w:rFonts w:ascii="Times New Roman" w:hAnsi="Times New Roman"/>
          <w:b/>
          <w:lang w:val="lt-LT"/>
        </w:rPr>
        <w:lastRenderedPageBreak/>
        <w:t>Ambrazaitis K.</w:t>
      </w:r>
      <w:r>
        <w:rPr>
          <w:rFonts w:ascii="Times New Roman" w:hAnsi="Times New Roman"/>
          <w:lang w:val="lt-LT"/>
        </w:rPr>
        <w:t xml:space="preserve"> Techninės analizės taikymas Baltijos šalių akcijų rinkai / Finansų rinkų magistro baigiamasis darbas. Vadovė dr. D. Teresienė. – Vilnius: Mykolo Romerio universitetas, Ekonomikos ir finansų valdymo fakultetas, 2011. – 61 p.</w:t>
      </w:r>
    </w:p>
    <w:p w:rsidR="000D09A9" w:rsidRPr="003544A3" w:rsidRDefault="000D09A9" w:rsidP="000D09A9">
      <w:pPr>
        <w:pStyle w:val="Heading1"/>
        <w:jc w:val="center"/>
        <w:rPr>
          <w:rFonts w:ascii="Times New Roman" w:hAnsi="Times New Roman"/>
          <w:sz w:val="24"/>
          <w:szCs w:val="24"/>
        </w:rPr>
      </w:pPr>
      <w:bookmarkStart w:id="83" w:name="_Toc185841216"/>
      <w:bookmarkStart w:id="84" w:name="_Toc312047659"/>
      <w:r w:rsidRPr="003544A3">
        <w:rPr>
          <w:rFonts w:ascii="Times New Roman" w:hAnsi="Times New Roman"/>
          <w:sz w:val="24"/>
          <w:szCs w:val="24"/>
        </w:rPr>
        <w:t>SANTRAUKA</w:t>
      </w:r>
      <w:bookmarkEnd w:id="83"/>
      <w:bookmarkEnd w:id="84"/>
    </w:p>
    <w:p w:rsidR="000D09A9" w:rsidRDefault="000D09A9" w:rsidP="000D09A9">
      <w:pPr>
        <w:spacing w:after="0" w:line="360" w:lineRule="auto"/>
        <w:ind w:firstLine="567"/>
        <w:jc w:val="both"/>
        <w:rPr>
          <w:rFonts w:ascii="Times New Roman" w:hAnsi="Times New Roman"/>
          <w:lang w:val="lt-LT"/>
        </w:rPr>
      </w:pPr>
      <w:r>
        <w:rPr>
          <w:rFonts w:ascii="Times New Roman" w:hAnsi="Times New Roman"/>
          <w:lang w:val="lt-LT"/>
        </w:rPr>
        <w:t>Magistro baigiamajame darbe tiriamas techninės analizės taikymas Baltijos šalių akcijų rinkoje. Populiarėjant investavimui vis daugiau ir daugiau žmonių susiduria su finansinių aktyvų prognozavimu. Išsivysčiusios technologijos leidžia kiekvienam namuose turinčiam kompiuterį internete stebėti, lyginti, analizuoti finansinius aktyvus. Jei žmogus investavimu domisi ir savo portfeliu rūpinasi pats, tuomet jam reikia išmanyti metodus, kurie padėtų teisingai išsirinkti kur ir kada investuoti. Techninė analizė yra vienas iš būdų, kuris gali padėti teisingai išsirinkti investicinius aktyvus. Temos aktualumą taip pat parodo mokslinių darbų, knygų diskusijų apie techninę analizę gausėjimas.  Iškelta hipotezė – techninės analizės naudojimas padeda investuoti pelningai trumpame laikotarpyje. Šia hipoteze parodysiu, ar naudojant techninę analizę investavimas Baltijos šalių akcijų rinkoje yra pelningas.</w:t>
      </w:r>
    </w:p>
    <w:p w:rsidR="000D09A9" w:rsidRDefault="000D09A9" w:rsidP="000D09A9">
      <w:pPr>
        <w:spacing w:after="0" w:line="360" w:lineRule="auto"/>
        <w:ind w:firstLine="567"/>
        <w:jc w:val="both"/>
        <w:rPr>
          <w:rFonts w:ascii="Times New Roman" w:hAnsi="Times New Roman"/>
          <w:lang w:val="lt-LT"/>
        </w:rPr>
      </w:pPr>
      <w:r>
        <w:rPr>
          <w:rFonts w:ascii="Times New Roman" w:hAnsi="Times New Roman"/>
          <w:lang w:val="lt-LT"/>
        </w:rPr>
        <w:t xml:space="preserve">Siekiant užsibrėžto tikslo analizuojama daugiausiai užsienio mokslininkų literatūra, nes Lietuvoje ši tema nėra plačiai išnagrinėta. Supažindinama su technine analize, jos trūkumais, prielaidomis ir privalumais. Atlikta techninės analizės indikatorių ir istorinių duomenų analizė. Geriausių parametrų paieška. Indikatorių palyginimas ir vertinimas. Prognozavimas ir prognozės patikrinimas.  </w:t>
      </w:r>
    </w:p>
    <w:p w:rsidR="000D09A9" w:rsidRDefault="000D09A9" w:rsidP="000D09A9">
      <w:pPr>
        <w:spacing w:after="0" w:line="360" w:lineRule="auto"/>
        <w:ind w:firstLine="567"/>
        <w:jc w:val="both"/>
        <w:rPr>
          <w:rFonts w:ascii="Times New Roman" w:hAnsi="Times New Roman"/>
          <w:lang w:val="lt-LT"/>
        </w:rPr>
      </w:pPr>
      <w:r>
        <w:rPr>
          <w:rFonts w:ascii="Times New Roman" w:hAnsi="Times New Roman"/>
          <w:lang w:val="lt-LT"/>
        </w:rPr>
        <w:t xml:space="preserve">Tiriant techninės analizės indikatorius, istorinių duomenų pagrindu buvo nustatyti optimalūs parametrai, kuriuos naudojant pasiekti geriausi rezultatai. Indikatoriai sureitinguoti pagal jų signalų teisingumą, pagal pirmas keturias vietas užėmusių indikatorių reikšmes padaryta likvidžiausių akcijų kainų prognozė, o po </w:t>
      </w:r>
      <w:r>
        <w:rPr>
          <w:rFonts w:ascii="Times New Roman" w:hAnsi="Times New Roman"/>
        </w:rPr>
        <w:t>3</w:t>
      </w:r>
      <w:r>
        <w:rPr>
          <w:rFonts w:ascii="Times New Roman" w:hAnsi="Times New Roman"/>
          <w:lang w:val="lt-LT"/>
        </w:rPr>
        <w:t xml:space="preserve"> mėn. patikrintas prognozės teisingumas </w:t>
      </w:r>
    </w:p>
    <w:p w:rsidR="000D09A9" w:rsidRDefault="000D09A9" w:rsidP="000D09A9">
      <w:pPr>
        <w:spacing w:after="0" w:line="360" w:lineRule="auto"/>
        <w:ind w:firstLine="567"/>
        <w:jc w:val="both"/>
        <w:rPr>
          <w:rFonts w:ascii="Times New Roman" w:hAnsi="Times New Roman"/>
          <w:lang w:val="lt-LT"/>
        </w:rPr>
      </w:pPr>
      <w:r>
        <w:rPr>
          <w:rFonts w:ascii="Times New Roman" w:hAnsi="Times New Roman"/>
          <w:lang w:val="lt-LT"/>
        </w:rPr>
        <w:t xml:space="preserve">Aprašant techninę analizę aprašyti pagrindiniai techninės analizės aspektai, bei supažindinta su pirmine techninės analizės  teorija – Dow teorija. Taip pat suklasifikuoti techninės analizės indikatoriai į grafinius, matematinius ir mišrius, aprašyta techninės analizės kritika. Analizuojant populiariausius techninės analizės indikatorius surasti geriausi parametrai, su kuriais indikatoriai generuoja teisingiausius signalus Baltijos šalių akcijų rinkoje. Tiriant techninės analizės indikatorius pagal istorinius duomenis sudarytas indikatorių reitingas. Pirmas 4 reitingo vietas užėmę indikatoriai panaudoti sudarant prognozę. Praėjus planuotam terminui imituojant investavimą atliktas prognozės ir rinkos kainų palyginimas, kuris parodė, jog techninė analizė Baltijos šalių akcijų rinkoje neveikė analizuojamame laikotarpyje. Gautas 12.08 proc. nuostolis. </w:t>
      </w:r>
    </w:p>
    <w:p w:rsidR="000D09A9" w:rsidRPr="00126879" w:rsidRDefault="000D09A9" w:rsidP="000D09A9">
      <w:pPr>
        <w:spacing w:after="0" w:line="360" w:lineRule="auto"/>
        <w:ind w:firstLine="567"/>
        <w:jc w:val="both"/>
        <w:rPr>
          <w:rFonts w:ascii="Times New Roman" w:hAnsi="Times New Roman"/>
          <w:lang w:val="lt-LT"/>
        </w:rPr>
      </w:pPr>
      <w:r w:rsidRPr="00126879">
        <w:rPr>
          <w:rFonts w:ascii="Times New Roman" w:hAnsi="Times New Roman"/>
          <w:lang w:val="lt-LT"/>
        </w:rPr>
        <w:t xml:space="preserve">Lyginant </w:t>
      </w:r>
      <w:r w:rsidRPr="00126879">
        <w:rPr>
          <w:rFonts w:ascii="Times New Roman" w:hAnsi="Times New Roman"/>
        </w:rPr>
        <w:t>10</w:t>
      </w:r>
      <w:r w:rsidRPr="00126879">
        <w:rPr>
          <w:rFonts w:ascii="Times New Roman" w:hAnsi="Times New Roman"/>
          <w:lang w:val="lt-LT"/>
        </w:rPr>
        <w:t xml:space="preserve">-ties techninės analizės indikatorių signalų naudą investavimui, buvo nustatyta, kad geriausius signalus generuoja pinigų srauto indekso indikatorius. Investuojant tiriamuoju laikotarpiu buvo galima uždirbti </w:t>
      </w:r>
      <w:r w:rsidRPr="00126879">
        <w:rPr>
          <w:rFonts w:ascii="Times New Roman" w:hAnsi="Times New Roman"/>
        </w:rPr>
        <w:t xml:space="preserve">pirkimo sandoriais - 280,44 proc., o pardavimo sandoriais </w:t>
      </w:r>
      <w:r>
        <w:rPr>
          <w:rFonts w:ascii="Times New Roman" w:hAnsi="Times New Roman"/>
        </w:rPr>
        <w:t xml:space="preserve">- </w:t>
      </w:r>
      <w:r w:rsidRPr="00126879">
        <w:rPr>
          <w:rFonts w:ascii="Times New Roman" w:hAnsi="Times New Roman"/>
        </w:rPr>
        <w:t xml:space="preserve">164 proc. </w:t>
      </w:r>
      <w:r w:rsidRPr="00126879">
        <w:rPr>
          <w:rFonts w:ascii="Times New Roman" w:hAnsi="Times New Roman"/>
          <w:lang w:val="lt-LT"/>
        </w:rPr>
        <w:t xml:space="preserve">pelno (į </w:t>
      </w:r>
      <w:r w:rsidRPr="00126879">
        <w:rPr>
          <w:rFonts w:ascii="Times New Roman" w:hAnsi="Times New Roman"/>
          <w:lang w:val="lt-LT"/>
        </w:rPr>
        <w:lastRenderedPageBreak/>
        <w:t xml:space="preserve">komisinius mokesčius nebuvo atsižvelgiama). Imituojant investavimą pagal prognozę buvo gautas </w:t>
      </w:r>
      <w:r w:rsidRPr="00126879">
        <w:rPr>
          <w:rFonts w:ascii="Times New Roman" w:hAnsi="Times New Roman"/>
        </w:rPr>
        <w:t>12.08 proc. nuostolis. D</w:t>
      </w:r>
      <w:r w:rsidRPr="00126879">
        <w:rPr>
          <w:rFonts w:ascii="Times New Roman" w:hAnsi="Times New Roman"/>
          <w:lang w:val="lt-LT"/>
        </w:rPr>
        <w:t>ėl gautų nuostolių daroma išvada, kad tiriamieji techniniai rinkos indikatoriai su parinktais parametrais laikotarpyje nuo 2011-07-01 iki 2011-09-30 buvo neefektyvūs Baltijos šalių akcijų rinkoje. Toks neigiamas rezultatas galėjo būti įtakotas 2011 m. Europos finansų krizės, žemės drebėjimo Japonijoje ar kitų veiksnių. Hipotezė H: techninė analizė padeda investuoti pelningai yra atmetama.</w:t>
      </w:r>
    </w:p>
    <w:p w:rsidR="000D09A9" w:rsidRDefault="000D09A9" w:rsidP="000D09A9">
      <w:pPr>
        <w:spacing w:after="0" w:line="360" w:lineRule="auto"/>
        <w:ind w:firstLine="567"/>
        <w:jc w:val="both"/>
        <w:rPr>
          <w:rFonts w:ascii="Times New Roman" w:hAnsi="Times New Roman"/>
          <w:lang w:val="lt-LT"/>
        </w:rPr>
      </w:pPr>
      <w:r w:rsidRPr="00622AFB">
        <w:rPr>
          <w:rFonts w:ascii="Times New Roman" w:hAnsi="Times New Roman"/>
          <w:lang w:val="lt-LT"/>
        </w:rPr>
        <w:t xml:space="preserve">Darbas susideda iš </w:t>
      </w:r>
      <w:r>
        <w:rPr>
          <w:rFonts w:ascii="Times New Roman" w:hAnsi="Times New Roman"/>
          <w:lang w:val="lt-LT"/>
        </w:rPr>
        <w:t>trijų</w:t>
      </w:r>
      <w:r w:rsidRPr="00622AFB">
        <w:rPr>
          <w:rFonts w:ascii="Times New Roman" w:hAnsi="Times New Roman"/>
          <w:lang w:val="lt-LT"/>
        </w:rPr>
        <w:t xml:space="preserve"> dalių – teorinės</w:t>
      </w:r>
      <w:r>
        <w:rPr>
          <w:rFonts w:ascii="Times New Roman" w:hAnsi="Times New Roman"/>
          <w:lang w:val="lt-LT"/>
        </w:rPr>
        <w:t>, metodinės</w:t>
      </w:r>
      <w:r w:rsidRPr="00622AFB">
        <w:rPr>
          <w:rFonts w:ascii="Times New Roman" w:hAnsi="Times New Roman"/>
          <w:lang w:val="lt-LT"/>
        </w:rPr>
        <w:t xml:space="preserve"> ir praktinės. Teorinėje dalyje aprašoma </w:t>
      </w:r>
      <w:r>
        <w:rPr>
          <w:rFonts w:ascii="Times New Roman" w:hAnsi="Times New Roman"/>
          <w:lang w:val="lt-LT"/>
        </w:rPr>
        <w:t>techninės analizės</w:t>
      </w:r>
      <w:r w:rsidRPr="00622AFB">
        <w:rPr>
          <w:rFonts w:ascii="Times New Roman" w:hAnsi="Times New Roman"/>
          <w:lang w:val="lt-LT"/>
        </w:rPr>
        <w:t xml:space="preserve"> sąvoka, </w:t>
      </w:r>
      <w:r>
        <w:rPr>
          <w:rFonts w:ascii="Times New Roman" w:hAnsi="Times New Roman"/>
          <w:lang w:val="lt-LT"/>
        </w:rPr>
        <w:t>pirminė teorija, indikatorių klasifikacija ir kritika</w:t>
      </w:r>
      <w:r w:rsidRPr="00622AFB">
        <w:rPr>
          <w:rFonts w:ascii="Times New Roman" w:hAnsi="Times New Roman"/>
          <w:lang w:val="lt-LT"/>
        </w:rPr>
        <w:t>. Šioje dalyje parodom</w:t>
      </w:r>
      <w:r>
        <w:rPr>
          <w:rFonts w:ascii="Times New Roman" w:hAnsi="Times New Roman"/>
          <w:lang w:val="lt-LT"/>
        </w:rPr>
        <w:t>a, kas yra techninė analizė ir kaip ji veikia</w:t>
      </w:r>
      <w:r w:rsidRPr="00622AFB">
        <w:rPr>
          <w:rFonts w:ascii="Times New Roman" w:hAnsi="Times New Roman"/>
          <w:lang w:val="lt-LT"/>
        </w:rPr>
        <w:t xml:space="preserve">. </w:t>
      </w:r>
      <w:r>
        <w:rPr>
          <w:rFonts w:ascii="Times New Roman" w:hAnsi="Times New Roman"/>
          <w:lang w:val="lt-LT"/>
        </w:rPr>
        <w:t xml:space="preserve">Metodinėje dalyje iš </w:t>
      </w:r>
      <w:r>
        <w:rPr>
          <w:rFonts w:ascii="Times New Roman" w:hAnsi="Times New Roman"/>
        </w:rPr>
        <w:t xml:space="preserve">10 </w:t>
      </w:r>
      <w:r>
        <w:rPr>
          <w:rFonts w:ascii="Times New Roman" w:hAnsi="Times New Roman"/>
          <w:lang w:val="lt-LT"/>
        </w:rPr>
        <w:t xml:space="preserve">techninės analizės indikatorių atrenkami </w:t>
      </w:r>
      <w:r>
        <w:rPr>
          <w:rFonts w:ascii="Times New Roman" w:hAnsi="Times New Roman"/>
        </w:rPr>
        <w:t>4</w:t>
      </w:r>
      <w:r>
        <w:rPr>
          <w:rFonts w:ascii="Times New Roman" w:hAnsi="Times New Roman"/>
          <w:lang w:val="lt-LT"/>
        </w:rPr>
        <w:t xml:space="preserve"> geriausiai veikiantys Baltijos šalių akcijų rinkoje. </w:t>
      </w:r>
      <w:r w:rsidRPr="00622AFB">
        <w:rPr>
          <w:rFonts w:ascii="Times New Roman" w:hAnsi="Times New Roman"/>
          <w:lang w:val="lt-LT"/>
        </w:rPr>
        <w:t xml:space="preserve">Praktinėje dalyje </w:t>
      </w:r>
      <w:r>
        <w:rPr>
          <w:rFonts w:ascii="Times New Roman" w:hAnsi="Times New Roman"/>
          <w:lang w:val="lt-LT"/>
        </w:rPr>
        <w:t>sudaroma prognozė ir imituojamas investavimas prognozės teisingumo patikrinimui.</w:t>
      </w:r>
    </w:p>
    <w:p w:rsidR="000D09A9" w:rsidRPr="003544A3" w:rsidRDefault="000D09A9" w:rsidP="000D09A9">
      <w:pPr>
        <w:jc w:val="center"/>
      </w:pPr>
      <w:bookmarkStart w:id="85" w:name="_Toc185841217"/>
      <w:r w:rsidRPr="000D09A9">
        <w:rPr>
          <w:rFonts w:ascii="Times New Roman" w:hAnsi="Times New Roman"/>
          <w:b/>
        </w:rPr>
        <w:t>SUMMARY</w:t>
      </w:r>
      <w:bookmarkEnd w:id="85"/>
    </w:p>
    <w:p w:rsidR="000D09A9" w:rsidRPr="00284425" w:rsidRDefault="000D09A9" w:rsidP="000D09A9">
      <w:pPr>
        <w:spacing w:after="0" w:line="360" w:lineRule="auto"/>
        <w:ind w:firstLine="567"/>
        <w:rPr>
          <w:rFonts w:ascii="Times New Roman" w:hAnsi="Times New Roman"/>
        </w:rPr>
      </w:pPr>
      <w:r w:rsidRPr="00284425">
        <w:rPr>
          <w:rFonts w:ascii="Times New Roman" w:hAnsi="Times New Roman"/>
          <w:b/>
        </w:rPr>
        <w:t>Ambrazaitis K.</w:t>
      </w:r>
      <w:r w:rsidRPr="00284425">
        <w:rPr>
          <w:rFonts w:ascii="Times New Roman" w:hAnsi="Times New Roman"/>
        </w:rPr>
        <w:t xml:space="preserve"> Technical Analysis of the Baltic Stock Market / Thesis in Financial Markets. Supervisor: D. Teresienė. – Vilnius: Mykol</w:t>
      </w:r>
      <w:r>
        <w:rPr>
          <w:rFonts w:ascii="Times New Roman" w:hAnsi="Times New Roman"/>
        </w:rPr>
        <w:t>as</w:t>
      </w:r>
      <w:r w:rsidRPr="00284425">
        <w:rPr>
          <w:rFonts w:ascii="Times New Roman" w:hAnsi="Times New Roman"/>
        </w:rPr>
        <w:t xml:space="preserve"> Romeri</w:t>
      </w:r>
      <w:r>
        <w:rPr>
          <w:rFonts w:ascii="Times New Roman" w:hAnsi="Times New Roman"/>
        </w:rPr>
        <w:t>s</w:t>
      </w:r>
      <w:r w:rsidRPr="00284425">
        <w:rPr>
          <w:rFonts w:ascii="Times New Roman" w:hAnsi="Times New Roman"/>
        </w:rPr>
        <w:t xml:space="preserve"> University, Faculty of Economics and </w:t>
      </w:r>
      <w:r w:rsidR="00DA007F">
        <w:rPr>
          <w:rFonts w:ascii="Times New Roman" w:hAnsi="Times New Roman"/>
        </w:rPr>
        <w:t>Financial Management, 2011. – 61</w:t>
      </w:r>
      <w:r w:rsidRPr="00284425">
        <w:rPr>
          <w:rFonts w:ascii="Times New Roman" w:hAnsi="Times New Roman"/>
        </w:rPr>
        <w:t xml:space="preserve"> p.</w:t>
      </w:r>
    </w:p>
    <w:p w:rsidR="000D09A9" w:rsidRDefault="000D09A9" w:rsidP="000D09A9">
      <w:pPr>
        <w:spacing w:after="0" w:line="360" w:lineRule="auto"/>
        <w:ind w:firstLine="567"/>
        <w:jc w:val="both"/>
        <w:rPr>
          <w:rFonts w:ascii="Times New Roman" w:hAnsi="Times New Roman"/>
        </w:rPr>
      </w:pPr>
      <w:r w:rsidRPr="00F42CB3">
        <w:rPr>
          <w:rFonts w:ascii="Times New Roman" w:hAnsi="Times New Roman"/>
        </w:rPr>
        <w:t>The thesis of financial markets explores the use of technical analysis in Baltic stock market</w:t>
      </w:r>
      <w:r>
        <w:rPr>
          <w:rFonts w:ascii="Times New Roman" w:hAnsi="Times New Roman"/>
          <w:lang w:val="lt-LT"/>
        </w:rPr>
        <w:t xml:space="preserve">. </w:t>
      </w:r>
      <w:r>
        <w:rPr>
          <w:rFonts w:ascii="Times New Roman" w:hAnsi="Times New Roman"/>
        </w:rPr>
        <w:t xml:space="preserve">Because of popularity of investing more and more people meet the forecasting of financial assets. Modern technologies allow everyone who has PC at home to track, compare and analyze the changes of financial assets in the internet. If person is interest in investing and cares about the movement of his portfolio, methods which help to make a right decision where and when to invest, are needed to know. Technical analysis is one of the ways to find right financial assets. The relevancy of this topic is supported by the increase of studies, books and discussions about technical analysis. The hypothesis – technical analysis helps to invest in short term. With this hypothesis I will prove that investing with the help of technical analysis in Baltic market is profitable. </w:t>
      </w:r>
    </w:p>
    <w:p w:rsidR="000D09A9" w:rsidRDefault="000D09A9" w:rsidP="000D09A9">
      <w:pPr>
        <w:spacing w:after="0" w:line="360" w:lineRule="auto"/>
        <w:ind w:firstLine="567"/>
        <w:jc w:val="both"/>
        <w:rPr>
          <w:rFonts w:ascii="Times New Roman" w:hAnsi="Times New Roman"/>
        </w:rPr>
      </w:pPr>
      <w:r>
        <w:rPr>
          <w:rFonts w:ascii="Times New Roman" w:hAnsi="Times New Roman"/>
        </w:rPr>
        <w:t xml:space="preserve">Mostly literature of foreign authors is analyzed because in Lithuania this topic is not frequently discussed. Technical analysis, it`s pros and cons are introduced. During the examination of technical analysis indicators with the historical data, optimal parameters, with which best results occur, were found. Analysis of the advantages of 10 technical analysis indicators for investing, diagnosed that best signals are generated by money flow index indicator. With the help of it investor could earn 280.44 % when using buy transactions and 164 % when using sell transactions over analyzed period of time (no transaction costs analyzed). Rating list of indicators by the accuracy of signals was created. Forecast of the prices of most liquid shares was made with the help of four most accurate indicators and after three months results were checked. This analysis has shown that technical analysis is not very accurate in Baltic share market; portfolio value has decreased by 12.08 percent. It is possible to make a conclusion that technical indicators with chosen parameters were not effective in the Baltic share markets during the period from 2011-07-01 to 2011-09-30. Such result could be affected by the 2011 European </w:t>
      </w:r>
      <w:r>
        <w:rPr>
          <w:rFonts w:ascii="Times New Roman" w:hAnsi="Times New Roman"/>
        </w:rPr>
        <w:lastRenderedPageBreak/>
        <w:t xml:space="preserve">sovereign debt crisis, earthquake in Japan and other factors. Hypothesis that technical analysis can help to invest profitable is denied. </w:t>
      </w:r>
    </w:p>
    <w:p w:rsidR="000D09A9" w:rsidRDefault="000D09A9" w:rsidP="000D09A9">
      <w:pPr>
        <w:spacing w:after="0" w:line="360" w:lineRule="auto"/>
        <w:ind w:firstLine="567"/>
        <w:jc w:val="both"/>
        <w:rPr>
          <w:rFonts w:ascii="Times New Roman" w:hAnsi="Times New Roman"/>
        </w:rPr>
      </w:pPr>
      <w:r>
        <w:rPr>
          <w:rFonts w:ascii="Times New Roman" w:hAnsi="Times New Roman"/>
        </w:rPr>
        <w:t xml:space="preserve">Master thesis consists of three parts: theoretical, methodological and practical. Theoretical part describes the definition of technical analysis, main principles, foundations, classification of indicators and criticism. In this part technical analysis and how it works is described. In the second part of thesis from 10 technical analysis methods 4 are selected which are the best in Baltic market. Practical part of the thesis consists of prediction and simulation of investment to check if the hypothesis is correct. </w:t>
      </w:r>
    </w:p>
    <w:sectPr w:rsidR="000D09A9" w:rsidSect="00155D3E">
      <w:headerReference w:type="default" r:id="rId17"/>
      <w:endnotePr>
        <w:numFmt w:val="decimal"/>
      </w:endnotePr>
      <w:pgSz w:w="11900" w:h="16840"/>
      <w:pgMar w:top="851" w:right="567" w:bottom="851" w:left="1418" w:header="283" w:footer="567" w:gutter="0"/>
      <w:pgNumType w:start="7"/>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64A" w:rsidRDefault="0031164A" w:rsidP="00F3388E">
      <w:pPr>
        <w:spacing w:after="0"/>
      </w:pPr>
      <w:r>
        <w:separator/>
      </w:r>
    </w:p>
  </w:endnote>
  <w:endnote w:type="continuationSeparator" w:id="0">
    <w:p w:rsidR="0031164A" w:rsidRDefault="0031164A" w:rsidP="00F338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imes">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MS Gothi">
    <w:altName w:val="Meiryo"/>
    <w:panose1 w:val="00000000000000000000"/>
    <w:charset w:val="80"/>
    <w:family w:val="moder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MS Minngs">
    <w:altName w:val="w"/>
    <w:panose1 w:val="00000000000000000000"/>
    <w:charset w:val="80"/>
    <w:family w:val="roman"/>
    <w:notTrueType/>
    <w:pitch w:val="fixed"/>
    <w:sig w:usb0="00000001" w:usb1="08070000" w:usb2="00000010" w:usb3="00000000" w:csb0="00020000" w:csb1="00000000"/>
  </w:font>
  <w:font w:name="Cambria Math">
    <w:panose1 w:val="02040503050406030204"/>
    <w:charset w:val="BA"/>
    <w:family w:val="roman"/>
    <w:pitch w:val="variable"/>
    <w:sig w:usb0="E00002FF" w:usb1="420024FF" w:usb2="00000000" w:usb3="00000000" w:csb0="0000019F" w:csb1="00000000"/>
  </w:font>
  <w:font w:name="TT747o00">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64A" w:rsidRDefault="0031164A" w:rsidP="00F3388E">
      <w:pPr>
        <w:spacing w:after="0"/>
      </w:pPr>
      <w:r>
        <w:separator/>
      </w:r>
    </w:p>
  </w:footnote>
  <w:footnote w:type="continuationSeparator" w:id="0">
    <w:p w:rsidR="0031164A" w:rsidRDefault="0031164A" w:rsidP="00F3388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9A9" w:rsidRDefault="00A56BC3" w:rsidP="0062611B">
    <w:pPr>
      <w:pStyle w:val="Header"/>
      <w:jc w:val="center"/>
    </w:pPr>
    <w:fldSimple w:instr=" PAGE   \* MERGEFORMAT ">
      <w:r w:rsidR="00902DA8">
        <w:rPr>
          <w:noProof/>
        </w:rPr>
        <w:t>55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9A255B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10C65B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6BC023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C9ED36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F24D6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FC052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27E93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008746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7FE438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2A6B9B4"/>
    <w:lvl w:ilvl="0">
      <w:start w:val="1"/>
      <w:numFmt w:val="bullet"/>
      <w:lvlText w:val=""/>
      <w:lvlJc w:val="left"/>
      <w:pPr>
        <w:tabs>
          <w:tab w:val="num" w:pos="360"/>
        </w:tabs>
        <w:ind w:left="360" w:hanging="360"/>
      </w:pPr>
      <w:rPr>
        <w:rFonts w:ascii="Symbol" w:hAnsi="Symbol" w:hint="default"/>
      </w:rPr>
    </w:lvl>
  </w:abstractNum>
  <w:abstractNum w:abstractNumId="10">
    <w:nsid w:val="01750963"/>
    <w:multiLevelType w:val="multilevel"/>
    <w:tmpl w:val="2B0CF19C"/>
    <w:lvl w:ilvl="0">
      <w:start w:val="1"/>
      <w:numFmt w:val="decimal"/>
      <w:lvlText w:val="%1."/>
      <w:lvlJc w:val="left"/>
      <w:pPr>
        <w:ind w:left="1287" w:hanging="360"/>
      </w:pPr>
      <w:rPr>
        <w:rFonts w:cs="Times New Roman"/>
      </w:r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nsid w:val="06AD45D8"/>
    <w:multiLevelType w:val="hybridMultilevel"/>
    <w:tmpl w:val="6E3C576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09D72F4E"/>
    <w:multiLevelType w:val="multilevel"/>
    <w:tmpl w:val="81865BB0"/>
    <w:lvl w:ilvl="0">
      <w:start w:val="1"/>
      <w:numFmt w:val="decimal"/>
      <w:lvlText w:val="%1."/>
      <w:lvlJc w:val="left"/>
      <w:pPr>
        <w:ind w:left="927" w:hanging="360"/>
      </w:pPr>
      <w:rPr>
        <w:rFonts w:cs="Times New Roman"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0AB90EFE"/>
    <w:multiLevelType w:val="multilevel"/>
    <w:tmpl w:val="BAFE19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6D2B30"/>
    <w:multiLevelType w:val="hybridMultilevel"/>
    <w:tmpl w:val="D49E3774"/>
    <w:lvl w:ilvl="0" w:tplc="32DC7D50">
      <w:start w:val="1"/>
      <w:numFmt w:val="decimal"/>
      <w:lvlText w:val="%1."/>
      <w:lvlJc w:val="left"/>
      <w:pPr>
        <w:ind w:left="1367" w:hanging="80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5">
    <w:nsid w:val="17277A63"/>
    <w:multiLevelType w:val="hybridMultilevel"/>
    <w:tmpl w:val="EED64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211644"/>
    <w:multiLevelType w:val="hybridMultilevel"/>
    <w:tmpl w:val="D5CEB6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8C412BF"/>
    <w:multiLevelType w:val="hybridMultilevel"/>
    <w:tmpl w:val="9B7C6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D546A1"/>
    <w:multiLevelType w:val="hybridMultilevel"/>
    <w:tmpl w:val="8B560276"/>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9558AD"/>
    <w:multiLevelType w:val="hybridMultilevel"/>
    <w:tmpl w:val="1F56AE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2737C1F"/>
    <w:multiLevelType w:val="hybridMultilevel"/>
    <w:tmpl w:val="68783272"/>
    <w:lvl w:ilvl="0" w:tplc="DC623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DA31DB0"/>
    <w:multiLevelType w:val="hybridMultilevel"/>
    <w:tmpl w:val="4BF0A14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2"/>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1"/>
  </w:num>
  <w:num w:numId="15">
    <w:abstractNumId w:val="10"/>
  </w:num>
  <w:num w:numId="16">
    <w:abstractNumId w:val="19"/>
  </w:num>
  <w:num w:numId="17">
    <w:abstractNumId w:val="20"/>
  </w:num>
  <w:num w:numId="18">
    <w:abstractNumId w:val="13"/>
  </w:num>
  <w:num w:numId="19">
    <w:abstractNumId w:val="16"/>
  </w:num>
  <w:num w:numId="20">
    <w:abstractNumId w:val="17"/>
  </w:num>
  <w:num w:numId="21">
    <w:abstractNumId w:val="15"/>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20"/>
  <w:hyphenationZone w:val="396"/>
  <w:drawingGridHorizontalSpacing w:val="12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rsids>
    <w:rsidRoot w:val="00DA452B"/>
    <w:rsid w:val="0000093B"/>
    <w:rsid w:val="00002134"/>
    <w:rsid w:val="00003575"/>
    <w:rsid w:val="0000653B"/>
    <w:rsid w:val="00007F81"/>
    <w:rsid w:val="00014CD6"/>
    <w:rsid w:val="00015BEB"/>
    <w:rsid w:val="00020F58"/>
    <w:rsid w:val="00026846"/>
    <w:rsid w:val="00031414"/>
    <w:rsid w:val="0003614C"/>
    <w:rsid w:val="000431FA"/>
    <w:rsid w:val="00044997"/>
    <w:rsid w:val="000452DA"/>
    <w:rsid w:val="00050CB0"/>
    <w:rsid w:val="00055799"/>
    <w:rsid w:val="0005663E"/>
    <w:rsid w:val="00063D05"/>
    <w:rsid w:val="0006768F"/>
    <w:rsid w:val="00072474"/>
    <w:rsid w:val="00073AC3"/>
    <w:rsid w:val="00076AE5"/>
    <w:rsid w:val="00080524"/>
    <w:rsid w:val="00081EE2"/>
    <w:rsid w:val="00083AA2"/>
    <w:rsid w:val="000900C4"/>
    <w:rsid w:val="00090E9F"/>
    <w:rsid w:val="00091AED"/>
    <w:rsid w:val="00097F0B"/>
    <w:rsid w:val="000A2739"/>
    <w:rsid w:val="000A44B2"/>
    <w:rsid w:val="000A60EC"/>
    <w:rsid w:val="000B10DE"/>
    <w:rsid w:val="000B20B1"/>
    <w:rsid w:val="000B2BBE"/>
    <w:rsid w:val="000B544A"/>
    <w:rsid w:val="000B6EF1"/>
    <w:rsid w:val="000C6F62"/>
    <w:rsid w:val="000D09A9"/>
    <w:rsid w:val="000D0E3D"/>
    <w:rsid w:val="000D1B53"/>
    <w:rsid w:val="000D31B8"/>
    <w:rsid w:val="000D38B6"/>
    <w:rsid w:val="000D3A78"/>
    <w:rsid w:val="000D3B51"/>
    <w:rsid w:val="000D6416"/>
    <w:rsid w:val="000D7488"/>
    <w:rsid w:val="000E01BE"/>
    <w:rsid w:val="000E74B3"/>
    <w:rsid w:val="000F0209"/>
    <w:rsid w:val="000F3A40"/>
    <w:rsid w:val="001041E3"/>
    <w:rsid w:val="0010532D"/>
    <w:rsid w:val="001055C5"/>
    <w:rsid w:val="00110225"/>
    <w:rsid w:val="00111802"/>
    <w:rsid w:val="001159B7"/>
    <w:rsid w:val="001161BB"/>
    <w:rsid w:val="00122D0D"/>
    <w:rsid w:val="00127874"/>
    <w:rsid w:val="00127DBF"/>
    <w:rsid w:val="00127DFE"/>
    <w:rsid w:val="0013039D"/>
    <w:rsid w:val="00131DA1"/>
    <w:rsid w:val="0013710C"/>
    <w:rsid w:val="00141B29"/>
    <w:rsid w:val="00143063"/>
    <w:rsid w:val="00150482"/>
    <w:rsid w:val="00152748"/>
    <w:rsid w:val="00155D3E"/>
    <w:rsid w:val="00160446"/>
    <w:rsid w:val="00162CF8"/>
    <w:rsid w:val="0017290B"/>
    <w:rsid w:val="001741F1"/>
    <w:rsid w:val="00176749"/>
    <w:rsid w:val="00185955"/>
    <w:rsid w:val="001864D5"/>
    <w:rsid w:val="00191EF6"/>
    <w:rsid w:val="00192AD6"/>
    <w:rsid w:val="00197FAA"/>
    <w:rsid w:val="001A2D8A"/>
    <w:rsid w:val="001A4466"/>
    <w:rsid w:val="001A464F"/>
    <w:rsid w:val="001A5BC6"/>
    <w:rsid w:val="001B7141"/>
    <w:rsid w:val="001B7370"/>
    <w:rsid w:val="001C4BA7"/>
    <w:rsid w:val="001C63B5"/>
    <w:rsid w:val="001D3F5B"/>
    <w:rsid w:val="001D4A02"/>
    <w:rsid w:val="001E21E1"/>
    <w:rsid w:val="001E6B91"/>
    <w:rsid w:val="001E7C29"/>
    <w:rsid w:val="001F627F"/>
    <w:rsid w:val="0020082D"/>
    <w:rsid w:val="0020114C"/>
    <w:rsid w:val="002045AA"/>
    <w:rsid w:val="00205694"/>
    <w:rsid w:val="00211458"/>
    <w:rsid w:val="002144A6"/>
    <w:rsid w:val="00225BF6"/>
    <w:rsid w:val="002260E0"/>
    <w:rsid w:val="00227E4A"/>
    <w:rsid w:val="00234529"/>
    <w:rsid w:val="00241449"/>
    <w:rsid w:val="002430AA"/>
    <w:rsid w:val="00243828"/>
    <w:rsid w:val="0024382C"/>
    <w:rsid w:val="00251D10"/>
    <w:rsid w:val="00252F1D"/>
    <w:rsid w:val="002552FA"/>
    <w:rsid w:val="00256980"/>
    <w:rsid w:val="002662E4"/>
    <w:rsid w:val="0027293F"/>
    <w:rsid w:val="00274547"/>
    <w:rsid w:val="002773D0"/>
    <w:rsid w:val="002855B6"/>
    <w:rsid w:val="00294701"/>
    <w:rsid w:val="00295488"/>
    <w:rsid w:val="00296306"/>
    <w:rsid w:val="002A5B50"/>
    <w:rsid w:val="002A7EC2"/>
    <w:rsid w:val="002B174A"/>
    <w:rsid w:val="002B75F0"/>
    <w:rsid w:val="002C1431"/>
    <w:rsid w:val="002C2668"/>
    <w:rsid w:val="002C3C47"/>
    <w:rsid w:val="002C453B"/>
    <w:rsid w:val="002C48A4"/>
    <w:rsid w:val="002C6ED5"/>
    <w:rsid w:val="002D0721"/>
    <w:rsid w:val="002D47CB"/>
    <w:rsid w:val="002E2EF2"/>
    <w:rsid w:val="002E5336"/>
    <w:rsid w:val="002E5D83"/>
    <w:rsid w:val="002E67C7"/>
    <w:rsid w:val="002E73A7"/>
    <w:rsid w:val="002F4359"/>
    <w:rsid w:val="002F6D3C"/>
    <w:rsid w:val="002F74E4"/>
    <w:rsid w:val="003025C8"/>
    <w:rsid w:val="00303F8A"/>
    <w:rsid w:val="003072E1"/>
    <w:rsid w:val="00307411"/>
    <w:rsid w:val="0031079F"/>
    <w:rsid w:val="0031164A"/>
    <w:rsid w:val="0031473F"/>
    <w:rsid w:val="00315D9F"/>
    <w:rsid w:val="003170BC"/>
    <w:rsid w:val="00317B0D"/>
    <w:rsid w:val="0032716C"/>
    <w:rsid w:val="00336A49"/>
    <w:rsid w:val="00345292"/>
    <w:rsid w:val="00347839"/>
    <w:rsid w:val="00350777"/>
    <w:rsid w:val="003555C6"/>
    <w:rsid w:val="00357418"/>
    <w:rsid w:val="00364465"/>
    <w:rsid w:val="00364D40"/>
    <w:rsid w:val="00373B3D"/>
    <w:rsid w:val="003751A0"/>
    <w:rsid w:val="00380A2F"/>
    <w:rsid w:val="00383FC9"/>
    <w:rsid w:val="00385BA8"/>
    <w:rsid w:val="00386DCB"/>
    <w:rsid w:val="0039012D"/>
    <w:rsid w:val="00390854"/>
    <w:rsid w:val="00392B77"/>
    <w:rsid w:val="003947E8"/>
    <w:rsid w:val="00396521"/>
    <w:rsid w:val="003966AE"/>
    <w:rsid w:val="003978AE"/>
    <w:rsid w:val="003A089D"/>
    <w:rsid w:val="003A0BA1"/>
    <w:rsid w:val="003A16DE"/>
    <w:rsid w:val="003A2ECE"/>
    <w:rsid w:val="003A4414"/>
    <w:rsid w:val="003A572C"/>
    <w:rsid w:val="003A72F2"/>
    <w:rsid w:val="003B0B94"/>
    <w:rsid w:val="003B19AB"/>
    <w:rsid w:val="003B7303"/>
    <w:rsid w:val="003B7DE4"/>
    <w:rsid w:val="003C2FD5"/>
    <w:rsid w:val="003D3582"/>
    <w:rsid w:val="003D3C7A"/>
    <w:rsid w:val="003D40EA"/>
    <w:rsid w:val="003D5150"/>
    <w:rsid w:val="003D6A2B"/>
    <w:rsid w:val="003D773B"/>
    <w:rsid w:val="003E3DF2"/>
    <w:rsid w:val="003E4289"/>
    <w:rsid w:val="003F47EB"/>
    <w:rsid w:val="003F4996"/>
    <w:rsid w:val="003F54CC"/>
    <w:rsid w:val="00402930"/>
    <w:rsid w:val="00405D37"/>
    <w:rsid w:val="00410CA3"/>
    <w:rsid w:val="00420269"/>
    <w:rsid w:val="0042055B"/>
    <w:rsid w:val="0042428E"/>
    <w:rsid w:val="004435A2"/>
    <w:rsid w:val="00447D86"/>
    <w:rsid w:val="00450304"/>
    <w:rsid w:val="00452C36"/>
    <w:rsid w:val="00453227"/>
    <w:rsid w:val="00454954"/>
    <w:rsid w:val="004561BF"/>
    <w:rsid w:val="00456371"/>
    <w:rsid w:val="00456960"/>
    <w:rsid w:val="00457D14"/>
    <w:rsid w:val="00463242"/>
    <w:rsid w:val="00464E10"/>
    <w:rsid w:val="004655F2"/>
    <w:rsid w:val="00467654"/>
    <w:rsid w:val="00470327"/>
    <w:rsid w:val="00470B3D"/>
    <w:rsid w:val="00472E29"/>
    <w:rsid w:val="00474298"/>
    <w:rsid w:val="004755A1"/>
    <w:rsid w:val="00481376"/>
    <w:rsid w:val="00481CB6"/>
    <w:rsid w:val="0048231E"/>
    <w:rsid w:val="00491209"/>
    <w:rsid w:val="00491EB7"/>
    <w:rsid w:val="00494246"/>
    <w:rsid w:val="004A092F"/>
    <w:rsid w:val="004A1215"/>
    <w:rsid w:val="004A1B77"/>
    <w:rsid w:val="004A4D65"/>
    <w:rsid w:val="004B0760"/>
    <w:rsid w:val="004B4AAE"/>
    <w:rsid w:val="004B4C40"/>
    <w:rsid w:val="004B5E67"/>
    <w:rsid w:val="004B7FBF"/>
    <w:rsid w:val="004C44CC"/>
    <w:rsid w:val="004C5940"/>
    <w:rsid w:val="004C7D01"/>
    <w:rsid w:val="004D10B3"/>
    <w:rsid w:val="004D26FC"/>
    <w:rsid w:val="004D5D39"/>
    <w:rsid w:val="004E2B62"/>
    <w:rsid w:val="004E4D64"/>
    <w:rsid w:val="004E7B67"/>
    <w:rsid w:val="004F1DDE"/>
    <w:rsid w:val="004F1E97"/>
    <w:rsid w:val="004F273E"/>
    <w:rsid w:val="005011DE"/>
    <w:rsid w:val="00505589"/>
    <w:rsid w:val="005118A9"/>
    <w:rsid w:val="0051209D"/>
    <w:rsid w:val="0051228A"/>
    <w:rsid w:val="00512A4B"/>
    <w:rsid w:val="00512A6F"/>
    <w:rsid w:val="00520F7B"/>
    <w:rsid w:val="00522A36"/>
    <w:rsid w:val="005237F3"/>
    <w:rsid w:val="00524520"/>
    <w:rsid w:val="00530AB3"/>
    <w:rsid w:val="00530EA8"/>
    <w:rsid w:val="00545CD3"/>
    <w:rsid w:val="00547218"/>
    <w:rsid w:val="0055190E"/>
    <w:rsid w:val="005558A5"/>
    <w:rsid w:val="00562744"/>
    <w:rsid w:val="00562E7D"/>
    <w:rsid w:val="00571D26"/>
    <w:rsid w:val="00575087"/>
    <w:rsid w:val="005829BD"/>
    <w:rsid w:val="00583F88"/>
    <w:rsid w:val="0058435D"/>
    <w:rsid w:val="00585626"/>
    <w:rsid w:val="005877D2"/>
    <w:rsid w:val="00590E6C"/>
    <w:rsid w:val="00594589"/>
    <w:rsid w:val="005968BE"/>
    <w:rsid w:val="005A23C8"/>
    <w:rsid w:val="005B084D"/>
    <w:rsid w:val="005B6E8F"/>
    <w:rsid w:val="005C7942"/>
    <w:rsid w:val="005D3014"/>
    <w:rsid w:val="005D4B4A"/>
    <w:rsid w:val="005D7E68"/>
    <w:rsid w:val="005E44D5"/>
    <w:rsid w:val="005E5CF7"/>
    <w:rsid w:val="005F2A3A"/>
    <w:rsid w:val="005F2E4C"/>
    <w:rsid w:val="005F4671"/>
    <w:rsid w:val="006003F8"/>
    <w:rsid w:val="00600B99"/>
    <w:rsid w:val="00602937"/>
    <w:rsid w:val="006109D9"/>
    <w:rsid w:val="006171EA"/>
    <w:rsid w:val="00617CFE"/>
    <w:rsid w:val="0062061C"/>
    <w:rsid w:val="0062379F"/>
    <w:rsid w:val="00625DED"/>
    <w:rsid w:val="00625E1C"/>
    <w:rsid w:val="0062611B"/>
    <w:rsid w:val="0063001D"/>
    <w:rsid w:val="00630BB5"/>
    <w:rsid w:val="00633796"/>
    <w:rsid w:val="00634671"/>
    <w:rsid w:val="00634672"/>
    <w:rsid w:val="00637B5E"/>
    <w:rsid w:val="00640F56"/>
    <w:rsid w:val="00646B08"/>
    <w:rsid w:val="00650294"/>
    <w:rsid w:val="00650A9F"/>
    <w:rsid w:val="006560D8"/>
    <w:rsid w:val="006566A3"/>
    <w:rsid w:val="00663354"/>
    <w:rsid w:val="00673064"/>
    <w:rsid w:val="00674FFE"/>
    <w:rsid w:val="00681BC0"/>
    <w:rsid w:val="00683EFA"/>
    <w:rsid w:val="0069081B"/>
    <w:rsid w:val="006930BA"/>
    <w:rsid w:val="00697EB4"/>
    <w:rsid w:val="006A4FF0"/>
    <w:rsid w:val="006B0978"/>
    <w:rsid w:val="006B1D81"/>
    <w:rsid w:val="006B3112"/>
    <w:rsid w:val="006B468E"/>
    <w:rsid w:val="006B606A"/>
    <w:rsid w:val="006C20AD"/>
    <w:rsid w:val="006C2128"/>
    <w:rsid w:val="006C673F"/>
    <w:rsid w:val="006D038E"/>
    <w:rsid w:val="006D4610"/>
    <w:rsid w:val="006D5BAA"/>
    <w:rsid w:val="006E1551"/>
    <w:rsid w:val="006E29F5"/>
    <w:rsid w:val="006E5559"/>
    <w:rsid w:val="006E635E"/>
    <w:rsid w:val="006F4DC5"/>
    <w:rsid w:val="00714B7D"/>
    <w:rsid w:val="0071715A"/>
    <w:rsid w:val="00720051"/>
    <w:rsid w:val="007237C6"/>
    <w:rsid w:val="007246B4"/>
    <w:rsid w:val="00725992"/>
    <w:rsid w:val="007263FA"/>
    <w:rsid w:val="0073332E"/>
    <w:rsid w:val="00736C2E"/>
    <w:rsid w:val="007411A2"/>
    <w:rsid w:val="0074229F"/>
    <w:rsid w:val="00743355"/>
    <w:rsid w:val="00743505"/>
    <w:rsid w:val="007441F1"/>
    <w:rsid w:val="007445C6"/>
    <w:rsid w:val="00744A81"/>
    <w:rsid w:val="00746FA8"/>
    <w:rsid w:val="00747A18"/>
    <w:rsid w:val="00751585"/>
    <w:rsid w:val="00751671"/>
    <w:rsid w:val="007528ED"/>
    <w:rsid w:val="00754960"/>
    <w:rsid w:val="00755CB9"/>
    <w:rsid w:val="00757EAA"/>
    <w:rsid w:val="007616A5"/>
    <w:rsid w:val="00764C65"/>
    <w:rsid w:val="007668E7"/>
    <w:rsid w:val="007702E3"/>
    <w:rsid w:val="00772414"/>
    <w:rsid w:val="00776E2A"/>
    <w:rsid w:val="0077737B"/>
    <w:rsid w:val="00780FA3"/>
    <w:rsid w:val="00782D2B"/>
    <w:rsid w:val="0078499C"/>
    <w:rsid w:val="0078585C"/>
    <w:rsid w:val="00786477"/>
    <w:rsid w:val="00787C9C"/>
    <w:rsid w:val="0079072E"/>
    <w:rsid w:val="00790F6A"/>
    <w:rsid w:val="00792967"/>
    <w:rsid w:val="007939BB"/>
    <w:rsid w:val="00796606"/>
    <w:rsid w:val="007A16F0"/>
    <w:rsid w:val="007B0FC9"/>
    <w:rsid w:val="007B2ECC"/>
    <w:rsid w:val="007B7BC5"/>
    <w:rsid w:val="007D34B6"/>
    <w:rsid w:val="007D4D24"/>
    <w:rsid w:val="007D54D6"/>
    <w:rsid w:val="007D62B5"/>
    <w:rsid w:val="007D64F2"/>
    <w:rsid w:val="007E339E"/>
    <w:rsid w:val="007E4672"/>
    <w:rsid w:val="007E4D7C"/>
    <w:rsid w:val="007E693B"/>
    <w:rsid w:val="007F10A6"/>
    <w:rsid w:val="007F5E44"/>
    <w:rsid w:val="007F6CCB"/>
    <w:rsid w:val="007F7867"/>
    <w:rsid w:val="007F7D98"/>
    <w:rsid w:val="00801507"/>
    <w:rsid w:val="00802BEC"/>
    <w:rsid w:val="00803740"/>
    <w:rsid w:val="00813DC0"/>
    <w:rsid w:val="00813EE8"/>
    <w:rsid w:val="008172CA"/>
    <w:rsid w:val="00817A61"/>
    <w:rsid w:val="0082121C"/>
    <w:rsid w:val="00821D07"/>
    <w:rsid w:val="00833DFD"/>
    <w:rsid w:val="00835070"/>
    <w:rsid w:val="00835829"/>
    <w:rsid w:val="00836AD9"/>
    <w:rsid w:val="00843868"/>
    <w:rsid w:val="00843FB3"/>
    <w:rsid w:val="00844F01"/>
    <w:rsid w:val="0085192F"/>
    <w:rsid w:val="00856050"/>
    <w:rsid w:val="008563A2"/>
    <w:rsid w:val="00856622"/>
    <w:rsid w:val="008600B2"/>
    <w:rsid w:val="00862DBD"/>
    <w:rsid w:val="00865C78"/>
    <w:rsid w:val="00866DDD"/>
    <w:rsid w:val="00870868"/>
    <w:rsid w:val="00871496"/>
    <w:rsid w:val="0087323E"/>
    <w:rsid w:val="00873E99"/>
    <w:rsid w:val="00875C12"/>
    <w:rsid w:val="00877720"/>
    <w:rsid w:val="00883354"/>
    <w:rsid w:val="00884121"/>
    <w:rsid w:val="00887414"/>
    <w:rsid w:val="008877D2"/>
    <w:rsid w:val="008879C9"/>
    <w:rsid w:val="00890A43"/>
    <w:rsid w:val="00890B47"/>
    <w:rsid w:val="00890DB6"/>
    <w:rsid w:val="00892431"/>
    <w:rsid w:val="00892CFB"/>
    <w:rsid w:val="008B1218"/>
    <w:rsid w:val="008B3F85"/>
    <w:rsid w:val="008B5A5E"/>
    <w:rsid w:val="008B60EA"/>
    <w:rsid w:val="008B62A5"/>
    <w:rsid w:val="008C3AE6"/>
    <w:rsid w:val="008C433B"/>
    <w:rsid w:val="008C73E1"/>
    <w:rsid w:val="008D2813"/>
    <w:rsid w:val="008D2D2E"/>
    <w:rsid w:val="008D35EF"/>
    <w:rsid w:val="008D3760"/>
    <w:rsid w:val="008D4008"/>
    <w:rsid w:val="008D6667"/>
    <w:rsid w:val="008E0E7F"/>
    <w:rsid w:val="008E2496"/>
    <w:rsid w:val="008E3E93"/>
    <w:rsid w:val="008E6110"/>
    <w:rsid w:val="008E79C8"/>
    <w:rsid w:val="008E7C0F"/>
    <w:rsid w:val="008E7F46"/>
    <w:rsid w:val="008E7F65"/>
    <w:rsid w:val="008F1839"/>
    <w:rsid w:val="008F1D91"/>
    <w:rsid w:val="008F552F"/>
    <w:rsid w:val="008F7707"/>
    <w:rsid w:val="009015E3"/>
    <w:rsid w:val="0090194E"/>
    <w:rsid w:val="00902DA8"/>
    <w:rsid w:val="00910FD4"/>
    <w:rsid w:val="00911E21"/>
    <w:rsid w:val="009238C9"/>
    <w:rsid w:val="00923A63"/>
    <w:rsid w:val="00923E1D"/>
    <w:rsid w:val="009246AF"/>
    <w:rsid w:val="00932181"/>
    <w:rsid w:val="00932D25"/>
    <w:rsid w:val="00935DCD"/>
    <w:rsid w:val="00940C50"/>
    <w:rsid w:val="00944DF3"/>
    <w:rsid w:val="0094539F"/>
    <w:rsid w:val="00947347"/>
    <w:rsid w:val="00950BC0"/>
    <w:rsid w:val="00952A9C"/>
    <w:rsid w:val="00952DD4"/>
    <w:rsid w:val="0095493F"/>
    <w:rsid w:val="00957765"/>
    <w:rsid w:val="00960D85"/>
    <w:rsid w:val="009635E3"/>
    <w:rsid w:val="00964940"/>
    <w:rsid w:val="009678BD"/>
    <w:rsid w:val="00967D12"/>
    <w:rsid w:val="00974ED0"/>
    <w:rsid w:val="009759B0"/>
    <w:rsid w:val="009807AA"/>
    <w:rsid w:val="0098255B"/>
    <w:rsid w:val="0098427F"/>
    <w:rsid w:val="00985626"/>
    <w:rsid w:val="00993A4C"/>
    <w:rsid w:val="0099429A"/>
    <w:rsid w:val="009962AF"/>
    <w:rsid w:val="009A05EB"/>
    <w:rsid w:val="009A2AD1"/>
    <w:rsid w:val="009A6AC2"/>
    <w:rsid w:val="009A6EC6"/>
    <w:rsid w:val="009B747F"/>
    <w:rsid w:val="009B7942"/>
    <w:rsid w:val="009C0577"/>
    <w:rsid w:val="009C313E"/>
    <w:rsid w:val="009D098C"/>
    <w:rsid w:val="009D4345"/>
    <w:rsid w:val="009D6A58"/>
    <w:rsid w:val="009D7803"/>
    <w:rsid w:val="009E0A97"/>
    <w:rsid w:val="009E30B9"/>
    <w:rsid w:val="009F3B01"/>
    <w:rsid w:val="009F459D"/>
    <w:rsid w:val="009F47E9"/>
    <w:rsid w:val="009F4BE4"/>
    <w:rsid w:val="009F4BFE"/>
    <w:rsid w:val="009F5070"/>
    <w:rsid w:val="009F7057"/>
    <w:rsid w:val="00A02FA0"/>
    <w:rsid w:val="00A03EA3"/>
    <w:rsid w:val="00A0574D"/>
    <w:rsid w:val="00A06C51"/>
    <w:rsid w:val="00A103FB"/>
    <w:rsid w:val="00A10FA0"/>
    <w:rsid w:val="00A11529"/>
    <w:rsid w:val="00A11BBD"/>
    <w:rsid w:val="00A13A56"/>
    <w:rsid w:val="00A154D8"/>
    <w:rsid w:val="00A167F2"/>
    <w:rsid w:val="00A1766F"/>
    <w:rsid w:val="00A17EF5"/>
    <w:rsid w:val="00A201A0"/>
    <w:rsid w:val="00A20D8C"/>
    <w:rsid w:val="00A2215C"/>
    <w:rsid w:val="00A22CF8"/>
    <w:rsid w:val="00A24E03"/>
    <w:rsid w:val="00A31065"/>
    <w:rsid w:val="00A36C22"/>
    <w:rsid w:val="00A40ABC"/>
    <w:rsid w:val="00A41893"/>
    <w:rsid w:val="00A42252"/>
    <w:rsid w:val="00A4530E"/>
    <w:rsid w:val="00A54394"/>
    <w:rsid w:val="00A56BC3"/>
    <w:rsid w:val="00A57F4E"/>
    <w:rsid w:val="00A60365"/>
    <w:rsid w:val="00A657CE"/>
    <w:rsid w:val="00A721DB"/>
    <w:rsid w:val="00A74211"/>
    <w:rsid w:val="00A74DD9"/>
    <w:rsid w:val="00A76EB5"/>
    <w:rsid w:val="00A80A3B"/>
    <w:rsid w:val="00A8251C"/>
    <w:rsid w:val="00A85DD1"/>
    <w:rsid w:val="00A867F6"/>
    <w:rsid w:val="00A90790"/>
    <w:rsid w:val="00A909CB"/>
    <w:rsid w:val="00AA11DA"/>
    <w:rsid w:val="00AA6A08"/>
    <w:rsid w:val="00AA7EA3"/>
    <w:rsid w:val="00AB0F0C"/>
    <w:rsid w:val="00AB407F"/>
    <w:rsid w:val="00AB50DF"/>
    <w:rsid w:val="00AB61C7"/>
    <w:rsid w:val="00AB70A7"/>
    <w:rsid w:val="00AC4169"/>
    <w:rsid w:val="00AC65F4"/>
    <w:rsid w:val="00AD0672"/>
    <w:rsid w:val="00AD0843"/>
    <w:rsid w:val="00AD13DE"/>
    <w:rsid w:val="00AD2515"/>
    <w:rsid w:val="00AD36A7"/>
    <w:rsid w:val="00AE10C5"/>
    <w:rsid w:val="00AE32C1"/>
    <w:rsid w:val="00AE5647"/>
    <w:rsid w:val="00AE7460"/>
    <w:rsid w:val="00AF6374"/>
    <w:rsid w:val="00AF7F87"/>
    <w:rsid w:val="00B02A94"/>
    <w:rsid w:val="00B107D7"/>
    <w:rsid w:val="00B11B4A"/>
    <w:rsid w:val="00B15F22"/>
    <w:rsid w:val="00B20702"/>
    <w:rsid w:val="00B24F78"/>
    <w:rsid w:val="00B30019"/>
    <w:rsid w:val="00B319E1"/>
    <w:rsid w:val="00B4168D"/>
    <w:rsid w:val="00B47C22"/>
    <w:rsid w:val="00B53690"/>
    <w:rsid w:val="00B542BF"/>
    <w:rsid w:val="00B5587E"/>
    <w:rsid w:val="00B60D8C"/>
    <w:rsid w:val="00B6238E"/>
    <w:rsid w:val="00B62971"/>
    <w:rsid w:val="00B63186"/>
    <w:rsid w:val="00B63A61"/>
    <w:rsid w:val="00B63C41"/>
    <w:rsid w:val="00B63CDB"/>
    <w:rsid w:val="00B65F4F"/>
    <w:rsid w:val="00B660F9"/>
    <w:rsid w:val="00B666C1"/>
    <w:rsid w:val="00B70515"/>
    <w:rsid w:val="00B74242"/>
    <w:rsid w:val="00B756A4"/>
    <w:rsid w:val="00B75A10"/>
    <w:rsid w:val="00B83ED6"/>
    <w:rsid w:val="00B841F6"/>
    <w:rsid w:val="00B90270"/>
    <w:rsid w:val="00B92AE5"/>
    <w:rsid w:val="00B932AE"/>
    <w:rsid w:val="00B97C86"/>
    <w:rsid w:val="00BA40DC"/>
    <w:rsid w:val="00BB4E35"/>
    <w:rsid w:val="00BB60D5"/>
    <w:rsid w:val="00BD13E1"/>
    <w:rsid w:val="00BD20E8"/>
    <w:rsid w:val="00BD3C80"/>
    <w:rsid w:val="00BD5EFA"/>
    <w:rsid w:val="00BD7A1E"/>
    <w:rsid w:val="00BE08AB"/>
    <w:rsid w:val="00BE38DC"/>
    <w:rsid w:val="00BE5A6C"/>
    <w:rsid w:val="00BE695D"/>
    <w:rsid w:val="00BE7521"/>
    <w:rsid w:val="00BF0052"/>
    <w:rsid w:val="00C01DFC"/>
    <w:rsid w:val="00C024FC"/>
    <w:rsid w:val="00C05826"/>
    <w:rsid w:val="00C0635B"/>
    <w:rsid w:val="00C115D5"/>
    <w:rsid w:val="00C1375C"/>
    <w:rsid w:val="00C21237"/>
    <w:rsid w:val="00C2773B"/>
    <w:rsid w:val="00C3354D"/>
    <w:rsid w:val="00C33853"/>
    <w:rsid w:val="00C3578A"/>
    <w:rsid w:val="00C402CA"/>
    <w:rsid w:val="00C4094F"/>
    <w:rsid w:val="00C40B17"/>
    <w:rsid w:val="00C4133A"/>
    <w:rsid w:val="00C41975"/>
    <w:rsid w:val="00C4283F"/>
    <w:rsid w:val="00C53DDD"/>
    <w:rsid w:val="00C53E67"/>
    <w:rsid w:val="00C65CBC"/>
    <w:rsid w:val="00C67A6C"/>
    <w:rsid w:val="00C67FA0"/>
    <w:rsid w:val="00C73830"/>
    <w:rsid w:val="00C73B8E"/>
    <w:rsid w:val="00C82890"/>
    <w:rsid w:val="00C829E5"/>
    <w:rsid w:val="00C95CA2"/>
    <w:rsid w:val="00C97956"/>
    <w:rsid w:val="00CA25FC"/>
    <w:rsid w:val="00CB0352"/>
    <w:rsid w:val="00CB4310"/>
    <w:rsid w:val="00CB4B05"/>
    <w:rsid w:val="00CB7569"/>
    <w:rsid w:val="00CC7B43"/>
    <w:rsid w:val="00CC7F8D"/>
    <w:rsid w:val="00CD052F"/>
    <w:rsid w:val="00CE036C"/>
    <w:rsid w:val="00CE0407"/>
    <w:rsid w:val="00CE0A7F"/>
    <w:rsid w:val="00CE0C94"/>
    <w:rsid w:val="00CE2B2B"/>
    <w:rsid w:val="00CF2E05"/>
    <w:rsid w:val="00CF352D"/>
    <w:rsid w:val="00CF3BF5"/>
    <w:rsid w:val="00CF66DD"/>
    <w:rsid w:val="00CF69AF"/>
    <w:rsid w:val="00CF6AF5"/>
    <w:rsid w:val="00D01C34"/>
    <w:rsid w:val="00D03021"/>
    <w:rsid w:val="00D033AE"/>
    <w:rsid w:val="00D03482"/>
    <w:rsid w:val="00D1133C"/>
    <w:rsid w:val="00D168B5"/>
    <w:rsid w:val="00D22B6B"/>
    <w:rsid w:val="00D302B6"/>
    <w:rsid w:val="00D40492"/>
    <w:rsid w:val="00D4093F"/>
    <w:rsid w:val="00D4140B"/>
    <w:rsid w:val="00D4254D"/>
    <w:rsid w:val="00D432E8"/>
    <w:rsid w:val="00D4332F"/>
    <w:rsid w:val="00D4626B"/>
    <w:rsid w:val="00D46A55"/>
    <w:rsid w:val="00D46BA2"/>
    <w:rsid w:val="00D508F5"/>
    <w:rsid w:val="00D61720"/>
    <w:rsid w:val="00D61B52"/>
    <w:rsid w:val="00D6309C"/>
    <w:rsid w:val="00D65A3C"/>
    <w:rsid w:val="00D66183"/>
    <w:rsid w:val="00D7175D"/>
    <w:rsid w:val="00D73B48"/>
    <w:rsid w:val="00D853F3"/>
    <w:rsid w:val="00D859E1"/>
    <w:rsid w:val="00D87739"/>
    <w:rsid w:val="00D87AF6"/>
    <w:rsid w:val="00D919BD"/>
    <w:rsid w:val="00D94576"/>
    <w:rsid w:val="00DA007F"/>
    <w:rsid w:val="00DA1D1C"/>
    <w:rsid w:val="00DA2AFC"/>
    <w:rsid w:val="00DA452B"/>
    <w:rsid w:val="00DA691E"/>
    <w:rsid w:val="00DB05EA"/>
    <w:rsid w:val="00DB1764"/>
    <w:rsid w:val="00DB2047"/>
    <w:rsid w:val="00DB42B5"/>
    <w:rsid w:val="00DB6521"/>
    <w:rsid w:val="00DD26A3"/>
    <w:rsid w:val="00DD3C53"/>
    <w:rsid w:val="00DE280E"/>
    <w:rsid w:val="00DF2724"/>
    <w:rsid w:val="00DF3812"/>
    <w:rsid w:val="00E00FC6"/>
    <w:rsid w:val="00E13D7C"/>
    <w:rsid w:val="00E14EC3"/>
    <w:rsid w:val="00E23A73"/>
    <w:rsid w:val="00E261E6"/>
    <w:rsid w:val="00E2705D"/>
    <w:rsid w:val="00E3422F"/>
    <w:rsid w:val="00E36E1C"/>
    <w:rsid w:val="00E40C27"/>
    <w:rsid w:val="00E42125"/>
    <w:rsid w:val="00E43408"/>
    <w:rsid w:val="00E43745"/>
    <w:rsid w:val="00E44CE8"/>
    <w:rsid w:val="00E456DD"/>
    <w:rsid w:val="00E46A24"/>
    <w:rsid w:val="00E51E3F"/>
    <w:rsid w:val="00E533D5"/>
    <w:rsid w:val="00E6711C"/>
    <w:rsid w:val="00E731EA"/>
    <w:rsid w:val="00E777FE"/>
    <w:rsid w:val="00E9296E"/>
    <w:rsid w:val="00EA4785"/>
    <w:rsid w:val="00EA6528"/>
    <w:rsid w:val="00EB02D4"/>
    <w:rsid w:val="00EC21D6"/>
    <w:rsid w:val="00EC338F"/>
    <w:rsid w:val="00EC3F63"/>
    <w:rsid w:val="00EC4006"/>
    <w:rsid w:val="00EC421F"/>
    <w:rsid w:val="00ED3645"/>
    <w:rsid w:val="00ED5D51"/>
    <w:rsid w:val="00ED63E6"/>
    <w:rsid w:val="00EE4430"/>
    <w:rsid w:val="00EE6216"/>
    <w:rsid w:val="00EE6AAC"/>
    <w:rsid w:val="00EF2BF0"/>
    <w:rsid w:val="00EF434C"/>
    <w:rsid w:val="00F0042F"/>
    <w:rsid w:val="00F015AC"/>
    <w:rsid w:val="00F035D3"/>
    <w:rsid w:val="00F0666C"/>
    <w:rsid w:val="00F076F8"/>
    <w:rsid w:val="00F1114B"/>
    <w:rsid w:val="00F1118A"/>
    <w:rsid w:val="00F144F6"/>
    <w:rsid w:val="00F26632"/>
    <w:rsid w:val="00F268E6"/>
    <w:rsid w:val="00F315E7"/>
    <w:rsid w:val="00F3342B"/>
    <w:rsid w:val="00F3388E"/>
    <w:rsid w:val="00F41893"/>
    <w:rsid w:val="00F51489"/>
    <w:rsid w:val="00F52AC1"/>
    <w:rsid w:val="00F53C92"/>
    <w:rsid w:val="00F54846"/>
    <w:rsid w:val="00F56209"/>
    <w:rsid w:val="00F57D20"/>
    <w:rsid w:val="00F6086C"/>
    <w:rsid w:val="00F60A1D"/>
    <w:rsid w:val="00F631D5"/>
    <w:rsid w:val="00F6418B"/>
    <w:rsid w:val="00F81F31"/>
    <w:rsid w:val="00F824F8"/>
    <w:rsid w:val="00F854FB"/>
    <w:rsid w:val="00F85923"/>
    <w:rsid w:val="00F87E11"/>
    <w:rsid w:val="00F9034D"/>
    <w:rsid w:val="00F95F28"/>
    <w:rsid w:val="00FA0636"/>
    <w:rsid w:val="00FA1EDE"/>
    <w:rsid w:val="00FA29CA"/>
    <w:rsid w:val="00FA30BF"/>
    <w:rsid w:val="00FA3791"/>
    <w:rsid w:val="00FA37A3"/>
    <w:rsid w:val="00FB4FC8"/>
    <w:rsid w:val="00FB64B1"/>
    <w:rsid w:val="00FD008D"/>
    <w:rsid w:val="00FD0188"/>
    <w:rsid w:val="00FD61C9"/>
    <w:rsid w:val="00FE0CF8"/>
    <w:rsid w:val="00FE10EC"/>
    <w:rsid w:val="00FE7637"/>
    <w:rsid w:val="00FF25E1"/>
    <w:rsid w:val="00FF31D0"/>
    <w:rsid w:val="00FF52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F81"/>
    <w:pPr>
      <w:spacing w:after="200"/>
    </w:pPr>
    <w:rPr>
      <w:sz w:val="24"/>
      <w:szCs w:val="24"/>
    </w:rPr>
  </w:style>
  <w:style w:type="paragraph" w:styleId="Heading1">
    <w:name w:val="heading 1"/>
    <w:basedOn w:val="Normal"/>
    <w:link w:val="Heading1Char"/>
    <w:uiPriority w:val="9"/>
    <w:qFormat/>
    <w:rsid w:val="002773D0"/>
    <w:pPr>
      <w:spacing w:before="100" w:beforeAutospacing="1" w:after="100" w:afterAutospacing="1"/>
      <w:outlineLvl w:val="0"/>
    </w:pPr>
    <w:rPr>
      <w:rFonts w:ascii="Times" w:hAnsi="Times"/>
      <w:b/>
      <w:kern w:val="36"/>
      <w:sz w:val="48"/>
      <w:szCs w:val="20"/>
      <w:lang w:val="cs-CZ"/>
    </w:rPr>
  </w:style>
  <w:style w:type="paragraph" w:styleId="Heading2">
    <w:name w:val="heading 2"/>
    <w:basedOn w:val="Normal"/>
    <w:next w:val="Normal"/>
    <w:link w:val="Heading2Char"/>
    <w:uiPriority w:val="9"/>
    <w:qFormat/>
    <w:rsid w:val="0062061C"/>
    <w:pPr>
      <w:keepNext/>
      <w:keepLines/>
      <w:spacing w:before="200" w:after="0"/>
      <w:outlineLvl w:val="1"/>
    </w:pPr>
    <w:rPr>
      <w:rFonts w:ascii="Calibri" w:eastAsia="MS Gothi" w:hAnsi="Calibri"/>
      <w:b/>
      <w:color w:val="4F81BD"/>
      <w:sz w:val="26"/>
      <w:szCs w:val="20"/>
    </w:rPr>
  </w:style>
  <w:style w:type="paragraph" w:styleId="Heading3">
    <w:name w:val="heading 3"/>
    <w:basedOn w:val="Normal"/>
    <w:next w:val="Normal"/>
    <w:link w:val="Heading3Char"/>
    <w:uiPriority w:val="9"/>
    <w:unhideWhenUsed/>
    <w:qFormat/>
    <w:rsid w:val="00D4254D"/>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773D0"/>
    <w:rPr>
      <w:rFonts w:ascii="Times" w:hAnsi="Times"/>
      <w:b/>
      <w:kern w:val="36"/>
      <w:sz w:val="48"/>
      <w:lang w:val="cs-CZ"/>
    </w:rPr>
  </w:style>
  <w:style w:type="character" w:customStyle="1" w:styleId="Heading2Char">
    <w:name w:val="Heading 2 Char"/>
    <w:link w:val="Heading2"/>
    <w:uiPriority w:val="9"/>
    <w:locked/>
    <w:rsid w:val="0062061C"/>
    <w:rPr>
      <w:rFonts w:ascii="Calibri" w:eastAsia="MS Gothi" w:hAnsi="Calibri"/>
      <w:b/>
      <w:color w:val="4F81BD"/>
      <w:sz w:val="26"/>
    </w:rPr>
  </w:style>
  <w:style w:type="paragraph" w:styleId="BalloonText">
    <w:name w:val="Balloon Text"/>
    <w:basedOn w:val="Normal"/>
    <w:link w:val="BalloonTextChar"/>
    <w:uiPriority w:val="99"/>
    <w:semiHidden/>
    <w:unhideWhenUsed/>
    <w:rsid w:val="00862DBD"/>
    <w:pPr>
      <w:spacing w:after="0"/>
    </w:pPr>
    <w:rPr>
      <w:rFonts w:ascii="Lucida Grande" w:hAnsi="Lucida Grande"/>
      <w:sz w:val="18"/>
      <w:szCs w:val="20"/>
    </w:rPr>
  </w:style>
  <w:style w:type="character" w:customStyle="1" w:styleId="BalloonTextChar">
    <w:name w:val="Balloon Text Char"/>
    <w:link w:val="BalloonText"/>
    <w:uiPriority w:val="99"/>
    <w:semiHidden/>
    <w:locked/>
    <w:rsid w:val="00862DBD"/>
    <w:rPr>
      <w:rFonts w:ascii="Lucida Grande" w:hAnsi="Lucida Grande"/>
      <w:sz w:val="18"/>
    </w:rPr>
  </w:style>
  <w:style w:type="paragraph" w:styleId="EndnoteText">
    <w:name w:val="endnote text"/>
    <w:basedOn w:val="Normal"/>
    <w:link w:val="EndnoteTextChar"/>
    <w:uiPriority w:val="99"/>
    <w:unhideWhenUsed/>
    <w:rsid w:val="00F3388E"/>
    <w:pPr>
      <w:spacing w:after="0"/>
    </w:pPr>
    <w:rPr>
      <w:sz w:val="20"/>
      <w:szCs w:val="20"/>
    </w:rPr>
  </w:style>
  <w:style w:type="character" w:customStyle="1" w:styleId="EndnoteTextChar">
    <w:name w:val="Endnote Text Char"/>
    <w:link w:val="EndnoteText"/>
    <w:uiPriority w:val="99"/>
    <w:locked/>
    <w:rsid w:val="00F3388E"/>
    <w:rPr>
      <w:rFonts w:cs="Times New Roman"/>
    </w:rPr>
  </w:style>
  <w:style w:type="character" w:styleId="EndnoteReference">
    <w:name w:val="endnote reference"/>
    <w:uiPriority w:val="99"/>
    <w:unhideWhenUsed/>
    <w:rsid w:val="00F3388E"/>
    <w:rPr>
      <w:vertAlign w:val="superscript"/>
    </w:rPr>
  </w:style>
  <w:style w:type="paragraph" w:styleId="ListParagraph">
    <w:name w:val="List Paragraph"/>
    <w:basedOn w:val="Normal"/>
    <w:uiPriority w:val="34"/>
    <w:qFormat/>
    <w:rsid w:val="005011DE"/>
    <w:pPr>
      <w:ind w:left="720"/>
      <w:contextualSpacing/>
    </w:pPr>
  </w:style>
  <w:style w:type="character" w:styleId="Hyperlink">
    <w:name w:val="Hyperlink"/>
    <w:uiPriority w:val="99"/>
    <w:unhideWhenUsed/>
    <w:rsid w:val="002773D0"/>
    <w:rPr>
      <w:color w:val="0000FF"/>
      <w:u w:val="single"/>
    </w:rPr>
  </w:style>
  <w:style w:type="paragraph" w:styleId="NormalWeb">
    <w:name w:val="Normal (Web)"/>
    <w:basedOn w:val="Normal"/>
    <w:uiPriority w:val="99"/>
    <w:semiHidden/>
    <w:unhideWhenUsed/>
    <w:rsid w:val="002773D0"/>
    <w:pPr>
      <w:spacing w:before="100" w:beforeAutospacing="1" w:after="100" w:afterAutospacing="1"/>
    </w:pPr>
    <w:rPr>
      <w:rFonts w:ascii="Times" w:hAnsi="Times"/>
      <w:sz w:val="20"/>
      <w:szCs w:val="20"/>
      <w:lang w:val="cs-CZ"/>
    </w:rPr>
  </w:style>
  <w:style w:type="paragraph" w:styleId="Header">
    <w:name w:val="header"/>
    <w:basedOn w:val="Normal"/>
    <w:link w:val="HeaderChar"/>
    <w:uiPriority w:val="99"/>
    <w:rsid w:val="00530EA8"/>
    <w:pPr>
      <w:tabs>
        <w:tab w:val="center" w:pos="4819"/>
        <w:tab w:val="right" w:pos="9638"/>
      </w:tabs>
    </w:pPr>
  </w:style>
  <w:style w:type="character" w:customStyle="1" w:styleId="HeaderChar">
    <w:name w:val="Header Char"/>
    <w:link w:val="Header"/>
    <w:uiPriority w:val="99"/>
    <w:rsid w:val="001D0B8F"/>
    <w:rPr>
      <w:sz w:val="24"/>
      <w:szCs w:val="24"/>
      <w:lang w:val="en-US" w:eastAsia="en-US"/>
    </w:rPr>
  </w:style>
  <w:style w:type="character" w:styleId="PageNumber">
    <w:name w:val="page number"/>
    <w:uiPriority w:val="99"/>
    <w:rsid w:val="00530EA8"/>
    <w:rPr>
      <w:rFonts w:cs="Times New Roman"/>
    </w:rPr>
  </w:style>
  <w:style w:type="paragraph" w:styleId="TOC1">
    <w:name w:val="toc 1"/>
    <w:basedOn w:val="Normal"/>
    <w:next w:val="Normal"/>
    <w:autoRedefine/>
    <w:uiPriority w:val="39"/>
    <w:rsid w:val="00530EA8"/>
  </w:style>
  <w:style w:type="paragraph" w:styleId="TOC2">
    <w:name w:val="toc 2"/>
    <w:basedOn w:val="Normal"/>
    <w:next w:val="Normal"/>
    <w:autoRedefine/>
    <w:uiPriority w:val="39"/>
    <w:rsid w:val="00530EA8"/>
    <w:pPr>
      <w:ind w:left="240"/>
    </w:pPr>
  </w:style>
  <w:style w:type="paragraph" w:styleId="Footer">
    <w:name w:val="footer"/>
    <w:basedOn w:val="Normal"/>
    <w:link w:val="FooterChar"/>
    <w:uiPriority w:val="99"/>
    <w:unhideWhenUsed/>
    <w:rsid w:val="00B932AE"/>
    <w:pPr>
      <w:tabs>
        <w:tab w:val="center" w:pos="4153"/>
        <w:tab w:val="right" w:pos="8306"/>
      </w:tabs>
    </w:pPr>
    <w:rPr>
      <w:szCs w:val="20"/>
    </w:rPr>
  </w:style>
  <w:style w:type="character" w:customStyle="1" w:styleId="FooterChar">
    <w:name w:val="Footer Char"/>
    <w:link w:val="Footer"/>
    <w:uiPriority w:val="99"/>
    <w:locked/>
    <w:rsid w:val="00B932AE"/>
    <w:rPr>
      <w:sz w:val="24"/>
      <w:lang w:val="en-US"/>
    </w:rPr>
  </w:style>
  <w:style w:type="character" w:styleId="Strong">
    <w:name w:val="Strong"/>
    <w:uiPriority w:val="22"/>
    <w:qFormat/>
    <w:rsid w:val="006566A3"/>
    <w:rPr>
      <w:b/>
    </w:rPr>
  </w:style>
  <w:style w:type="table" w:customStyle="1" w:styleId="LightList1">
    <w:name w:val="Light List1"/>
    <w:basedOn w:val="TableNormal"/>
    <w:uiPriority w:val="61"/>
    <w:rsid w:val="006566A3"/>
    <w:rPr>
      <w:rFonts w:eastAsia="MS Minngs"/>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PlaceholderText">
    <w:name w:val="Placeholder Text"/>
    <w:uiPriority w:val="99"/>
    <w:semiHidden/>
    <w:rsid w:val="000D31B8"/>
    <w:rPr>
      <w:rFonts w:cs="Times New Roman"/>
      <w:color w:val="808080"/>
    </w:rPr>
  </w:style>
  <w:style w:type="table" w:styleId="TableGrid">
    <w:name w:val="Table Grid"/>
    <w:basedOn w:val="TableNormal"/>
    <w:rsid w:val="00D03482"/>
    <w:pPr>
      <w:spacing w:after="2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4254D"/>
    <w:rPr>
      <w:rFonts w:ascii="Cambria" w:eastAsia="Times New Roman" w:hAnsi="Cambria" w:cs="Times New Roman"/>
      <w:b/>
      <w:bCs/>
      <w:sz w:val="26"/>
      <w:szCs w:val="26"/>
    </w:rPr>
  </w:style>
  <w:style w:type="paragraph" w:styleId="TOC3">
    <w:name w:val="toc 3"/>
    <w:basedOn w:val="Normal"/>
    <w:next w:val="Normal"/>
    <w:autoRedefine/>
    <w:uiPriority w:val="39"/>
    <w:unhideWhenUsed/>
    <w:rsid w:val="00A657CE"/>
    <w:pPr>
      <w:tabs>
        <w:tab w:val="right" w:leader="dot" w:pos="9905"/>
      </w:tabs>
      <w:ind w:left="480"/>
    </w:pPr>
    <w:rPr>
      <w:i/>
      <w:noProof/>
      <w:lang w:val="lt-LT"/>
    </w:rPr>
  </w:style>
  <w:style w:type="character" w:styleId="CommentReference">
    <w:name w:val="annotation reference"/>
    <w:basedOn w:val="DefaultParagraphFont"/>
    <w:uiPriority w:val="99"/>
    <w:semiHidden/>
    <w:unhideWhenUsed/>
    <w:rsid w:val="00020F58"/>
    <w:rPr>
      <w:sz w:val="16"/>
      <w:szCs w:val="16"/>
    </w:rPr>
  </w:style>
  <w:style w:type="paragraph" w:styleId="CommentText">
    <w:name w:val="annotation text"/>
    <w:basedOn w:val="Normal"/>
    <w:link w:val="CommentTextChar"/>
    <w:uiPriority w:val="99"/>
    <w:semiHidden/>
    <w:unhideWhenUsed/>
    <w:rsid w:val="00020F58"/>
    <w:rPr>
      <w:sz w:val="20"/>
      <w:szCs w:val="20"/>
    </w:rPr>
  </w:style>
  <w:style w:type="character" w:customStyle="1" w:styleId="CommentTextChar">
    <w:name w:val="Comment Text Char"/>
    <w:basedOn w:val="DefaultParagraphFont"/>
    <w:link w:val="CommentText"/>
    <w:uiPriority w:val="99"/>
    <w:semiHidden/>
    <w:rsid w:val="00020F58"/>
  </w:style>
  <w:style w:type="paragraph" w:styleId="CommentSubject">
    <w:name w:val="annotation subject"/>
    <w:basedOn w:val="CommentText"/>
    <w:next w:val="CommentText"/>
    <w:link w:val="CommentSubjectChar"/>
    <w:uiPriority w:val="99"/>
    <w:semiHidden/>
    <w:unhideWhenUsed/>
    <w:rsid w:val="00020F58"/>
    <w:rPr>
      <w:b/>
      <w:bCs/>
    </w:rPr>
  </w:style>
  <w:style w:type="character" w:customStyle="1" w:styleId="CommentSubjectChar">
    <w:name w:val="Comment Subject Char"/>
    <w:basedOn w:val="CommentTextChar"/>
    <w:link w:val="CommentSubject"/>
    <w:uiPriority w:val="99"/>
    <w:semiHidden/>
    <w:rsid w:val="00020F58"/>
    <w:rPr>
      <w:b/>
      <w:bCs/>
    </w:rPr>
  </w:style>
  <w:style w:type="paragraph" w:styleId="TableofAuthorities">
    <w:name w:val="table of authorities"/>
    <w:basedOn w:val="Normal"/>
    <w:next w:val="Normal"/>
    <w:uiPriority w:val="99"/>
    <w:unhideWhenUsed/>
    <w:rsid w:val="008E7F46"/>
    <w:pPr>
      <w:spacing w:after="0"/>
      <w:ind w:left="240" w:hanging="240"/>
    </w:pPr>
    <w:rPr>
      <w:rFonts w:ascii="Calibri" w:hAnsi="Calibri" w:cs="Calibri"/>
      <w:sz w:val="20"/>
      <w:szCs w:val="20"/>
    </w:rPr>
  </w:style>
  <w:style w:type="paragraph" w:styleId="TOAHeading">
    <w:name w:val="toa heading"/>
    <w:basedOn w:val="Normal"/>
    <w:next w:val="Normal"/>
    <w:uiPriority w:val="99"/>
    <w:unhideWhenUsed/>
    <w:rsid w:val="008E7F46"/>
    <w:pPr>
      <w:spacing w:before="240" w:after="120"/>
    </w:pPr>
    <w:rPr>
      <w:rFonts w:ascii="Calibri" w:hAnsi="Calibri" w:cs="Calibri"/>
      <w:b/>
      <w:bCs/>
      <w:caps/>
      <w:sz w:val="20"/>
      <w:szCs w:val="20"/>
    </w:rPr>
  </w:style>
  <w:style w:type="paragraph" w:styleId="Caption">
    <w:name w:val="caption"/>
    <w:basedOn w:val="Normal"/>
    <w:next w:val="Normal"/>
    <w:uiPriority w:val="35"/>
    <w:unhideWhenUsed/>
    <w:qFormat/>
    <w:rsid w:val="007D4D24"/>
    <w:rPr>
      <w:b/>
      <w:bCs/>
      <w:sz w:val="20"/>
      <w:szCs w:val="20"/>
    </w:rPr>
  </w:style>
  <w:style w:type="paragraph" w:styleId="TableofFigures">
    <w:name w:val="table of figures"/>
    <w:basedOn w:val="Normal"/>
    <w:next w:val="Normal"/>
    <w:uiPriority w:val="99"/>
    <w:unhideWhenUsed/>
    <w:rsid w:val="00A22CF8"/>
    <w:pPr>
      <w:spacing w:after="0" w:line="360" w:lineRule="auto"/>
      <w:ind w:left="480" w:hanging="480"/>
    </w:pPr>
    <w:rPr>
      <w:rFonts w:ascii="Times New Roman" w:hAnsi="Times New Roman" w:cs="Calibri"/>
      <w:smallCaps/>
      <w:szCs w:val="20"/>
    </w:rPr>
  </w:style>
</w:styles>
</file>

<file path=word/webSettings.xml><?xml version="1.0" encoding="utf-8"?>
<w:webSettings xmlns:r="http://schemas.openxmlformats.org/officeDocument/2006/relationships" xmlns:w="http://schemas.openxmlformats.org/wordprocessingml/2006/main">
  <w:divs>
    <w:div w:id="146213655">
      <w:bodyDiv w:val="1"/>
      <w:marLeft w:val="0"/>
      <w:marRight w:val="0"/>
      <w:marTop w:val="0"/>
      <w:marBottom w:val="0"/>
      <w:divBdr>
        <w:top w:val="none" w:sz="0" w:space="0" w:color="auto"/>
        <w:left w:val="none" w:sz="0" w:space="0" w:color="auto"/>
        <w:bottom w:val="none" w:sz="0" w:space="0" w:color="auto"/>
        <w:right w:val="none" w:sz="0" w:space="0" w:color="auto"/>
      </w:divBdr>
    </w:div>
    <w:div w:id="148136879">
      <w:bodyDiv w:val="1"/>
      <w:marLeft w:val="0"/>
      <w:marRight w:val="0"/>
      <w:marTop w:val="0"/>
      <w:marBottom w:val="0"/>
      <w:divBdr>
        <w:top w:val="none" w:sz="0" w:space="0" w:color="auto"/>
        <w:left w:val="none" w:sz="0" w:space="0" w:color="auto"/>
        <w:bottom w:val="none" w:sz="0" w:space="0" w:color="auto"/>
        <w:right w:val="none" w:sz="0" w:space="0" w:color="auto"/>
      </w:divBdr>
    </w:div>
    <w:div w:id="363481059">
      <w:bodyDiv w:val="1"/>
      <w:marLeft w:val="0"/>
      <w:marRight w:val="0"/>
      <w:marTop w:val="0"/>
      <w:marBottom w:val="0"/>
      <w:divBdr>
        <w:top w:val="none" w:sz="0" w:space="0" w:color="auto"/>
        <w:left w:val="none" w:sz="0" w:space="0" w:color="auto"/>
        <w:bottom w:val="none" w:sz="0" w:space="0" w:color="auto"/>
        <w:right w:val="none" w:sz="0" w:space="0" w:color="auto"/>
      </w:divBdr>
    </w:div>
    <w:div w:id="437140854">
      <w:bodyDiv w:val="1"/>
      <w:marLeft w:val="0"/>
      <w:marRight w:val="0"/>
      <w:marTop w:val="0"/>
      <w:marBottom w:val="0"/>
      <w:divBdr>
        <w:top w:val="none" w:sz="0" w:space="0" w:color="auto"/>
        <w:left w:val="none" w:sz="0" w:space="0" w:color="auto"/>
        <w:bottom w:val="none" w:sz="0" w:space="0" w:color="auto"/>
        <w:right w:val="none" w:sz="0" w:space="0" w:color="auto"/>
      </w:divBdr>
    </w:div>
    <w:div w:id="491454609">
      <w:marLeft w:val="0"/>
      <w:marRight w:val="0"/>
      <w:marTop w:val="0"/>
      <w:marBottom w:val="0"/>
      <w:divBdr>
        <w:top w:val="none" w:sz="0" w:space="0" w:color="auto"/>
        <w:left w:val="none" w:sz="0" w:space="0" w:color="auto"/>
        <w:bottom w:val="none" w:sz="0" w:space="0" w:color="auto"/>
        <w:right w:val="none" w:sz="0" w:space="0" w:color="auto"/>
      </w:divBdr>
    </w:div>
    <w:div w:id="491454610">
      <w:marLeft w:val="0"/>
      <w:marRight w:val="0"/>
      <w:marTop w:val="0"/>
      <w:marBottom w:val="0"/>
      <w:divBdr>
        <w:top w:val="none" w:sz="0" w:space="0" w:color="auto"/>
        <w:left w:val="none" w:sz="0" w:space="0" w:color="auto"/>
        <w:bottom w:val="none" w:sz="0" w:space="0" w:color="auto"/>
        <w:right w:val="none" w:sz="0" w:space="0" w:color="auto"/>
      </w:divBdr>
    </w:div>
    <w:div w:id="616719902">
      <w:bodyDiv w:val="1"/>
      <w:marLeft w:val="0"/>
      <w:marRight w:val="0"/>
      <w:marTop w:val="0"/>
      <w:marBottom w:val="0"/>
      <w:divBdr>
        <w:top w:val="none" w:sz="0" w:space="0" w:color="auto"/>
        <w:left w:val="none" w:sz="0" w:space="0" w:color="auto"/>
        <w:bottom w:val="none" w:sz="0" w:space="0" w:color="auto"/>
        <w:right w:val="none" w:sz="0" w:space="0" w:color="auto"/>
      </w:divBdr>
    </w:div>
    <w:div w:id="687172546">
      <w:bodyDiv w:val="1"/>
      <w:marLeft w:val="0"/>
      <w:marRight w:val="0"/>
      <w:marTop w:val="0"/>
      <w:marBottom w:val="0"/>
      <w:divBdr>
        <w:top w:val="none" w:sz="0" w:space="0" w:color="auto"/>
        <w:left w:val="none" w:sz="0" w:space="0" w:color="auto"/>
        <w:bottom w:val="none" w:sz="0" w:space="0" w:color="auto"/>
        <w:right w:val="none" w:sz="0" w:space="0" w:color="auto"/>
      </w:divBdr>
    </w:div>
    <w:div w:id="712736454">
      <w:bodyDiv w:val="1"/>
      <w:marLeft w:val="0"/>
      <w:marRight w:val="0"/>
      <w:marTop w:val="0"/>
      <w:marBottom w:val="0"/>
      <w:divBdr>
        <w:top w:val="none" w:sz="0" w:space="0" w:color="auto"/>
        <w:left w:val="none" w:sz="0" w:space="0" w:color="auto"/>
        <w:bottom w:val="none" w:sz="0" w:space="0" w:color="auto"/>
        <w:right w:val="none" w:sz="0" w:space="0" w:color="auto"/>
      </w:divBdr>
    </w:div>
    <w:div w:id="752170323">
      <w:bodyDiv w:val="1"/>
      <w:marLeft w:val="0"/>
      <w:marRight w:val="0"/>
      <w:marTop w:val="0"/>
      <w:marBottom w:val="0"/>
      <w:divBdr>
        <w:top w:val="none" w:sz="0" w:space="0" w:color="auto"/>
        <w:left w:val="none" w:sz="0" w:space="0" w:color="auto"/>
        <w:bottom w:val="none" w:sz="0" w:space="0" w:color="auto"/>
        <w:right w:val="none" w:sz="0" w:space="0" w:color="auto"/>
      </w:divBdr>
    </w:div>
    <w:div w:id="791480128">
      <w:bodyDiv w:val="1"/>
      <w:marLeft w:val="0"/>
      <w:marRight w:val="0"/>
      <w:marTop w:val="0"/>
      <w:marBottom w:val="0"/>
      <w:divBdr>
        <w:top w:val="none" w:sz="0" w:space="0" w:color="auto"/>
        <w:left w:val="none" w:sz="0" w:space="0" w:color="auto"/>
        <w:bottom w:val="none" w:sz="0" w:space="0" w:color="auto"/>
        <w:right w:val="none" w:sz="0" w:space="0" w:color="auto"/>
      </w:divBdr>
    </w:div>
    <w:div w:id="803546997">
      <w:bodyDiv w:val="1"/>
      <w:marLeft w:val="0"/>
      <w:marRight w:val="0"/>
      <w:marTop w:val="0"/>
      <w:marBottom w:val="0"/>
      <w:divBdr>
        <w:top w:val="none" w:sz="0" w:space="0" w:color="auto"/>
        <w:left w:val="none" w:sz="0" w:space="0" w:color="auto"/>
        <w:bottom w:val="none" w:sz="0" w:space="0" w:color="auto"/>
        <w:right w:val="none" w:sz="0" w:space="0" w:color="auto"/>
      </w:divBdr>
    </w:div>
    <w:div w:id="808671596">
      <w:bodyDiv w:val="1"/>
      <w:marLeft w:val="0"/>
      <w:marRight w:val="0"/>
      <w:marTop w:val="0"/>
      <w:marBottom w:val="0"/>
      <w:divBdr>
        <w:top w:val="none" w:sz="0" w:space="0" w:color="auto"/>
        <w:left w:val="none" w:sz="0" w:space="0" w:color="auto"/>
        <w:bottom w:val="none" w:sz="0" w:space="0" w:color="auto"/>
        <w:right w:val="none" w:sz="0" w:space="0" w:color="auto"/>
      </w:divBdr>
    </w:div>
    <w:div w:id="950164114">
      <w:bodyDiv w:val="1"/>
      <w:marLeft w:val="0"/>
      <w:marRight w:val="0"/>
      <w:marTop w:val="0"/>
      <w:marBottom w:val="0"/>
      <w:divBdr>
        <w:top w:val="none" w:sz="0" w:space="0" w:color="auto"/>
        <w:left w:val="none" w:sz="0" w:space="0" w:color="auto"/>
        <w:bottom w:val="none" w:sz="0" w:space="0" w:color="auto"/>
        <w:right w:val="none" w:sz="0" w:space="0" w:color="auto"/>
      </w:divBdr>
    </w:div>
    <w:div w:id="1086806219">
      <w:bodyDiv w:val="1"/>
      <w:marLeft w:val="0"/>
      <w:marRight w:val="0"/>
      <w:marTop w:val="0"/>
      <w:marBottom w:val="0"/>
      <w:divBdr>
        <w:top w:val="none" w:sz="0" w:space="0" w:color="auto"/>
        <w:left w:val="none" w:sz="0" w:space="0" w:color="auto"/>
        <w:bottom w:val="none" w:sz="0" w:space="0" w:color="auto"/>
        <w:right w:val="none" w:sz="0" w:space="0" w:color="auto"/>
      </w:divBdr>
    </w:div>
    <w:div w:id="1164782436">
      <w:bodyDiv w:val="1"/>
      <w:marLeft w:val="0"/>
      <w:marRight w:val="0"/>
      <w:marTop w:val="0"/>
      <w:marBottom w:val="0"/>
      <w:divBdr>
        <w:top w:val="none" w:sz="0" w:space="0" w:color="auto"/>
        <w:left w:val="none" w:sz="0" w:space="0" w:color="auto"/>
        <w:bottom w:val="none" w:sz="0" w:space="0" w:color="auto"/>
        <w:right w:val="none" w:sz="0" w:space="0" w:color="auto"/>
      </w:divBdr>
    </w:div>
    <w:div w:id="1203010294">
      <w:bodyDiv w:val="1"/>
      <w:marLeft w:val="0"/>
      <w:marRight w:val="0"/>
      <w:marTop w:val="0"/>
      <w:marBottom w:val="0"/>
      <w:divBdr>
        <w:top w:val="none" w:sz="0" w:space="0" w:color="auto"/>
        <w:left w:val="none" w:sz="0" w:space="0" w:color="auto"/>
        <w:bottom w:val="none" w:sz="0" w:space="0" w:color="auto"/>
        <w:right w:val="none" w:sz="0" w:space="0" w:color="auto"/>
      </w:divBdr>
    </w:div>
    <w:div w:id="1240600783">
      <w:bodyDiv w:val="1"/>
      <w:marLeft w:val="0"/>
      <w:marRight w:val="0"/>
      <w:marTop w:val="0"/>
      <w:marBottom w:val="0"/>
      <w:divBdr>
        <w:top w:val="none" w:sz="0" w:space="0" w:color="auto"/>
        <w:left w:val="none" w:sz="0" w:space="0" w:color="auto"/>
        <w:bottom w:val="none" w:sz="0" w:space="0" w:color="auto"/>
        <w:right w:val="none" w:sz="0" w:space="0" w:color="auto"/>
      </w:divBdr>
    </w:div>
    <w:div w:id="1315795223">
      <w:bodyDiv w:val="1"/>
      <w:marLeft w:val="0"/>
      <w:marRight w:val="0"/>
      <w:marTop w:val="0"/>
      <w:marBottom w:val="0"/>
      <w:divBdr>
        <w:top w:val="none" w:sz="0" w:space="0" w:color="auto"/>
        <w:left w:val="none" w:sz="0" w:space="0" w:color="auto"/>
        <w:bottom w:val="none" w:sz="0" w:space="0" w:color="auto"/>
        <w:right w:val="none" w:sz="0" w:space="0" w:color="auto"/>
      </w:divBdr>
    </w:div>
    <w:div w:id="1348023017">
      <w:bodyDiv w:val="1"/>
      <w:marLeft w:val="0"/>
      <w:marRight w:val="0"/>
      <w:marTop w:val="0"/>
      <w:marBottom w:val="0"/>
      <w:divBdr>
        <w:top w:val="none" w:sz="0" w:space="0" w:color="auto"/>
        <w:left w:val="none" w:sz="0" w:space="0" w:color="auto"/>
        <w:bottom w:val="none" w:sz="0" w:space="0" w:color="auto"/>
        <w:right w:val="none" w:sz="0" w:space="0" w:color="auto"/>
      </w:divBdr>
    </w:div>
    <w:div w:id="1390231398">
      <w:bodyDiv w:val="1"/>
      <w:marLeft w:val="0"/>
      <w:marRight w:val="0"/>
      <w:marTop w:val="0"/>
      <w:marBottom w:val="0"/>
      <w:divBdr>
        <w:top w:val="none" w:sz="0" w:space="0" w:color="auto"/>
        <w:left w:val="none" w:sz="0" w:space="0" w:color="auto"/>
        <w:bottom w:val="none" w:sz="0" w:space="0" w:color="auto"/>
        <w:right w:val="none" w:sz="0" w:space="0" w:color="auto"/>
      </w:divBdr>
    </w:div>
    <w:div w:id="1551650301">
      <w:bodyDiv w:val="1"/>
      <w:marLeft w:val="0"/>
      <w:marRight w:val="0"/>
      <w:marTop w:val="0"/>
      <w:marBottom w:val="0"/>
      <w:divBdr>
        <w:top w:val="none" w:sz="0" w:space="0" w:color="auto"/>
        <w:left w:val="none" w:sz="0" w:space="0" w:color="auto"/>
        <w:bottom w:val="none" w:sz="0" w:space="0" w:color="auto"/>
        <w:right w:val="none" w:sz="0" w:space="0" w:color="auto"/>
      </w:divBdr>
      <w:divsChild>
        <w:div w:id="183832556">
          <w:marLeft w:val="0"/>
          <w:marRight w:val="0"/>
          <w:marTop w:val="0"/>
          <w:marBottom w:val="0"/>
          <w:divBdr>
            <w:top w:val="none" w:sz="0" w:space="0" w:color="auto"/>
            <w:left w:val="none" w:sz="0" w:space="0" w:color="auto"/>
            <w:bottom w:val="single" w:sz="4" w:space="1" w:color="DFEFFF"/>
            <w:right w:val="none" w:sz="0" w:space="0" w:color="auto"/>
          </w:divBdr>
        </w:div>
      </w:divsChild>
    </w:div>
    <w:div w:id="1575503825">
      <w:bodyDiv w:val="1"/>
      <w:marLeft w:val="0"/>
      <w:marRight w:val="0"/>
      <w:marTop w:val="0"/>
      <w:marBottom w:val="0"/>
      <w:divBdr>
        <w:top w:val="none" w:sz="0" w:space="0" w:color="auto"/>
        <w:left w:val="none" w:sz="0" w:space="0" w:color="auto"/>
        <w:bottom w:val="none" w:sz="0" w:space="0" w:color="auto"/>
        <w:right w:val="none" w:sz="0" w:space="0" w:color="auto"/>
      </w:divBdr>
    </w:div>
    <w:div w:id="1590239083">
      <w:bodyDiv w:val="1"/>
      <w:marLeft w:val="0"/>
      <w:marRight w:val="0"/>
      <w:marTop w:val="0"/>
      <w:marBottom w:val="0"/>
      <w:divBdr>
        <w:top w:val="none" w:sz="0" w:space="0" w:color="auto"/>
        <w:left w:val="none" w:sz="0" w:space="0" w:color="auto"/>
        <w:bottom w:val="none" w:sz="0" w:space="0" w:color="auto"/>
        <w:right w:val="none" w:sz="0" w:space="0" w:color="auto"/>
      </w:divBdr>
    </w:div>
    <w:div w:id="1596019377">
      <w:bodyDiv w:val="1"/>
      <w:marLeft w:val="0"/>
      <w:marRight w:val="0"/>
      <w:marTop w:val="0"/>
      <w:marBottom w:val="0"/>
      <w:divBdr>
        <w:top w:val="none" w:sz="0" w:space="0" w:color="auto"/>
        <w:left w:val="none" w:sz="0" w:space="0" w:color="auto"/>
        <w:bottom w:val="none" w:sz="0" w:space="0" w:color="auto"/>
        <w:right w:val="none" w:sz="0" w:space="0" w:color="auto"/>
      </w:divBdr>
    </w:div>
    <w:div w:id="1626423870">
      <w:bodyDiv w:val="1"/>
      <w:marLeft w:val="0"/>
      <w:marRight w:val="0"/>
      <w:marTop w:val="0"/>
      <w:marBottom w:val="0"/>
      <w:divBdr>
        <w:top w:val="none" w:sz="0" w:space="0" w:color="auto"/>
        <w:left w:val="none" w:sz="0" w:space="0" w:color="auto"/>
        <w:bottom w:val="none" w:sz="0" w:space="0" w:color="auto"/>
        <w:right w:val="none" w:sz="0" w:space="0" w:color="auto"/>
      </w:divBdr>
    </w:div>
    <w:div w:id="1696031776">
      <w:bodyDiv w:val="1"/>
      <w:marLeft w:val="0"/>
      <w:marRight w:val="0"/>
      <w:marTop w:val="0"/>
      <w:marBottom w:val="0"/>
      <w:divBdr>
        <w:top w:val="none" w:sz="0" w:space="0" w:color="auto"/>
        <w:left w:val="none" w:sz="0" w:space="0" w:color="auto"/>
        <w:bottom w:val="none" w:sz="0" w:space="0" w:color="auto"/>
        <w:right w:val="none" w:sz="0" w:space="0" w:color="auto"/>
      </w:divBdr>
    </w:div>
    <w:div w:id="1758868669">
      <w:bodyDiv w:val="1"/>
      <w:marLeft w:val="0"/>
      <w:marRight w:val="0"/>
      <w:marTop w:val="0"/>
      <w:marBottom w:val="0"/>
      <w:divBdr>
        <w:top w:val="none" w:sz="0" w:space="0" w:color="auto"/>
        <w:left w:val="none" w:sz="0" w:space="0" w:color="auto"/>
        <w:bottom w:val="none" w:sz="0" w:space="0" w:color="auto"/>
        <w:right w:val="none" w:sz="0" w:space="0" w:color="auto"/>
      </w:divBdr>
    </w:div>
    <w:div w:id="1776830389">
      <w:bodyDiv w:val="1"/>
      <w:marLeft w:val="0"/>
      <w:marRight w:val="0"/>
      <w:marTop w:val="0"/>
      <w:marBottom w:val="0"/>
      <w:divBdr>
        <w:top w:val="none" w:sz="0" w:space="0" w:color="auto"/>
        <w:left w:val="none" w:sz="0" w:space="0" w:color="auto"/>
        <w:bottom w:val="none" w:sz="0" w:space="0" w:color="auto"/>
        <w:right w:val="none" w:sz="0" w:space="0" w:color="auto"/>
      </w:divBdr>
      <w:divsChild>
        <w:div w:id="457333866">
          <w:marLeft w:val="0"/>
          <w:marRight w:val="0"/>
          <w:marTop w:val="0"/>
          <w:marBottom w:val="0"/>
          <w:divBdr>
            <w:top w:val="none" w:sz="0" w:space="0" w:color="auto"/>
            <w:left w:val="none" w:sz="0" w:space="0" w:color="auto"/>
            <w:bottom w:val="single" w:sz="4" w:space="1" w:color="DFEFFF"/>
            <w:right w:val="none" w:sz="0" w:space="0" w:color="auto"/>
          </w:divBdr>
        </w:div>
      </w:divsChild>
    </w:div>
    <w:div w:id="1794402919">
      <w:bodyDiv w:val="1"/>
      <w:marLeft w:val="0"/>
      <w:marRight w:val="0"/>
      <w:marTop w:val="0"/>
      <w:marBottom w:val="0"/>
      <w:divBdr>
        <w:top w:val="none" w:sz="0" w:space="0" w:color="auto"/>
        <w:left w:val="none" w:sz="0" w:space="0" w:color="auto"/>
        <w:bottom w:val="none" w:sz="0" w:space="0" w:color="auto"/>
        <w:right w:val="none" w:sz="0" w:space="0" w:color="auto"/>
      </w:divBdr>
    </w:div>
    <w:div w:id="2081906778">
      <w:bodyDiv w:val="1"/>
      <w:marLeft w:val="0"/>
      <w:marRight w:val="0"/>
      <w:marTop w:val="0"/>
      <w:marBottom w:val="0"/>
      <w:divBdr>
        <w:top w:val="none" w:sz="0" w:space="0" w:color="auto"/>
        <w:left w:val="none" w:sz="0" w:space="0" w:color="auto"/>
        <w:bottom w:val="none" w:sz="0" w:space="0" w:color="auto"/>
        <w:right w:val="none" w:sz="0" w:space="0" w:color="auto"/>
      </w:divBdr>
    </w:div>
    <w:div w:id="214492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karolis.ambrazaitis\Documents\Book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Sheet1!$B$62</c:f>
              <c:strCache>
                <c:ptCount val="1"/>
                <c:pt idx="0">
                  <c:v>Apranga</c:v>
                </c:pt>
              </c:strCache>
            </c:strRef>
          </c:tx>
          <c:val>
            <c:numRef>
              <c:f>Sheet1!$C$62</c:f>
              <c:numCache>
                <c:formatCode>0.00</c:formatCode>
                <c:ptCount val="1"/>
                <c:pt idx="0">
                  <c:v>-14.19</c:v>
                </c:pt>
              </c:numCache>
            </c:numRef>
          </c:val>
        </c:ser>
        <c:ser>
          <c:idx val="1"/>
          <c:order val="1"/>
          <c:tx>
            <c:strRef>
              <c:f>Sheet1!$B$63</c:f>
              <c:strCache>
                <c:ptCount val="1"/>
                <c:pt idx="0">
                  <c:v>Linas Agro Group</c:v>
                </c:pt>
              </c:strCache>
            </c:strRef>
          </c:tx>
          <c:val>
            <c:numRef>
              <c:f>Sheet1!$C$63</c:f>
              <c:numCache>
                <c:formatCode>0.00</c:formatCode>
                <c:ptCount val="1"/>
                <c:pt idx="0">
                  <c:v>16.72</c:v>
                </c:pt>
              </c:numCache>
            </c:numRef>
          </c:val>
        </c:ser>
        <c:ser>
          <c:idx val="2"/>
          <c:order val="2"/>
          <c:tx>
            <c:strRef>
              <c:f>Sheet1!$B$64</c:f>
              <c:strCache>
                <c:ptCount val="1"/>
                <c:pt idx="0">
                  <c:v>Nordecon AS</c:v>
                </c:pt>
              </c:strCache>
            </c:strRef>
          </c:tx>
          <c:val>
            <c:numRef>
              <c:f>Sheet1!$C$64</c:f>
              <c:numCache>
                <c:formatCode>0.00</c:formatCode>
                <c:ptCount val="1"/>
                <c:pt idx="0">
                  <c:v>-24.09</c:v>
                </c:pt>
              </c:numCache>
            </c:numRef>
          </c:val>
        </c:ser>
        <c:ser>
          <c:idx val="3"/>
          <c:order val="3"/>
          <c:tx>
            <c:strRef>
              <c:f>Sheet1!$B$65</c:f>
              <c:strCache>
                <c:ptCount val="1"/>
                <c:pt idx="0">
                  <c:v>Olympic Entertainment Group</c:v>
                </c:pt>
              </c:strCache>
            </c:strRef>
          </c:tx>
          <c:val>
            <c:numRef>
              <c:f>Sheet1!$C$65</c:f>
              <c:numCache>
                <c:formatCode>0.00</c:formatCode>
                <c:ptCount val="1"/>
                <c:pt idx="0">
                  <c:v>0</c:v>
                </c:pt>
              </c:numCache>
            </c:numRef>
          </c:val>
        </c:ser>
        <c:ser>
          <c:idx val="4"/>
          <c:order val="4"/>
          <c:tx>
            <c:strRef>
              <c:f>Sheet1!$B$66</c:f>
              <c:strCache>
                <c:ptCount val="1"/>
                <c:pt idx="0">
                  <c:v>Panevėžio statybos trestas</c:v>
                </c:pt>
              </c:strCache>
            </c:strRef>
          </c:tx>
          <c:val>
            <c:numRef>
              <c:f>Sheet1!$C$66</c:f>
              <c:numCache>
                <c:formatCode>0.00</c:formatCode>
                <c:ptCount val="1"/>
                <c:pt idx="0">
                  <c:v>35.31</c:v>
                </c:pt>
              </c:numCache>
            </c:numRef>
          </c:val>
        </c:ser>
        <c:ser>
          <c:idx val="5"/>
          <c:order val="5"/>
          <c:tx>
            <c:strRef>
              <c:f>Sheet1!$B$67</c:f>
              <c:strCache>
                <c:ptCount val="1"/>
                <c:pt idx="0">
                  <c:v>Tallink Grupp</c:v>
                </c:pt>
              </c:strCache>
            </c:strRef>
          </c:tx>
          <c:val>
            <c:numRef>
              <c:f>Sheet1!$C$67</c:f>
              <c:numCache>
                <c:formatCode>0.00</c:formatCode>
                <c:ptCount val="1"/>
                <c:pt idx="0">
                  <c:v>-15.62</c:v>
                </c:pt>
              </c:numCache>
            </c:numRef>
          </c:val>
        </c:ser>
        <c:ser>
          <c:idx val="6"/>
          <c:order val="6"/>
          <c:tx>
            <c:strRef>
              <c:f>Sheet1!$B$68</c:f>
              <c:strCache>
                <c:ptCount val="1"/>
                <c:pt idx="0">
                  <c:v>TEO LT</c:v>
                </c:pt>
              </c:strCache>
            </c:strRef>
          </c:tx>
          <c:val>
            <c:numRef>
              <c:f>Sheet1!$C$68</c:f>
              <c:numCache>
                <c:formatCode>0.00</c:formatCode>
                <c:ptCount val="1"/>
                <c:pt idx="0">
                  <c:v>4.95</c:v>
                </c:pt>
              </c:numCache>
            </c:numRef>
          </c:val>
        </c:ser>
        <c:ser>
          <c:idx val="7"/>
          <c:order val="7"/>
          <c:tx>
            <c:strRef>
              <c:f>Sheet1!$B$69</c:f>
              <c:strCache>
                <c:ptCount val="1"/>
                <c:pt idx="0">
                  <c:v>Tallinna Kaubamaja</c:v>
                </c:pt>
              </c:strCache>
            </c:strRef>
          </c:tx>
          <c:val>
            <c:numRef>
              <c:f>Sheet1!$C$69</c:f>
              <c:numCache>
                <c:formatCode>0.00</c:formatCode>
                <c:ptCount val="1"/>
                <c:pt idx="0">
                  <c:v>-15.16</c:v>
                </c:pt>
              </c:numCache>
            </c:numRef>
          </c:val>
        </c:ser>
        <c:ser>
          <c:idx val="8"/>
          <c:order val="8"/>
          <c:tx>
            <c:strRef>
              <c:f>Sheet1!$B$70</c:f>
              <c:strCache>
                <c:ptCount val="1"/>
                <c:pt idx="0">
                  <c:v>Tallinna Vesi</c:v>
                </c:pt>
              </c:strCache>
            </c:strRef>
          </c:tx>
          <c:val>
            <c:numRef>
              <c:f>Sheet1!$C$70</c:f>
              <c:numCache>
                <c:formatCode>0.00</c:formatCode>
                <c:ptCount val="1"/>
                <c:pt idx="0">
                  <c:v>0</c:v>
                </c:pt>
              </c:numCache>
            </c:numRef>
          </c:val>
        </c:ser>
        <c:ser>
          <c:idx val="9"/>
          <c:order val="9"/>
          <c:tx>
            <c:strRef>
              <c:f>Sheet1!$B$71</c:f>
              <c:strCache>
                <c:ptCount val="1"/>
                <c:pt idx="0">
                  <c:v>Ūkio bankas</c:v>
                </c:pt>
              </c:strCache>
            </c:strRef>
          </c:tx>
          <c:val>
            <c:numRef>
              <c:f>Sheet1!$C$71</c:f>
              <c:numCache>
                <c:formatCode>0.00</c:formatCode>
                <c:ptCount val="1"/>
                <c:pt idx="0">
                  <c:v>0</c:v>
                </c:pt>
              </c:numCache>
            </c:numRef>
          </c:val>
        </c:ser>
        <c:axId val="81213696"/>
        <c:axId val="81219584"/>
      </c:barChart>
      <c:catAx>
        <c:axId val="81213696"/>
        <c:scaling>
          <c:orientation val="minMax"/>
        </c:scaling>
        <c:delete val="1"/>
        <c:axPos val="b"/>
        <c:tickLblPos val="none"/>
        <c:crossAx val="81219584"/>
        <c:crosses val="autoZero"/>
        <c:auto val="1"/>
        <c:lblAlgn val="ctr"/>
        <c:lblOffset val="100"/>
      </c:catAx>
      <c:valAx>
        <c:axId val="81219584"/>
        <c:scaling>
          <c:orientation val="minMax"/>
        </c:scaling>
        <c:axPos val="l"/>
        <c:majorGridlines/>
        <c:numFmt formatCode="0.00" sourceLinked="1"/>
        <c:tickLblPos val="nextTo"/>
        <c:crossAx val="81213696"/>
        <c:crosses val="autoZero"/>
        <c:crossBetween val="between"/>
      </c:valAx>
    </c:plotArea>
    <c:legend>
      <c:legendPos val="r"/>
      <c:layout>
        <c:manualLayout>
          <c:xMode val="edge"/>
          <c:yMode val="edge"/>
          <c:x val="0.73092100415783257"/>
          <c:y val="2.2770566989082641E-3"/>
          <c:w val="0.25798329704175882"/>
          <c:h val="0.99772294330109168"/>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1ADC0-8A61-4F93-9A76-76305078E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21346</Words>
  <Characters>121673</Characters>
  <Application>Microsoft Office Word</Application>
  <DocSecurity>0</DocSecurity>
  <Lines>1013</Lines>
  <Paragraphs>285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MYKOLO ROMERIO UNIVERSITETAS</vt:lpstr>
      <vt:lpstr>MYKOLO ROMERIO UNIVERSITETAS</vt:lpstr>
    </vt:vector>
  </TitlesOfParts>
  <Company>Grizli777</Company>
  <LinksUpToDate>false</LinksUpToDate>
  <CharactersWithSpaces>142734</CharactersWithSpaces>
  <SharedDoc>false</SharedDoc>
  <HLinks>
    <vt:vector size="354" baseType="variant">
      <vt:variant>
        <vt:i4>1114162</vt:i4>
      </vt:variant>
      <vt:variant>
        <vt:i4>356</vt:i4>
      </vt:variant>
      <vt:variant>
        <vt:i4>0</vt:i4>
      </vt:variant>
      <vt:variant>
        <vt:i4>5</vt:i4>
      </vt:variant>
      <vt:variant>
        <vt:lpwstr/>
      </vt:variant>
      <vt:variant>
        <vt:lpwstr>_Toc308101969</vt:lpwstr>
      </vt:variant>
      <vt:variant>
        <vt:i4>1114162</vt:i4>
      </vt:variant>
      <vt:variant>
        <vt:i4>350</vt:i4>
      </vt:variant>
      <vt:variant>
        <vt:i4>0</vt:i4>
      </vt:variant>
      <vt:variant>
        <vt:i4>5</vt:i4>
      </vt:variant>
      <vt:variant>
        <vt:lpwstr/>
      </vt:variant>
      <vt:variant>
        <vt:lpwstr>_Toc308101968</vt:lpwstr>
      </vt:variant>
      <vt:variant>
        <vt:i4>1114162</vt:i4>
      </vt:variant>
      <vt:variant>
        <vt:i4>344</vt:i4>
      </vt:variant>
      <vt:variant>
        <vt:i4>0</vt:i4>
      </vt:variant>
      <vt:variant>
        <vt:i4>5</vt:i4>
      </vt:variant>
      <vt:variant>
        <vt:lpwstr/>
      </vt:variant>
      <vt:variant>
        <vt:lpwstr>_Toc308101967</vt:lpwstr>
      </vt:variant>
      <vt:variant>
        <vt:i4>1114162</vt:i4>
      </vt:variant>
      <vt:variant>
        <vt:i4>338</vt:i4>
      </vt:variant>
      <vt:variant>
        <vt:i4>0</vt:i4>
      </vt:variant>
      <vt:variant>
        <vt:i4>5</vt:i4>
      </vt:variant>
      <vt:variant>
        <vt:lpwstr/>
      </vt:variant>
      <vt:variant>
        <vt:lpwstr>_Toc308101966</vt:lpwstr>
      </vt:variant>
      <vt:variant>
        <vt:i4>1114162</vt:i4>
      </vt:variant>
      <vt:variant>
        <vt:i4>332</vt:i4>
      </vt:variant>
      <vt:variant>
        <vt:i4>0</vt:i4>
      </vt:variant>
      <vt:variant>
        <vt:i4>5</vt:i4>
      </vt:variant>
      <vt:variant>
        <vt:lpwstr/>
      </vt:variant>
      <vt:variant>
        <vt:lpwstr>_Toc308101965</vt:lpwstr>
      </vt:variant>
      <vt:variant>
        <vt:i4>1114162</vt:i4>
      </vt:variant>
      <vt:variant>
        <vt:i4>326</vt:i4>
      </vt:variant>
      <vt:variant>
        <vt:i4>0</vt:i4>
      </vt:variant>
      <vt:variant>
        <vt:i4>5</vt:i4>
      </vt:variant>
      <vt:variant>
        <vt:lpwstr/>
      </vt:variant>
      <vt:variant>
        <vt:lpwstr>_Toc308101964</vt:lpwstr>
      </vt:variant>
      <vt:variant>
        <vt:i4>1114162</vt:i4>
      </vt:variant>
      <vt:variant>
        <vt:i4>320</vt:i4>
      </vt:variant>
      <vt:variant>
        <vt:i4>0</vt:i4>
      </vt:variant>
      <vt:variant>
        <vt:i4>5</vt:i4>
      </vt:variant>
      <vt:variant>
        <vt:lpwstr/>
      </vt:variant>
      <vt:variant>
        <vt:lpwstr>_Toc308101963</vt:lpwstr>
      </vt:variant>
      <vt:variant>
        <vt:i4>1507385</vt:i4>
      </vt:variant>
      <vt:variant>
        <vt:i4>311</vt:i4>
      </vt:variant>
      <vt:variant>
        <vt:i4>0</vt:i4>
      </vt:variant>
      <vt:variant>
        <vt:i4>5</vt:i4>
      </vt:variant>
      <vt:variant>
        <vt:lpwstr/>
      </vt:variant>
      <vt:variant>
        <vt:lpwstr>_Toc308016368</vt:lpwstr>
      </vt:variant>
      <vt:variant>
        <vt:i4>1507385</vt:i4>
      </vt:variant>
      <vt:variant>
        <vt:i4>305</vt:i4>
      </vt:variant>
      <vt:variant>
        <vt:i4>0</vt:i4>
      </vt:variant>
      <vt:variant>
        <vt:i4>5</vt:i4>
      </vt:variant>
      <vt:variant>
        <vt:lpwstr/>
      </vt:variant>
      <vt:variant>
        <vt:lpwstr>_Toc308016367</vt:lpwstr>
      </vt:variant>
      <vt:variant>
        <vt:i4>1507385</vt:i4>
      </vt:variant>
      <vt:variant>
        <vt:i4>299</vt:i4>
      </vt:variant>
      <vt:variant>
        <vt:i4>0</vt:i4>
      </vt:variant>
      <vt:variant>
        <vt:i4>5</vt:i4>
      </vt:variant>
      <vt:variant>
        <vt:lpwstr/>
      </vt:variant>
      <vt:variant>
        <vt:lpwstr>_Toc308016366</vt:lpwstr>
      </vt:variant>
      <vt:variant>
        <vt:i4>1507385</vt:i4>
      </vt:variant>
      <vt:variant>
        <vt:i4>293</vt:i4>
      </vt:variant>
      <vt:variant>
        <vt:i4>0</vt:i4>
      </vt:variant>
      <vt:variant>
        <vt:i4>5</vt:i4>
      </vt:variant>
      <vt:variant>
        <vt:lpwstr/>
      </vt:variant>
      <vt:variant>
        <vt:lpwstr>_Toc308016365</vt:lpwstr>
      </vt:variant>
      <vt:variant>
        <vt:i4>1507385</vt:i4>
      </vt:variant>
      <vt:variant>
        <vt:i4>287</vt:i4>
      </vt:variant>
      <vt:variant>
        <vt:i4>0</vt:i4>
      </vt:variant>
      <vt:variant>
        <vt:i4>5</vt:i4>
      </vt:variant>
      <vt:variant>
        <vt:lpwstr/>
      </vt:variant>
      <vt:variant>
        <vt:lpwstr>_Toc308016364</vt:lpwstr>
      </vt:variant>
      <vt:variant>
        <vt:i4>1507385</vt:i4>
      </vt:variant>
      <vt:variant>
        <vt:i4>281</vt:i4>
      </vt:variant>
      <vt:variant>
        <vt:i4>0</vt:i4>
      </vt:variant>
      <vt:variant>
        <vt:i4>5</vt:i4>
      </vt:variant>
      <vt:variant>
        <vt:lpwstr/>
      </vt:variant>
      <vt:variant>
        <vt:lpwstr>_Toc308016363</vt:lpwstr>
      </vt:variant>
      <vt:variant>
        <vt:i4>1507385</vt:i4>
      </vt:variant>
      <vt:variant>
        <vt:i4>275</vt:i4>
      </vt:variant>
      <vt:variant>
        <vt:i4>0</vt:i4>
      </vt:variant>
      <vt:variant>
        <vt:i4>5</vt:i4>
      </vt:variant>
      <vt:variant>
        <vt:lpwstr/>
      </vt:variant>
      <vt:variant>
        <vt:lpwstr>_Toc308016362</vt:lpwstr>
      </vt:variant>
      <vt:variant>
        <vt:i4>1507385</vt:i4>
      </vt:variant>
      <vt:variant>
        <vt:i4>269</vt:i4>
      </vt:variant>
      <vt:variant>
        <vt:i4>0</vt:i4>
      </vt:variant>
      <vt:variant>
        <vt:i4>5</vt:i4>
      </vt:variant>
      <vt:variant>
        <vt:lpwstr/>
      </vt:variant>
      <vt:variant>
        <vt:lpwstr>_Toc308016361</vt:lpwstr>
      </vt:variant>
      <vt:variant>
        <vt:i4>1507385</vt:i4>
      </vt:variant>
      <vt:variant>
        <vt:i4>263</vt:i4>
      </vt:variant>
      <vt:variant>
        <vt:i4>0</vt:i4>
      </vt:variant>
      <vt:variant>
        <vt:i4>5</vt:i4>
      </vt:variant>
      <vt:variant>
        <vt:lpwstr/>
      </vt:variant>
      <vt:variant>
        <vt:lpwstr>_Toc308016360</vt:lpwstr>
      </vt:variant>
      <vt:variant>
        <vt:i4>1310777</vt:i4>
      </vt:variant>
      <vt:variant>
        <vt:i4>257</vt:i4>
      </vt:variant>
      <vt:variant>
        <vt:i4>0</vt:i4>
      </vt:variant>
      <vt:variant>
        <vt:i4>5</vt:i4>
      </vt:variant>
      <vt:variant>
        <vt:lpwstr/>
      </vt:variant>
      <vt:variant>
        <vt:lpwstr>_Toc308016359</vt:lpwstr>
      </vt:variant>
      <vt:variant>
        <vt:i4>1310777</vt:i4>
      </vt:variant>
      <vt:variant>
        <vt:i4>251</vt:i4>
      </vt:variant>
      <vt:variant>
        <vt:i4>0</vt:i4>
      </vt:variant>
      <vt:variant>
        <vt:i4>5</vt:i4>
      </vt:variant>
      <vt:variant>
        <vt:lpwstr/>
      </vt:variant>
      <vt:variant>
        <vt:lpwstr>_Toc308016358</vt:lpwstr>
      </vt:variant>
      <vt:variant>
        <vt:i4>1310777</vt:i4>
      </vt:variant>
      <vt:variant>
        <vt:i4>245</vt:i4>
      </vt:variant>
      <vt:variant>
        <vt:i4>0</vt:i4>
      </vt:variant>
      <vt:variant>
        <vt:i4>5</vt:i4>
      </vt:variant>
      <vt:variant>
        <vt:lpwstr/>
      </vt:variant>
      <vt:variant>
        <vt:lpwstr>_Toc308016357</vt:lpwstr>
      </vt:variant>
      <vt:variant>
        <vt:i4>1310777</vt:i4>
      </vt:variant>
      <vt:variant>
        <vt:i4>239</vt:i4>
      </vt:variant>
      <vt:variant>
        <vt:i4>0</vt:i4>
      </vt:variant>
      <vt:variant>
        <vt:i4>5</vt:i4>
      </vt:variant>
      <vt:variant>
        <vt:lpwstr/>
      </vt:variant>
      <vt:variant>
        <vt:lpwstr>_Toc308016356</vt:lpwstr>
      </vt:variant>
      <vt:variant>
        <vt:i4>1310777</vt:i4>
      </vt:variant>
      <vt:variant>
        <vt:i4>233</vt:i4>
      </vt:variant>
      <vt:variant>
        <vt:i4>0</vt:i4>
      </vt:variant>
      <vt:variant>
        <vt:i4>5</vt:i4>
      </vt:variant>
      <vt:variant>
        <vt:lpwstr/>
      </vt:variant>
      <vt:variant>
        <vt:lpwstr>_Toc308016355</vt:lpwstr>
      </vt:variant>
      <vt:variant>
        <vt:i4>1310777</vt:i4>
      </vt:variant>
      <vt:variant>
        <vt:i4>227</vt:i4>
      </vt:variant>
      <vt:variant>
        <vt:i4>0</vt:i4>
      </vt:variant>
      <vt:variant>
        <vt:i4>5</vt:i4>
      </vt:variant>
      <vt:variant>
        <vt:lpwstr/>
      </vt:variant>
      <vt:variant>
        <vt:lpwstr>_Toc308016354</vt:lpwstr>
      </vt:variant>
      <vt:variant>
        <vt:i4>1310777</vt:i4>
      </vt:variant>
      <vt:variant>
        <vt:i4>221</vt:i4>
      </vt:variant>
      <vt:variant>
        <vt:i4>0</vt:i4>
      </vt:variant>
      <vt:variant>
        <vt:i4>5</vt:i4>
      </vt:variant>
      <vt:variant>
        <vt:lpwstr/>
      </vt:variant>
      <vt:variant>
        <vt:lpwstr>_Toc308016353</vt:lpwstr>
      </vt:variant>
      <vt:variant>
        <vt:i4>1310777</vt:i4>
      </vt:variant>
      <vt:variant>
        <vt:i4>215</vt:i4>
      </vt:variant>
      <vt:variant>
        <vt:i4>0</vt:i4>
      </vt:variant>
      <vt:variant>
        <vt:i4>5</vt:i4>
      </vt:variant>
      <vt:variant>
        <vt:lpwstr/>
      </vt:variant>
      <vt:variant>
        <vt:lpwstr>_Toc308016352</vt:lpwstr>
      </vt:variant>
      <vt:variant>
        <vt:i4>1310777</vt:i4>
      </vt:variant>
      <vt:variant>
        <vt:i4>209</vt:i4>
      </vt:variant>
      <vt:variant>
        <vt:i4>0</vt:i4>
      </vt:variant>
      <vt:variant>
        <vt:i4>5</vt:i4>
      </vt:variant>
      <vt:variant>
        <vt:lpwstr/>
      </vt:variant>
      <vt:variant>
        <vt:lpwstr>_Toc308016351</vt:lpwstr>
      </vt:variant>
      <vt:variant>
        <vt:i4>1310777</vt:i4>
      </vt:variant>
      <vt:variant>
        <vt:i4>203</vt:i4>
      </vt:variant>
      <vt:variant>
        <vt:i4>0</vt:i4>
      </vt:variant>
      <vt:variant>
        <vt:i4>5</vt:i4>
      </vt:variant>
      <vt:variant>
        <vt:lpwstr/>
      </vt:variant>
      <vt:variant>
        <vt:lpwstr>_Toc308016350</vt:lpwstr>
      </vt:variant>
      <vt:variant>
        <vt:i4>1376313</vt:i4>
      </vt:variant>
      <vt:variant>
        <vt:i4>197</vt:i4>
      </vt:variant>
      <vt:variant>
        <vt:i4>0</vt:i4>
      </vt:variant>
      <vt:variant>
        <vt:i4>5</vt:i4>
      </vt:variant>
      <vt:variant>
        <vt:lpwstr/>
      </vt:variant>
      <vt:variant>
        <vt:lpwstr>_Toc308016349</vt:lpwstr>
      </vt:variant>
      <vt:variant>
        <vt:i4>1376313</vt:i4>
      </vt:variant>
      <vt:variant>
        <vt:i4>191</vt:i4>
      </vt:variant>
      <vt:variant>
        <vt:i4>0</vt:i4>
      </vt:variant>
      <vt:variant>
        <vt:i4>5</vt:i4>
      </vt:variant>
      <vt:variant>
        <vt:lpwstr/>
      </vt:variant>
      <vt:variant>
        <vt:lpwstr>_Toc308016348</vt:lpwstr>
      </vt:variant>
      <vt:variant>
        <vt:i4>1376313</vt:i4>
      </vt:variant>
      <vt:variant>
        <vt:i4>185</vt:i4>
      </vt:variant>
      <vt:variant>
        <vt:i4>0</vt:i4>
      </vt:variant>
      <vt:variant>
        <vt:i4>5</vt:i4>
      </vt:variant>
      <vt:variant>
        <vt:lpwstr/>
      </vt:variant>
      <vt:variant>
        <vt:lpwstr>_Toc308016347</vt:lpwstr>
      </vt:variant>
      <vt:variant>
        <vt:i4>1376313</vt:i4>
      </vt:variant>
      <vt:variant>
        <vt:i4>179</vt:i4>
      </vt:variant>
      <vt:variant>
        <vt:i4>0</vt:i4>
      </vt:variant>
      <vt:variant>
        <vt:i4>5</vt:i4>
      </vt:variant>
      <vt:variant>
        <vt:lpwstr/>
      </vt:variant>
      <vt:variant>
        <vt:lpwstr>_Toc308016346</vt:lpwstr>
      </vt:variant>
      <vt:variant>
        <vt:i4>1376313</vt:i4>
      </vt:variant>
      <vt:variant>
        <vt:i4>173</vt:i4>
      </vt:variant>
      <vt:variant>
        <vt:i4>0</vt:i4>
      </vt:variant>
      <vt:variant>
        <vt:i4>5</vt:i4>
      </vt:variant>
      <vt:variant>
        <vt:lpwstr/>
      </vt:variant>
      <vt:variant>
        <vt:lpwstr>_Toc308016345</vt:lpwstr>
      </vt:variant>
      <vt:variant>
        <vt:i4>1376313</vt:i4>
      </vt:variant>
      <vt:variant>
        <vt:i4>167</vt:i4>
      </vt:variant>
      <vt:variant>
        <vt:i4>0</vt:i4>
      </vt:variant>
      <vt:variant>
        <vt:i4>5</vt:i4>
      </vt:variant>
      <vt:variant>
        <vt:lpwstr/>
      </vt:variant>
      <vt:variant>
        <vt:lpwstr>_Toc308016344</vt:lpwstr>
      </vt:variant>
      <vt:variant>
        <vt:i4>1441840</vt:i4>
      </vt:variant>
      <vt:variant>
        <vt:i4>158</vt:i4>
      </vt:variant>
      <vt:variant>
        <vt:i4>0</vt:i4>
      </vt:variant>
      <vt:variant>
        <vt:i4>5</vt:i4>
      </vt:variant>
      <vt:variant>
        <vt:lpwstr/>
      </vt:variant>
      <vt:variant>
        <vt:lpwstr>_Toc310233015</vt:lpwstr>
      </vt:variant>
      <vt:variant>
        <vt:i4>1441840</vt:i4>
      </vt:variant>
      <vt:variant>
        <vt:i4>152</vt:i4>
      </vt:variant>
      <vt:variant>
        <vt:i4>0</vt:i4>
      </vt:variant>
      <vt:variant>
        <vt:i4>5</vt:i4>
      </vt:variant>
      <vt:variant>
        <vt:lpwstr/>
      </vt:variant>
      <vt:variant>
        <vt:lpwstr>_Toc310233014</vt:lpwstr>
      </vt:variant>
      <vt:variant>
        <vt:i4>1441840</vt:i4>
      </vt:variant>
      <vt:variant>
        <vt:i4>146</vt:i4>
      </vt:variant>
      <vt:variant>
        <vt:i4>0</vt:i4>
      </vt:variant>
      <vt:variant>
        <vt:i4>5</vt:i4>
      </vt:variant>
      <vt:variant>
        <vt:lpwstr/>
      </vt:variant>
      <vt:variant>
        <vt:lpwstr>_Toc310233013</vt:lpwstr>
      </vt:variant>
      <vt:variant>
        <vt:i4>1441840</vt:i4>
      </vt:variant>
      <vt:variant>
        <vt:i4>140</vt:i4>
      </vt:variant>
      <vt:variant>
        <vt:i4>0</vt:i4>
      </vt:variant>
      <vt:variant>
        <vt:i4>5</vt:i4>
      </vt:variant>
      <vt:variant>
        <vt:lpwstr/>
      </vt:variant>
      <vt:variant>
        <vt:lpwstr>_Toc310233012</vt:lpwstr>
      </vt:variant>
      <vt:variant>
        <vt:i4>1441840</vt:i4>
      </vt:variant>
      <vt:variant>
        <vt:i4>134</vt:i4>
      </vt:variant>
      <vt:variant>
        <vt:i4>0</vt:i4>
      </vt:variant>
      <vt:variant>
        <vt:i4>5</vt:i4>
      </vt:variant>
      <vt:variant>
        <vt:lpwstr/>
      </vt:variant>
      <vt:variant>
        <vt:lpwstr>_Toc310233011</vt:lpwstr>
      </vt:variant>
      <vt:variant>
        <vt:i4>1441840</vt:i4>
      </vt:variant>
      <vt:variant>
        <vt:i4>128</vt:i4>
      </vt:variant>
      <vt:variant>
        <vt:i4>0</vt:i4>
      </vt:variant>
      <vt:variant>
        <vt:i4>5</vt:i4>
      </vt:variant>
      <vt:variant>
        <vt:lpwstr/>
      </vt:variant>
      <vt:variant>
        <vt:lpwstr>_Toc310233010</vt:lpwstr>
      </vt:variant>
      <vt:variant>
        <vt:i4>1507376</vt:i4>
      </vt:variant>
      <vt:variant>
        <vt:i4>122</vt:i4>
      </vt:variant>
      <vt:variant>
        <vt:i4>0</vt:i4>
      </vt:variant>
      <vt:variant>
        <vt:i4>5</vt:i4>
      </vt:variant>
      <vt:variant>
        <vt:lpwstr/>
      </vt:variant>
      <vt:variant>
        <vt:lpwstr>_Toc310233009</vt:lpwstr>
      </vt:variant>
      <vt:variant>
        <vt:i4>1507376</vt:i4>
      </vt:variant>
      <vt:variant>
        <vt:i4>116</vt:i4>
      </vt:variant>
      <vt:variant>
        <vt:i4>0</vt:i4>
      </vt:variant>
      <vt:variant>
        <vt:i4>5</vt:i4>
      </vt:variant>
      <vt:variant>
        <vt:lpwstr/>
      </vt:variant>
      <vt:variant>
        <vt:lpwstr>_Toc310233008</vt:lpwstr>
      </vt:variant>
      <vt:variant>
        <vt:i4>1507376</vt:i4>
      </vt:variant>
      <vt:variant>
        <vt:i4>110</vt:i4>
      </vt:variant>
      <vt:variant>
        <vt:i4>0</vt:i4>
      </vt:variant>
      <vt:variant>
        <vt:i4>5</vt:i4>
      </vt:variant>
      <vt:variant>
        <vt:lpwstr/>
      </vt:variant>
      <vt:variant>
        <vt:lpwstr>_Toc310233007</vt:lpwstr>
      </vt:variant>
      <vt:variant>
        <vt:i4>1507376</vt:i4>
      </vt:variant>
      <vt:variant>
        <vt:i4>104</vt:i4>
      </vt:variant>
      <vt:variant>
        <vt:i4>0</vt:i4>
      </vt:variant>
      <vt:variant>
        <vt:i4>5</vt:i4>
      </vt:variant>
      <vt:variant>
        <vt:lpwstr/>
      </vt:variant>
      <vt:variant>
        <vt:lpwstr>_Toc310233006</vt:lpwstr>
      </vt:variant>
      <vt:variant>
        <vt:i4>1507376</vt:i4>
      </vt:variant>
      <vt:variant>
        <vt:i4>98</vt:i4>
      </vt:variant>
      <vt:variant>
        <vt:i4>0</vt:i4>
      </vt:variant>
      <vt:variant>
        <vt:i4>5</vt:i4>
      </vt:variant>
      <vt:variant>
        <vt:lpwstr/>
      </vt:variant>
      <vt:variant>
        <vt:lpwstr>_Toc310233005</vt:lpwstr>
      </vt:variant>
      <vt:variant>
        <vt:i4>1507376</vt:i4>
      </vt:variant>
      <vt:variant>
        <vt:i4>92</vt:i4>
      </vt:variant>
      <vt:variant>
        <vt:i4>0</vt:i4>
      </vt:variant>
      <vt:variant>
        <vt:i4>5</vt:i4>
      </vt:variant>
      <vt:variant>
        <vt:lpwstr/>
      </vt:variant>
      <vt:variant>
        <vt:lpwstr>_Toc310233004</vt:lpwstr>
      </vt:variant>
      <vt:variant>
        <vt:i4>1507376</vt:i4>
      </vt:variant>
      <vt:variant>
        <vt:i4>86</vt:i4>
      </vt:variant>
      <vt:variant>
        <vt:i4>0</vt:i4>
      </vt:variant>
      <vt:variant>
        <vt:i4>5</vt:i4>
      </vt:variant>
      <vt:variant>
        <vt:lpwstr/>
      </vt:variant>
      <vt:variant>
        <vt:lpwstr>_Toc310233003</vt:lpwstr>
      </vt:variant>
      <vt:variant>
        <vt:i4>1507376</vt:i4>
      </vt:variant>
      <vt:variant>
        <vt:i4>80</vt:i4>
      </vt:variant>
      <vt:variant>
        <vt:i4>0</vt:i4>
      </vt:variant>
      <vt:variant>
        <vt:i4>5</vt:i4>
      </vt:variant>
      <vt:variant>
        <vt:lpwstr/>
      </vt:variant>
      <vt:variant>
        <vt:lpwstr>_Toc310233002</vt:lpwstr>
      </vt:variant>
      <vt:variant>
        <vt:i4>1507376</vt:i4>
      </vt:variant>
      <vt:variant>
        <vt:i4>74</vt:i4>
      </vt:variant>
      <vt:variant>
        <vt:i4>0</vt:i4>
      </vt:variant>
      <vt:variant>
        <vt:i4>5</vt:i4>
      </vt:variant>
      <vt:variant>
        <vt:lpwstr/>
      </vt:variant>
      <vt:variant>
        <vt:lpwstr>_Toc310233001</vt:lpwstr>
      </vt:variant>
      <vt:variant>
        <vt:i4>1507376</vt:i4>
      </vt:variant>
      <vt:variant>
        <vt:i4>68</vt:i4>
      </vt:variant>
      <vt:variant>
        <vt:i4>0</vt:i4>
      </vt:variant>
      <vt:variant>
        <vt:i4>5</vt:i4>
      </vt:variant>
      <vt:variant>
        <vt:lpwstr/>
      </vt:variant>
      <vt:variant>
        <vt:lpwstr>_Toc310233000</vt:lpwstr>
      </vt:variant>
      <vt:variant>
        <vt:i4>2031673</vt:i4>
      </vt:variant>
      <vt:variant>
        <vt:i4>62</vt:i4>
      </vt:variant>
      <vt:variant>
        <vt:i4>0</vt:i4>
      </vt:variant>
      <vt:variant>
        <vt:i4>5</vt:i4>
      </vt:variant>
      <vt:variant>
        <vt:lpwstr/>
      </vt:variant>
      <vt:variant>
        <vt:lpwstr>_Toc310232999</vt:lpwstr>
      </vt:variant>
      <vt:variant>
        <vt:i4>2031673</vt:i4>
      </vt:variant>
      <vt:variant>
        <vt:i4>56</vt:i4>
      </vt:variant>
      <vt:variant>
        <vt:i4>0</vt:i4>
      </vt:variant>
      <vt:variant>
        <vt:i4>5</vt:i4>
      </vt:variant>
      <vt:variant>
        <vt:lpwstr/>
      </vt:variant>
      <vt:variant>
        <vt:lpwstr>_Toc310232998</vt:lpwstr>
      </vt:variant>
      <vt:variant>
        <vt:i4>2031673</vt:i4>
      </vt:variant>
      <vt:variant>
        <vt:i4>50</vt:i4>
      </vt:variant>
      <vt:variant>
        <vt:i4>0</vt:i4>
      </vt:variant>
      <vt:variant>
        <vt:i4>5</vt:i4>
      </vt:variant>
      <vt:variant>
        <vt:lpwstr/>
      </vt:variant>
      <vt:variant>
        <vt:lpwstr>_Toc310232997</vt:lpwstr>
      </vt:variant>
      <vt:variant>
        <vt:i4>2031673</vt:i4>
      </vt:variant>
      <vt:variant>
        <vt:i4>44</vt:i4>
      </vt:variant>
      <vt:variant>
        <vt:i4>0</vt:i4>
      </vt:variant>
      <vt:variant>
        <vt:i4>5</vt:i4>
      </vt:variant>
      <vt:variant>
        <vt:lpwstr/>
      </vt:variant>
      <vt:variant>
        <vt:lpwstr>_Toc310232996</vt:lpwstr>
      </vt:variant>
      <vt:variant>
        <vt:i4>2031673</vt:i4>
      </vt:variant>
      <vt:variant>
        <vt:i4>38</vt:i4>
      </vt:variant>
      <vt:variant>
        <vt:i4>0</vt:i4>
      </vt:variant>
      <vt:variant>
        <vt:i4>5</vt:i4>
      </vt:variant>
      <vt:variant>
        <vt:lpwstr/>
      </vt:variant>
      <vt:variant>
        <vt:lpwstr>_Toc310232995</vt:lpwstr>
      </vt:variant>
      <vt:variant>
        <vt:i4>2031673</vt:i4>
      </vt:variant>
      <vt:variant>
        <vt:i4>32</vt:i4>
      </vt:variant>
      <vt:variant>
        <vt:i4>0</vt:i4>
      </vt:variant>
      <vt:variant>
        <vt:i4>5</vt:i4>
      </vt:variant>
      <vt:variant>
        <vt:lpwstr/>
      </vt:variant>
      <vt:variant>
        <vt:lpwstr>_Toc310232994</vt:lpwstr>
      </vt:variant>
      <vt:variant>
        <vt:i4>2031673</vt:i4>
      </vt:variant>
      <vt:variant>
        <vt:i4>26</vt:i4>
      </vt:variant>
      <vt:variant>
        <vt:i4>0</vt:i4>
      </vt:variant>
      <vt:variant>
        <vt:i4>5</vt:i4>
      </vt:variant>
      <vt:variant>
        <vt:lpwstr/>
      </vt:variant>
      <vt:variant>
        <vt:lpwstr>_Toc310232993</vt:lpwstr>
      </vt:variant>
      <vt:variant>
        <vt:i4>2031673</vt:i4>
      </vt:variant>
      <vt:variant>
        <vt:i4>20</vt:i4>
      </vt:variant>
      <vt:variant>
        <vt:i4>0</vt:i4>
      </vt:variant>
      <vt:variant>
        <vt:i4>5</vt:i4>
      </vt:variant>
      <vt:variant>
        <vt:lpwstr/>
      </vt:variant>
      <vt:variant>
        <vt:lpwstr>_Toc310232992</vt:lpwstr>
      </vt:variant>
      <vt:variant>
        <vt:i4>2031673</vt:i4>
      </vt:variant>
      <vt:variant>
        <vt:i4>14</vt:i4>
      </vt:variant>
      <vt:variant>
        <vt:i4>0</vt:i4>
      </vt:variant>
      <vt:variant>
        <vt:i4>5</vt:i4>
      </vt:variant>
      <vt:variant>
        <vt:lpwstr/>
      </vt:variant>
      <vt:variant>
        <vt:lpwstr>_Toc310232991</vt:lpwstr>
      </vt:variant>
      <vt:variant>
        <vt:i4>2031673</vt:i4>
      </vt:variant>
      <vt:variant>
        <vt:i4>8</vt:i4>
      </vt:variant>
      <vt:variant>
        <vt:i4>0</vt:i4>
      </vt:variant>
      <vt:variant>
        <vt:i4>5</vt:i4>
      </vt:variant>
      <vt:variant>
        <vt:lpwstr/>
      </vt:variant>
      <vt:variant>
        <vt:lpwstr>_Toc310232990</vt:lpwstr>
      </vt:variant>
      <vt:variant>
        <vt:i4>1966137</vt:i4>
      </vt:variant>
      <vt:variant>
        <vt:i4>2</vt:i4>
      </vt:variant>
      <vt:variant>
        <vt:i4>0</vt:i4>
      </vt:variant>
      <vt:variant>
        <vt:i4>5</vt:i4>
      </vt:variant>
      <vt:variant>
        <vt:lpwstr/>
      </vt:variant>
      <vt:variant>
        <vt:lpwstr>_Toc310232989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MYKOLO ROMERIO UNIVERSITETAS</dc:title>
  <dc:creator>Karolis Karolis</dc:creator>
  <cp:keywords>Magistro baigiamasis darbas apie techninę analizę</cp:keywords>
  <cp:lastModifiedBy>karolis.ambrazaitis</cp:lastModifiedBy>
  <cp:revision>2</cp:revision>
  <cp:lastPrinted>2011-12-16T09:31:00Z</cp:lastPrinted>
  <dcterms:created xsi:type="dcterms:W3CDTF">2011-12-19T11:09:00Z</dcterms:created>
  <dcterms:modified xsi:type="dcterms:W3CDTF">2011-12-19T11:09:00Z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-1049259973</vt:i4>
  </property>
  <property fmtid="{D5CDD505-2E9C-101B-9397-08002B2CF9AE}" pid="3" name="_NewReviewCycle">
    <vt:lpwstr/>
  </property>
  <property fmtid="{D5CDD505-2E9C-101B-9397-08002B2CF9AE}" pid="4" name="_EmailSubject">
    <vt:lpwstr>del magistrinio</vt:lpwstr>
  </property>
  <property fmtid="{D5CDD505-2E9C-101B-9397-08002B2CF9AE}" pid="5" name="_AuthorEmail">
    <vt:lpwstr>Deimante.Teresiene@swedbank.lt</vt:lpwstr>
  </property>
  <property fmtid="{D5CDD505-2E9C-101B-9397-08002B2CF9AE}" pid="6" name="_AuthorEmailDisplayName">
    <vt:lpwstr>Deimantė Teresienė</vt:lpwstr>
  </property>
  <property fmtid="{D5CDD505-2E9C-101B-9397-08002B2CF9AE}" pid="7" name="_ReviewingToolsShownOnce">
    <vt:lpwstr/>
  </property>
</Properties>
</file>