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3D7" w:rsidRPr="00303A5A" w:rsidRDefault="009803D7" w:rsidP="009803D7">
      <w:pPr>
        <w:tabs>
          <w:tab w:val="left" w:pos="0"/>
          <w:tab w:val="left" w:pos="3402"/>
        </w:tabs>
        <w:spacing w:before="60"/>
        <w:jc w:val="center"/>
        <w:rPr>
          <w:color w:val="000000"/>
          <w:sz w:val="32"/>
          <w:szCs w:val="32"/>
          <w:lang w:val="lt-LT"/>
        </w:rPr>
      </w:pPr>
      <w:r w:rsidRPr="00303A5A">
        <w:rPr>
          <w:b/>
          <w:color w:val="000000"/>
          <w:sz w:val="32"/>
          <w:szCs w:val="32"/>
          <w:lang w:val="lt-LT"/>
        </w:rPr>
        <w:t>MYKOLO ROMERIO UNIVERSITETAS</w:t>
      </w:r>
      <w:r w:rsidRPr="00303A5A">
        <w:rPr>
          <w:color w:val="000000"/>
          <w:sz w:val="32"/>
          <w:szCs w:val="32"/>
          <w:lang w:val="lt-LT"/>
        </w:rPr>
        <w:t xml:space="preserve"> </w:t>
      </w:r>
    </w:p>
    <w:p w:rsidR="009803D7" w:rsidRPr="00303A5A" w:rsidRDefault="009803D7" w:rsidP="009803D7">
      <w:pPr>
        <w:tabs>
          <w:tab w:val="left" w:pos="0"/>
          <w:tab w:val="left" w:pos="3402"/>
        </w:tabs>
        <w:spacing w:before="60"/>
        <w:jc w:val="center"/>
        <w:rPr>
          <w:b/>
          <w:bCs/>
          <w:color w:val="000000"/>
          <w:sz w:val="28"/>
          <w:szCs w:val="28"/>
          <w:lang w:val="lt-LT"/>
        </w:rPr>
      </w:pPr>
      <w:r w:rsidRPr="00303A5A">
        <w:rPr>
          <w:b/>
          <w:bCs/>
          <w:color w:val="000000"/>
          <w:sz w:val="28"/>
          <w:szCs w:val="28"/>
          <w:lang w:val="lt-LT"/>
        </w:rPr>
        <w:t>EKONOMIKOS IR FINANSŲ VALDYMO FAKULTETAS</w:t>
      </w:r>
    </w:p>
    <w:p w:rsidR="009803D7" w:rsidRPr="00303A5A" w:rsidRDefault="009803D7" w:rsidP="009803D7">
      <w:pPr>
        <w:tabs>
          <w:tab w:val="left" w:pos="0"/>
          <w:tab w:val="left" w:pos="3402"/>
        </w:tabs>
        <w:spacing w:before="60"/>
        <w:jc w:val="center"/>
        <w:rPr>
          <w:b/>
          <w:color w:val="000000"/>
          <w:sz w:val="28"/>
          <w:szCs w:val="28"/>
          <w:lang w:val="lt-LT"/>
        </w:rPr>
      </w:pPr>
      <w:r w:rsidRPr="00303A5A">
        <w:rPr>
          <w:b/>
          <w:color w:val="000000"/>
          <w:sz w:val="28"/>
          <w:szCs w:val="28"/>
          <w:lang w:val="lt-LT"/>
        </w:rPr>
        <w:t xml:space="preserve">BANKININKYSTĖS IR INVESTICIJŲ KATEDRA </w:t>
      </w: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Default="009803D7" w:rsidP="009803D7">
      <w:pPr>
        <w:tabs>
          <w:tab w:val="left" w:pos="0"/>
          <w:tab w:val="left" w:pos="3402"/>
        </w:tabs>
        <w:jc w:val="center"/>
        <w:rPr>
          <w:b/>
          <w:color w:val="000000"/>
          <w:sz w:val="22"/>
          <w:lang w:val="lt-LT"/>
        </w:rPr>
      </w:pPr>
    </w:p>
    <w:p w:rsidR="000B1351" w:rsidRDefault="000B1351" w:rsidP="009803D7">
      <w:pPr>
        <w:tabs>
          <w:tab w:val="left" w:pos="0"/>
          <w:tab w:val="left" w:pos="3402"/>
        </w:tabs>
        <w:jc w:val="center"/>
        <w:rPr>
          <w:b/>
          <w:color w:val="000000"/>
          <w:sz w:val="22"/>
          <w:lang w:val="lt-LT"/>
        </w:rPr>
      </w:pPr>
    </w:p>
    <w:p w:rsidR="000B1351" w:rsidRPr="00303A5A" w:rsidRDefault="000B1351"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32"/>
          <w:szCs w:val="32"/>
          <w:lang w:val="lt-LT"/>
        </w:rPr>
      </w:pPr>
    </w:p>
    <w:p w:rsidR="009803D7" w:rsidRPr="00303A5A" w:rsidRDefault="009015FE" w:rsidP="009803D7">
      <w:pPr>
        <w:tabs>
          <w:tab w:val="left" w:pos="0"/>
          <w:tab w:val="left" w:pos="3402"/>
        </w:tabs>
        <w:jc w:val="center"/>
        <w:rPr>
          <w:b/>
          <w:color w:val="000000"/>
          <w:sz w:val="32"/>
          <w:szCs w:val="32"/>
          <w:lang w:val="lt-LT"/>
        </w:rPr>
      </w:pPr>
      <w:r>
        <w:rPr>
          <w:b/>
          <w:color w:val="000000"/>
          <w:sz w:val="32"/>
          <w:szCs w:val="32"/>
          <w:lang w:val="lt-LT"/>
        </w:rPr>
        <w:t>TOMA STOKAITĖ</w:t>
      </w:r>
    </w:p>
    <w:p w:rsidR="009803D7" w:rsidRPr="00303A5A" w:rsidRDefault="009803D7" w:rsidP="009803D7">
      <w:pPr>
        <w:tabs>
          <w:tab w:val="left" w:pos="0"/>
          <w:tab w:val="left" w:pos="3402"/>
        </w:tabs>
        <w:jc w:val="center"/>
        <w:rPr>
          <w:b/>
          <w:color w:val="000000"/>
          <w:sz w:val="32"/>
          <w:szCs w:val="32"/>
          <w:lang w:val="lt-LT"/>
        </w:rPr>
      </w:pPr>
    </w:p>
    <w:p w:rsidR="009803D7" w:rsidRPr="00303A5A" w:rsidRDefault="009803D7" w:rsidP="009803D7">
      <w:pPr>
        <w:tabs>
          <w:tab w:val="left" w:pos="0"/>
          <w:tab w:val="left" w:pos="3402"/>
        </w:tabs>
        <w:jc w:val="center"/>
        <w:rPr>
          <w:b/>
          <w:color w:val="000000"/>
          <w:sz w:val="32"/>
          <w:szCs w:val="32"/>
          <w:lang w:val="lt-LT"/>
        </w:rPr>
      </w:pPr>
    </w:p>
    <w:p w:rsidR="00F55F3D" w:rsidRDefault="009803D7" w:rsidP="009803D7">
      <w:pPr>
        <w:tabs>
          <w:tab w:val="left" w:pos="0"/>
          <w:tab w:val="left" w:pos="3402"/>
        </w:tabs>
        <w:ind w:right="-442"/>
        <w:jc w:val="center"/>
        <w:rPr>
          <w:b/>
          <w:color w:val="000000"/>
          <w:sz w:val="40"/>
          <w:szCs w:val="40"/>
          <w:lang w:val="lt-LT"/>
        </w:rPr>
      </w:pPr>
      <w:r w:rsidRPr="00303A5A">
        <w:rPr>
          <w:b/>
          <w:color w:val="000000"/>
          <w:sz w:val="40"/>
          <w:szCs w:val="40"/>
          <w:lang w:val="lt-LT"/>
        </w:rPr>
        <w:t>LIETUVOS NE GYVYBĖS DRAUDIMO RINKA</w:t>
      </w:r>
      <w:r w:rsidR="00240207">
        <w:rPr>
          <w:b/>
          <w:color w:val="000000"/>
          <w:sz w:val="40"/>
          <w:szCs w:val="40"/>
          <w:lang w:val="lt-LT"/>
        </w:rPr>
        <w:t xml:space="preserve">I </w:t>
      </w:r>
    </w:p>
    <w:p w:rsidR="009803D7" w:rsidRPr="00303A5A" w:rsidRDefault="00240207" w:rsidP="009803D7">
      <w:pPr>
        <w:tabs>
          <w:tab w:val="left" w:pos="0"/>
          <w:tab w:val="left" w:pos="3402"/>
        </w:tabs>
        <w:ind w:right="-442"/>
        <w:jc w:val="center"/>
        <w:rPr>
          <w:b/>
          <w:color w:val="000000"/>
          <w:sz w:val="40"/>
          <w:szCs w:val="40"/>
          <w:lang w:val="lt-LT"/>
        </w:rPr>
      </w:pPr>
      <w:r>
        <w:rPr>
          <w:b/>
          <w:color w:val="000000"/>
          <w:sz w:val="40"/>
          <w:szCs w:val="40"/>
          <w:lang w:val="lt-LT"/>
        </w:rPr>
        <w:t>ĮTAKĄ DARANČIŲ VEIKSNIŲ VERTINIMAS</w:t>
      </w:r>
      <w:r w:rsidR="009803D7" w:rsidRPr="00303A5A">
        <w:rPr>
          <w:b/>
          <w:color w:val="000000"/>
          <w:sz w:val="40"/>
          <w:szCs w:val="40"/>
          <w:lang w:val="lt-LT"/>
        </w:rPr>
        <w:t xml:space="preserve"> </w:t>
      </w:r>
    </w:p>
    <w:p w:rsidR="009803D7" w:rsidRPr="00303A5A" w:rsidRDefault="009803D7" w:rsidP="009803D7">
      <w:pPr>
        <w:tabs>
          <w:tab w:val="left" w:pos="0"/>
          <w:tab w:val="left" w:pos="3402"/>
        </w:tabs>
        <w:ind w:right="-442"/>
        <w:rPr>
          <w:b/>
          <w:color w:val="000000"/>
          <w:sz w:val="40"/>
          <w:szCs w:val="40"/>
          <w:lang w:val="lt-LT"/>
        </w:rPr>
      </w:pPr>
    </w:p>
    <w:p w:rsidR="009803D7" w:rsidRPr="00303A5A" w:rsidRDefault="009803D7" w:rsidP="009803D7">
      <w:pPr>
        <w:tabs>
          <w:tab w:val="left" w:pos="0"/>
        </w:tabs>
        <w:spacing w:before="60"/>
        <w:jc w:val="center"/>
        <w:rPr>
          <w:b/>
          <w:color w:val="000000"/>
          <w:sz w:val="28"/>
          <w:szCs w:val="28"/>
          <w:lang w:val="lt-LT"/>
        </w:rPr>
      </w:pPr>
      <w:r w:rsidRPr="00303A5A">
        <w:rPr>
          <w:b/>
          <w:color w:val="000000"/>
          <w:sz w:val="28"/>
          <w:szCs w:val="28"/>
          <w:lang w:val="lt-LT"/>
        </w:rPr>
        <w:t>Magistro baigiamasis darbas</w:t>
      </w: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ind w:firstLine="6300"/>
        <w:rPr>
          <w:b/>
          <w:color w:val="000000"/>
          <w:lang w:val="lt-LT"/>
        </w:rPr>
      </w:pPr>
    </w:p>
    <w:p w:rsidR="009803D7" w:rsidRPr="00303A5A" w:rsidRDefault="009803D7" w:rsidP="009803D7">
      <w:pPr>
        <w:tabs>
          <w:tab w:val="left" w:pos="0"/>
        </w:tabs>
        <w:ind w:firstLine="6300"/>
        <w:rPr>
          <w:b/>
          <w:color w:val="000000"/>
          <w:lang w:val="lt-LT"/>
        </w:rPr>
      </w:pPr>
    </w:p>
    <w:p w:rsidR="009803D7" w:rsidRPr="00303A5A" w:rsidRDefault="009803D7" w:rsidP="009803D7">
      <w:pPr>
        <w:tabs>
          <w:tab w:val="left" w:pos="0"/>
        </w:tabs>
        <w:ind w:firstLine="6300"/>
        <w:rPr>
          <w:b/>
          <w:color w:val="000000"/>
          <w:lang w:val="lt-LT"/>
        </w:rPr>
      </w:pPr>
      <w:r w:rsidRPr="00303A5A">
        <w:rPr>
          <w:b/>
          <w:color w:val="000000"/>
          <w:lang w:val="lt-LT"/>
        </w:rPr>
        <w:t>Vadovas</w:t>
      </w:r>
    </w:p>
    <w:p w:rsidR="009803D7" w:rsidRPr="00303A5A" w:rsidRDefault="009803D7" w:rsidP="009803D7">
      <w:pPr>
        <w:tabs>
          <w:tab w:val="left" w:pos="0"/>
        </w:tabs>
        <w:ind w:right="28" w:firstLine="6300"/>
        <w:rPr>
          <w:b/>
          <w:color w:val="000000"/>
          <w:lang w:val="lt-LT"/>
        </w:rPr>
      </w:pPr>
      <w:r w:rsidRPr="00303A5A">
        <w:rPr>
          <w:b/>
          <w:color w:val="000000"/>
          <w:lang w:val="lt-LT"/>
        </w:rPr>
        <w:t xml:space="preserve"> doc. dr. S</w:t>
      </w:r>
      <w:r w:rsidR="00240207">
        <w:rPr>
          <w:b/>
          <w:color w:val="000000"/>
          <w:lang w:val="lt-LT"/>
        </w:rPr>
        <w:t>t</w:t>
      </w:r>
      <w:r w:rsidRPr="00303A5A">
        <w:rPr>
          <w:b/>
          <w:color w:val="000000"/>
          <w:lang w:val="lt-LT"/>
        </w:rPr>
        <w:t>. Taraila</w:t>
      </w:r>
    </w:p>
    <w:p w:rsidR="009803D7" w:rsidRPr="00303A5A" w:rsidRDefault="009803D7" w:rsidP="009803D7">
      <w:pPr>
        <w:tabs>
          <w:tab w:val="left" w:pos="0"/>
        </w:tabs>
        <w:ind w:firstLine="6300"/>
        <w:rPr>
          <w:b/>
          <w:color w:val="000000"/>
          <w:lang w:val="lt-LT"/>
        </w:rPr>
      </w:pPr>
    </w:p>
    <w:p w:rsidR="009803D7" w:rsidRPr="00303A5A" w:rsidRDefault="009803D7" w:rsidP="009803D7">
      <w:pPr>
        <w:tabs>
          <w:tab w:val="left" w:pos="0"/>
        </w:tabs>
        <w:rPr>
          <w:b/>
          <w:color w:val="000000"/>
          <w:sz w:val="22"/>
          <w:lang w:val="lt-LT"/>
        </w:rPr>
      </w:pPr>
    </w:p>
    <w:p w:rsidR="009803D7" w:rsidRPr="00303A5A" w:rsidRDefault="009803D7" w:rsidP="009803D7">
      <w:pPr>
        <w:tabs>
          <w:tab w:val="left" w:pos="0"/>
        </w:tabs>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jc w:val="center"/>
        <w:rPr>
          <w:b/>
          <w:color w:val="000000"/>
          <w:sz w:val="28"/>
          <w:szCs w:val="28"/>
          <w:lang w:val="lt-LT"/>
        </w:rPr>
      </w:pPr>
    </w:p>
    <w:p w:rsidR="009803D7" w:rsidRPr="00303A5A" w:rsidRDefault="009803D7" w:rsidP="009803D7">
      <w:pPr>
        <w:jc w:val="center"/>
        <w:rPr>
          <w:b/>
          <w:color w:val="000000"/>
          <w:sz w:val="28"/>
          <w:szCs w:val="28"/>
          <w:lang w:val="lt-LT"/>
        </w:rPr>
      </w:pPr>
    </w:p>
    <w:p w:rsidR="009803D7" w:rsidRPr="00303A5A" w:rsidRDefault="009803D7" w:rsidP="009803D7">
      <w:pPr>
        <w:jc w:val="center"/>
        <w:rPr>
          <w:b/>
          <w:color w:val="000000"/>
          <w:sz w:val="28"/>
          <w:szCs w:val="28"/>
          <w:lang w:val="lt-LT"/>
        </w:rPr>
      </w:pPr>
    </w:p>
    <w:p w:rsidR="000B1351" w:rsidRDefault="000B1351" w:rsidP="009803D7">
      <w:pPr>
        <w:jc w:val="center"/>
        <w:rPr>
          <w:b/>
          <w:color w:val="000000"/>
          <w:sz w:val="28"/>
          <w:szCs w:val="28"/>
          <w:lang w:val="lt-LT"/>
        </w:rPr>
      </w:pPr>
    </w:p>
    <w:p w:rsidR="000B1351" w:rsidRPr="00303A5A" w:rsidRDefault="000B1351" w:rsidP="009803D7">
      <w:pPr>
        <w:jc w:val="center"/>
        <w:rPr>
          <w:b/>
          <w:color w:val="000000"/>
          <w:sz w:val="28"/>
          <w:szCs w:val="28"/>
          <w:lang w:val="lt-LT"/>
        </w:rPr>
      </w:pPr>
    </w:p>
    <w:p w:rsidR="009803D7" w:rsidRPr="00303A5A" w:rsidRDefault="009803D7" w:rsidP="009803D7">
      <w:pPr>
        <w:jc w:val="center"/>
        <w:rPr>
          <w:b/>
          <w:color w:val="000000"/>
          <w:sz w:val="28"/>
          <w:szCs w:val="28"/>
          <w:lang w:val="lt-LT"/>
        </w:rPr>
      </w:pPr>
    </w:p>
    <w:p w:rsidR="009803D7" w:rsidRPr="00303A5A" w:rsidRDefault="009803D7" w:rsidP="009803D7">
      <w:pPr>
        <w:jc w:val="center"/>
        <w:rPr>
          <w:b/>
          <w:color w:val="000000"/>
          <w:sz w:val="28"/>
          <w:szCs w:val="28"/>
          <w:lang w:val="lt-LT"/>
        </w:rPr>
      </w:pPr>
    </w:p>
    <w:p w:rsidR="009803D7" w:rsidRPr="00303A5A" w:rsidRDefault="009803D7" w:rsidP="009803D7">
      <w:pPr>
        <w:jc w:val="center"/>
        <w:rPr>
          <w:sz w:val="28"/>
          <w:szCs w:val="28"/>
          <w:lang w:val="lt-LT"/>
        </w:rPr>
      </w:pPr>
      <w:r w:rsidRPr="00303A5A">
        <w:rPr>
          <w:b/>
          <w:color w:val="000000"/>
          <w:sz w:val="28"/>
          <w:szCs w:val="28"/>
          <w:lang w:val="lt-LT"/>
        </w:rPr>
        <w:t>VILNIUS, 2011</w:t>
      </w:r>
    </w:p>
    <w:p w:rsidR="009803D7" w:rsidRPr="00303A5A" w:rsidRDefault="009803D7" w:rsidP="009803D7">
      <w:pPr>
        <w:tabs>
          <w:tab w:val="left" w:pos="0"/>
          <w:tab w:val="left" w:pos="3402"/>
        </w:tabs>
        <w:spacing w:before="60"/>
        <w:jc w:val="center"/>
        <w:rPr>
          <w:color w:val="000000"/>
          <w:sz w:val="32"/>
          <w:szCs w:val="32"/>
          <w:lang w:val="lt-LT"/>
        </w:rPr>
      </w:pPr>
      <w:r w:rsidRPr="00303A5A">
        <w:rPr>
          <w:b/>
          <w:color w:val="000000"/>
          <w:sz w:val="32"/>
          <w:szCs w:val="32"/>
          <w:lang w:val="lt-LT"/>
        </w:rPr>
        <w:lastRenderedPageBreak/>
        <w:t>MYKOLO ROMERIO UNIVERSITETAS</w:t>
      </w:r>
      <w:r w:rsidRPr="00303A5A">
        <w:rPr>
          <w:color w:val="000000"/>
          <w:sz w:val="32"/>
          <w:szCs w:val="32"/>
          <w:lang w:val="lt-LT"/>
        </w:rPr>
        <w:t xml:space="preserve"> </w:t>
      </w:r>
    </w:p>
    <w:p w:rsidR="009803D7" w:rsidRPr="00303A5A" w:rsidRDefault="009803D7" w:rsidP="009803D7">
      <w:pPr>
        <w:tabs>
          <w:tab w:val="left" w:pos="0"/>
          <w:tab w:val="left" w:pos="3402"/>
        </w:tabs>
        <w:spacing w:before="60"/>
        <w:jc w:val="center"/>
        <w:rPr>
          <w:b/>
          <w:bCs/>
          <w:color w:val="000000"/>
          <w:sz w:val="28"/>
          <w:szCs w:val="28"/>
          <w:lang w:val="lt-LT"/>
        </w:rPr>
      </w:pPr>
      <w:r w:rsidRPr="00303A5A">
        <w:rPr>
          <w:b/>
          <w:bCs/>
          <w:color w:val="000000"/>
          <w:sz w:val="28"/>
          <w:szCs w:val="28"/>
          <w:lang w:val="lt-LT"/>
        </w:rPr>
        <w:t>EKONOMIKOS IR FINANSŲ VALDYMO FAKULTETAS</w:t>
      </w:r>
    </w:p>
    <w:p w:rsidR="009803D7" w:rsidRPr="00303A5A" w:rsidRDefault="009803D7" w:rsidP="009803D7">
      <w:pPr>
        <w:tabs>
          <w:tab w:val="left" w:pos="0"/>
          <w:tab w:val="left" w:pos="3402"/>
        </w:tabs>
        <w:spacing w:before="60"/>
        <w:jc w:val="center"/>
        <w:rPr>
          <w:b/>
          <w:color w:val="000000"/>
          <w:sz w:val="28"/>
          <w:szCs w:val="28"/>
          <w:lang w:val="lt-LT"/>
        </w:rPr>
      </w:pPr>
      <w:r w:rsidRPr="00303A5A">
        <w:rPr>
          <w:b/>
          <w:color w:val="000000"/>
          <w:sz w:val="28"/>
          <w:szCs w:val="28"/>
          <w:lang w:val="lt-LT"/>
        </w:rPr>
        <w:t xml:space="preserve">BANKININKYSTĖS IR INVESTICIJŲ KATEDRA </w:t>
      </w: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jc w:val="center"/>
        <w:rPr>
          <w:b/>
          <w:color w:val="000000"/>
          <w:sz w:val="22"/>
          <w:lang w:val="lt-LT"/>
        </w:rPr>
      </w:pPr>
    </w:p>
    <w:p w:rsidR="009803D7" w:rsidRPr="00303A5A" w:rsidRDefault="009803D7" w:rsidP="009803D7">
      <w:pPr>
        <w:tabs>
          <w:tab w:val="left" w:pos="0"/>
          <w:tab w:val="left" w:pos="3402"/>
        </w:tabs>
        <w:rPr>
          <w:b/>
          <w:color w:val="000000"/>
          <w:sz w:val="22"/>
          <w:lang w:val="lt-LT"/>
        </w:rPr>
      </w:pPr>
    </w:p>
    <w:p w:rsidR="009803D7" w:rsidRPr="00303A5A" w:rsidRDefault="009803D7" w:rsidP="009803D7">
      <w:pPr>
        <w:tabs>
          <w:tab w:val="left" w:pos="0"/>
          <w:tab w:val="left" w:pos="3402"/>
        </w:tabs>
        <w:jc w:val="center"/>
        <w:rPr>
          <w:b/>
          <w:color w:val="000000"/>
          <w:sz w:val="32"/>
          <w:szCs w:val="32"/>
          <w:lang w:val="lt-LT"/>
        </w:rPr>
      </w:pPr>
    </w:p>
    <w:p w:rsidR="009803D7" w:rsidRPr="00303A5A" w:rsidRDefault="009803D7" w:rsidP="009803D7">
      <w:pPr>
        <w:tabs>
          <w:tab w:val="left" w:pos="0"/>
          <w:tab w:val="left" w:pos="3402"/>
        </w:tabs>
        <w:jc w:val="center"/>
        <w:rPr>
          <w:b/>
          <w:color w:val="000000"/>
          <w:sz w:val="32"/>
          <w:szCs w:val="32"/>
          <w:lang w:val="lt-LT"/>
        </w:rPr>
      </w:pPr>
    </w:p>
    <w:p w:rsidR="009803D7" w:rsidRPr="00303A5A" w:rsidRDefault="009803D7" w:rsidP="009803D7">
      <w:pPr>
        <w:tabs>
          <w:tab w:val="left" w:pos="0"/>
          <w:tab w:val="left" w:pos="3402"/>
        </w:tabs>
        <w:jc w:val="center"/>
        <w:rPr>
          <w:b/>
          <w:color w:val="000000"/>
          <w:sz w:val="32"/>
          <w:szCs w:val="32"/>
          <w:lang w:val="lt-LT"/>
        </w:rPr>
      </w:pPr>
    </w:p>
    <w:p w:rsidR="009803D7" w:rsidRPr="00303A5A" w:rsidRDefault="009803D7" w:rsidP="009803D7">
      <w:pPr>
        <w:tabs>
          <w:tab w:val="left" w:pos="0"/>
          <w:tab w:val="left" w:pos="3402"/>
        </w:tabs>
        <w:jc w:val="center"/>
        <w:rPr>
          <w:b/>
          <w:color w:val="000000"/>
          <w:sz w:val="32"/>
          <w:szCs w:val="32"/>
          <w:lang w:val="lt-LT"/>
        </w:rPr>
      </w:pPr>
    </w:p>
    <w:p w:rsidR="00F55F3D" w:rsidRDefault="00240207" w:rsidP="00240207">
      <w:pPr>
        <w:tabs>
          <w:tab w:val="left" w:pos="0"/>
          <w:tab w:val="left" w:pos="3402"/>
        </w:tabs>
        <w:ind w:right="-442"/>
        <w:jc w:val="center"/>
        <w:rPr>
          <w:b/>
          <w:color w:val="000000"/>
          <w:sz w:val="40"/>
          <w:szCs w:val="40"/>
          <w:lang w:val="lt-LT"/>
        </w:rPr>
      </w:pPr>
      <w:r w:rsidRPr="00303A5A">
        <w:rPr>
          <w:b/>
          <w:color w:val="000000"/>
          <w:sz w:val="40"/>
          <w:szCs w:val="40"/>
          <w:lang w:val="lt-LT"/>
        </w:rPr>
        <w:t>LIETUVOS NE GYVYBĖS DRAUDIMO RINKA</w:t>
      </w:r>
      <w:r>
        <w:rPr>
          <w:b/>
          <w:color w:val="000000"/>
          <w:sz w:val="40"/>
          <w:szCs w:val="40"/>
          <w:lang w:val="lt-LT"/>
        </w:rPr>
        <w:t>I</w:t>
      </w:r>
    </w:p>
    <w:p w:rsidR="00240207" w:rsidRPr="00303A5A" w:rsidRDefault="00240207" w:rsidP="00240207">
      <w:pPr>
        <w:tabs>
          <w:tab w:val="left" w:pos="0"/>
          <w:tab w:val="left" w:pos="3402"/>
        </w:tabs>
        <w:ind w:right="-442"/>
        <w:jc w:val="center"/>
        <w:rPr>
          <w:b/>
          <w:color w:val="000000"/>
          <w:sz w:val="40"/>
          <w:szCs w:val="40"/>
          <w:lang w:val="lt-LT"/>
        </w:rPr>
      </w:pPr>
      <w:r>
        <w:rPr>
          <w:b/>
          <w:color w:val="000000"/>
          <w:sz w:val="40"/>
          <w:szCs w:val="40"/>
          <w:lang w:val="lt-LT"/>
        </w:rPr>
        <w:t xml:space="preserve"> ĮTAKĄ DARANČIŲ VEIKSNIŲ VERTINIMAS</w:t>
      </w:r>
      <w:r w:rsidRPr="00303A5A">
        <w:rPr>
          <w:b/>
          <w:color w:val="000000"/>
          <w:sz w:val="40"/>
          <w:szCs w:val="40"/>
          <w:lang w:val="lt-LT"/>
        </w:rPr>
        <w:t xml:space="preserve"> </w:t>
      </w:r>
    </w:p>
    <w:p w:rsidR="009803D7" w:rsidRPr="00303A5A" w:rsidRDefault="009803D7" w:rsidP="009803D7">
      <w:pPr>
        <w:tabs>
          <w:tab w:val="left" w:pos="0"/>
        </w:tabs>
        <w:spacing w:before="60"/>
        <w:jc w:val="center"/>
        <w:rPr>
          <w:b/>
          <w:color w:val="000000"/>
          <w:sz w:val="28"/>
          <w:szCs w:val="28"/>
          <w:lang w:val="lt-LT"/>
        </w:rPr>
      </w:pPr>
      <w:r w:rsidRPr="00303A5A">
        <w:rPr>
          <w:b/>
          <w:color w:val="000000"/>
          <w:sz w:val="28"/>
          <w:szCs w:val="28"/>
          <w:lang w:val="lt-LT"/>
        </w:rPr>
        <w:t>Finansų rinkų magistro baigiamasis darbas</w:t>
      </w:r>
    </w:p>
    <w:p w:rsidR="009803D7" w:rsidRDefault="009803D7" w:rsidP="006137E4">
      <w:pPr>
        <w:tabs>
          <w:tab w:val="left" w:pos="0"/>
        </w:tabs>
        <w:spacing w:before="60"/>
        <w:jc w:val="center"/>
        <w:rPr>
          <w:b/>
          <w:color w:val="000000"/>
          <w:sz w:val="28"/>
          <w:szCs w:val="28"/>
          <w:lang w:val="lt-LT"/>
        </w:rPr>
      </w:pPr>
      <w:r w:rsidRPr="00303A5A">
        <w:rPr>
          <w:b/>
          <w:color w:val="000000"/>
          <w:sz w:val="28"/>
          <w:szCs w:val="28"/>
          <w:lang w:val="lt-LT"/>
        </w:rPr>
        <w:t xml:space="preserve">Studijų programa </w:t>
      </w:r>
      <w:r w:rsidR="006137E4">
        <w:rPr>
          <w:b/>
          <w:color w:val="000000"/>
          <w:sz w:val="28"/>
          <w:szCs w:val="28"/>
          <w:lang w:val="lt-LT"/>
        </w:rPr>
        <w:t xml:space="preserve">621L10009 </w:t>
      </w:r>
    </w:p>
    <w:p w:rsidR="006137E4" w:rsidRPr="00303A5A" w:rsidRDefault="006137E4" w:rsidP="006137E4">
      <w:pPr>
        <w:tabs>
          <w:tab w:val="left" w:pos="0"/>
        </w:tabs>
        <w:spacing w:before="60"/>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tabs>
          <w:tab w:val="left" w:pos="0"/>
        </w:tabs>
        <w:ind w:firstLine="6300"/>
        <w:rPr>
          <w:b/>
          <w:color w:val="000000"/>
          <w:lang w:val="lt-LT"/>
        </w:rPr>
      </w:pPr>
    </w:p>
    <w:p w:rsidR="009803D7" w:rsidRPr="00303A5A" w:rsidRDefault="009803D7" w:rsidP="009803D7">
      <w:pPr>
        <w:tabs>
          <w:tab w:val="left" w:pos="0"/>
        </w:tabs>
        <w:ind w:firstLine="6300"/>
        <w:rPr>
          <w:b/>
          <w:color w:val="000000"/>
          <w:lang w:val="lt-LT"/>
        </w:rPr>
      </w:pPr>
    </w:p>
    <w:p w:rsidR="009803D7" w:rsidRPr="00303A5A" w:rsidRDefault="009803D7" w:rsidP="009803D7">
      <w:pPr>
        <w:tabs>
          <w:tab w:val="left" w:pos="0"/>
        </w:tabs>
        <w:ind w:firstLine="6300"/>
        <w:rPr>
          <w:b/>
          <w:color w:val="000000"/>
          <w:lang w:val="lt-LT"/>
        </w:rPr>
      </w:pPr>
      <w:r w:rsidRPr="00303A5A">
        <w:rPr>
          <w:b/>
          <w:color w:val="000000"/>
          <w:lang w:val="lt-LT"/>
        </w:rPr>
        <w:t>Vadovas</w:t>
      </w:r>
    </w:p>
    <w:p w:rsidR="009803D7" w:rsidRPr="00303A5A" w:rsidRDefault="009803D7" w:rsidP="009803D7">
      <w:pPr>
        <w:tabs>
          <w:tab w:val="left" w:pos="0"/>
        </w:tabs>
        <w:ind w:right="28" w:firstLine="6300"/>
        <w:rPr>
          <w:b/>
          <w:color w:val="000000"/>
          <w:lang w:val="lt-LT"/>
        </w:rPr>
      </w:pPr>
      <w:r w:rsidRPr="00303A5A">
        <w:rPr>
          <w:b/>
          <w:color w:val="000000"/>
          <w:lang w:val="lt-LT"/>
        </w:rPr>
        <w:t xml:space="preserve"> doc. dr. S</w:t>
      </w:r>
      <w:r w:rsidR="00240207">
        <w:rPr>
          <w:b/>
          <w:color w:val="000000"/>
          <w:lang w:val="lt-LT"/>
        </w:rPr>
        <w:t>t</w:t>
      </w:r>
      <w:r w:rsidRPr="00303A5A">
        <w:rPr>
          <w:b/>
          <w:color w:val="000000"/>
          <w:lang w:val="lt-LT"/>
        </w:rPr>
        <w:t>. Taraila</w:t>
      </w:r>
    </w:p>
    <w:p w:rsidR="009803D7" w:rsidRDefault="009015FE" w:rsidP="009803D7">
      <w:pPr>
        <w:tabs>
          <w:tab w:val="left" w:pos="0"/>
        </w:tabs>
        <w:ind w:firstLine="6300"/>
        <w:rPr>
          <w:b/>
          <w:color w:val="000000"/>
          <w:lang w:val="lt-LT"/>
        </w:rPr>
      </w:pPr>
      <w:r>
        <w:rPr>
          <w:b/>
          <w:color w:val="000000"/>
          <w:lang w:val="lt-LT"/>
        </w:rPr>
        <w:t xml:space="preserve">2011 12 </w:t>
      </w:r>
    </w:p>
    <w:p w:rsidR="009015FE" w:rsidRPr="00303A5A" w:rsidRDefault="009015FE" w:rsidP="009803D7">
      <w:pPr>
        <w:tabs>
          <w:tab w:val="left" w:pos="0"/>
        </w:tabs>
        <w:ind w:firstLine="6300"/>
        <w:rPr>
          <w:b/>
          <w:color w:val="000000"/>
          <w:lang w:val="lt-LT"/>
        </w:rPr>
      </w:pPr>
    </w:p>
    <w:p w:rsidR="009803D7" w:rsidRPr="00303A5A" w:rsidRDefault="009803D7" w:rsidP="009803D7">
      <w:pPr>
        <w:tabs>
          <w:tab w:val="left" w:pos="0"/>
        </w:tabs>
        <w:rPr>
          <w:b/>
          <w:color w:val="000000"/>
          <w:sz w:val="22"/>
          <w:lang w:val="lt-LT"/>
        </w:rPr>
      </w:pPr>
      <w:r w:rsidRPr="00303A5A">
        <w:rPr>
          <w:b/>
          <w:color w:val="000000"/>
          <w:sz w:val="22"/>
          <w:lang w:val="lt-LT"/>
        </w:rPr>
        <w:t>Recenzentas                                                                                              Atliko</w:t>
      </w:r>
    </w:p>
    <w:p w:rsidR="009803D7" w:rsidRPr="00303A5A" w:rsidRDefault="009803D7" w:rsidP="009803D7">
      <w:pPr>
        <w:tabs>
          <w:tab w:val="left" w:pos="0"/>
        </w:tabs>
        <w:rPr>
          <w:b/>
          <w:color w:val="000000"/>
          <w:sz w:val="22"/>
          <w:lang w:val="lt-LT"/>
        </w:rPr>
      </w:pPr>
      <w:r w:rsidRPr="00303A5A">
        <w:rPr>
          <w:b/>
          <w:color w:val="000000"/>
          <w:sz w:val="22"/>
          <w:lang w:val="lt-LT"/>
        </w:rPr>
        <w:t xml:space="preserve">                                                                                                                   FRmn0-02 gr. stud.</w:t>
      </w:r>
    </w:p>
    <w:p w:rsidR="009803D7" w:rsidRPr="00303A5A" w:rsidRDefault="009803D7" w:rsidP="009803D7">
      <w:pPr>
        <w:tabs>
          <w:tab w:val="left" w:pos="0"/>
        </w:tabs>
        <w:rPr>
          <w:b/>
          <w:color w:val="000000"/>
          <w:sz w:val="22"/>
          <w:lang w:val="lt-LT"/>
        </w:rPr>
      </w:pPr>
      <w:r w:rsidRPr="00303A5A">
        <w:rPr>
          <w:b/>
          <w:color w:val="000000"/>
          <w:sz w:val="22"/>
          <w:lang w:val="lt-LT"/>
        </w:rPr>
        <w:t xml:space="preserve">2011 12                                                                                                 </w:t>
      </w:r>
      <w:r w:rsidR="009015FE">
        <w:rPr>
          <w:b/>
          <w:color w:val="000000"/>
          <w:sz w:val="22"/>
          <w:lang w:val="lt-LT"/>
        </w:rPr>
        <w:t xml:space="preserve"> </w:t>
      </w:r>
      <w:r w:rsidRPr="00303A5A">
        <w:rPr>
          <w:b/>
          <w:color w:val="000000"/>
          <w:sz w:val="22"/>
          <w:lang w:val="lt-LT"/>
        </w:rPr>
        <w:t xml:space="preserve">    T. Stokaitė</w:t>
      </w:r>
    </w:p>
    <w:p w:rsidR="009803D7" w:rsidRPr="00303A5A" w:rsidRDefault="009803D7" w:rsidP="009803D7">
      <w:pPr>
        <w:tabs>
          <w:tab w:val="left" w:pos="0"/>
        </w:tabs>
        <w:rPr>
          <w:b/>
          <w:color w:val="000000"/>
          <w:sz w:val="22"/>
          <w:lang w:val="lt-LT"/>
        </w:rPr>
      </w:pPr>
      <w:r w:rsidRPr="00303A5A">
        <w:rPr>
          <w:b/>
          <w:color w:val="000000"/>
          <w:sz w:val="22"/>
          <w:lang w:val="lt-LT"/>
        </w:rPr>
        <w:t xml:space="preserve">                                                                                                                   </w:t>
      </w:r>
      <w:r w:rsidR="000F5AB5">
        <w:rPr>
          <w:b/>
          <w:color w:val="000000"/>
          <w:sz w:val="22"/>
          <w:lang w:val="lt-LT"/>
        </w:rPr>
        <w:t>2011 12 19</w:t>
      </w:r>
    </w:p>
    <w:p w:rsidR="009803D7" w:rsidRPr="00303A5A" w:rsidRDefault="009803D7" w:rsidP="009803D7">
      <w:pPr>
        <w:tabs>
          <w:tab w:val="left" w:pos="0"/>
        </w:tabs>
        <w:rPr>
          <w:b/>
          <w:color w:val="000000"/>
          <w:sz w:val="22"/>
          <w:lang w:val="lt-LT"/>
        </w:rPr>
      </w:pPr>
    </w:p>
    <w:p w:rsidR="009803D7" w:rsidRPr="00303A5A" w:rsidRDefault="009803D7" w:rsidP="009803D7">
      <w:pPr>
        <w:tabs>
          <w:tab w:val="left" w:pos="0"/>
        </w:tabs>
        <w:jc w:val="center"/>
        <w:rPr>
          <w:b/>
          <w:color w:val="000000"/>
          <w:sz w:val="22"/>
          <w:lang w:val="lt-LT"/>
        </w:rPr>
      </w:pPr>
    </w:p>
    <w:p w:rsidR="009803D7" w:rsidRPr="00303A5A" w:rsidRDefault="009803D7" w:rsidP="009803D7">
      <w:pPr>
        <w:jc w:val="center"/>
        <w:rPr>
          <w:b/>
          <w:color w:val="000000"/>
          <w:sz w:val="28"/>
          <w:szCs w:val="28"/>
          <w:lang w:val="lt-LT"/>
        </w:rPr>
      </w:pPr>
    </w:p>
    <w:p w:rsidR="009803D7" w:rsidRPr="00303A5A" w:rsidRDefault="009803D7" w:rsidP="009803D7">
      <w:pPr>
        <w:jc w:val="center"/>
        <w:rPr>
          <w:b/>
          <w:color w:val="000000"/>
          <w:sz w:val="28"/>
          <w:szCs w:val="28"/>
          <w:lang w:val="lt-LT"/>
        </w:rPr>
      </w:pPr>
    </w:p>
    <w:p w:rsidR="009803D7" w:rsidRDefault="009803D7" w:rsidP="009803D7">
      <w:pPr>
        <w:jc w:val="center"/>
        <w:rPr>
          <w:b/>
          <w:color w:val="000000"/>
          <w:sz w:val="28"/>
          <w:szCs w:val="28"/>
          <w:lang w:val="lt-LT"/>
        </w:rPr>
      </w:pPr>
    </w:p>
    <w:p w:rsidR="000B1351" w:rsidRDefault="000B1351" w:rsidP="009803D7">
      <w:pPr>
        <w:jc w:val="center"/>
        <w:rPr>
          <w:b/>
          <w:color w:val="000000"/>
          <w:sz w:val="28"/>
          <w:szCs w:val="28"/>
          <w:lang w:val="lt-LT"/>
        </w:rPr>
      </w:pPr>
    </w:p>
    <w:p w:rsidR="000B1351" w:rsidRPr="00303A5A" w:rsidRDefault="000B1351" w:rsidP="009803D7">
      <w:pPr>
        <w:jc w:val="center"/>
        <w:rPr>
          <w:b/>
          <w:color w:val="000000"/>
          <w:sz w:val="28"/>
          <w:szCs w:val="28"/>
          <w:lang w:val="lt-LT"/>
        </w:rPr>
      </w:pPr>
    </w:p>
    <w:p w:rsidR="009803D7" w:rsidRPr="00303A5A" w:rsidRDefault="009803D7" w:rsidP="009803D7">
      <w:pPr>
        <w:jc w:val="center"/>
        <w:rPr>
          <w:b/>
          <w:color w:val="000000"/>
          <w:sz w:val="28"/>
          <w:szCs w:val="28"/>
          <w:lang w:val="lt-LT"/>
        </w:rPr>
      </w:pPr>
    </w:p>
    <w:p w:rsidR="009803D7" w:rsidRDefault="009803D7" w:rsidP="009803D7">
      <w:pPr>
        <w:jc w:val="center"/>
        <w:rPr>
          <w:b/>
          <w:color w:val="000000"/>
          <w:sz w:val="28"/>
          <w:szCs w:val="28"/>
          <w:lang w:val="lt-LT"/>
        </w:rPr>
      </w:pPr>
      <w:r w:rsidRPr="00303A5A">
        <w:rPr>
          <w:b/>
          <w:color w:val="000000"/>
          <w:sz w:val="28"/>
          <w:szCs w:val="28"/>
          <w:lang w:val="lt-LT"/>
        </w:rPr>
        <w:t>VILNIUS, 2011</w:t>
      </w:r>
    </w:p>
    <w:p w:rsidR="00720EB7" w:rsidRDefault="00720EB7" w:rsidP="009803D7">
      <w:pPr>
        <w:jc w:val="center"/>
        <w:rPr>
          <w:b/>
          <w:color w:val="000000"/>
          <w:sz w:val="28"/>
          <w:szCs w:val="28"/>
          <w:lang w:val="lt-LT"/>
        </w:rPr>
      </w:pPr>
    </w:p>
    <w:p w:rsidR="00720EB7" w:rsidRDefault="00720EB7" w:rsidP="009803D7">
      <w:pPr>
        <w:jc w:val="center"/>
        <w:rPr>
          <w:b/>
          <w:color w:val="000000"/>
          <w:sz w:val="28"/>
          <w:szCs w:val="28"/>
          <w:lang w:val="lt-LT"/>
        </w:rPr>
      </w:pPr>
      <w:r>
        <w:rPr>
          <w:b/>
          <w:color w:val="000000"/>
          <w:sz w:val="28"/>
          <w:szCs w:val="28"/>
          <w:lang w:val="lt-LT"/>
        </w:rPr>
        <w:lastRenderedPageBreak/>
        <w:t>TURINYS</w:t>
      </w:r>
    </w:p>
    <w:p w:rsidR="00AE1F22" w:rsidRPr="00303A5A" w:rsidRDefault="00AE1F22" w:rsidP="009803D7">
      <w:pPr>
        <w:jc w:val="center"/>
        <w:rPr>
          <w:sz w:val="28"/>
          <w:szCs w:val="28"/>
          <w:lang w:val="lt-LT"/>
        </w:rPr>
      </w:pPr>
    </w:p>
    <w:p w:rsidR="000D2310" w:rsidRPr="00720EB7" w:rsidRDefault="00C20A22" w:rsidP="00720EB7">
      <w:pPr>
        <w:pStyle w:val="TOC1"/>
        <w:spacing w:before="120"/>
        <w:rPr>
          <w:rFonts w:ascii="Times New Roman" w:eastAsiaTheme="minorEastAsia" w:hAnsi="Times New Roman"/>
          <w:b w:val="0"/>
          <w:noProof/>
        </w:rPr>
      </w:pPr>
      <w:r w:rsidRPr="00C20A22">
        <w:rPr>
          <w:rFonts w:ascii="Times New Roman" w:hAnsi="Times New Roman"/>
          <w:b w:val="0"/>
          <w:lang w:val="lt-LT"/>
        </w:rPr>
        <w:fldChar w:fldCharType="begin"/>
      </w:r>
      <w:r w:rsidR="000D2310" w:rsidRPr="00720EB7">
        <w:rPr>
          <w:rFonts w:ascii="Times New Roman" w:hAnsi="Times New Roman"/>
          <w:b w:val="0"/>
          <w:lang w:val="lt-LT"/>
        </w:rPr>
        <w:instrText xml:space="preserve"> TOC \f \h \z \t "Style1-h1;1;Style1-h2;2;Style1-h3;3" </w:instrText>
      </w:r>
      <w:r w:rsidRPr="00C20A22">
        <w:rPr>
          <w:rFonts w:ascii="Times New Roman" w:hAnsi="Times New Roman"/>
          <w:b w:val="0"/>
          <w:lang w:val="lt-LT"/>
        </w:rPr>
        <w:fldChar w:fldCharType="separate"/>
      </w:r>
      <w:hyperlink w:anchor="_Toc311971686" w:history="1">
        <w:r w:rsidR="000D2310" w:rsidRPr="00720EB7">
          <w:rPr>
            <w:rStyle w:val="Hyperlink"/>
            <w:rFonts w:ascii="Times New Roman" w:hAnsi="Times New Roman"/>
            <w:b w:val="0"/>
            <w:noProof/>
          </w:rPr>
          <w:t>ĮVADAS</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_Toc311971686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6</w:t>
        </w:r>
        <w:r w:rsidRPr="00720EB7">
          <w:rPr>
            <w:rFonts w:ascii="Times New Roman" w:hAnsi="Times New Roman"/>
            <w:b w:val="0"/>
            <w:noProof/>
            <w:webHidden/>
          </w:rPr>
          <w:fldChar w:fldCharType="end"/>
        </w:r>
      </w:hyperlink>
    </w:p>
    <w:p w:rsidR="000D2310" w:rsidRPr="00720EB7" w:rsidRDefault="00C20A22" w:rsidP="00720EB7">
      <w:pPr>
        <w:pStyle w:val="TOC1"/>
        <w:spacing w:before="120"/>
        <w:rPr>
          <w:rFonts w:ascii="Times New Roman" w:eastAsiaTheme="minorEastAsia" w:hAnsi="Times New Roman"/>
          <w:b w:val="0"/>
          <w:noProof/>
        </w:rPr>
      </w:pPr>
      <w:hyperlink w:anchor="_Toc311971687" w:history="1">
        <w:r w:rsidR="000D2310" w:rsidRPr="00720EB7">
          <w:rPr>
            <w:rStyle w:val="Hyperlink"/>
            <w:rFonts w:ascii="Times New Roman" w:hAnsi="Times New Roman"/>
            <w:b w:val="0"/>
            <w:noProof/>
          </w:rPr>
          <w:t>1. DRAUDIMO RINKOS TEORINIAI ASPEKTAI</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_Toc311971687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8</w:t>
        </w:r>
        <w:r w:rsidRPr="00720EB7">
          <w:rPr>
            <w:rFonts w:ascii="Times New Roman" w:hAnsi="Times New Roman"/>
            <w:b w:val="0"/>
            <w:noProof/>
            <w:webHidden/>
          </w:rPr>
          <w:fldChar w:fldCharType="end"/>
        </w:r>
      </w:hyperlink>
    </w:p>
    <w:p w:rsidR="000D2310" w:rsidRPr="00720EB7" w:rsidRDefault="00C20A22" w:rsidP="00720EB7">
      <w:pPr>
        <w:pStyle w:val="TOC2"/>
        <w:tabs>
          <w:tab w:val="right" w:leader="dot" w:pos="9912"/>
        </w:tabs>
        <w:spacing w:before="120"/>
        <w:rPr>
          <w:rFonts w:ascii="Times New Roman" w:eastAsiaTheme="minorEastAsia" w:hAnsi="Times New Roman"/>
          <w:b w:val="0"/>
          <w:bCs w:val="0"/>
          <w:noProof/>
          <w:sz w:val="24"/>
          <w:szCs w:val="24"/>
        </w:rPr>
      </w:pPr>
      <w:hyperlink w:anchor="_Toc311971688" w:history="1">
        <w:r w:rsidR="000D2310" w:rsidRPr="00720EB7">
          <w:rPr>
            <w:rStyle w:val="Hyperlink"/>
            <w:rFonts w:ascii="Times New Roman" w:hAnsi="Times New Roman"/>
            <w:b w:val="0"/>
            <w:noProof/>
            <w:sz w:val="24"/>
            <w:szCs w:val="24"/>
          </w:rPr>
          <w:t>1.1. Draudimo ir draudimo rinkos samprata</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_Toc311971688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8</w:t>
        </w:r>
        <w:r w:rsidRPr="00720EB7">
          <w:rPr>
            <w:rFonts w:ascii="Times New Roman" w:hAnsi="Times New Roman"/>
            <w:b w:val="0"/>
            <w:noProof/>
            <w:webHidden/>
            <w:sz w:val="24"/>
            <w:szCs w:val="24"/>
          </w:rPr>
          <w:fldChar w:fldCharType="end"/>
        </w:r>
      </w:hyperlink>
    </w:p>
    <w:p w:rsidR="000D2310" w:rsidRPr="00720EB7" w:rsidRDefault="00C20A22" w:rsidP="00720EB7">
      <w:pPr>
        <w:pStyle w:val="TOC2"/>
        <w:tabs>
          <w:tab w:val="right" w:leader="dot" w:pos="9912"/>
        </w:tabs>
        <w:spacing w:before="120"/>
        <w:rPr>
          <w:rFonts w:ascii="Times New Roman" w:eastAsiaTheme="minorEastAsia" w:hAnsi="Times New Roman"/>
          <w:b w:val="0"/>
          <w:bCs w:val="0"/>
          <w:noProof/>
          <w:sz w:val="24"/>
          <w:szCs w:val="24"/>
        </w:rPr>
      </w:pPr>
      <w:hyperlink w:anchor="_Toc311971689" w:history="1">
        <w:r w:rsidR="000D2310" w:rsidRPr="00720EB7">
          <w:rPr>
            <w:rStyle w:val="Hyperlink"/>
            <w:rFonts w:ascii="Times New Roman" w:hAnsi="Times New Roman"/>
            <w:b w:val="0"/>
            <w:noProof/>
            <w:sz w:val="24"/>
            <w:szCs w:val="24"/>
          </w:rPr>
          <w:t>1.2. Draudimo veiklos požymiai, reikšmė, skirstymas.</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_Toc311971689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11</w:t>
        </w:r>
        <w:r w:rsidRPr="00720EB7">
          <w:rPr>
            <w:rFonts w:ascii="Times New Roman" w:hAnsi="Times New Roman"/>
            <w:b w:val="0"/>
            <w:noProof/>
            <w:webHidden/>
            <w:sz w:val="24"/>
            <w:szCs w:val="24"/>
          </w:rPr>
          <w:fldChar w:fldCharType="end"/>
        </w:r>
      </w:hyperlink>
    </w:p>
    <w:p w:rsidR="000D2310" w:rsidRPr="00720EB7" w:rsidRDefault="00C20A22" w:rsidP="00720EB7">
      <w:pPr>
        <w:pStyle w:val="TOC2"/>
        <w:tabs>
          <w:tab w:val="right" w:leader="dot" w:pos="9912"/>
        </w:tabs>
        <w:spacing w:before="120"/>
        <w:rPr>
          <w:rFonts w:ascii="Times New Roman" w:eastAsiaTheme="minorEastAsia" w:hAnsi="Times New Roman"/>
          <w:b w:val="0"/>
          <w:bCs w:val="0"/>
          <w:noProof/>
          <w:sz w:val="24"/>
          <w:szCs w:val="24"/>
        </w:rPr>
      </w:pPr>
      <w:hyperlink w:anchor="_Toc311971690" w:history="1">
        <w:r w:rsidR="000D2310" w:rsidRPr="00720EB7">
          <w:rPr>
            <w:rStyle w:val="Hyperlink"/>
            <w:rFonts w:ascii="Times New Roman" w:hAnsi="Times New Roman"/>
            <w:b w:val="0"/>
            <w:noProof/>
            <w:sz w:val="24"/>
            <w:szCs w:val="24"/>
          </w:rPr>
          <w:t>1.3. Ne gyvybės draudimas</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_Toc311971690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13</w:t>
        </w:r>
        <w:r w:rsidRPr="00720EB7">
          <w:rPr>
            <w:rFonts w:ascii="Times New Roman" w:hAnsi="Times New Roman"/>
            <w:b w:val="0"/>
            <w:noProof/>
            <w:webHidden/>
            <w:sz w:val="24"/>
            <w:szCs w:val="24"/>
          </w:rPr>
          <w:fldChar w:fldCharType="end"/>
        </w:r>
      </w:hyperlink>
    </w:p>
    <w:p w:rsidR="000D2310" w:rsidRPr="00720EB7" w:rsidRDefault="00C20A22" w:rsidP="00720EB7">
      <w:pPr>
        <w:pStyle w:val="TOC2"/>
        <w:tabs>
          <w:tab w:val="right" w:leader="dot" w:pos="9912"/>
        </w:tabs>
        <w:spacing w:before="120"/>
        <w:rPr>
          <w:rFonts w:ascii="Times New Roman" w:eastAsiaTheme="minorEastAsia" w:hAnsi="Times New Roman"/>
          <w:b w:val="0"/>
          <w:bCs w:val="0"/>
          <w:noProof/>
          <w:sz w:val="24"/>
          <w:szCs w:val="24"/>
        </w:rPr>
      </w:pPr>
      <w:hyperlink w:anchor="_Toc311971691" w:history="1">
        <w:r w:rsidR="000D2310" w:rsidRPr="00720EB7">
          <w:rPr>
            <w:rStyle w:val="Hyperlink"/>
            <w:rFonts w:ascii="Times New Roman" w:hAnsi="Times New Roman"/>
            <w:b w:val="0"/>
            <w:noProof/>
            <w:sz w:val="24"/>
            <w:szCs w:val="24"/>
          </w:rPr>
          <w:t>1.4. Ne gyvybės draudimo rinkai įtaką darantys veiksniai</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_Toc311971691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15</w:t>
        </w:r>
        <w:r w:rsidRPr="00720EB7">
          <w:rPr>
            <w:rFonts w:ascii="Times New Roman" w:hAnsi="Times New Roman"/>
            <w:b w:val="0"/>
            <w:noProof/>
            <w:webHidden/>
            <w:sz w:val="24"/>
            <w:szCs w:val="24"/>
          </w:rPr>
          <w:fldChar w:fldCharType="end"/>
        </w:r>
      </w:hyperlink>
    </w:p>
    <w:p w:rsidR="000D2310" w:rsidRPr="00720EB7" w:rsidRDefault="00C20A22" w:rsidP="00720EB7">
      <w:pPr>
        <w:pStyle w:val="TOC1"/>
        <w:spacing w:before="120"/>
        <w:rPr>
          <w:rFonts w:ascii="Times New Roman" w:eastAsiaTheme="minorEastAsia" w:hAnsi="Times New Roman"/>
          <w:b w:val="0"/>
          <w:noProof/>
        </w:rPr>
      </w:pPr>
      <w:hyperlink w:anchor="_Toc311971692" w:history="1">
        <w:r w:rsidR="000D2310" w:rsidRPr="00720EB7">
          <w:rPr>
            <w:rStyle w:val="Hyperlink"/>
            <w:rFonts w:ascii="Times New Roman" w:hAnsi="Times New Roman"/>
            <w:b w:val="0"/>
            <w:noProof/>
          </w:rPr>
          <w:t>2. LIETUVOS NE GYVYBĖS DRAUDIMO RINKOS VERTINIMO METODŲ PAGRINDIMAS</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_Toc311971692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20</w:t>
        </w:r>
        <w:r w:rsidRPr="00720EB7">
          <w:rPr>
            <w:rFonts w:ascii="Times New Roman" w:hAnsi="Times New Roman"/>
            <w:b w:val="0"/>
            <w:noProof/>
            <w:webHidden/>
          </w:rPr>
          <w:fldChar w:fldCharType="end"/>
        </w:r>
      </w:hyperlink>
    </w:p>
    <w:p w:rsidR="000D2310" w:rsidRPr="00720EB7" w:rsidRDefault="00C20A22" w:rsidP="00720EB7">
      <w:pPr>
        <w:pStyle w:val="TOC2"/>
        <w:tabs>
          <w:tab w:val="right" w:leader="dot" w:pos="9912"/>
        </w:tabs>
        <w:spacing w:before="120"/>
        <w:rPr>
          <w:rFonts w:ascii="Times New Roman" w:eastAsiaTheme="minorEastAsia" w:hAnsi="Times New Roman"/>
          <w:b w:val="0"/>
          <w:bCs w:val="0"/>
          <w:noProof/>
          <w:sz w:val="24"/>
          <w:szCs w:val="24"/>
        </w:rPr>
      </w:pPr>
      <w:hyperlink w:anchor="_Toc311971693" w:history="1">
        <w:r w:rsidR="000D2310" w:rsidRPr="00720EB7">
          <w:rPr>
            <w:rStyle w:val="Hyperlink"/>
            <w:rFonts w:ascii="Times New Roman" w:hAnsi="Times New Roman"/>
            <w:b w:val="0"/>
            <w:noProof/>
            <w:sz w:val="24"/>
            <w:szCs w:val="24"/>
          </w:rPr>
          <w:t>2.1. Lietuvos ne gyvybės draudimo rinkai įtaką darančių veiksnių vertinimo metodo pasirinkimas</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_Toc311971693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20</w:t>
        </w:r>
        <w:r w:rsidRPr="00720EB7">
          <w:rPr>
            <w:rFonts w:ascii="Times New Roman" w:hAnsi="Times New Roman"/>
            <w:b w:val="0"/>
            <w:noProof/>
            <w:webHidden/>
            <w:sz w:val="24"/>
            <w:szCs w:val="24"/>
          </w:rPr>
          <w:fldChar w:fldCharType="end"/>
        </w:r>
      </w:hyperlink>
    </w:p>
    <w:p w:rsidR="000D2310" w:rsidRPr="00720EB7" w:rsidRDefault="00C20A22" w:rsidP="00720EB7">
      <w:pPr>
        <w:pStyle w:val="TOC2"/>
        <w:tabs>
          <w:tab w:val="right" w:leader="dot" w:pos="9912"/>
        </w:tabs>
        <w:spacing w:before="120"/>
        <w:rPr>
          <w:rFonts w:ascii="Times New Roman" w:eastAsiaTheme="minorEastAsia" w:hAnsi="Times New Roman"/>
          <w:b w:val="0"/>
          <w:bCs w:val="0"/>
          <w:noProof/>
          <w:sz w:val="24"/>
          <w:szCs w:val="24"/>
        </w:rPr>
      </w:pPr>
      <w:hyperlink w:anchor="_Toc311971694" w:history="1">
        <w:r w:rsidR="000D2310" w:rsidRPr="00720EB7">
          <w:rPr>
            <w:rStyle w:val="Hyperlink"/>
            <w:rFonts w:ascii="Times New Roman" w:hAnsi="Times New Roman"/>
            <w:b w:val="0"/>
            <w:noProof/>
            <w:sz w:val="24"/>
            <w:szCs w:val="24"/>
          </w:rPr>
          <w:t>2.2. Ekspertinio vertinimo metodo pasirinkimo pagrindimas</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_Toc311971694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21</w:t>
        </w:r>
        <w:r w:rsidRPr="00720EB7">
          <w:rPr>
            <w:rFonts w:ascii="Times New Roman" w:hAnsi="Times New Roman"/>
            <w:b w:val="0"/>
            <w:noProof/>
            <w:webHidden/>
            <w:sz w:val="24"/>
            <w:szCs w:val="24"/>
          </w:rPr>
          <w:fldChar w:fldCharType="end"/>
        </w:r>
      </w:hyperlink>
    </w:p>
    <w:p w:rsidR="000D2310" w:rsidRPr="00720EB7" w:rsidRDefault="00C20A22" w:rsidP="00720EB7">
      <w:pPr>
        <w:pStyle w:val="TOC1"/>
        <w:spacing w:before="120"/>
        <w:rPr>
          <w:rFonts w:ascii="Times New Roman" w:eastAsiaTheme="minorEastAsia" w:hAnsi="Times New Roman"/>
          <w:b w:val="0"/>
          <w:noProof/>
        </w:rPr>
      </w:pPr>
      <w:hyperlink w:anchor="_Toc311971695" w:history="1">
        <w:r w:rsidR="000D2310" w:rsidRPr="00720EB7">
          <w:rPr>
            <w:rStyle w:val="Hyperlink"/>
            <w:rFonts w:ascii="Times New Roman" w:hAnsi="Times New Roman"/>
            <w:b w:val="0"/>
            <w:noProof/>
          </w:rPr>
          <w:t>3. NE GYVYBĖS DRAUDIMO RINKAI ĮTAKĄ DARANČIŲ VEIKSNIŲ VERTINIMAS</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_Toc311971695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23</w:t>
        </w:r>
        <w:r w:rsidRPr="00720EB7">
          <w:rPr>
            <w:rFonts w:ascii="Times New Roman" w:hAnsi="Times New Roman"/>
            <w:b w:val="0"/>
            <w:noProof/>
            <w:webHidden/>
          </w:rPr>
          <w:fldChar w:fldCharType="end"/>
        </w:r>
      </w:hyperlink>
    </w:p>
    <w:p w:rsidR="000D2310" w:rsidRPr="00720EB7" w:rsidRDefault="00C20A22" w:rsidP="00720EB7">
      <w:pPr>
        <w:pStyle w:val="TOC2"/>
        <w:tabs>
          <w:tab w:val="right" w:leader="dot" w:pos="9912"/>
        </w:tabs>
        <w:spacing w:before="120"/>
        <w:rPr>
          <w:rFonts w:ascii="Times New Roman" w:eastAsiaTheme="minorEastAsia" w:hAnsi="Times New Roman"/>
          <w:b w:val="0"/>
          <w:bCs w:val="0"/>
          <w:noProof/>
          <w:sz w:val="24"/>
          <w:szCs w:val="24"/>
        </w:rPr>
      </w:pPr>
      <w:hyperlink w:anchor="_Toc311971696" w:history="1">
        <w:r w:rsidR="000D2310" w:rsidRPr="00720EB7">
          <w:rPr>
            <w:rStyle w:val="Hyperlink"/>
            <w:rFonts w:ascii="Times New Roman" w:hAnsi="Times New Roman"/>
            <w:b w:val="0"/>
            <w:noProof/>
            <w:sz w:val="24"/>
            <w:szCs w:val="24"/>
          </w:rPr>
          <w:t>3.1. Lietuvos ne gyvybės draudimo rinkos apžvalga</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_Toc311971696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23</w:t>
        </w:r>
        <w:r w:rsidRPr="00720EB7">
          <w:rPr>
            <w:rFonts w:ascii="Times New Roman" w:hAnsi="Times New Roman"/>
            <w:b w:val="0"/>
            <w:noProof/>
            <w:webHidden/>
            <w:sz w:val="24"/>
            <w:szCs w:val="24"/>
          </w:rPr>
          <w:fldChar w:fldCharType="end"/>
        </w:r>
      </w:hyperlink>
    </w:p>
    <w:p w:rsidR="00720EB7" w:rsidRPr="00720EB7" w:rsidRDefault="00C20A22" w:rsidP="00720EB7">
      <w:pPr>
        <w:pStyle w:val="TOC2"/>
        <w:tabs>
          <w:tab w:val="right" w:leader="dot" w:pos="9912"/>
        </w:tabs>
        <w:spacing w:before="120"/>
        <w:rPr>
          <w:rStyle w:val="Hyperlink"/>
          <w:rFonts w:ascii="Times New Roman" w:eastAsiaTheme="minorEastAsia" w:hAnsi="Times New Roman"/>
          <w:b w:val="0"/>
          <w:bCs w:val="0"/>
          <w:noProof/>
          <w:color w:val="auto"/>
          <w:sz w:val="24"/>
          <w:szCs w:val="24"/>
          <w:u w:val="none"/>
        </w:rPr>
      </w:pPr>
      <w:hyperlink w:anchor="_Toc311971697" w:history="1">
        <w:r w:rsidR="000D2310" w:rsidRPr="00720EB7">
          <w:rPr>
            <w:rStyle w:val="Hyperlink"/>
            <w:rFonts w:ascii="Times New Roman" w:hAnsi="Times New Roman"/>
            <w:b w:val="0"/>
            <w:noProof/>
            <w:sz w:val="24"/>
            <w:szCs w:val="24"/>
          </w:rPr>
          <w:t>3.2. Koreliacinė – regresinė analizė</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_Toc311971697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31</w:t>
        </w:r>
        <w:r w:rsidRPr="00720EB7">
          <w:rPr>
            <w:rFonts w:ascii="Times New Roman" w:hAnsi="Times New Roman"/>
            <w:b w:val="0"/>
            <w:noProof/>
            <w:webHidden/>
            <w:sz w:val="24"/>
            <w:szCs w:val="24"/>
          </w:rPr>
          <w:fldChar w:fldCharType="end"/>
        </w:r>
      </w:hyperlink>
    </w:p>
    <w:p w:rsidR="000D2310" w:rsidRPr="00720EB7" w:rsidRDefault="00C20A22" w:rsidP="00720EB7">
      <w:pPr>
        <w:pStyle w:val="TOC3"/>
        <w:tabs>
          <w:tab w:val="right" w:leader="dot" w:pos="9912"/>
        </w:tabs>
        <w:spacing w:before="120"/>
        <w:rPr>
          <w:rFonts w:ascii="Times New Roman" w:eastAsiaTheme="minorEastAsia" w:hAnsi="Times New Roman"/>
          <w:noProof/>
          <w:sz w:val="24"/>
          <w:szCs w:val="24"/>
        </w:rPr>
      </w:pPr>
      <w:hyperlink w:anchor="_Toc311971698" w:history="1">
        <w:r w:rsidR="000D2310" w:rsidRPr="00720EB7">
          <w:rPr>
            <w:rStyle w:val="Hyperlink"/>
            <w:rFonts w:ascii="Times New Roman" w:hAnsi="Times New Roman"/>
            <w:noProof/>
            <w:sz w:val="24"/>
            <w:szCs w:val="24"/>
          </w:rPr>
          <w:t>3.2.1. Lietuvos ne gyvybės draudimo rinkos modelis</w:t>
        </w:r>
        <w:r w:rsidR="000D2310" w:rsidRPr="00720EB7">
          <w:rPr>
            <w:rFonts w:ascii="Times New Roman" w:hAnsi="Times New Roman"/>
            <w:noProof/>
            <w:webHidden/>
            <w:sz w:val="24"/>
            <w:szCs w:val="24"/>
          </w:rPr>
          <w:tab/>
        </w:r>
        <w:r w:rsidRPr="00720EB7">
          <w:rPr>
            <w:rFonts w:ascii="Times New Roman" w:hAnsi="Times New Roman"/>
            <w:noProof/>
            <w:webHidden/>
            <w:sz w:val="24"/>
            <w:szCs w:val="24"/>
          </w:rPr>
          <w:fldChar w:fldCharType="begin"/>
        </w:r>
        <w:r w:rsidR="000D2310" w:rsidRPr="00720EB7">
          <w:rPr>
            <w:rFonts w:ascii="Times New Roman" w:hAnsi="Times New Roman"/>
            <w:noProof/>
            <w:webHidden/>
            <w:sz w:val="24"/>
            <w:szCs w:val="24"/>
          </w:rPr>
          <w:instrText xml:space="preserve"> PAGEREF _Toc311971698 \h </w:instrText>
        </w:r>
        <w:r w:rsidRPr="00720EB7">
          <w:rPr>
            <w:rFonts w:ascii="Times New Roman" w:hAnsi="Times New Roman"/>
            <w:noProof/>
            <w:webHidden/>
            <w:sz w:val="24"/>
            <w:szCs w:val="24"/>
          </w:rPr>
        </w:r>
        <w:r w:rsidRPr="00720EB7">
          <w:rPr>
            <w:rFonts w:ascii="Times New Roman" w:hAnsi="Times New Roman"/>
            <w:noProof/>
            <w:webHidden/>
            <w:sz w:val="24"/>
            <w:szCs w:val="24"/>
          </w:rPr>
          <w:fldChar w:fldCharType="separate"/>
        </w:r>
        <w:r w:rsidR="006E1428">
          <w:rPr>
            <w:rFonts w:ascii="Times New Roman" w:hAnsi="Times New Roman"/>
            <w:noProof/>
            <w:webHidden/>
            <w:sz w:val="24"/>
            <w:szCs w:val="24"/>
          </w:rPr>
          <w:t>32</w:t>
        </w:r>
        <w:r w:rsidRPr="00720EB7">
          <w:rPr>
            <w:rFonts w:ascii="Times New Roman" w:hAnsi="Times New Roman"/>
            <w:noProof/>
            <w:webHidden/>
            <w:sz w:val="24"/>
            <w:szCs w:val="24"/>
          </w:rPr>
          <w:fldChar w:fldCharType="end"/>
        </w:r>
      </w:hyperlink>
    </w:p>
    <w:p w:rsidR="000D2310" w:rsidRPr="00720EB7" w:rsidRDefault="00C20A22" w:rsidP="00720EB7">
      <w:pPr>
        <w:pStyle w:val="TOC3"/>
        <w:tabs>
          <w:tab w:val="right" w:leader="dot" w:pos="9912"/>
        </w:tabs>
        <w:spacing w:before="120"/>
        <w:rPr>
          <w:rFonts w:ascii="Times New Roman" w:eastAsiaTheme="minorEastAsia" w:hAnsi="Times New Roman"/>
          <w:noProof/>
          <w:sz w:val="24"/>
          <w:szCs w:val="24"/>
        </w:rPr>
      </w:pPr>
      <w:hyperlink w:anchor="_Toc311971699" w:history="1">
        <w:r w:rsidR="000D2310" w:rsidRPr="00720EB7">
          <w:rPr>
            <w:rStyle w:val="Hyperlink"/>
            <w:rFonts w:ascii="Times New Roman" w:hAnsi="Times New Roman"/>
            <w:noProof/>
            <w:sz w:val="24"/>
            <w:szCs w:val="24"/>
          </w:rPr>
          <w:t>3.2.2. Lietuvos transporto priemonių draudimo rinkos modelis</w:t>
        </w:r>
        <w:r w:rsidR="000D2310" w:rsidRPr="00720EB7">
          <w:rPr>
            <w:rFonts w:ascii="Times New Roman" w:hAnsi="Times New Roman"/>
            <w:noProof/>
            <w:webHidden/>
            <w:sz w:val="24"/>
            <w:szCs w:val="24"/>
          </w:rPr>
          <w:tab/>
        </w:r>
        <w:r w:rsidRPr="00720EB7">
          <w:rPr>
            <w:rFonts w:ascii="Times New Roman" w:hAnsi="Times New Roman"/>
            <w:noProof/>
            <w:webHidden/>
            <w:sz w:val="24"/>
            <w:szCs w:val="24"/>
          </w:rPr>
          <w:fldChar w:fldCharType="begin"/>
        </w:r>
        <w:r w:rsidR="000D2310" w:rsidRPr="00720EB7">
          <w:rPr>
            <w:rFonts w:ascii="Times New Roman" w:hAnsi="Times New Roman"/>
            <w:noProof/>
            <w:webHidden/>
            <w:sz w:val="24"/>
            <w:szCs w:val="24"/>
          </w:rPr>
          <w:instrText xml:space="preserve"> PAGEREF _Toc311971699 \h </w:instrText>
        </w:r>
        <w:r w:rsidRPr="00720EB7">
          <w:rPr>
            <w:rFonts w:ascii="Times New Roman" w:hAnsi="Times New Roman"/>
            <w:noProof/>
            <w:webHidden/>
            <w:sz w:val="24"/>
            <w:szCs w:val="24"/>
          </w:rPr>
        </w:r>
        <w:r w:rsidRPr="00720EB7">
          <w:rPr>
            <w:rFonts w:ascii="Times New Roman" w:hAnsi="Times New Roman"/>
            <w:noProof/>
            <w:webHidden/>
            <w:sz w:val="24"/>
            <w:szCs w:val="24"/>
          </w:rPr>
          <w:fldChar w:fldCharType="separate"/>
        </w:r>
        <w:r w:rsidR="006E1428">
          <w:rPr>
            <w:rFonts w:ascii="Times New Roman" w:hAnsi="Times New Roman"/>
            <w:noProof/>
            <w:webHidden/>
            <w:sz w:val="24"/>
            <w:szCs w:val="24"/>
          </w:rPr>
          <w:t>38</w:t>
        </w:r>
        <w:r w:rsidRPr="00720EB7">
          <w:rPr>
            <w:rFonts w:ascii="Times New Roman" w:hAnsi="Times New Roman"/>
            <w:noProof/>
            <w:webHidden/>
            <w:sz w:val="24"/>
            <w:szCs w:val="24"/>
          </w:rPr>
          <w:fldChar w:fldCharType="end"/>
        </w:r>
      </w:hyperlink>
    </w:p>
    <w:p w:rsidR="000D2310" w:rsidRPr="00720EB7" w:rsidRDefault="00C20A22" w:rsidP="00720EB7">
      <w:pPr>
        <w:pStyle w:val="TOC3"/>
        <w:tabs>
          <w:tab w:val="right" w:leader="dot" w:pos="9912"/>
        </w:tabs>
        <w:spacing w:before="120"/>
        <w:rPr>
          <w:rFonts w:ascii="Times New Roman" w:eastAsiaTheme="minorEastAsia" w:hAnsi="Times New Roman"/>
          <w:noProof/>
          <w:sz w:val="24"/>
          <w:szCs w:val="24"/>
        </w:rPr>
      </w:pPr>
      <w:hyperlink w:anchor="_Toc311971700" w:history="1">
        <w:r w:rsidR="000D2310" w:rsidRPr="00720EB7">
          <w:rPr>
            <w:rStyle w:val="Hyperlink"/>
            <w:rFonts w:ascii="Times New Roman" w:hAnsi="Times New Roman"/>
            <w:noProof/>
            <w:sz w:val="24"/>
            <w:szCs w:val="24"/>
          </w:rPr>
          <w:t>3.2.3. Lietuvos turto draudimo rinkos modelis</w:t>
        </w:r>
        <w:r w:rsidR="000D2310" w:rsidRPr="00720EB7">
          <w:rPr>
            <w:rFonts w:ascii="Times New Roman" w:hAnsi="Times New Roman"/>
            <w:noProof/>
            <w:webHidden/>
            <w:sz w:val="24"/>
            <w:szCs w:val="24"/>
          </w:rPr>
          <w:tab/>
        </w:r>
        <w:r w:rsidRPr="00720EB7">
          <w:rPr>
            <w:rFonts w:ascii="Times New Roman" w:hAnsi="Times New Roman"/>
            <w:noProof/>
            <w:webHidden/>
            <w:sz w:val="24"/>
            <w:szCs w:val="24"/>
          </w:rPr>
          <w:fldChar w:fldCharType="begin"/>
        </w:r>
        <w:r w:rsidR="000D2310" w:rsidRPr="00720EB7">
          <w:rPr>
            <w:rFonts w:ascii="Times New Roman" w:hAnsi="Times New Roman"/>
            <w:noProof/>
            <w:webHidden/>
            <w:sz w:val="24"/>
            <w:szCs w:val="24"/>
          </w:rPr>
          <w:instrText xml:space="preserve"> PAGEREF _Toc311971700 \h </w:instrText>
        </w:r>
        <w:r w:rsidRPr="00720EB7">
          <w:rPr>
            <w:rFonts w:ascii="Times New Roman" w:hAnsi="Times New Roman"/>
            <w:noProof/>
            <w:webHidden/>
            <w:sz w:val="24"/>
            <w:szCs w:val="24"/>
          </w:rPr>
        </w:r>
        <w:r w:rsidRPr="00720EB7">
          <w:rPr>
            <w:rFonts w:ascii="Times New Roman" w:hAnsi="Times New Roman"/>
            <w:noProof/>
            <w:webHidden/>
            <w:sz w:val="24"/>
            <w:szCs w:val="24"/>
          </w:rPr>
          <w:fldChar w:fldCharType="separate"/>
        </w:r>
        <w:r w:rsidR="006E1428">
          <w:rPr>
            <w:rFonts w:ascii="Times New Roman" w:hAnsi="Times New Roman"/>
            <w:noProof/>
            <w:webHidden/>
            <w:sz w:val="24"/>
            <w:szCs w:val="24"/>
          </w:rPr>
          <w:t>42</w:t>
        </w:r>
        <w:r w:rsidRPr="00720EB7">
          <w:rPr>
            <w:rFonts w:ascii="Times New Roman" w:hAnsi="Times New Roman"/>
            <w:noProof/>
            <w:webHidden/>
            <w:sz w:val="24"/>
            <w:szCs w:val="24"/>
          </w:rPr>
          <w:fldChar w:fldCharType="end"/>
        </w:r>
      </w:hyperlink>
    </w:p>
    <w:p w:rsidR="000D2310" w:rsidRPr="00720EB7" w:rsidRDefault="00C20A22" w:rsidP="00720EB7">
      <w:pPr>
        <w:pStyle w:val="TOC2"/>
        <w:tabs>
          <w:tab w:val="right" w:leader="dot" w:pos="9912"/>
        </w:tabs>
        <w:spacing w:before="120"/>
        <w:rPr>
          <w:rFonts w:ascii="Times New Roman" w:eastAsiaTheme="minorEastAsia" w:hAnsi="Times New Roman"/>
          <w:b w:val="0"/>
          <w:bCs w:val="0"/>
          <w:noProof/>
          <w:sz w:val="24"/>
          <w:szCs w:val="24"/>
        </w:rPr>
      </w:pPr>
      <w:hyperlink w:anchor="_Toc311971701" w:history="1">
        <w:r w:rsidR="000D2310" w:rsidRPr="00720EB7">
          <w:rPr>
            <w:rStyle w:val="Hyperlink"/>
            <w:rFonts w:ascii="Times New Roman" w:hAnsi="Times New Roman"/>
            <w:b w:val="0"/>
            <w:noProof/>
            <w:sz w:val="24"/>
            <w:szCs w:val="24"/>
          </w:rPr>
          <w:t>3.3. Lietuvos ne gyvybės draudimo rinkai įtaką darančių veiksnių ekspertinis vertinimas</w:t>
        </w:r>
        <w:r w:rsidR="000D2310" w:rsidRPr="00720EB7">
          <w:rPr>
            <w:rFonts w:ascii="Times New Roman" w:hAnsi="Times New Roman"/>
            <w:b w:val="0"/>
            <w:noProof/>
            <w:webHidden/>
            <w:sz w:val="24"/>
            <w:szCs w:val="24"/>
          </w:rPr>
          <w:tab/>
        </w:r>
        <w:r w:rsidRPr="00720EB7">
          <w:rPr>
            <w:rFonts w:ascii="Times New Roman" w:hAnsi="Times New Roman"/>
            <w:b w:val="0"/>
            <w:noProof/>
            <w:webHidden/>
            <w:sz w:val="24"/>
            <w:szCs w:val="24"/>
          </w:rPr>
          <w:fldChar w:fldCharType="begin"/>
        </w:r>
        <w:r w:rsidR="000D2310" w:rsidRPr="00720EB7">
          <w:rPr>
            <w:rFonts w:ascii="Times New Roman" w:hAnsi="Times New Roman"/>
            <w:b w:val="0"/>
            <w:noProof/>
            <w:webHidden/>
            <w:sz w:val="24"/>
            <w:szCs w:val="24"/>
          </w:rPr>
          <w:instrText xml:space="preserve"> PAGEREF _Toc311971701 \h </w:instrText>
        </w:r>
        <w:r w:rsidRPr="00720EB7">
          <w:rPr>
            <w:rFonts w:ascii="Times New Roman" w:hAnsi="Times New Roman"/>
            <w:b w:val="0"/>
            <w:noProof/>
            <w:webHidden/>
            <w:sz w:val="24"/>
            <w:szCs w:val="24"/>
          </w:rPr>
        </w:r>
        <w:r w:rsidRPr="00720EB7">
          <w:rPr>
            <w:rFonts w:ascii="Times New Roman" w:hAnsi="Times New Roman"/>
            <w:b w:val="0"/>
            <w:noProof/>
            <w:webHidden/>
            <w:sz w:val="24"/>
            <w:szCs w:val="24"/>
          </w:rPr>
          <w:fldChar w:fldCharType="separate"/>
        </w:r>
        <w:r w:rsidR="006E1428">
          <w:rPr>
            <w:rFonts w:ascii="Times New Roman" w:hAnsi="Times New Roman"/>
            <w:b w:val="0"/>
            <w:noProof/>
            <w:webHidden/>
            <w:sz w:val="24"/>
            <w:szCs w:val="24"/>
          </w:rPr>
          <w:t>46</w:t>
        </w:r>
        <w:r w:rsidRPr="00720EB7">
          <w:rPr>
            <w:rFonts w:ascii="Times New Roman" w:hAnsi="Times New Roman"/>
            <w:b w:val="0"/>
            <w:noProof/>
            <w:webHidden/>
            <w:sz w:val="24"/>
            <w:szCs w:val="24"/>
          </w:rPr>
          <w:fldChar w:fldCharType="end"/>
        </w:r>
      </w:hyperlink>
    </w:p>
    <w:p w:rsidR="000D2310" w:rsidRPr="00720EB7" w:rsidRDefault="00C20A22" w:rsidP="00720EB7">
      <w:pPr>
        <w:pStyle w:val="TOC1"/>
        <w:spacing w:before="120"/>
        <w:rPr>
          <w:rFonts w:ascii="Times New Roman" w:eastAsiaTheme="minorEastAsia" w:hAnsi="Times New Roman"/>
          <w:b w:val="0"/>
          <w:noProof/>
        </w:rPr>
      </w:pPr>
      <w:hyperlink w:anchor="_Toc311971702" w:history="1">
        <w:r w:rsidR="000D2310" w:rsidRPr="00720EB7">
          <w:rPr>
            <w:rStyle w:val="Hyperlink"/>
            <w:rFonts w:ascii="Times New Roman" w:hAnsi="Times New Roman"/>
            <w:b w:val="0"/>
            <w:noProof/>
          </w:rPr>
          <w:t>IŠVADOS IR REKOMENDACIJOS</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_Toc311971702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52</w:t>
        </w:r>
        <w:r w:rsidRPr="00720EB7">
          <w:rPr>
            <w:rFonts w:ascii="Times New Roman" w:hAnsi="Times New Roman"/>
            <w:b w:val="0"/>
            <w:noProof/>
            <w:webHidden/>
          </w:rPr>
          <w:fldChar w:fldCharType="end"/>
        </w:r>
      </w:hyperlink>
    </w:p>
    <w:p w:rsidR="000D2310" w:rsidRPr="00720EB7" w:rsidRDefault="00C20A22" w:rsidP="00720EB7">
      <w:pPr>
        <w:pStyle w:val="TOC1"/>
        <w:spacing w:before="120"/>
        <w:rPr>
          <w:rFonts w:ascii="Times New Roman" w:eastAsiaTheme="minorEastAsia" w:hAnsi="Times New Roman"/>
          <w:b w:val="0"/>
          <w:noProof/>
        </w:rPr>
      </w:pPr>
      <w:hyperlink w:anchor="_Toc311971703" w:history="1">
        <w:r w:rsidR="000D2310" w:rsidRPr="00720EB7">
          <w:rPr>
            <w:rStyle w:val="Hyperlink"/>
            <w:rFonts w:ascii="Times New Roman" w:hAnsi="Times New Roman"/>
            <w:b w:val="0"/>
            <w:noProof/>
          </w:rPr>
          <w:t>LITERATŪRA</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_Toc311971703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54</w:t>
        </w:r>
        <w:r w:rsidRPr="00720EB7">
          <w:rPr>
            <w:rFonts w:ascii="Times New Roman" w:hAnsi="Times New Roman"/>
            <w:b w:val="0"/>
            <w:noProof/>
            <w:webHidden/>
          </w:rPr>
          <w:fldChar w:fldCharType="end"/>
        </w:r>
      </w:hyperlink>
    </w:p>
    <w:p w:rsidR="000D2310" w:rsidRPr="00720EB7" w:rsidRDefault="00C20A22" w:rsidP="00720EB7">
      <w:pPr>
        <w:pStyle w:val="TOC1"/>
        <w:spacing w:before="120"/>
        <w:rPr>
          <w:rFonts w:ascii="Times New Roman" w:eastAsiaTheme="minorEastAsia" w:hAnsi="Times New Roman"/>
          <w:b w:val="0"/>
          <w:noProof/>
        </w:rPr>
      </w:pPr>
      <w:hyperlink w:anchor="_Toc311971704" w:history="1">
        <w:r w:rsidR="000D2310" w:rsidRPr="00720EB7">
          <w:rPr>
            <w:rStyle w:val="Hyperlink"/>
            <w:rFonts w:ascii="Times New Roman" w:hAnsi="Times New Roman"/>
            <w:b w:val="0"/>
            <w:noProof/>
          </w:rPr>
          <w:t>ANOTACIJA</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_Toc311971704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58</w:t>
        </w:r>
        <w:r w:rsidRPr="00720EB7">
          <w:rPr>
            <w:rFonts w:ascii="Times New Roman" w:hAnsi="Times New Roman"/>
            <w:b w:val="0"/>
            <w:noProof/>
            <w:webHidden/>
          </w:rPr>
          <w:fldChar w:fldCharType="end"/>
        </w:r>
      </w:hyperlink>
    </w:p>
    <w:p w:rsidR="000D2310" w:rsidRPr="00720EB7" w:rsidRDefault="00C20A22" w:rsidP="00720EB7">
      <w:pPr>
        <w:pStyle w:val="TOC1"/>
        <w:spacing w:before="120"/>
        <w:rPr>
          <w:rFonts w:ascii="Times New Roman" w:eastAsiaTheme="minorEastAsia" w:hAnsi="Times New Roman"/>
          <w:b w:val="0"/>
          <w:noProof/>
        </w:rPr>
      </w:pPr>
      <w:hyperlink w:anchor="_Toc311971705" w:history="1">
        <w:r w:rsidR="000D2310" w:rsidRPr="00720EB7">
          <w:rPr>
            <w:rStyle w:val="Hyperlink"/>
            <w:rFonts w:ascii="Times New Roman" w:hAnsi="Times New Roman"/>
            <w:b w:val="0"/>
            <w:noProof/>
          </w:rPr>
          <w:t>ANOTATION</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_Toc311971705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59</w:t>
        </w:r>
        <w:r w:rsidRPr="00720EB7">
          <w:rPr>
            <w:rFonts w:ascii="Times New Roman" w:hAnsi="Times New Roman"/>
            <w:b w:val="0"/>
            <w:noProof/>
            <w:webHidden/>
          </w:rPr>
          <w:fldChar w:fldCharType="end"/>
        </w:r>
      </w:hyperlink>
    </w:p>
    <w:p w:rsidR="000D2310" w:rsidRPr="00720EB7" w:rsidRDefault="00C20A22" w:rsidP="00720EB7">
      <w:pPr>
        <w:pStyle w:val="TOC1"/>
        <w:spacing w:before="120"/>
        <w:rPr>
          <w:rFonts w:ascii="Times New Roman" w:eastAsiaTheme="minorEastAsia" w:hAnsi="Times New Roman"/>
          <w:b w:val="0"/>
          <w:noProof/>
          <w:sz w:val="22"/>
          <w:szCs w:val="22"/>
        </w:rPr>
      </w:pPr>
      <w:hyperlink w:anchor="_Toc311971706" w:history="1">
        <w:r w:rsidR="000D2310" w:rsidRPr="00720EB7">
          <w:rPr>
            <w:rStyle w:val="Hyperlink"/>
            <w:rFonts w:ascii="Times New Roman" w:hAnsi="Times New Roman"/>
            <w:b w:val="0"/>
            <w:noProof/>
          </w:rPr>
          <w:t>SANTRAUKA</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_Toc311971706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60</w:t>
        </w:r>
        <w:r w:rsidRPr="00720EB7">
          <w:rPr>
            <w:rFonts w:ascii="Times New Roman" w:hAnsi="Times New Roman"/>
            <w:b w:val="0"/>
            <w:noProof/>
            <w:webHidden/>
          </w:rPr>
          <w:fldChar w:fldCharType="end"/>
        </w:r>
      </w:hyperlink>
    </w:p>
    <w:p w:rsidR="000D2310" w:rsidRPr="00720EB7" w:rsidRDefault="00C20A22" w:rsidP="00720EB7">
      <w:pPr>
        <w:pStyle w:val="TOC1"/>
        <w:spacing w:before="120"/>
        <w:rPr>
          <w:rFonts w:ascii="Times New Roman" w:eastAsiaTheme="minorEastAsia" w:hAnsi="Times New Roman"/>
          <w:b w:val="0"/>
          <w:noProof/>
          <w:sz w:val="22"/>
          <w:szCs w:val="22"/>
        </w:rPr>
      </w:pPr>
      <w:hyperlink w:anchor="_Toc311971707" w:history="1">
        <w:r w:rsidR="000D2310" w:rsidRPr="00720EB7">
          <w:rPr>
            <w:rStyle w:val="Hyperlink"/>
            <w:rFonts w:ascii="Times New Roman" w:hAnsi="Times New Roman"/>
            <w:b w:val="0"/>
            <w:noProof/>
          </w:rPr>
          <w:t>SUMMARY</w:t>
        </w:r>
        <w:r w:rsidR="000D2310" w:rsidRPr="00720EB7">
          <w:rPr>
            <w:rFonts w:ascii="Times New Roman" w:hAnsi="Times New Roman"/>
            <w:b w:val="0"/>
            <w:noProof/>
            <w:webHidden/>
          </w:rPr>
          <w:tab/>
        </w:r>
        <w:r w:rsidRPr="00720EB7">
          <w:rPr>
            <w:rFonts w:ascii="Times New Roman" w:hAnsi="Times New Roman"/>
            <w:b w:val="0"/>
            <w:noProof/>
            <w:webHidden/>
          </w:rPr>
          <w:fldChar w:fldCharType="begin"/>
        </w:r>
        <w:r w:rsidR="000D2310" w:rsidRPr="00720EB7">
          <w:rPr>
            <w:rFonts w:ascii="Times New Roman" w:hAnsi="Times New Roman"/>
            <w:b w:val="0"/>
            <w:noProof/>
            <w:webHidden/>
          </w:rPr>
          <w:instrText xml:space="preserve"> PAGEREF _Toc311971707 \h </w:instrText>
        </w:r>
        <w:r w:rsidRPr="00720EB7">
          <w:rPr>
            <w:rFonts w:ascii="Times New Roman" w:hAnsi="Times New Roman"/>
            <w:b w:val="0"/>
            <w:noProof/>
            <w:webHidden/>
          </w:rPr>
        </w:r>
        <w:r w:rsidRPr="00720EB7">
          <w:rPr>
            <w:rFonts w:ascii="Times New Roman" w:hAnsi="Times New Roman"/>
            <w:b w:val="0"/>
            <w:noProof/>
            <w:webHidden/>
          </w:rPr>
          <w:fldChar w:fldCharType="separate"/>
        </w:r>
        <w:r w:rsidR="006E1428">
          <w:rPr>
            <w:rFonts w:ascii="Times New Roman" w:hAnsi="Times New Roman"/>
            <w:b w:val="0"/>
            <w:noProof/>
            <w:webHidden/>
          </w:rPr>
          <w:t>62</w:t>
        </w:r>
        <w:r w:rsidRPr="00720EB7">
          <w:rPr>
            <w:rFonts w:ascii="Times New Roman" w:hAnsi="Times New Roman"/>
            <w:b w:val="0"/>
            <w:noProof/>
            <w:webHidden/>
          </w:rPr>
          <w:fldChar w:fldCharType="end"/>
        </w:r>
      </w:hyperlink>
    </w:p>
    <w:p w:rsidR="00BA7499" w:rsidRPr="00720EB7" w:rsidRDefault="00C20A22" w:rsidP="00720EB7">
      <w:pPr>
        <w:spacing w:before="120"/>
        <w:rPr>
          <w:lang w:val="lt-LT"/>
        </w:rPr>
      </w:pPr>
      <w:r w:rsidRPr="00720EB7">
        <w:rPr>
          <w:lang w:val="lt-LT"/>
        </w:rPr>
        <w:fldChar w:fldCharType="end"/>
      </w:r>
    </w:p>
    <w:p w:rsidR="0031281A" w:rsidRDefault="009803D7" w:rsidP="009803D7">
      <w:pPr>
        <w:rPr>
          <w:b/>
          <w:bCs/>
          <w:lang w:val="lt-LT"/>
        </w:rPr>
        <w:sectPr w:rsidR="0031281A" w:rsidSect="007D0B31">
          <w:headerReference w:type="default" r:id="rId8"/>
          <w:type w:val="continuous"/>
          <w:pgSz w:w="11907" w:h="16839" w:code="9"/>
          <w:pgMar w:top="1134" w:right="567" w:bottom="1134" w:left="1418" w:header="709" w:footer="709" w:gutter="0"/>
          <w:cols w:space="708"/>
          <w:docGrid w:linePitch="360"/>
        </w:sectPr>
      </w:pPr>
      <w:r w:rsidRPr="00303A5A">
        <w:rPr>
          <w:b/>
          <w:bCs/>
          <w:lang w:val="lt-LT"/>
        </w:rPr>
        <w:br w:type="page"/>
      </w:r>
    </w:p>
    <w:p w:rsidR="009803D7" w:rsidRPr="00303A5A" w:rsidRDefault="009803D7" w:rsidP="009803D7">
      <w:pPr>
        <w:rPr>
          <w:b/>
          <w:bCs/>
          <w:lang w:val="lt-LT"/>
        </w:rPr>
      </w:pPr>
    </w:p>
    <w:p w:rsidR="00720EB7" w:rsidRDefault="009803D7" w:rsidP="00720EB7">
      <w:pPr>
        <w:jc w:val="center"/>
        <w:rPr>
          <w:b/>
          <w:color w:val="000000" w:themeColor="text1"/>
        </w:rPr>
      </w:pPr>
      <w:bookmarkStart w:id="0" w:name="_Toc309559965"/>
      <w:r w:rsidRPr="00047944">
        <w:rPr>
          <w:b/>
          <w:color w:val="000000" w:themeColor="text1"/>
        </w:rPr>
        <w:t>LENTELĖS</w:t>
      </w:r>
      <w:bookmarkEnd w:id="0"/>
    </w:p>
    <w:p w:rsidR="00720EB7" w:rsidRPr="003C1DC6" w:rsidRDefault="00C20A22" w:rsidP="003C1DC6">
      <w:pPr>
        <w:pStyle w:val="TOC1"/>
        <w:spacing w:before="120"/>
        <w:rPr>
          <w:rFonts w:ascii="Times New Roman" w:eastAsiaTheme="minorEastAsia" w:hAnsi="Times New Roman"/>
          <w:b w:val="0"/>
          <w:noProof/>
          <w:sz w:val="22"/>
          <w:szCs w:val="22"/>
        </w:rPr>
      </w:pPr>
      <w:r w:rsidRPr="00C20A22">
        <w:rPr>
          <w:lang w:val="lt-LT"/>
        </w:rPr>
        <w:fldChar w:fldCharType="begin"/>
      </w:r>
      <w:r w:rsidR="00720EB7">
        <w:rPr>
          <w:lang w:val="lt-LT"/>
        </w:rPr>
        <w:instrText xml:space="preserve"> TOC \h \z \t "lentelės;1" </w:instrText>
      </w:r>
      <w:r w:rsidRPr="00C20A22">
        <w:rPr>
          <w:lang w:val="lt-LT"/>
        </w:rPr>
        <w:fldChar w:fldCharType="separate"/>
      </w:r>
      <w:hyperlink w:anchor="_Toc311971874" w:history="1">
        <w:r w:rsidR="00720EB7" w:rsidRPr="003C1DC6">
          <w:rPr>
            <w:rStyle w:val="Hyperlink"/>
            <w:rFonts w:ascii="Times New Roman" w:hAnsi="Times New Roman"/>
            <w:b w:val="0"/>
            <w:caps w:val="0"/>
            <w:noProof/>
          </w:rPr>
          <w:t>1.1 lentelė. Draudimo veiklos skirstymas Lietuvoje.</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_Toc311971874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13</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75" w:history="1">
        <w:r w:rsidR="00720EB7" w:rsidRPr="003C1DC6">
          <w:rPr>
            <w:rStyle w:val="Hyperlink"/>
            <w:rFonts w:ascii="Times New Roman" w:hAnsi="Times New Roman"/>
            <w:b w:val="0"/>
            <w:caps w:val="0"/>
            <w:noProof/>
          </w:rPr>
          <w:t>1.2. lentelė. Ne gyvybės draudimo produktai.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_Toc311971875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15</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76" w:history="1">
        <w:r w:rsidR="00720EB7" w:rsidRPr="003C1DC6">
          <w:rPr>
            <w:rStyle w:val="Hyperlink"/>
            <w:rFonts w:ascii="Times New Roman" w:hAnsi="Times New Roman"/>
            <w:b w:val="0"/>
            <w:caps w:val="0"/>
            <w:noProof/>
          </w:rPr>
          <w:t>1.3. lentelė. Ne gyvybės draudimo rinką veikiantys veiksniai.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_Toc311971876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19</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77" w:history="1">
        <w:r w:rsidR="00720EB7" w:rsidRPr="003C1DC6">
          <w:rPr>
            <w:rStyle w:val="Hyperlink"/>
            <w:rFonts w:ascii="Times New Roman" w:hAnsi="Times New Roman"/>
            <w:b w:val="0"/>
            <w:caps w:val="0"/>
            <w:noProof/>
          </w:rPr>
          <w:t>3.1 lentelė. Ne gyvybės įmonių skaičiaus sudėtis pagal įmonės registravimo vietą.</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_Toc311971877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24</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78" w:history="1">
        <w:r w:rsidR="00720EB7" w:rsidRPr="003C1DC6">
          <w:rPr>
            <w:rStyle w:val="Hyperlink"/>
            <w:rFonts w:ascii="Times New Roman" w:hAnsi="Times New Roman"/>
            <w:b w:val="0"/>
            <w:caps w:val="0"/>
            <w:noProof/>
          </w:rPr>
          <w:t>3.2. lentelė. Pradiniai duomenys.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_Toc311971878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33</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79" w:history="1">
        <w:r w:rsidR="00720EB7" w:rsidRPr="003C1DC6">
          <w:rPr>
            <w:rStyle w:val="Hyperlink"/>
            <w:rFonts w:ascii="Times New Roman" w:hAnsi="Times New Roman"/>
            <w:b w:val="0"/>
            <w:caps w:val="0"/>
            <w:noProof/>
          </w:rPr>
          <w:t>3.3. lentelė . Koreliacijos koeficiento interpretacija.</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_Toc311971879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34</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0" w:history="1">
        <w:r w:rsidR="00720EB7" w:rsidRPr="003C1DC6">
          <w:rPr>
            <w:rStyle w:val="Hyperlink"/>
            <w:rFonts w:ascii="Times New Roman" w:hAnsi="Times New Roman"/>
            <w:b w:val="0"/>
            <w:caps w:val="0"/>
            <w:noProof/>
          </w:rPr>
          <w:t xml:space="preserve">3.4. lentelė. Koreliacijos koeficientai bei jų </w:t>
        </w:r>
        <w:r w:rsidR="00720EB7" w:rsidRPr="003C1DC6">
          <w:rPr>
            <w:rStyle w:val="Hyperlink"/>
            <w:rFonts w:ascii="Times New Roman" w:hAnsi="Times New Roman"/>
            <w:b w:val="0"/>
            <w:i/>
            <w:caps w:val="0"/>
            <w:noProof/>
          </w:rPr>
          <w:t>t</w:t>
        </w:r>
        <w:r w:rsidR="00720EB7" w:rsidRPr="003C1DC6">
          <w:rPr>
            <w:rStyle w:val="Hyperlink"/>
            <w:rFonts w:ascii="Times New Roman" w:hAnsi="Times New Roman"/>
            <w:b w:val="0"/>
            <w:caps w:val="0"/>
            <w:noProof/>
          </w:rPr>
          <w:t xml:space="preserve"> statistikos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_Toc311971880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34</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1" w:history="1">
        <w:r w:rsidR="00720EB7" w:rsidRPr="003C1DC6">
          <w:rPr>
            <w:rStyle w:val="Hyperlink"/>
            <w:rFonts w:ascii="Times New Roman" w:hAnsi="Times New Roman"/>
            <w:b w:val="0"/>
            <w:caps w:val="0"/>
            <w:noProof/>
          </w:rPr>
          <w:t>3.5. lentelė. Porinės regresijos lygtys ir pagal jas paskaičiuotų R</w:t>
        </w:r>
        <w:r w:rsidR="00720EB7" w:rsidRPr="003C1DC6">
          <w:rPr>
            <w:rStyle w:val="Hyperlink"/>
            <w:rFonts w:ascii="Times New Roman" w:hAnsi="Times New Roman"/>
            <w:b w:val="0"/>
            <w:caps w:val="0"/>
            <w:noProof/>
            <w:vertAlign w:val="superscript"/>
          </w:rPr>
          <w:t xml:space="preserve">2 </w:t>
        </w:r>
        <w:r w:rsidR="00720EB7" w:rsidRPr="003C1DC6">
          <w:rPr>
            <w:rStyle w:val="Hyperlink"/>
            <w:rFonts w:ascii="Times New Roman" w:hAnsi="Times New Roman"/>
            <w:b w:val="0"/>
            <w:caps w:val="0"/>
            <w:noProof/>
          </w:rPr>
          <w:t>reikšmės.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_Toc311971881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36</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2" w:history="1">
        <w:r w:rsidR="00720EB7" w:rsidRPr="003C1DC6">
          <w:rPr>
            <w:rStyle w:val="Hyperlink"/>
            <w:rFonts w:ascii="Times New Roman" w:hAnsi="Times New Roman"/>
            <w:b w:val="0"/>
            <w:caps w:val="0"/>
            <w:noProof/>
          </w:rPr>
          <w:t>3.6. lentelė. Porinės regresijos lygtys su įtrauktais laisvaisiais nariais ir pagal jas paskaičiuotų R</w:t>
        </w:r>
        <w:r w:rsidR="00720EB7" w:rsidRPr="003C1DC6">
          <w:rPr>
            <w:rStyle w:val="Hyperlink"/>
            <w:rFonts w:ascii="Times New Roman" w:hAnsi="Times New Roman"/>
            <w:b w:val="0"/>
            <w:caps w:val="0"/>
            <w:noProof/>
            <w:vertAlign w:val="superscript"/>
          </w:rPr>
          <w:t>2</w:t>
        </w:r>
        <w:r w:rsidR="00720EB7" w:rsidRPr="003C1DC6">
          <w:rPr>
            <w:rStyle w:val="Hyperlink"/>
            <w:rFonts w:ascii="Times New Roman" w:hAnsi="Times New Roman"/>
            <w:b w:val="0"/>
            <w:caps w:val="0"/>
            <w:noProof/>
          </w:rPr>
          <w:t xml:space="preserve"> reikšmės.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_Toc311971882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37</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3" w:history="1">
        <w:r w:rsidR="00720EB7" w:rsidRPr="003C1DC6">
          <w:rPr>
            <w:rStyle w:val="Hyperlink"/>
            <w:rFonts w:ascii="Times New Roman" w:hAnsi="Times New Roman"/>
            <w:b w:val="0"/>
            <w:caps w:val="0"/>
            <w:noProof/>
          </w:rPr>
          <w:t>3.7. lentelė. Pradiniai duomenys naudojami transporto draudimo įmokas veikiančių veiksnių analizei.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_Toc311971883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39</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4" w:history="1">
        <w:r w:rsidR="00720EB7" w:rsidRPr="003C1DC6">
          <w:rPr>
            <w:rStyle w:val="Hyperlink"/>
            <w:rFonts w:ascii="Times New Roman" w:hAnsi="Times New Roman"/>
            <w:b w:val="0"/>
            <w:caps w:val="0"/>
            <w:noProof/>
          </w:rPr>
          <w:t xml:space="preserve">3.8. lentelė. Koreliacijos koeficientai tarp transporto priemonių draudimo įmokų bei atitinkamų veiksnių bei jų </w:t>
        </w:r>
        <w:r w:rsidR="00720EB7" w:rsidRPr="003C1DC6">
          <w:rPr>
            <w:rStyle w:val="Hyperlink"/>
            <w:rFonts w:ascii="Times New Roman" w:hAnsi="Times New Roman"/>
            <w:b w:val="0"/>
            <w:i/>
            <w:caps w:val="0"/>
            <w:noProof/>
          </w:rPr>
          <w:t>t</w:t>
        </w:r>
        <w:r w:rsidR="00720EB7" w:rsidRPr="003C1DC6">
          <w:rPr>
            <w:rStyle w:val="Hyperlink"/>
            <w:rFonts w:ascii="Times New Roman" w:hAnsi="Times New Roman"/>
            <w:b w:val="0"/>
            <w:caps w:val="0"/>
            <w:noProof/>
          </w:rPr>
          <w:t xml:space="preserve"> statistikos.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_Toc311971884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40</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5" w:history="1">
        <w:r w:rsidR="00720EB7" w:rsidRPr="003C1DC6">
          <w:rPr>
            <w:rStyle w:val="Hyperlink"/>
            <w:rFonts w:ascii="Times New Roman" w:hAnsi="Times New Roman"/>
            <w:b w:val="0"/>
            <w:caps w:val="0"/>
            <w:noProof/>
          </w:rPr>
          <w:t>3.9. lentelė. Porinės regresijos lygtys tarp transporto priemonių draudime pasirašytų įmokų bei atitinkamo veiksnio ir pagal jas paskaičiuotų R</w:t>
        </w:r>
        <w:r w:rsidR="00720EB7" w:rsidRPr="001D1B3C">
          <w:rPr>
            <w:rStyle w:val="Hyperlink"/>
            <w:rFonts w:ascii="Times New Roman" w:hAnsi="Times New Roman"/>
            <w:b w:val="0"/>
            <w:caps w:val="0"/>
            <w:noProof/>
            <w:vertAlign w:val="superscript"/>
          </w:rPr>
          <w:t>2</w:t>
        </w:r>
        <w:r w:rsidR="00720EB7" w:rsidRPr="003C1DC6">
          <w:rPr>
            <w:rStyle w:val="Hyperlink"/>
            <w:rFonts w:ascii="Times New Roman" w:hAnsi="Times New Roman"/>
            <w:b w:val="0"/>
            <w:caps w:val="0"/>
            <w:noProof/>
          </w:rPr>
          <w:t xml:space="preserve"> statistikų reikšmės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_Toc311971885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41</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6" w:history="1">
        <w:r w:rsidR="00720EB7" w:rsidRPr="003C1DC6">
          <w:rPr>
            <w:rStyle w:val="Hyperlink"/>
            <w:rFonts w:ascii="Times New Roman" w:hAnsi="Times New Roman"/>
            <w:b w:val="0"/>
            <w:caps w:val="0"/>
            <w:noProof/>
          </w:rPr>
          <w:t>3.10. lentelė. Pradiniai duomenys naudojami turto draudimo įmokas veikiančių veiksnių analizei.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_Toc311971886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43</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7" w:history="1">
        <w:r w:rsidR="00720EB7" w:rsidRPr="003C1DC6">
          <w:rPr>
            <w:rStyle w:val="Hyperlink"/>
            <w:rFonts w:ascii="Times New Roman" w:hAnsi="Times New Roman"/>
            <w:b w:val="0"/>
            <w:caps w:val="0"/>
            <w:noProof/>
          </w:rPr>
          <w:t xml:space="preserve">3.11. lentelė. Koreliacijos koeficientai tarp turto draudimo įmokų bei atitinkamų veiksnių bei jų </w:t>
        </w:r>
        <w:r w:rsidR="00720EB7" w:rsidRPr="003C1DC6">
          <w:rPr>
            <w:rStyle w:val="Hyperlink"/>
            <w:rFonts w:ascii="Times New Roman" w:hAnsi="Times New Roman"/>
            <w:b w:val="0"/>
            <w:i/>
            <w:caps w:val="0"/>
            <w:noProof/>
          </w:rPr>
          <w:t>t</w:t>
        </w:r>
        <w:r w:rsidR="00720EB7" w:rsidRPr="003C1DC6">
          <w:rPr>
            <w:rStyle w:val="Hyperlink"/>
            <w:rFonts w:ascii="Times New Roman" w:hAnsi="Times New Roman"/>
            <w:b w:val="0"/>
            <w:caps w:val="0"/>
            <w:noProof/>
          </w:rPr>
          <w:t xml:space="preserve"> statistikos.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_Toc311971887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44</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8" w:history="1">
        <w:r w:rsidR="00720EB7" w:rsidRPr="003C1DC6">
          <w:rPr>
            <w:rStyle w:val="Hyperlink"/>
            <w:rFonts w:ascii="Times New Roman" w:hAnsi="Times New Roman"/>
            <w:b w:val="0"/>
            <w:caps w:val="0"/>
            <w:noProof/>
          </w:rPr>
          <w:t>3.12. lentelė. Porinės regresijos lygtys tarp turto draudime pasirašytų įmokų bei atitinkamo veiksnio ir pagal jas paskaičiuoti determinacijos koeficientai R</w:t>
        </w:r>
        <w:r w:rsidR="00720EB7" w:rsidRPr="001D1B3C">
          <w:rPr>
            <w:rStyle w:val="Hyperlink"/>
            <w:rFonts w:ascii="Times New Roman" w:hAnsi="Times New Roman"/>
            <w:b w:val="0"/>
            <w:caps w:val="0"/>
            <w:noProof/>
            <w:vertAlign w:val="superscript"/>
          </w:rPr>
          <w:t>2</w:t>
        </w:r>
        <w:r w:rsidR="00720EB7" w:rsidRPr="003C1DC6">
          <w:rPr>
            <w:rStyle w:val="Hyperlink"/>
            <w:rFonts w:ascii="Times New Roman" w:hAnsi="Times New Roman"/>
            <w:b w:val="0"/>
            <w:caps w:val="0"/>
            <w:noProof/>
          </w:rPr>
          <w:t>.</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_Toc311971888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44</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89" w:history="1">
        <w:r w:rsidR="00720EB7" w:rsidRPr="003C1DC6">
          <w:rPr>
            <w:rStyle w:val="Hyperlink"/>
            <w:rFonts w:ascii="Times New Roman" w:hAnsi="Times New Roman"/>
            <w:b w:val="0"/>
            <w:caps w:val="0"/>
            <w:noProof/>
          </w:rPr>
          <w:t>3.13. lentelė. Koreliacinės – regresinės analizės rezultatai.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_Toc311971889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45</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90" w:history="1">
        <w:r w:rsidR="00720EB7" w:rsidRPr="003C1DC6">
          <w:rPr>
            <w:rStyle w:val="Hyperlink"/>
            <w:rFonts w:ascii="Times New Roman" w:hAnsi="Times New Roman"/>
            <w:b w:val="0"/>
            <w:caps w:val="0"/>
            <w:noProof/>
          </w:rPr>
          <w:t>3.14. lentelė. Lietuvos ne gyvybės draudimo rinkos augimui įtaką darantys veiksniai: ekspertinis vertinimas.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_Toc311971890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47</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1891" w:history="1">
        <w:r w:rsidR="00720EB7" w:rsidRPr="003C1DC6">
          <w:rPr>
            <w:rStyle w:val="Hyperlink"/>
            <w:rFonts w:ascii="Times New Roman" w:hAnsi="Times New Roman"/>
            <w:b w:val="0"/>
            <w:caps w:val="0"/>
            <w:noProof/>
          </w:rPr>
          <w:t>3.15. lentelė: Ekspertinio vertinimo metu surinkti  duomenys.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_Toc311971891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49</w:t>
        </w:r>
        <w:r w:rsidRPr="003C1DC6">
          <w:rPr>
            <w:rFonts w:ascii="Times New Roman" w:hAnsi="Times New Roman"/>
            <w:b w:val="0"/>
            <w:noProof/>
            <w:webHidden/>
          </w:rPr>
          <w:fldChar w:fldCharType="end"/>
        </w:r>
      </w:hyperlink>
    </w:p>
    <w:p w:rsidR="00720EB7" w:rsidRDefault="00C20A22" w:rsidP="00720EB7">
      <w:pPr>
        <w:jc w:val="center"/>
        <w:rPr>
          <w:b/>
          <w:bCs/>
          <w:lang w:val="lt-LT"/>
        </w:rPr>
      </w:pPr>
      <w:r>
        <w:rPr>
          <w:b/>
          <w:bCs/>
          <w:lang w:val="lt-LT"/>
        </w:rPr>
        <w:fldChar w:fldCharType="end"/>
      </w:r>
    </w:p>
    <w:p w:rsidR="003C1DC6" w:rsidRDefault="003C1DC6">
      <w:pPr>
        <w:rPr>
          <w:b/>
          <w:bCs/>
          <w:lang w:val="lt-LT"/>
        </w:rPr>
      </w:pPr>
      <w:r>
        <w:rPr>
          <w:b/>
          <w:bCs/>
          <w:lang w:val="lt-LT"/>
        </w:rPr>
        <w:br w:type="page"/>
      </w:r>
    </w:p>
    <w:p w:rsidR="00AE1F22" w:rsidRDefault="00AE1F22" w:rsidP="009803D7">
      <w:pPr>
        <w:rPr>
          <w:b/>
          <w:bCs/>
          <w:lang w:val="lt-LT"/>
        </w:rPr>
      </w:pPr>
    </w:p>
    <w:p w:rsidR="00AE1F22" w:rsidRDefault="00AE1F22">
      <w:pPr>
        <w:rPr>
          <w:b/>
          <w:bCs/>
          <w:lang w:val="lt-LT"/>
        </w:rPr>
      </w:pPr>
    </w:p>
    <w:p w:rsidR="00AE1F22" w:rsidRDefault="00AE1F22" w:rsidP="00AE1F22">
      <w:pPr>
        <w:jc w:val="center"/>
        <w:rPr>
          <w:b/>
          <w:bCs/>
          <w:lang w:val="lt-LT"/>
        </w:rPr>
      </w:pPr>
      <w:r>
        <w:rPr>
          <w:b/>
          <w:bCs/>
          <w:lang w:val="lt-LT"/>
        </w:rPr>
        <w:t>PAVEIKSLAI</w:t>
      </w:r>
    </w:p>
    <w:p w:rsidR="00720EB7" w:rsidRPr="003C1DC6" w:rsidRDefault="00C20A22" w:rsidP="003C1DC6">
      <w:pPr>
        <w:pStyle w:val="TOC1"/>
        <w:spacing w:before="120"/>
        <w:rPr>
          <w:rFonts w:ascii="Times New Roman" w:eastAsiaTheme="minorEastAsia" w:hAnsi="Times New Roman"/>
          <w:b w:val="0"/>
          <w:noProof/>
          <w:sz w:val="22"/>
          <w:szCs w:val="22"/>
        </w:rPr>
      </w:pPr>
      <w:r w:rsidRPr="00C20A22">
        <w:rPr>
          <w:lang w:val="lt-LT"/>
        </w:rPr>
        <w:fldChar w:fldCharType="begin"/>
      </w:r>
      <w:r w:rsidR="00720EB7" w:rsidRPr="00720EB7">
        <w:rPr>
          <w:lang w:val="lt-LT"/>
        </w:rPr>
        <w:instrText xml:space="preserve"> TOC \h \z \t "Paveikslai;1" </w:instrText>
      </w:r>
      <w:r w:rsidRPr="00C20A22">
        <w:rPr>
          <w:lang w:val="lt-LT"/>
        </w:rPr>
        <w:fldChar w:fldCharType="separate"/>
      </w:r>
      <w:hyperlink w:anchor="_Toc311972019" w:history="1">
        <w:r w:rsidR="00720EB7" w:rsidRPr="003C1DC6">
          <w:rPr>
            <w:rStyle w:val="Hyperlink"/>
            <w:rFonts w:ascii="Times New Roman" w:hAnsi="Times New Roman"/>
            <w:b w:val="0"/>
            <w:caps w:val="0"/>
            <w:noProof/>
          </w:rPr>
          <w:t>1.1. pav. Draudimo veiklos požymiai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_Toc311972019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11</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0" w:history="1">
        <w:r w:rsidR="00720EB7" w:rsidRPr="003C1DC6">
          <w:rPr>
            <w:rStyle w:val="Hyperlink"/>
            <w:rFonts w:ascii="Times New Roman" w:hAnsi="Times New Roman"/>
            <w:b w:val="0"/>
            <w:caps w:val="0"/>
            <w:noProof/>
          </w:rPr>
          <w:t>3.1. pav. 1997 m. - 2011 m. ne gyvybės draudimo įmonių skaičius vnt.</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_Toc311972020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24</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1" w:history="1">
        <w:r w:rsidR="00720EB7" w:rsidRPr="003C1DC6">
          <w:rPr>
            <w:rStyle w:val="Hyperlink"/>
            <w:rFonts w:ascii="Times New Roman" w:hAnsi="Times New Roman"/>
            <w:b w:val="0"/>
            <w:caps w:val="0"/>
            <w:noProof/>
          </w:rPr>
          <w:t>3.2. pav. Trijų didžiausią rinkos dalį užsiimančių draudimo įmonių bendrai užimama rinkos dalis.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_Toc311972021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25</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2" w:history="1">
        <w:r w:rsidR="00720EB7" w:rsidRPr="003C1DC6">
          <w:rPr>
            <w:rStyle w:val="Hyperlink"/>
            <w:rFonts w:ascii="Times New Roman" w:hAnsi="Times New Roman"/>
            <w:b w:val="0"/>
            <w:caps w:val="0"/>
            <w:noProof/>
          </w:rPr>
          <w:t>3.3. pav. Koncentracija ne gyvybės draudimo rinkoje pagal pasirašytas draudimo įmokas 2010 metais.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_Toc311972022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25</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3" w:history="1">
        <w:r w:rsidR="00720EB7" w:rsidRPr="003C1DC6">
          <w:rPr>
            <w:rStyle w:val="Hyperlink"/>
            <w:rFonts w:ascii="Times New Roman" w:hAnsi="Times New Roman"/>
            <w:b w:val="0"/>
            <w:caps w:val="0"/>
            <w:noProof/>
          </w:rPr>
          <w:t>3.4. pav. Lietuvos draudimo šakų pasiskirstymas Lietuvoje 2006 – 2010 metais.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_Toc311972023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26</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4" w:history="1">
        <w:r w:rsidR="00720EB7" w:rsidRPr="003C1DC6">
          <w:rPr>
            <w:rStyle w:val="Hyperlink"/>
            <w:rFonts w:ascii="Times New Roman" w:hAnsi="Times New Roman"/>
            <w:b w:val="0"/>
            <w:caps w:val="0"/>
            <w:noProof/>
          </w:rPr>
          <w:t>3.5. pav..Ne gyvybės draudimo įmokų tankis, bei skvarba</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_Toc311972024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27</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5" w:history="1">
        <w:r w:rsidR="00720EB7" w:rsidRPr="003C1DC6">
          <w:rPr>
            <w:rStyle w:val="Hyperlink"/>
            <w:rFonts w:ascii="Times New Roman" w:eastAsia="TrebuchetMS" w:hAnsi="Times New Roman"/>
            <w:b w:val="0"/>
            <w:caps w:val="0"/>
            <w:noProof/>
          </w:rPr>
          <w:t>3.6. pav. Pasirašytų draudimo įmokų ne gyvybės draudime dinamika  bei augimo tempai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_Toc311972025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27</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6" w:history="1">
        <w:r w:rsidR="00720EB7" w:rsidRPr="003C1DC6">
          <w:rPr>
            <w:rStyle w:val="Hyperlink"/>
            <w:rFonts w:ascii="Times New Roman" w:eastAsia="TrebuchetMS" w:hAnsi="Times New Roman"/>
            <w:b w:val="0"/>
            <w:caps w:val="0"/>
            <w:noProof/>
          </w:rPr>
          <w:t>3.7. pav. Sudarytų draudimo sutarčių skaičiaus ne gyvybės draudime dinamika bei augimo tempai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_Toc311972026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28</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7" w:history="1">
        <w:r w:rsidR="00720EB7" w:rsidRPr="003C1DC6">
          <w:rPr>
            <w:rStyle w:val="Hyperlink"/>
            <w:rFonts w:ascii="Times New Roman" w:eastAsia="TrebuchetMS" w:hAnsi="Times New Roman"/>
            <w:b w:val="0"/>
            <w:caps w:val="0"/>
            <w:noProof/>
          </w:rPr>
          <w:t>3.8. pav. Pasirašytų draudimo įmokų TPVCA privalomajame draudime dinamika bei augimo tempai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_Toc311972027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29</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8" w:history="1">
        <w:r w:rsidR="00720EB7" w:rsidRPr="003C1DC6">
          <w:rPr>
            <w:rStyle w:val="Hyperlink"/>
            <w:rFonts w:ascii="Times New Roman" w:eastAsia="TrebuchetMS" w:hAnsi="Times New Roman"/>
            <w:b w:val="0"/>
            <w:caps w:val="0"/>
            <w:noProof/>
          </w:rPr>
          <w:t>3.9. pav. Pasirašytų draudimo įmokų transporto priemonių draudime dinamika bei sutarčių skaičiaus dinamika</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_Toc311972028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29</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29" w:history="1">
        <w:r w:rsidR="00720EB7" w:rsidRPr="003C1DC6">
          <w:rPr>
            <w:rStyle w:val="Hyperlink"/>
            <w:rFonts w:ascii="Times New Roman" w:eastAsia="TrebuchetMS" w:hAnsi="Times New Roman"/>
            <w:b w:val="0"/>
            <w:caps w:val="0"/>
            <w:noProof/>
          </w:rPr>
          <w:t>3.10 pav. Pasirašytų draudimo įmokų turto draudime dinamika  bei augimo tempas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_Toc311972029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30</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30" w:history="1">
        <w:r w:rsidR="00720EB7" w:rsidRPr="003C1DC6">
          <w:rPr>
            <w:rStyle w:val="Hyperlink"/>
            <w:rFonts w:ascii="Times New Roman" w:eastAsia="TrebuchetMS" w:hAnsi="Times New Roman"/>
            <w:b w:val="0"/>
            <w:caps w:val="0"/>
            <w:noProof/>
          </w:rPr>
          <w:t>3.11. pav. Pasirašytų draudimo sutarčių skaičiaus turto draudime dinamika bei augimo tempas.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_Toc311972030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31</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31" w:history="1">
        <w:r w:rsidR="00720EB7" w:rsidRPr="003C1DC6">
          <w:rPr>
            <w:rStyle w:val="Hyperlink"/>
            <w:rFonts w:ascii="Times New Roman" w:hAnsi="Times New Roman"/>
            <w:b w:val="0"/>
            <w:caps w:val="0"/>
            <w:noProof/>
          </w:rPr>
          <w:t>3.12 pav. 2004m. IV ketvirčio - 2011 m. II ketvirčio ne gyvybės draudimo įmokų dinamika</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_Toc311972031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32</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32" w:history="1">
        <w:r w:rsidR="00720EB7" w:rsidRPr="003C1DC6">
          <w:rPr>
            <w:rStyle w:val="Hyperlink"/>
            <w:rFonts w:ascii="Times New Roman" w:hAnsi="Times New Roman"/>
            <w:b w:val="0"/>
            <w:caps w:val="0"/>
            <w:noProof/>
          </w:rPr>
          <w:t>3.13. pav. 2004m. I ketvirčio- 2011 m. II ketvirčio transporto priemonių draudimo įmokų dinamika</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_Toc311972032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38</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33" w:history="1">
        <w:r w:rsidR="00720EB7" w:rsidRPr="003C1DC6">
          <w:rPr>
            <w:rStyle w:val="Hyperlink"/>
            <w:rFonts w:ascii="Times New Roman" w:hAnsi="Times New Roman"/>
            <w:b w:val="0"/>
            <w:caps w:val="0"/>
            <w:noProof/>
          </w:rPr>
          <w:t>3.14. pav. 2004m. IV ketvirčio - 2011 m. II ketvirčio turto draudimo įmokų dinamika.</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_Toc311972033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42</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34" w:history="1">
        <w:r w:rsidR="00720EB7" w:rsidRPr="003C1DC6">
          <w:rPr>
            <w:rStyle w:val="Hyperlink"/>
            <w:rFonts w:ascii="Times New Roman" w:hAnsi="Times New Roman"/>
            <w:b w:val="0"/>
            <w:caps w:val="0"/>
            <w:noProof/>
          </w:rPr>
          <w:t>3.15. pav. Ekspertų skaičiaus įtaka vertinimo patikimumui.</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_Toc311972034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47</w:t>
        </w:r>
        <w:r w:rsidRPr="003C1DC6">
          <w:rPr>
            <w:rFonts w:ascii="Times New Roman" w:hAnsi="Times New Roman"/>
            <w:b w:val="0"/>
            <w:noProof/>
            <w:webHidden/>
          </w:rPr>
          <w:fldChar w:fldCharType="end"/>
        </w:r>
      </w:hyperlink>
    </w:p>
    <w:p w:rsidR="00720EB7" w:rsidRPr="003C1DC6" w:rsidRDefault="00C20A22" w:rsidP="003C1DC6">
      <w:pPr>
        <w:pStyle w:val="TOC1"/>
        <w:spacing w:before="120"/>
        <w:rPr>
          <w:rFonts w:ascii="Times New Roman" w:eastAsiaTheme="minorEastAsia" w:hAnsi="Times New Roman"/>
          <w:b w:val="0"/>
          <w:noProof/>
          <w:sz w:val="22"/>
          <w:szCs w:val="22"/>
        </w:rPr>
      </w:pPr>
      <w:hyperlink w:anchor="_Toc311972035" w:history="1">
        <w:r w:rsidR="00720EB7" w:rsidRPr="003C1DC6">
          <w:rPr>
            <w:rStyle w:val="Hyperlink"/>
            <w:rFonts w:ascii="Times New Roman" w:hAnsi="Times New Roman"/>
            <w:b w:val="0"/>
            <w:caps w:val="0"/>
            <w:noProof/>
          </w:rPr>
          <w:t>3.16. pav. Veiksniai darantys įtaką Lietuvos ne gyvybės draudimo rinkos augimui: ekspertinis vertinimas</w:t>
        </w:r>
        <w:r w:rsidR="00720EB7" w:rsidRPr="003C1DC6">
          <w:rPr>
            <w:rFonts w:ascii="Times New Roman" w:hAnsi="Times New Roman"/>
            <w:b w:val="0"/>
            <w:noProof/>
            <w:webHidden/>
          </w:rPr>
          <w:tab/>
        </w:r>
        <w:r w:rsidRPr="003C1DC6">
          <w:rPr>
            <w:rFonts w:ascii="Times New Roman" w:hAnsi="Times New Roman"/>
            <w:b w:val="0"/>
            <w:noProof/>
            <w:webHidden/>
          </w:rPr>
          <w:fldChar w:fldCharType="begin"/>
        </w:r>
        <w:r w:rsidR="00720EB7" w:rsidRPr="003C1DC6">
          <w:rPr>
            <w:rFonts w:ascii="Times New Roman" w:hAnsi="Times New Roman"/>
            <w:b w:val="0"/>
            <w:noProof/>
            <w:webHidden/>
          </w:rPr>
          <w:instrText xml:space="preserve"> PAGEREF _Toc311972035 \h </w:instrText>
        </w:r>
        <w:r w:rsidRPr="003C1DC6">
          <w:rPr>
            <w:rFonts w:ascii="Times New Roman" w:hAnsi="Times New Roman"/>
            <w:b w:val="0"/>
            <w:noProof/>
            <w:webHidden/>
          </w:rPr>
        </w:r>
        <w:r w:rsidRPr="003C1DC6">
          <w:rPr>
            <w:rFonts w:ascii="Times New Roman" w:hAnsi="Times New Roman"/>
            <w:b w:val="0"/>
            <w:noProof/>
            <w:webHidden/>
          </w:rPr>
          <w:fldChar w:fldCharType="separate"/>
        </w:r>
        <w:r w:rsidR="006E1428">
          <w:rPr>
            <w:rFonts w:ascii="Times New Roman" w:hAnsi="Times New Roman"/>
            <w:b w:val="0"/>
            <w:noProof/>
            <w:webHidden/>
          </w:rPr>
          <w:t>48</w:t>
        </w:r>
        <w:r w:rsidRPr="003C1DC6">
          <w:rPr>
            <w:rFonts w:ascii="Times New Roman" w:hAnsi="Times New Roman"/>
            <w:b w:val="0"/>
            <w:noProof/>
            <w:webHidden/>
          </w:rPr>
          <w:fldChar w:fldCharType="end"/>
        </w:r>
      </w:hyperlink>
    </w:p>
    <w:p w:rsidR="007D0B31" w:rsidRDefault="00C20A22" w:rsidP="00720EB7">
      <w:pPr>
        <w:pStyle w:val="TOC1"/>
        <w:rPr>
          <w:rFonts w:asciiTheme="minorHAnsi" w:eastAsiaTheme="minorEastAsia" w:hAnsiTheme="minorHAnsi" w:cstheme="minorBidi"/>
          <w:noProof/>
          <w:sz w:val="22"/>
          <w:szCs w:val="22"/>
        </w:rPr>
      </w:pPr>
      <w:r w:rsidRPr="00720EB7">
        <w:rPr>
          <w:rFonts w:ascii="Times New Roman" w:hAnsi="Times New Roman"/>
          <w:lang w:val="lt-LT"/>
        </w:rPr>
        <w:fldChar w:fldCharType="end"/>
      </w:r>
      <w:r w:rsidRPr="00C20A22">
        <w:rPr>
          <w:lang w:val="lt-LT"/>
        </w:rPr>
        <w:fldChar w:fldCharType="begin"/>
      </w:r>
      <w:r w:rsidR="005631C3">
        <w:rPr>
          <w:lang w:val="lt-LT"/>
        </w:rPr>
        <w:instrText xml:space="preserve"> TOC \h \z \t "Paveikslai;1" </w:instrText>
      </w:r>
      <w:r w:rsidRPr="00C20A22">
        <w:rPr>
          <w:lang w:val="lt-LT"/>
        </w:rPr>
        <w:fldChar w:fldCharType="separate"/>
      </w:r>
    </w:p>
    <w:p w:rsidR="009803D7" w:rsidRPr="00303A5A" w:rsidRDefault="00C20A22" w:rsidP="009803D7">
      <w:pPr>
        <w:rPr>
          <w:b/>
          <w:bCs/>
          <w:lang w:val="lt-LT"/>
        </w:rPr>
      </w:pPr>
      <w:r>
        <w:rPr>
          <w:b/>
          <w:bCs/>
          <w:lang w:val="lt-LT"/>
        </w:rPr>
        <w:fldChar w:fldCharType="end"/>
      </w:r>
    </w:p>
    <w:p w:rsidR="005631C3" w:rsidRDefault="005631C3">
      <w:pPr>
        <w:rPr>
          <w:rFonts w:eastAsiaTheme="majorEastAsia" w:cstheme="majorBidi"/>
          <w:b/>
          <w:color w:val="000000" w:themeColor="text1"/>
          <w:szCs w:val="28"/>
          <w:lang w:val="lt-LT"/>
        </w:rPr>
      </w:pPr>
      <w:bookmarkStart w:id="1" w:name="_Toc309559967"/>
      <w:r>
        <w:rPr>
          <w:bCs/>
          <w:color w:val="000000" w:themeColor="text1"/>
          <w:lang w:val="lt-LT"/>
        </w:rPr>
        <w:br w:type="page"/>
      </w:r>
    </w:p>
    <w:p w:rsidR="009803D7" w:rsidRDefault="009803D7" w:rsidP="005D4E5F">
      <w:pPr>
        <w:pStyle w:val="Style1-h1"/>
      </w:pPr>
      <w:bookmarkStart w:id="2" w:name="_Toc311971351"/>
      <w:bookmarkStart w:id="3" w:name="_Toc311971540"/>
      <w:bookmarkStart w:id="4" w:name="_Toc311971686"/>
      <w:r w:rsidRPr="00303A5A">
        <w:lastRenderedPageBreak/>
        <w:t>ĮVADAS</w:t>
      </w:r>
      <w:bookmarkEnd w:id="1"/>
      <w:bookmarkEnd w:id="2"/>
      <w:bookmarkEnd w:id="3"/>
      <w:bookmarkEnd w:id="4"/>
    </w:p>
    <w:p w:rsidR="008936DC" w:rsidRDefault="00F84386" w:rsidP="00310363">
      <w:pPr>
        <w:spacing w:line="360" w:lineRule="auto"/>
        <w:ind w:firstLine="567"/>
        <w:jc w:val="both"/>
        <w:rPr>
          <w:color w:val="000000"/>
          <w:lang w:val="lt-LT"/>
        </w:rPr>
      </w:pPr>
      <w:r>
        <w:rPr>
          <w:color w:val="000000"/>
          <w:lang w:val="lt-LT"/>
        </w:rPr>
        <w:t>Lietuvos, kaip ir bet kuri</w:t>
      </w:r>
      <w:r w:rsidR="000F5AB5">
        <w:rPr>
          <w:color w:val="000000"/>
          <w:lang w:val="lt-LT"/>
        </w:rPr>
        <w:t>os kitos valstybės, ekonominiam</w:t>
      </w:r>
      <w:r>
        <w:rPr>
          <w:color w:val="000000"/>
          <w:lang w:val="lt-LT"/>
        </w:rPr>
        <w:t xml:space="preserve"> išsivystymui didelę įtaką daro draudimo rinka, nes </w:t>
      </w:r>
      <w:r w:rsidR="00533D37" w:rsidRPr="00533D37">
        <w:rPr>
          <w:color w:val="000000"/>
          <w:lang w:val="lt-LT"/>
        </w:rPr>
        <w:t>draudikai atlieka rizikos perkėlimo ir nuostolių preve</w:t>
      </w:r>
      <w:r>
        <w:rPr>
          <w:color w:val="000000"/>
          <w:lang w:val="lt-LT"/>
        </w:rPr>
        <w:t xml:space="preserve">ncijos funkcijas. Tai užtikrina stabilumą </w:t>
      </w:r>
      <w:r w:rsidR="00533D37" w:rsidRPr="00533D37">
        <w:rPr>
          <w:color w:val="000000"/>
          <w:lang w:val="lt-LT"/>
        </w:rPr>
        <w:t>tiek kasdienėje veikloje</w:t>
      </w:r>
      <w:r w:rsidR="00533D37">
        <w:rPr>
          <w:color w:val="000000"/>
          <w:lang w:val="lt-LT"/>
        </w:rPr>
        <w:t>,</w:t>
      </w:r>
      <w:r w:rsidR="00533D37" w:rsidRPr="00533D37">
        <w:rPr>
          <w:color w:val="000000"/>
          <w:lang w:val="lt-LT"/>
        </w:rPr>
        <w:t xml:space="preserve"> tiek versle.</w:t>
      </w:r>
      <w:r>
        <w:rPr>
          <w:color w:val="000000"/>
          <w:lang w:val="lt-LT"/>
        </w:rPr>
        <w:t xml:space="preserve"> </w:t>
      </w:r>
      <w:r w:rsidR="00297B9A">
        <w:rPr>
          <w:color w:val="000000"/>
          <w:lang w:val="lt-LT"/>
        </w:rPr>
        <w:t>D</w:t>
      </w:r>
      <w:r w:rsidR="008936DC">
        <w:rPr>
          <w:color w:val="000000"/>
          <w:lang w:val="lt-LT"/>
        </w:rPr>
        <w:t>raudimo rinka</w:t>
      </w:r>
      <w:r w:rsidR="00297B9A">
        <w:rPr>
          <w:color w:val="000000"/>
          <w:lang w:val="lt-LT"/>
        </w:rPr>
        <w:t xml:space="preserve"> Lietuvoje</w:t>
      </w:r>
      <w:r w:rsidR="008936DC">
        <w:rPr>
          <w:color w:val="000000"/>
          <w:lang w:val="lt-LT"/>
        </w:rPr>
        <w:t xml:space="preserve"> sparčiai augo nuo Nepriklausomybės atkūrimo ir didžiausią augimo pagreitį įgijo per paskutinį dešimtmetį. Tačiau lyginant su kitomis Europos Sąjungos šalimis, </w:t>
      </w:r>
      <w:r w:rsidR="00297B9A">
        <w:rPr>
          <w:color w:val="000000"/>
          <w:lang w:val="lt-LT"/>
        </w:rPr>
        <w:t>draudimo išsivystymo rodikliai yra žymiai mažesni, todėl draudimo sektoriui būtina skirti daugiau dėmesio, ypatingai ne gyvybės draudimui, nes Lietuvoje jis užima didžiąją dalį draudimo rinkos.</w:t>
      </w:r>
    </w:p>
    <w:p w:rsidR="0075013B" w:rsidRDefault="00096564" w:rsidP="00310363">
      <w:pPr>
        <w:autoSpaceDE w:val="0"/>
        <w:autoSpaceDN w:val="0"/>
        <w:adjustRightInd w:val="0"/>
        <w:spacing w:line="360" w:lineRule="auto"/>
        <w:ind w:firstLine="567"/>
        <w:jc w:val="both"/>
        <w:rPr>
          <w:lang w:val="lt-LT"/>
        </w:rPr>
      </w:pPr>
      <w:r w:rsidRPr="004C6278">
        <w:rPr>
          <w:b/>
          <w:bCs/>
          <w:lang w:val="lt-LT"/>
        </w:rPr>
        <w:t>Temos aktualumas</w:t>
      </w:r>
      <w:r w:rsidRPr="004C6278">
        <w:rPr>
          <w:lang w:val="lt-LT"/>
        </w:rPr>
        <w:t>.</w:t>
      </w:r>
      <w:r w:rsidR="00274141">
        <w:rPr>
          <w:lang w:val="lt-LT"/>
        </w:rPr>
        <w:t xml:space="preserve"> Ekonomikos pakilimo laikotarpiu,</w:t>
      </w:r>
      <w:r w:rsidRPr="004C6278">
        <w:rPr>
          <w:lang w:val="lt-LT"/>
        </w:rPr>
        <w:t xml:space="preserve"> </w:t>
      </w:r>
      <w:r w:rsidR="00B32856">
        <w:rPr>
          <w:lang w:val="lt-LT"/>
        </w:rPr>
        <w:t>Lietuvos ne</w:t>
      </w:r>
      <w:r w:rsidR="00274141">
        <w:rPr>
          <w:lang w:val="lt-LT"/>
        </w:rPr>
        <w:t xml:space="preserve"> gyvybės draudimo rinka augo sparčiau, t</w:t>
      </w:r>
      <w:r w:rsidR="00B32856">
        <w:rPr>
          <w:lang w:val="lt-LT"/>
        </w:rPr>
        <w:t>ačiau prasidėjus</w:t>
      </w:r>
      <w:r w:rsidR="00274141">
        <w:rPr>
          <w:lang w:val="lt-LT"/>
        </w:rPr>
        <w:t xml:space="preserve"> globaliai</w:t>
      </w:r>
      <w:r w:rsidR="00B32856">
        <w:rPr>
          <w:lang w:val="lt-LT"/>
        </w:rPr>
        <w:t xml:space="preserve"> ekonominei krizei, ne gyvybės draudimo rinkos smukimas Lietuvoje buvo žymiai didesnis nei visos ekonomikos. </w:t>
      </w:r>
      <w:r w:rsidR="00274141">
        <w:rPr>
          <w:lang w:val="lt-LT"/>
        </w:rPr>
        <w:t>Nors 2010 metais kitose sferose jau buvo galima matyti atsigavimo požymių,</w:t>
      </w:r>
      <w:r w:rsidR="00B32856">
        <w:rPr>
          <w:lang w:val="lt-LT"/>
        </w:rPr>
        <w:t xml:space="preserve"> Liet</w:t>
      </w:r>
      <w:r w:rsidR="00274141">
        <w:rPr>
          <w:lang w:val="lt-LT"/>
        </w:rPr>
        <w:t xml:space="preserve">uvos ne gyvybės draudimo rinka toliau traukėsi ir tik </w:t>
      </w:r>
      <w:r w:rsidR="0075013B">
        <w:rPr>
          <w:lang w:val="lt-LT"/>
        </w:rPr>
        <w:t xml:space="preserve">2011 metų pradžioje pradėtas fiksuoti teigiamas augimas. 2011 metų sausio – spalio mėn. pasirašytų įmokų suma lyginant su pernai metų tuo pačiu laikotarpiu paaugo 12,5 proc. </w:t>
      </w:r>
    </w:p>
    <w:p w:rsidR="00096564" w:rsidRPr="004C6278" w:rsidRDefault="0075013B" w:rsidP="00310363">
      <w:pPr>
        <w:autoSpaceDE w:val="0"/>
        <w:autoSpaceDN w:val="0"/>
        <w:adjustRightInd w:val="0"/>
        <w:spacing w:line="360" w:lineRule="auto"/>
        <w:ind w:firstLine="567"/>
        <w:jc w:val="both"/>
        <w:rPr>
          <w:lang w:val="lt-LT"/>
        </w:rPr>
      </w:pPr>
      <w:r>
        <w:rPr>
          <w:lang w:val="lt-LT"/>
        </w:rPr>
        <w:t>Šių pokyčių akivaizdoje</w:t>
      </w:r>
      <w:r w:rsidR="004D5A21">
        <w:rPr>
          <w:lang w:val="lt-LT"/>
        </w:rPr>
        <w:t xml:space="preserve"> aktualu tampa išsiaiškinti, kokie makroekonominiai veiksniai lemia pokyčius Lietuvos ne gyvybės draudimo rinkoje ir kaip galima juos įvertinti.</w:t>
      </w:r>
      <w:r>
        <w:rPr>
          <w:lang w:val="lt-LT"/>
        </w:rPr>
        <w:t xml:space="preserve"> </w:t>
      </w:r>
      <w:r w:rsidR="004D5A21">
        <w:rPr>
          <w:lang w:val="lt-LT"/>
        </w:rPr>
        <w:t>Magistro baigiamajame darbe dėmesys skiriamas ne tik makroekonominiams veiksniams, bei jų vertinimui, bet ir įvertinami kiti galimi veiksniai, kurie eksperto nuomone gali būti svarbūs.</w:t>
      </w:r>
    </w:p>
    <w:p w:rsidR="00096564" w:rsidRPr="004C6278" w:rsidRDefault="00096564" w:rsidP="00310363">
      <w:pPr>
        <w:autoSpaceDE w:val="0"/>
        <w:autoSpaceDN w:val="0"/>
        <w:adjustRightInd w:val="0"/>
        <w:spacing w:line="360" w:lineRule="auto"/>
        <w:ind w:firstLine="567"/>
        <w:jc w:val="both"/>
        <w:rPr>
          <w:lang w:val="lt-LT"/>
        </w:rPr>
      </w:pPr>
      <w:r w:rsidRPr="004C6278">
        <w:rPr>
          <w:b/>
          <w:bCs/>
          <w:lang w:val="lt-LT"/>
        </w:rPr>
        <w:t>Tyrimo problema</w:t>
      </w:r>
      <w:r w:rsidRPr="004C6278">
        <w:rPr>
          <w:lang w:val="lt-LT"/>
        </w:rPr>
        <w:t>. Kokie makroekonominiai veiksniai ir kaip veik</w:t>
      </w:r>
      <w:r w:rsidR="004D5A21">
        <w:rPr>
          <w:lang w:val="lt-LT"/>
        </w:rPr>
        <w:t xml:space="preserve">ia ne gyvybės draudimo rinką? </w:t>
      </w:r>
      <w:r w:rsidRPr="004C6278">
        <w:rPr>
          <w:lang w:val="lt-LT"/>
        </w:rPr>
        <w:t>Kaip nustatyti</w:t>
      </w:r>
      <w:r w:rsidR="004D5A21">
        <w:rPr>
          <w:lang w:val="lt-LT"/>
        </w:rPr>
        <w:t xml:space="preserve"> ir </w:t>
      </w:r>
      <w:r w:rsidRPr="004C6278">
        <w:rPr>
          <w:lang w:val="lt-LT"/>
        </w:rPr>
        <w:t xml:space="preserve"> </w:t>
      </w:r>
      <w:r w:rsidR="004D5A21" w:rsidRPr="004C6278">
        <w:rPr>
          <w:lang w:val="lt-LT"/>
        </w:rPr>
        <w:t xml:space="preserve">įvertinti </w:t>
      </w:r>
      <w:r w:rsidR="004D5A21">
        <w:rPr>
          <w:lang w:val="lt-LT"/>
        </w:rPr>
        <w:t>veiksnių reikšmingumą?</w:t>
      </w:r>
    </w:p>
    <w:p w:rsidR="00096564" w:rsidRPr="004C6278" w:rsidRDefault="00096564" w:rsidP="00310363">
      <w:pPr>
        <w:autoSpaceDE w:val="0"/>
        <w:autoSpaceDN w:val="0"/>
        <w:adjustRightInd w:val="0"/>
        <w:spacing w:line="360" w:lineRule="auto"/>
        <w:ind w:firstLine="567"/>
        <w:jc w:val="both"/>
        <w:rPr>
          <w:lang w:val="lt-LT"/>
        </w:rPr>
      </w:pPr>
      <w:r w:rsidRPr="004C6278">
        <w:rPr>
          <w:b/>
          <w:bCs/>
          <w:lang w:val="lt-LT"/>
        </w:rPr>
        <w:t xml:space="preserve">Tyrimo objektas </w:t>
      </w:r>
      <w:r w:rsidRPr="004C6278">
        <w:rPr>
          <w:lang w:val="lt-LT"/>
        </w:rPr>
        <w:t>– Lietuvos ne gyvybės draudimo rinka – pasirašytos įmokos.</w:t>
      </w:r>
    </w:p>
    <w:p w:rsidR="00096564" w:rsidRPr="004C6278" w:rsidRDefault="00096564" w:rsidP="00310363">
      <w:pPr>
        <w:autoSpaceDE w:val="0"/>
        <w:autoSpaceDN w:val="0"/>
        <w:adjustRightInd w:val="0"/>
        <w:spacing w:line="360" w:lineRule="auto"/>
        <w:ind w:firstLine="567"/>
        <w:jc w:val="both"/>
        <w:rPr>
          <w:lang w:val="lt-LT"/>
        </w:rPr>
      </w:pPr>
      <w:r w:rsidRPr="004C6278">
        <w:rPr>
          <w:b/>
          <w:bCs/>
          <w:lang w:val="lt-LT"/>
        </w:rPr>
        <w:t xml:space="preserve">Tyrimo tikslas </w:t>
      </w:r>
      <w:r w:rsidRPr="004C6278">
        <w:rPr>
          <w:lang w:val="lt-LT"/>
        </w:rPr>
        <w:t>– įvertinti kokie veiksniai daro įtaką Lietuvos ne gyvybės draudimo rink</w:t>
      </w:r>
      <w:r>
        <w:rPr>
          <w:lang w:val="lt-LT"/>
        </w:rPr>
        <w:t>ai, sudaryti modelį</w:t>
      </w:r>
      <w:r w:rsidR="003622F9">
        <w:rPr>
          <w:lang w:val="lt-LT"/>
        </w:rPr>
        <w:t xml:space="preserve"> aprašantį Lietuvos ne gyvybės draudimo rinką</w:t>
      </w:r>
      <w:r w:rsidRPr="004C6278">
        <w:rPr>
          <w:lang w:val="lt-LT"/>
        </w:rPr>
        <w:t xml:space="preserve">.  </w:t>
      </w:r>
    </w:p>
    <w:p w:rsidR="00096564" w:rsidRPr="004C6278" w:rsidRDefault="00096564" w:rsidP="00310363">
      <w:pPr>
        <w:autoSpaceDE w:val="0"/>
        <w:autoSpaceDN w:val="0"/>
        <w:adjustRightInd w:val="0"/>
        <w:spacing w:line="360" w:lineRule="auto"/>
        <w:ind w:firstLine="567"/>
        <w:jc w:val="both"/>
        <w:rPr>
          <w:b/>
          <w:bCs/>
          <w:lang w:val="lt-LT"/>
        </w:rPr>
      </w:pPr>
      <w:r w:rsidRPr="004C6278">
        <w:rPr>
          <w:lang w:val="lt-LT"/>
        </w:rPr>
        <w:t xml:space="preserve">Norint </w:t>
      </w:r>
      <w:r w:rsidRPr="004C6278">
        <w:rPr>
          <w:rFonts w:eastAsia="TTE1799C40t00"/>
          <w:lang w:val="lt-LT"/>
        </w:rPr>
        <w:t>į</w:t>
      </w:r>
      <w:r w:rsidRPr="004C6278">
        <w:rPr>
          <w:lang w:val="lt-LT"/>
        </w:rPr>
        <w:t>gyvendinti užsibr</w:t>
      </w:r>
      <w:r w:rsidRPr="004C6278">
        <w:rPr>
          <w:rFonts w:eastAsia="TTE1799C40t00"/>
          <w:lang w:val="lt-LT"/>
        </w:rPr>
        <w:t>ė</w:t>
      </w:r>
      <w:r w:rsidRPr="004C6278">
        <w:rPr>
          <w:lang w:val="lt-LT"/>
        </w:rPr>
        <w:t>žt</w:t>
      </w:r>
      <w:r w:rsidRPr="004C6278">
        <w:rPr>
          <w:rFonts w:eastAsia="TTE1799C40t00"/>
          <w:lang w:val="lt-LT"/>
        </w:rPr>
        <w:t xml:space="preserve">ą </w:t>
      </w:r>
      <w:r w:rsidRPr="004C6278">
        <w:rPr>
          <w:lang w:val="lt-LT"/>
        </w:rPr>
        <w:t>tiksl</w:t>
      </w:r>
      <w:r w:rsidRPr="004C6278">
        <w:rPr>
          <w:rFonts w:eastAsia="TTE1799C40t00"/>
          <w:lang w:val="lt-LT"/>
        </w:rPr>
        <w:t>ą</w:t>
      </w:r>
      <w:r w:rsidRPr="004C6278">
        <w:rPr>
          <w:lang w:val="lt-LT"/>
        </w:rPr>
        <w:t xml:space="preserve">, buvo iškelti šie </w:t>
      </w:r>
      <w:r w:rsidRPr="004C6278">
        <w:rPr>
          <w:b/>
          <w:bCs/>
          <w:lang w:val="lt-LT"/>
        </w:rPr>
        <w:t>uždaviniai:</w:t>
      </w:r>
    </w:p>
    <w:p w:rsidR="00096564" w:rsidRPr="004C6278" w:rsidRDefault="00096564" w:rsidP="00310363">
      <w:pPr>
        <w:autoSpaceDE w:val="0"/>
        <w:autoSpaceDN w:val="0"/>
        <w:adjustRightInd w:val="0"/>
        <w:spacing w:line="360" w:lineRule="auto"/>
        <w:ind w:firstLine="567"/>
        <w:jc w:val="both"/>
        <w:rPr>
          <w:lang w:val="lt-LT"/>
        </w:rPr>
      </w:pPr>
      <w:r w:rsidRPr="004C6278">
        <w:rPr>
          <w:lang w:val="lt-LT"/>
        </w:rPr>
        <w:t>1. Atlikti mokslin</w:t>
      </w:r>
      <w:r w:rsidRPr="004C6278">
        <w:rPr>
          <w:rFonts w:eastAsia="TTE1799C40t00"/>
          <w:lang w:val="lt-LT"/>
        </w:rPr>
        <w:t>ė</w:t>
      </w:r>
      <w:r w:rsidRPr="004C6278">
        <w:rPr>
          <w:lang w:val="lt-LT"/>
        </w:rPr>
        <w:t>s literat</w:t>
      </w:r>
      <w:r w:rsidRPr="004C6278">
        <w:rPr>
          <w:rFonts w:eastAsia="TTE1799C40t00"/>
          <w:lang w:val="lt-LT"/>
        </w:rPr>
        <w:t>ū</w:t>
      </w:r>
      <w:r w:rsidRPr="004C6278">
        <w:rPr>
          <w:lang w:val="lt-LT"/>
        </w:rPr>
        <w:t>ros analiz</w:t>
      </w:r>
      <w:r w:rsidRPr="004C6278">
        <w:rPr>
          <w:rFonts w:eastAsia="TTE1799C40t00"/>
          <w:lang w:val="lt-LT"/>
        </w:rPr>
        <w:t>ę</w:t>
      </w:r>
      <w:r w:rsidRPr="004C6278">
        <w:rPr>
          <w:lang w:val="lt-LT"/>
        </w:rPr>
        <w:t xml:space="preserve">: </w:t>
      </w:r>
      <w:r w:rsidR="003622F9">
        <w:rPr>
          <w:lang w:val="lt-LT"/>
        </w:rPr>
        <w:t xml:space="preserve">apžvelgti </w:t>
      </w:r>
      <w:r w:rsidRPr="004C6278">
        <w:rPr>
          <w:lang w:val="lt-LT"/>
        </w:rPr>
        <w:t>ne gyvybės draudimo rinką teoriniu aspektu.</w:t>
      </w:r>
    </w:p>
    <w:p w:rsidR="00096564" w:rsidRPr="004C6278" w:rsidRDefault="00096564" w:rsidP="00310363">
      <w:pPr>
        <w:autoSpaceDE w:val="0"/>
        <w:autoSpaceDN w:val="0"/>
        <w:adjustRightInd w:val="0"/>
        <w:spacing w:line="360" w:lineRule="auto"/>
        <w:ind w:firstLine="567"/>
        <w:jc w:val="both"/>
        <w:rPr>
          <w:lang w:val="lt-LT"/>
        </w:rPr>
      </w:pPr>
      <w:r w:rsidRPr="004C6278">
        <w:rPr>
          <w:lang w:val="lt-LT"/>
        </w:rPr>
        <w:t>2. Išanalizuoti Lietuvos ne gyvybės dr</w:t>
      </w:r>
      <w:r w:rsidR="003622F9">
        <w:rPr>
          <w:lang w:val="lt-LT"/>
        </w:rPr>
        <w:t>audimo rinkos tendencijas</w:t>
      </w:r>
      <w:r w:rsidRPr="004C6278">
        <w:rPr>
          <w:lang w:val="lt-LT"/>
        </w:rPr>
        <w:t>.</w:t>
      </w:r>
    </w:p>
    <w:p w:rsidR="00096564" w:rsidRPr="004C6278" w:rsidRDefault="00096564" w:rsidP="00310363">
      <w:pPr>
        <w:autoSpaceDE w:val="0"/>
        <w:autoSpaceDN w:val="0"/>
        <w:adjustRightInd w:val="0"/>
        <w:spacing w:line="360" w:lineRule="auto"/>
        <w:ind w:firstLine="567"/>
        <w:jc w:val="both"/>
        <w:rPr>
          <w:lang w:val="lt-LT"/>
        </w:rPr>
      </w:pPr>
      <w:r w:rsidRPr="004C6278">
        <w:rPr>
          <w:lang w:val="lt-LT"/>
        </w:rPr>
        <w:t>3. Sudaryti Lietuvos ne gyvybės draudimo rinkos pasirašytas įmokas aprašantį modelį.</w:t>
      </w:r>
    </w:p>
    <w:p w:rsidR="00096564" w:rsidRPr="004C6278" w:rsidRDefault="00096564" w:rsidP="00310363">
      <w:pPr>
        <w:autoSpaceDE w:val="0"/>
        <w:autoSpaceDN w:val="0"/>
        <w:adjustRightInd w:val="0"/>
        <w:spacing w:line="360" w:lineRule="auto"/>
        <w:ind w:firstLine="567"/>
        <w:jc w:val="both"/>
        <w:rPr>
          <w:lang w:val="lt-LT"/>
        </w:rPr>
      </w:pPr>
      <w:r w:rsidRPr="004C6278">
        <w:rPr>
          <w:lang w:val="lt-LT"/>
        </w:rPr>
        <w:t>4. Atlikti ekspertinį vertinimą ir nustatyti veiksnius darančius įtaką ne gyvybės draudimo rinkai.</w:t>
      </w:r>
    </w:p>
    <w:p w:rsidR="003622F9" w:rsidRDefault="00096564" w:rsidP="00310363">
      <w:pPr>
        <w:autoSpaceDE w:val="0"/>
        <w:autoSpaceDN w:val="0"/>
        <w:adjustRightInd w:val="0"/>
        <w:spacing w:line="360" w:lineRule="auto"/>
        <w:ind w:firstLine="567"/>
        <w:jc w:val="both"/>
        <w:rPr>
          <w:lang w:val="lt-LT"/>
        </w:rPr>
      </w:pPr>
      <w:r w:rsidRPr="004C6278">
        <w:rPr>
          <w:lang w:val="lt-LT"/>
        </w:rPr>
        <w:t>Mag</w:t>
      </w:r>
      <w:r w:rsidR="003622F9">
        <w:rPr>
          <w:lang w:val="lt-LT"/>
        </w:rPr>
        <w:t>istro baigiamajame darbe iškeltos dvi hipotezės</w:t>
      </w:r>
      <w:r w:rsidR="006756D6">
        <w:rPr>
          <w:lang w:val="lt-LT"/>
        </w:rPr>
        <w:t>:</w:t>
      </w:r>
    </w:p>
    <w:p w:rsidR="00096564" w:rsidRDefault="003622F9" w:rsidP="00310363">
      <w:pPr>
        <w:autoSpaceDE w:val="0"/>
        <w:autoSpaceDN w:val="0"/>
        <w:adjustRightInd w:val="0"/>
        <w:spacing w:line="360" w:lineRule="auto"/>
        <w:ind w:firstLine="567"/>
        <w:jc w:val="both"/>
        <w:rPr>
          <w:rFonts w:eastAsia="TTE1BE0508t00"/>
          <w:lang w:val="lt-LT"/>
        </w:rPr>
      </w:pPr>
      <w:r>
        <w:rPr>
          <w:b/>
          <w:bCs/>
          <w:lang w:val="lt-LT"/>
        </w:rPr>
        <w:t>H</w:t>
      </w:r>
      <w:r w:rsidR="00096564" w:rsidRPr="003622F9">
        <w:rPr>
          <w:b/>
          <w:bCs/>
          <w:lang w:val="lt-LT"/>
        </w:rPr>
        <w:t>ipotezė</w:t>
      </w:r>
      <w:r>
        <w:rPr>
          <w:b/>
          <w:bCs/>
          <w:lang w:val="lt-LT"/>
        </w:rPr>
        <w:t>:</w:t>
      </w:r>
      <w:r w:rsidR="00096564" w:rsidRPr="004C6278">
        <w:rPr>
          <w:rFonts w:eastAsia="TTE1BE0508t00"/>
          <w:lang w:val="lt-LT"/>
        </w:rPr>
        <w:t xml:space="preserve"> </w:t>
      </w:r>
      <w:r w:rsidRPr="003622F9">
        <w:rPr>
          <w:rFonts w:eastAsia="TTE1BE0508t00"/>
          <w:b/>
          <w:lang w:val="lt-LT"/>
        </w:rPr>
        <w:t>H</w:t>
      </w:r>
      <w:r>
        <w:rPr>
          <w:rFonts w:eastAsia="TTE1BE0508t00"/>
          <w:b/>
          <w:vertAlign w:val="subscript"/>
          <w:lang w:val="lt-LT"/>
        </w:rPr>
        <w:t xml:space="preserve">1 </w:t>
      </w:r>
      <w:r w:rsidR="00240207">
        <w:rPr>
          <w:rFonts w:eastAsia="TTE1BE0508t00"/>
          <w:lang w:val="lt-LT"/>
        </w:rPr>
        <w:t>–</w:t>
      </w:r>
      <w:r w:rsidR="00096564" w:rsidRPr="004C6278">
        <w:rPr>
          <w:rFonts w:eastAsia="TTE1BE0508t00"/>
          <w:lang w:val="lt-LT"/>
        </w:rPr>
        <w:t xml:space="preserve"> </w:t>
      </w:r>
      <w:r w:rsidR="00240207">
        <w:rPr>
          <w:rFonts w:eastAsia="TTE1BE0508t00"/>
          <w:lang w:val="lt-LT"/>
        </w:rPr>
        <w:t>Lietuvos ne gyvybės draudimo pasirašytoms įmokoms įtaką daro pirmą kartą užregistruotų automobilių skaičius šalyje.</w:t>
      </w:r>
    </w:p>
    <w:p w:rsidR="003622F9" w:rsidRPr="004C6278" w:rsidRDefault="003622F9" w:rsidP="00310363">
      <w:pPr>
        <w:autoSpaceDE w:val="0"/>
        <w:autoSpaceDN w:val="0"/>
        <w:adjustRightInd w:val="0"/>
        <w:spacing w:line="360" w:lineRule="auto"/>
        <w:ind w:firstLine="567"/>
        <w:jc w:val="both"/>
        <w:rPr>
          <w:lang w:val="lt-LT"/>
        </w:rPr>
      </w:pPr>
      <w:r w:rsidRPr="003622F9">
        <w:rPr>
          <w:rFonts w:eastAsia="TTE1BE0508t00"/>
          <w:b/>
          <w:lang w:val="lt-LT"/>
        </w:rPr>
        <w:t>Hipotezė: H</w:t>
      </w:r>
      <w:r w:rsidRPr="003622F9">
        <w:rPr>
          <w:rFonts w:eastAsia="TTE1BE0508t00"/>
          <w:b/>
          <w:vertAlign w:val="subscript"/>
          <w:lang w:val="lt-LT"/>
        </w:rPr>
        <w:t>2</w:t>
      </w:r>
      <w:r>
        <w:rPr>
          <w:rFonts w:eastAsia="TTE1BE0508t00"/>
          <w:lang w:val="lt-LT"/>
        </w:rPr>
        <w:t xml:space="preserve"> – Lietuvos ne gyvybės draudimo rinkai įtaką daro ne</w:t>
      </w:r>
      <w:r w:rsidR="000E73C3">
        <w:rPr>
          <w:rFonts w:eastAsia="TTE1BE0508t00"/>
          <w:lang w:val="lt-LT"/>
        </w:rPr>
        <w:t xml:space="preserve"> tik makroekonominiai veiksniai, bet </w:t>
      </w:r>
      <w:r w:rsidR="006E673D">
        <w:rPr>
          <w:rFonts w:eastAsia="TTE1BE0508t00"/>
          <w:lang w:val="lt-LT"/>
        </w:rPr>
        <w:t>ir teisiniai bei socialiniai veiksniai</w:t>
      </w:r>
      <w:r w:rsidR="000E73C3">
        <w:rPr>
          <w:rFonts w:eastAsia="TTE1BE0508t00"/>
          <w:lang w:val="lt-LT"/>
        </w:rPr>
        <w:t>.</w:t>
      </w:r>
    </w:p>
    <w:p w:rsidR="00096564" w:rsidRPr="004C6278" w:rsidRDefault="00096564" w:rsidP="00310363">
      <w:pPr>
        <w:autoSpaceDE w:val="0"/>
        <w:autoSpaceDN w:val="0"/>
        <w:adjustRightInd w:val="0"/>
        <w:spacing w:line="360" w:lineRule="auto"/>
        <w:ind w:firstLine="567"/>
        <w:jc w:val="both"/>
        <w:rPr>
          <w:lang w:val="lt-LT"/>
        </w:rPr>
      </w:pPr>
      <w:r w:rsidRPr="004C6278">
        <w:rPr>
          <w:b/>
          <w:bCs/>
          <w:lang w:val="lt-LT"/>
        </w:rPr>
        <w:lastRenderedPageBreak/>
        <w:t>Tyrimo metodai</w:t>
      </w:r>
      <w:r w:rsidRPr="004C6278">
        <w:rPr>
          <w:lang w:val="lt-LT"/>
        </w:rPr>
        <w:t>. Sistemin</w:t>
      </w:r>
      <w:r w:rsidRPr="004C6278">
        <w:rPr>
          <w:rFonts w:eastAsia="TTE1799C40t00"/>
          <w:lang w:val="lt-LT"/>
        </w:rPr>
        <w:t xml:space="preserve">ė </w:t>
      </w:r>
      <w:r w:rsidRPr="004C6278">
        <w:rPr>
          <w:lang w:val="lt-LT"/>
        </w:rPr>
        <w:t>mokslin</w:t>
      </w:r>
      <w:r w:rsidRPr="004C6278">
        <w:rPr>
          <w:rFonts w:eastAsia="TTE1799C40t00"/>
          <w:lang w:val="lt-LT"/>
        </w:rPr>
        <w:t>ė</w:t>
      </w:r>
      <w:r w:rsidRPr="004C6278">
        <w:rPr>
          <w:lang w:val="lt-LT"/>
        </w:rPr>
        <w:t>s literat</w:t>
      </w:r>
      <w:r w:rsidRPr="004C6278">
        <w:rPr>
          <w:rFonts w:eastAsia="TTE1799C40t00"/>
          <w:lang w:val="lt-LT"/>
        </w:rPr>
        <w:t>ū</w:t>
      </w:r>
      <w:r w:rsidRPr="004C6278">
        <w:rPr>
          <w:lang w:val="lt-LT"/>
        </w:rPr>
        <w:t xml:space="preserve">ros, </w:t>
      </w:r>
      <w:r w:rsidRPr="004C6278">
        <w:rPr>
          <w:rFonts w:eastAsia="TTE1799C40t00"/>
          <w:lang w:val="lt-LT"/>
        </w:rPr>
        <w:t xml:space="preserve">Lietuvos ne gyvybės draudimo rinkos tendencijų </w:t>
      </w:r>
      <w:r w:rsidRPr="004C6278">
        <w:rPr>
          <w:lang w:val="lt-LT"/>
        </w:rPr>
        <w:t>analiz</w:t>
      </w:r>
      <w:r w:rsidRPr="004C6278">
        <w:rPr>
          <w:rFonts w:eastAsia="TTE1799C40t00"/>
          <w:lang w:val="lt-LT"/>
        </w:rPr>
        <w:t xml:space="preserve">ė </w:t>
      </w:r>
      <w:r w:rsidRPr="004C6278">
        <w:rPr>
          <w:lang w:val="lt-LT"/>
        </w:rPr>
        <w:t>ir apibendrinimas, koreliacin</w:t>
      </w:r>
      <w:r w:rsidRPr="004C6278">
        <w:rPr>
          <w:rFonts w:eastAsia="TTE1799C40t00"/>
          <w:lang w:val="lt-LT"/>
        </w:rPr>
        <w:t xml:space="preserve">ė - </w:t>
      </w:r>
      <w:r w:rsidRPr="004C6278">
        <w:rPr>
          <w:lang w:val="lt-LT"/>
        </w:rPr>
        <w:t>regresin</w:t>
      </w:r>
      <w:r w:rsidRPr="004C6278">
        <w:rPr>
          <w:rFonts w:eastAsia="TTE1799C40t00"/>
          <w:lang w:val="lt-LT"/>
        </w:rPr>
        <w:t xml:space="preserve">ė </w:t>
      </w:r>
      <w:r w:rsidRPr="004C6278">
        <w:rPr>
          <w:lang w:val="lt-LT"/>
        </w:rPr>
        <w:t>analiz</w:t>
      </w:r>
      <w:r w:rsidRPr="004C6278">
        <w:rPr>
          <w:rFonts w:eastAsia="TTE1799C40t00"/>
          <w:lang w:val="lt-LT"/>
        </w:rPr>
        <w:t>ė</w:t>
      </w:r>
      <w:r w:rsidR="004D5A21">
        <w:rPr>
          <w:lang w:val="lt-LT"/>
        </w:rPr>
        <w:t>, ekspertinio vertinimo metodas.</w:t>
      </w:r>
    </w:p>
    <w:p w:rsidR="00096564" w:rsidRPr="004C6278" w:rsidRDefault="00096564" w:rsidP="00310363">
      <w:pPr>
        <w:autoSpaceDE w:val="0"/>
        <w:autoSpaceDN w:val="0"/>
        <w:adjustRightInd w:val="0"/>
        <w:spacing w:line="360" w:lineRule="auto"/>
        <w:ind w:firstLine="567"/>
        <w:jc w:val="both"/>
        <w:rPr>
          <w:lang w:val="lt-LT"/>
        </w:rPr>
      </w:pPr>
      <w:r w:rsidRPr="004C6278">
        <w:rPr>
          <w:b/>
          <w:bCs/>
          <w:lang w:val="lt-LT"/>
        </w:rPr>
        <w:t>Darbo strukt</w:t>
      </w:r>
      <w:r w:rsidRPr="004C6278">
        <w:rPr>
          <w:rFonts w:eastAsia="TTE1BE0508t00"/>
          <w:lang w:val="lt-LT"/>
        </w:rPr>
        <w:t>ū</w:t>
      </w:r>
      <w:r w:rsidRPr="004C6278">
        <w:rPr>
          <w:b/>
          <w:bCs/>
          <w:lang w:val="lt-LT"/>
        </w:rPr>
        <w:t xml:space="preserve">ra. </w:t>
      </w:r>
      <w:r w:rsidRPr="004C6278">
        <w:rPr>
          <w:lang w:val="lt-LT"/>
        </w:rPr>
        <w:t>Magistro baigiam</w:t>
      </w:r>
      <w:r w:rsidRPr="004C6278">
        <w:rPr>
          <w:rFonts w:eastAsia="TTE1799C40t00"/>
          <w:lang w:val="lt-LT"/>
        </w:rPr>
        <w:t>ą</w:t>
      </w:r>
      <w:r w:rsidRPr="004C6278">
        <w:rPr>
          <w:lang w:val="lt-LT"/>
        </w:rPr>
        <w:t>j</w:t>
      </w:r>
      <w:r w:rsidRPr="004C6278">
        <w:rPr>
          <w:rFonts w:eastAsia="TTE1799C40t00"/>
          <w:lang w:val="lt-LT"/>
        </w:rPr>
        <w:t xml:space="preserve">į </w:t>
      </w:r>
      <w:r w:rsidRPr="004C6278">
        <w:rPr>
          <w:lang w:val="lt-LT"/>
        </w:rPr>
        <w:t>darb</w:t>
      </w:r>
      <w:r w:rsidRPr="004C6278">
        <w:rPr>
          <w:rFonts w:eastAsia="TTE1799C40t00"/>
          <w:lang w:val="lt-LT"/>
        </w:rPr>
        <w:t xml:space="preserve">ą </w:t>
      </w:r>
      <w:r w:rsidRPr="004C6278">
        <w:rPr>
          <w:lang w:val="lt-LT"/>
        </w:rPr>
        <w:t>sudaro teorin</w:t>
      </w:r>
      <w:r w:rsidRPr="004C6278">
        <w:rPr>
          <w:rFonts w:eastAsia="TTE1799C40t00"/>
          <w:lang w:val="lt-LT"/>
        </w:rPr>
        <w:t>ė</w:t>
      </w:r>
      <w:r w:rsidRPr="004C6278">
        <w:rPr>
          <w:lang w:val="lt-LT"/>
        </w:rPr>
        <w:t>, metodologin</w:t>
      </w:r>
      <w:r w:rsidRPr="004C6278">
        <w:rPr>
          <w:rFonts w:eastAsia="TTE1799C40t00"/>
          <w:lang w:val="lt-LT"/>
        </w:rPr>
        <w:t xml:space="preserve">ė </w:t>
      </w:r>
      <w:r w:rsidRPr="004C6278">
        <w:rPr>
          <w:lang w:val="lt-LT"/>
        </w:rPr>
        <w:t>bei analitin</w:t>
      </w:r>
      <w:r w:rsidRPr="004C6278">
        <w:rPr>
          <w:rFonts w:eastAsia="TTE1799C40t00"/>
          <w:lang w:val="lt-LT"/>
        </w:rPr>
        <w:t xml:space="preserve">ė </w:t>
      </w:r>
      <w:r w:rsidRPr="004C6278">
        <w:rPr>
          <w:lang w:val="lt-LT"/>
        </w:rPr>
        <w:t>darbo dalys. Teorin</w:t>
      </w:r>
      <w:r w:rsidRPr="004C6278">
        <w:rPr>
          <w:rFonts w:eastAsia="TTE1799C40t00"/>
          <w:lang w:val="lt-LT"/>
        </w:rPr>
        <w:t>ė</w:t>
      </w:r>
      <w:r w:rsidRPr="004C6278">
        <w:rPr>
          <w:lang w:val="lt-LT"/>
        </w:rPr>
        <w:t>je darbo dalyje</w:t>
      </w:r>
      <w:r w:rsidR="00C861CE">
        <w:rPr>
          <w:lang w:val="lt-LT"/>
        </w:rPr>
        <w:t xml:space="preserve"> apibrėžta</w:t>
      </w:r>
      <w:r w:rsidRPr="004C6278">
        <w:rPr>
          <w:lang w:val="lt-LT"/>
        </w:rPr>
        <w:t xml:space="preserve"> draudimo ir draudimo rinkos sampratos, klasifikavimas bei pagrindiniai bruožai, </w:t>
      </w:r>
      <w:r w:rsidR="00C861CE">
        <w:rPr>
          <w:lang w:val="lt-LT"/>
        </w:rPr>
        <w:t xml:space="preserve">išanalizuota informacija </w:t>
      </w:r>
      <w:r w:rsidRPr="004C6278">
        <w:rPr>
          <w:lang w:val="lt-LT"/>
        </w:rPr>
        <w:t xml:space="preserve">apie atliktus tyrimus ne gyvybės draudimo srityje bei </w:t>
      </w:r>
      <w:r w:rsidR="00C861CE">
        <w:rPr>
          <w:lang w:val="lt-LT"/>
        </w:rPr>
        <w:t xml:space="preserve">išskirti </w:t>
      </w:r>
      <w:r w:rsidRPr="004C6278">
        <w:rPr>
          <w:lang w:val="lt-LT"/>
        </w:rPr>
        <w:t>veiksniai darantys įtaką ne gyvybės draudimo rinkai.</w:t>
      </w:r>
      <w:r>
        <w:rPr>
          <w:lang w:val="lt-LT"/>
        </w:rPr>
        <w:t xml:space="preserve"> </w:t>
      </w:r>
      <w:r w:rsidRPr="004C6278">
        <w:rPr>
          <w:lang w:val="lt-LT"/>
        </w:rPr>
        <w:t>Metodologin</w:t>
      </w:r>
      <w:r w:rsidRPr="004C6278">
        <w:rPr>
          <w:rFonts w:eastAsia="TTE1799C40t00"/>
          <w:lang w:val="lt-LT"/>
        </w:rPr>
        <w:t>ė</w:t>
      </w:r>
      <w:r w:rsidRPr="004C6278">
        <w:rPr>
          <w:lang w:val="lt-LT"/>
        </w:rPr>
        <w:t>je darbo dalyje, remiantis mokslin</w:t>
      </w:r>
      <w:r w:rsidRPr="004C6278">
        <w:rPr>
          <w:rFonts w:eastAsia="TTE1799C40t00"/>
          <w:lang w:val="lt-LT"/>
        </w:rPr>
        <w:t>ė</w:t>
      </w:r>
      <w:r w:rsidRPr="004C6278">
        <w:rPr>
          <w:lang w:val="lt-LT"/>
        </w:rPr>
        <w:t>s literat</w:t>
      </w:r>
      <w:r w:rsidRPr="004C6278">
        <w:rPr>
          <w:rFonts w:eastAsia="TTE1799C40t00"/>
          <w:lang w:val="lt-LT"/>
        </w:rPr>
        <w:t>ū</w:t>
      </w:r>
      <w:r w:rsidRPr="004C6278">
        <w:rPr>
          <w:lang w:val="lt-LT"/>
        </w:rPr>
        <w:t>ros analize, sudarytas detalus magistro baigiamojo darbo tyrimo modelis. Analitin</w:t>
      </w:r>
      <w:r w:rsidRPr="004C6278">
        <w:rPr>
          <w:rFonts w:eastAsia="TTE1799C40t00"/>
          <w:lang w:val="lt-LT"/>
        </w:rPr>
        <w:t>ė</w:t>
      </w:r>
      <w:r w:rsidRPr="004C6278">
        <w:rPr>
          <w:lang w:val="lt-LT"/>
        </w:rPr>
        <w:t>je darbo dalyje apžvelgtos Lietuvos ne gyvy</w:t>
      </w:r>
      <w:r w:rsidR="003622F9">
        <w:rPr>
          <w:lang w:val="lt-LT"/>
        </w:rPr>
        <w:t>bės draudimo rinkos tendencijos</w:t>
      </w:r>
      <w:r w:rsidRPr="004C6278">
        <w:rPr>
          <w:lang w:val="lt-LT"/>
        </w:rPr>
        <w:t xml:space="preserve">. Atlikta koreliacinė- regresinė analizė, bei ne gyvybės draudimo pasirašytų įmokų </w:t>
      </w:r>
      <w:r w:rsidR="003622F9">
        <w:rPr>
          <w:lang w:val="lt-LT"/>
        </w:rPr>
        <w:t>2011 metų III ketvirčio prognozė</w:t>
      </w:r>
      <w:r w:rsidR="00C861CE">
        <w:rPr>
          <w:lang w:val="lt-LT"/>
        </w:rPr>
        <w:t xml:space="preserve">, kuri palyginta su faktine reikšme. </w:t>
      </w:r>
      <w:r w:rsidRPr="004C6278">
        <w:rPr>
          <w:lang w:val="lt-LT"/>
        </w:rPr>
        <w:t>Remiantis gautais ekspert</w:t>
      </w:r>
      <w:r w:rsidRPr="004C6278">
        <w:rPr>
          <w:rFonts w:eastAsia="TTE1799C40t00"/>
          <w:lang w:val="lt-LT"/>
        </w:rPr>
        <w:t xml:space="preserve">ų </w:t>
      </w:r>
      <w:r w:rsidRPr="004C6278">
        <w:rPr>
          <w:lang w:val="lt-LT"/>
        </w:rPr>
        <w:t xml:space="preserve">apklausos rezultatais, įvertinti veiksniai </w:t>
      </w:r>
      <w:r w:rsidR="00C861CE">
        <w:rPr>
          <w:lang w:val="lt-LT"/>
        </w:rPr>
        <w:t>darantys įtaką</w:t>
      </w:r>
      <w:r w:rsidRPr="004C6278">
        <w:rPr>
          <w:lang w:val="lt-LT"/>
        </w:rPr>
        <w:t xml:space="preserve"> ne gyvybės draudimo rinką. Darbo pabaigoje pateikiamos išsamios išvados ir si</w:t>
      </w:r>
      <w:r w:rsidRPr="004C6278">
        <w:rPr>
          <w:rFonts w:eastAsia="TTE1799C40t00"/>
          <w:lang w:val="lt-LT"/>
        </w:rPr>
        <w:t>ū</w:t>
      </w:r>
      <w:r w:rsidRPr="004C6278">
        <w:rPr>
          <w:lang w:val="lt-LT"/>
        </w:rPr>
        <w:t>lymai.</w:t>
      </w:r>
    </w:p>
    <w:p w:rsidR="00096564" w:rsidRDefault="00096564" w:rsidP="00310363">
      <w:pPr>
        <w:spacing w:line="360" w:lineRule="auto"/>
        <w:ind w:firstLine="567"/>
        <w:rPr>
          <w:b/>
          <w:bCs/>
          <w:lang w:val="lt-LT"/>
        </w:rPr>
      </w:pPr>
      <w:r>
        <w:rPr>
          <w:b/>
          <w:bCs/>
          <w:lang w:val="lt-LT"/>
        </w:rPr>
        <w:br w:type="page"/>
      </w:r>
    </w:p>
    <w:p w:rsidR="00CE762A" w:rsidRDefault="00A60CE6" w:rsidP="00CE762A">
      <w:pPr>
        <w:pStyle w:val="Style1-h1"/>
      </w:pPr>
      <w:bookmarkStart w:id="5" w:name="_Toc309559968"/>
      <w:bookmarkStart w:id="6" w:name="_Toc311971352"/>
      <w:bookmarkStart w:id="7" w:name="_Toc311971541"/>
      <w:bookmarkStart w:id="8" w:name="_Toc311971687"/>
      <w:r w:rsidRPr="00303A5A">
        <w:lastRenderedPageBreak/>
        <w:t>1. DRAUDIMO RINKOS TEORINIAI ASPEKTAI</w:t>
      </w:r>
      <w:bookmarkEnd w:id="5"/>
      <w:bookmarkEnd w:id="6"/>
      <w:bookmarkEnd w:id="7"/>
      <w:bookmarkEnd w:id="8"/>
    </w:p>
    <w:p w:rsidR="00CE762A" w:rsidRPr="00303A5A" w:rsidRDefault="00CE762A" w:rsidP="00CE762A">
      <w:pPr>
        <w:pStyle w:val="Style1-h1"/>
      </w:pPr>
    </w:p>
    <w:p w:rsidR="009803D7" w:rsidRPr="005D4E5F" w:rsidRDefault="00A60CE6" w:rsidP="005D4E5F">
      <w:pPr>
        <w:pStyle w:val="Style1-h2"/>
      </w:pPr>
      <w:bookmarkStart w:id="9" w:name="_Toc311971353"/>
      <w:bookmarkStart w:id="10" w:name="_Toc311971542"/>
      <w:bookmarkStart w:id="11" w:name="_Toc311971688"/>
      <w:r w:rsidRPr="00303A5A">
        <w:t xml:space="preserve">1.1. </w:t>
      </w:r>
      <w:r w:rsidR="009803D7" w:rsidRPr="00303A5A">
        <w:t>Draudimo ir draudimo rinkos samprata</w:t>
      </w:r>
      <w:bookmarkEnd w:id="9"/>
      <w:bookmarkEnd w:id="10"/>
      <w:bookmarkEnd w:id="11"/>
    </w:p>
    <w:p w:rsidR="009803D7" w:rsidRPr="00310363" w:rsidRDefault="009803D7" w:rsidP="00310363">
      <w:pPr>
        <w:spacing w:line="360" w:lineRule="auto"/>
        <w:ind w:firstLine="567"/>
        <w:jc w:val="both"/>
        <w:rPr>
          <w:lang w:val="lt-LT"/>
        </w:rPr>
      </w:pPr>
      <w:r w:rsidRPr="00310363">
        <w:rPr>
          <w:lang w:val="lt-LT"/>
        </w:rPr>
        <w:t xml:space="preserve">Manoma, kad tokia draudimo veikla, kaip ją mes suprantame šiandien, pradėjo formuotis ankstyvaisiais viduramžiais. Tačiau žmonės daug anksčiau suprato, kad jų gyvenimas ir veikla yra susiję su pavojais nelaimėmis bei netikėtumais. Todėl Senovės Romos ar Babilono laikais pirkliai ar karavano dalyviai burdavosi į savotiškas savidraudos organizacijas – grupeles, kurios išsidalindavo patirtus nuostolius. Ypatingai ši veikla suaktyvėjo viduramžiuose, kai pradėjo kurtis cechai, gildijos, kurių įstatuose buvo numatyta tarpusavio pagalba. XIV amžiaus pabaigoje buvo pastebėta, kad draudimas gali būti neblogas verslas ir taip atsirado komercinio pobūdžio draudimas. Pirmiausiai buvo draudžiami laivai ir jais gabenami kroviniai. Vėliau, po didelių gaisrų nusiaubusių ištisus miestus, buvo pradėta draustis nuo ugnies. Tolimesnė draudimo plėtra yra susijusi su pramonės vystymusi bei naujų paslaugų, kaip draudimas nuo nelaimingų atsitikimų, atsiradimu. XX amžiuje nepaprastai išaugo draudimo apimtys, tobulėjo draudimo produktai, kūrėsi naujos draudimo kompanijos, atsirado konkurencija. </w:t>
      </w:r>
    </w:p>
    <w:p w:rsidR="009803D7" w:rsidRPr="00310363" w:rsidRDefault="009803D7" w:rsidP="00310363">
      <w:pPr>
        <w:spacing w:line="360" w:lineRule="auto"/>
        <w:ind w:firstLine="567"/>
        <w:jc w:val="both"/>
        <w:rPr>
          <w:lang w:val="lt-LT"/>
        </w:rPr>
      </w:pPr>
      <w:r w:rsidRPr="00310363">
        <w:rPr>
          <w:lang w:val="lt-LT"/>
        </w:rPr>
        <w:t xml:space="preserve">Išsiplėtus pramonei ir tobulėjant </w:t>
      </w:r>
      <w:r w:rsidR="000F5AB5" w:rsidRPr="00310363">
        <w:rPr>
          <w:lang w:val="lt-LT"/>
        </w:rPr>
        <w:t>technikai</w:t>
      </w:r>
      <w:r w:rsidRPr="00310363">
        <w:rPr>
          <w:lang w:val="lt-LT"/>
        </w:rPr>
        <w:t>, žmogaus ūkinė veikla darosi vis labiau susijusi su tam tikra rizika. Daugelį galimų rizikų galima nuspėti, bet ar jos tikrai įvyks nustatyti sunku. Todėl yra imamasi įvairiausių priemonių: specialių kokybės kontrolės priemonių, „saugių“ kreditavimo sąlygų, arbitražų ir kt. Bet dažniausiai įvykių yra sunku  arba neįmanoma išvengti. Todėl norint apsisaugoti nuo netikėtų finansinių nuostolių, galimo verslo praradimo ar palengvinti atsakomybę prieš užsakovą yra sudaroma draudimo sutartis, kuria yra nusiperkama draudimo apsauga. T.y. draudikas už tam tikrą kainą prisiima sutartyje sutartą riziką. Bet žinoma, šis rizikos prisiėmimas nuo daug ko priklauso. Yra keletas skirtingų draudimo sampratos apibrėžimų atsižvelgiant į tai, kaip suprantami teisiniai, ekonominiai ir kiti draudimo veiklos elementai.</w:t>
      </w:r>
    </w:p>
    <w:p w:rsidR="009803D7" w:rsidRPr="00310363" w:rsidRDefault="009803D7" w:rsidP="00310363">
      <w:pPr>
        <w:spacing w:line="360" w:lineRule="auto"/>
        <w:ind w:firstLine="567"/>
        <w:jc w:val="both"/>
        <w:rPr>
          <w:lang w:val="lt-LT"/>
        </w:rPr>
      </w:pPr>
      <w:r w:rsidRPr="00310363">
        <w:rPr>
          <w:lang w:val="lt-LT"/>
        </w:rPr>
        <w:t>Vienas pirmųjų mokslininkų rašęs apie draudimą – A. Manes pateikia tokį draudimo apibrėžimą</w:t>
      </w:r>
      <w:r w:rsidR="006756D6" w:rsidRPr="00310363">
        <w:rPr>
          <w:lang w:val="lt-LT"/>
        </w:rPr>
        <w:t>:</w:t>
      </w:r>
      <w:r w:rsidRPr="00310363">
        <w:rPr>
          <w:lang w:val="lt-LT"/>
        </w:rPr>
        <w:t xml:space="preserve"> „Draudimas - tai ūkio, kuriam gresia didelės apimties vienarūšė rizika, atsitiktinai atsirandančių, apčiuopiamų poreikių užtikrinimas savitarpiškumo pagrindu.“</w:t>
      </w:r>
      <w:r w:rsidR="009A2764" w:rsidRPr="00310363">
        <w:rPr>
          <w:iCs/>
          <w:lang w:val="lt-LT"/>
        </w:rPr>
        <w:t xml:space="preserve"> (Čepinskas ir kt. </w:t>
      </w:r>
      <w:r w:rsidRPr="00310363">
        <w:rPr>
          <w:iCs/>
          <w:lang w:val="lt-LT"/>
        </w:rPr>
        <w:t>1999).</w:t>
      </w:r>
    </w:p>
    <w:p w:rsidR="009803D7" w:rsidRPr="00310363" w:rsidRDefault="009803D7" w:rsidP="00310363">
      <w:pPr>
        <w:autoSpaceDE w:val="0"/>
        <w:autoSpaceDN w:val="0"/>
        <w:adjustRightInd w:val="0"/>
        <w:spacing w:line="360" w:lineRule="auto"/>
        <w:ind w:firstLine="567"/>
        <w:jc w:val="both"/>
        <w:rPr>
          <w:lang w:val="lt-LT"/>
        </w:rPr>
      </w:pPr>
      <w:r w:rsidRPr="00310363">
        <w:rPr>
          <w:lang w:val="lt-LT"/>
        </w:rPr>
        <w:t>Aleknavičienė (2005) pateikia tokį draudimo</w:t>
      </w:r>
      <w:r w:rsidR="00697728" w:rsidRPr="00310363">
        <w:rPr>
          <w:lang w:val="lt-LT"/>
        </w:rPr>
        <w:t xml:space="preserve"> sąvokos</w:t>
      </w:r>
      <w:r w:rsidR="00C861CE" w:rsidRPr="00310363">
        <w:rPr>
          <w:lang w:val="lt-LT"/>
        </w:rPr>
        <w:t xml:space="preserve"> apibūdinimą</w:t>
      </w:r>
      <w:r w:rsidRPr="00310363">
        <w:rPr>
          <w:lang w:val="lt-LT"/>
        </w:rPr>
        <w:t xml:space="preserve">: </w:t>
      </w:r>
      <w:r w:rsidR="005B65FA" w:rsidRPr="00310363">
        <w:rPr>
          <w:lang w:val="lt-LT"/>
        </w:rPr>
        <w:t>d</w:t>
      </w:r>
      <w:r w:rsidRPr="00310363">
        <w:rPr>
          <w:lang w:val="lt-LT"/>
        </w:rPr>
        <w:t>raudimas</w:t>
      </w:r>
      <w:r w:rsidR="00C861CE" w:rsidRPr="00310363">
        <w:rPr>
          <w:lang w:val="lt-LT"/>
        </w:rPr>
        <w:t xml:space="preserve"> – </w:t>
      </w:r>
      <w:r w:rsidRPr="00310363">
        <w:rPr>
          <w:lang w:val="lt-LT"/>
        </w:rPr>
        <w:t>specifinis sandoris, išreiškiantis rizikos pirkimą ir pardavimą, kuris išreiškia specifinius perskirstomuosius santykius, kurių pagalba sudaromi ir naudojami tiksliniai pinigų fondai, siekiant apsaugoti fizinių ir juridinių asmenų turtinius interesus bei atlyginti materialiąją ž</w:t>
      </w:r>
      <w:r w:rsidR="00240207" w:rsidRPr="00310363">
        <w:rPr>
          <w:lang w:val="lt-LT"/>
        </w:rPr>
        <w:t>alą įvykus draudiminiam įvykiui</w:t>
      </w:r>
      <w:r w:rsidRPr="00310363">
        <w:rPr>
          <w:lang w:val="lt-LT"/>
        </w:rPr>
        <w:t>. Remianti</w:t>
      </w:r>
      <w:r w:rsidR="000F5AB5" w:rsidRPr="00310363">
        <w:rPr>
          <w:lang w:val="lt-LT"/>
        </w:rPr>
        <w:t>s autore, draudimo atveju riziką</w:t>
      </w:r>
      <w:r w:rsidRPr="00310363">
        <w:rPr>
          <w:lang w:val="lt-LT"/>
        </w:rPr>
        <w:t xml:space="preserve"> </w:t>
      </w:r>
      <w:r w:rsidR="00697728" w:rsidRPr="00310363">
        <w:rPr>
          <w:lang w:val="lt-LT"/>
        </w:rPr>
        <w:t>galima laikyti</w:t>
      </w:r>
      <w:r w:rsidRPr="00310363">
        <w:rPr>
          <w:lang w:val="lt-LT"/>
        </w:rPr>
        <w:t xml:space="preserve"> savotiška preke, perkama ir parduodama rinkoje </w:t>
      </w:r>
      <w:r w:rsidR="00697728" w:rsidRPr="00310363">
        <w:rPr>
          <w:lang w:val="lt-LT"/>
        </w:rPr>
        <w:t xml:space="preserve">analogiškai kitoms prekėms. Tačiau ši prekė yra „neigiama“ – už ją įvykus įvykiui moka ne pirkėjas, o pardavėjas. </w:t>
      </w:r>
    </w:p>
    <w:p w:rsidR="009803D7" w:rsidRPr="00310363" w:rsidRDefault="00697728" w:rsidP="00310363">
      <w:pPr>
        <w:autoSpaceDE w:val="0"/>
        <w:autoSpaceDN w:val="0"/>
        <w:adjustRightInd w:val="0"/>
        <w:spacing w:line="360" w:lineRule="auto"/>
        <w:ind w:firstLine="567"/>
        <w:jc w:val="both"/>
        <w:rPr>
          <w:lang w:val="lt-LT"/>
        </w:rPr>
      </w:pPr>
      <w:r w:rsidRPr="00310363">
        <w:rPr>
          <w:lang w:val="lt-LT"/>
        </w:rPr>
        <w:lastRenderedPageBreak/>
        <w:t>J</w:t>
      </w:r>
      <w:r w:rsidR="009803D7" w:rsidRPr="00310363">
        <w:rPr>
          <w:lang w:val="lt-LT"/>
        </w:rPr>
        <w:t>au daug metų ieškoma vieningo draudimo sąvokos apibrėžimo, bet tai sudėtinga padaryti.</w:t>
      </w:r>
      <w:r w:rsidR="00912619" w:rsidRPr="00310363">
        <w:rPr>
          <w:lang w:val="lt-LT"/>
        </w:rPr>
        <w:t xml:space="preserve"> </w:t>
      </w:r>
      <w:r w:rsidRPr="00310363">
        <w:rPr>
          <w:lang w:val="lt-LT"/>
        </w:rPr>
        <w:t>Todėl Dorfman (2008) pateikia draudimo sąvokos apibrėžimą dvejais aspektais</w:t>
      </w:r>
      <w:r w:rsidR="006756D6" w:rsidRPr="00310363">
        <w:rPr>
          <w:lang w:val="lt-LT"/>
        </w:rPr>
        <w:t>:</w:t>
      </w:r>
      <w:r w:rsidR="009803D7" w:rsidRPr="00310363">
        <w:rPr>
          <w:lang w:val="lt-LT"/>
        </w:rPr>
        <w:t xml:space="preserve"> </w:t>
      </w:r>
    </w:p>
    <w:p w:rsidR="009803D7" w:rsidRPr="00310363" w:rsidRDefault="009803D7" w:rsidP="00310363">
      <w:pPr>
        <w:pStyle w:val="ListParagraph"/>
        <w:numPr>
          <w:ilvl w:val="0"/>
          <w:numId w:val="5"/>
        </w:numPr>
        <w:autoSpaceDE w:val="0"/>
        <w:autoSpaceDN w:val="0"/>
        <w:adjustRightInd w:val="0"/>
        <w:spacing w:line="360" w:lineRule="auto"/>
        <w:ind w:firstLine="567"/>
        <w:jc w:val="both"/>
        <w:rPr>
          <w:lang w:val="lt-LT"/>
        </w:rPr>
      </w:pPr>
      <w:r w:rsidRPr="00310363">
        <w:rPr>
          <w:lang w:val="lt-LT"/>
        </w:rPr>
        <w:t>Finansinis draudimo apibrėžimas – draudimas yra finansinis susitarimas, kuris perskirsto nenumatytų nuostolių išlaidas;</w:t>
      </w:r>
    </w:p>
    <w:p w:rsidR="009803D7" w:rsidRPr="00310363" w:rsidRDefault="009803D7" w:rsidP="00310363">
      <w:pPr>
        <w:pStyle w:val="ListParagraph"/>
        <w:numPr>
          <w:ilvl w:val="0"/>
          <w:numId w:val="5"/>
        </w:numPr>
        <w:autoSpaceDE w:val="0"/>
        <w:autoSpaceDN w:val="0"/>
        <w:adjustRightInd w:val="0"/>
        <w:spacing w:line="360" w:lineRule="auto"/>
        <w:ind w:firstLine="567"/>
        <w:jc w:val="both"/>
        <w:rPr>
          <w:lang w:val="lt-LT"/>
        </w:rPr>
      </w:pPr>
      <w:r w:rsidRPr="00310363">
        <w:rPr>
          <w:lang w:val="lt-LT"/>
        </w:rPr>
        <w:t xml:space="preserve">Teisinis draudimo apibrėžimas – draudimas yra sutartis, kurios viena pusė sutinka padengti kitos pusės nuostolius ; </w:t>
      </w:r>
    </w:p>
    <w:p w:rsidR="009803D7" w:rsidRPr="00310363" w:rsidRDefault="009803D7" w:rsidP="00310363">
      <w:pPr>
        <w:autoSpaceDE w:val="0"/>
        <w:autoSpaceDN w:val="0"/>
        <w:adjustRightInd w:val="0"/>
        <w:spacing w:line="360" w:lineRule="auto"/>
        <w:ind w:firstLine="567"/>
        <w:jc w:val="both"/>
        <w:rPr>
          <w:lang w:val="lt-LT"/>
        </w:rPr>
      </w:pPr>
      <w:r w:rsidRPr="00310363">
        <w:rPr>
          <w:lang w:val="lt-LT"/>
        </w:rPr>
        <w:t>Pagal Girdzijauską (</w:t>
      </w:r>
      <w:r w:rsidR="0009404B" w:rsidRPr="00310363">
        <w:rPr>
          <w:lang w:val="lt-LT"/>
        </w:rPr>
        <w:t>2002</w:t>
      </w:r>
      <w:r w:rsidRPr="00310363">
        <w:rPr>
          <w:lang w:val="lt-LT"/>
        </w:rPr>
        <w:t>),</w:t>
      </w:r>
      <w:r w:rsidR="000F5AB5" w:rsidRPr="00310363">
        <w:rPr>
          <w:lang w:val="lt-LT"/>
        </w:rPr>
        <w:t xml:space="preserve"> draudimu vadinama </w:t>
      </w:r>
      <w:r w:rsidRPr="00310363">
        <w:rPr>
          <w:lang w:val="lt-LT"/>
        </w:rPr>
        <w:t xml:space="preserve">finansinė ūkinė veikla atsiradusi atsitikus draudimo įvykiui ir remiantis įstatymu ar sutartimi, ginanti ūkio subjektų ir piliečių turtinius interesus. Šis interesų gynimas grindžiamas piniginiais fondais, suformuotais iš jų pačių (draudėjų) sumokėtų draudimo įmokų. Lezgovko ir Lastauskas (2008) teigia, kad yra įprasta akcentuoti rizikos realizavimosi pasekmių mažinimą, perduodant galimus finansinius nuostolius draudikui kaip esminę draudimo paskirtį. Autorių teigimu draudimas yra rizikos valdymo priemonė naudojama apsisaugoti nuo galimų finansinių nuostolių. </w:t>
      </w:r>
    </w:p>
    <w:p w:rsidR="009803D7" w:rsidRPr="00310363" w:rsidRDefault="000630D7" w:rsidP="00310363">
      <w:pPr>
        <w:autoSpaceDE w:val="0"/>
        <w:autoSpaceDN w:val="0"/>
        <w:adjustRightInd w:val="0"/>
        <w:spacing w:line="360" w:lineRule="auto"/>
        <w:ind w:firstLine="567"/>
        <w:jc w:val="both"/>
        <w:rPr>
          <w:lang w:val="lt-LT"/>
        </w:rPr>
      </w:pPr>
      <w:r w:rsidRPr="00310363">
        <w:rPr>
          <w:lang w:val="lt-LT"/>
        </w:rPr>
        <w:t>Kitokį draudimo sąvokos apibrėžimą pateikia Čibinskienė ir kt.</w:t>
      </w:r>
      <w:r w:rsidR="009803D7" w:rsidRPr="00310363">
        <w:rPr>
          <w:lang w:val="lt-LT"/>
        </w:rPr>
        <w:t xml:space="preserve"> (2005). Jie siūlo draudimo sąvoką nagrinėti siaurąja ir plačiąja prasme .</w:t>
      </w:r>
    </w:p>
    <w:p w:rsidR="009803D7" w:rsidRPr="00310363" w:rsidRDefault="009803D7" w:rsidP="00310363">
      <w:pPr>
        <w:autoSpaceDE w:val="0"/>
        <w:autoSpaceDN w:val="0"/>
        <w:adjustRightInd w:val="0"/>
        <w:spacing w:line="360" w:lineRule="auto"/>
        <w:ind w:firstLine="567"/>
        <w:jc w:val="both"/>
        <w:rPr>
          <w:lang w:val="lt-LT"/>
        </w:rPr>
      </w:pPr>
      <w:r w:rsidRPr="00310363">
        <w:rPr>
          <w:b/>
          <w:bCs/>
          <w:lang w:val="lt-LT"/>
        </w:rPr>
        <w:t xml:space="preserve"> </w:t>
      </w:r>
      <w:r w:rsidR="0001343F" w:rsidRPr="00310363">
        <w:rPr>
          <w:bCs/>
          <w:lang w:val="lt-LT"/>
        </w:rPr>
        <w:t>Siaurąja prasme</w:t>
      </w:r>
      <w:r w:rsidR="000630D7" w:rsidRPr="00310363">
        <w:rPr>
          <w:bCs/>
          <w:lang w:val="lt-LT"/>
        </w:rPr>
        <w:t>: draudimas</w:t>
      </w:r>
      <w:r w:rsidRPr="00310363">
        <w:rPr>
          <w:b/>
          <w:bCs/>
          <w:lang w:val="lt-LT"/>
        </w:rPr>
        <w:t xml:space="preserve"> –</w:t>
      </w:r>
      <w:r w:rsidR="0001343F" w:rsidRPr="00310363">
        <w:rPr>
          <w:lang w:val="lt-LT"/>
        </w:rPr>
        <w:t xml:space="preserve"> </w:t>
      </w:r>
      <w:r w:rsidRPr="00310363">
        <w:rPr>
          <w:lang w:val="lt-LT"/>
        </w:rPr>
        <w:t>tokie ekonominiai finansiniai santykiai, kuriuos tradiciškai reguliuoja šalies draudimo įstatymas ir kurie yra specializuotų organizacijų (draudimo įmonių) pelningos ir apmokamos veiklos objektas.</w:t>
      </w:r>
    </w:p>
    <w:p w:rsidR="009803D7" w:rsidRPr="00310363" w:rsidRDefault="0001343F" w:rsidP="00310363">
      <w:pPr>
        <w:autoSpaceDE w:val="0"/>
        <w:autoSpaceDN w:val="0"/>
        <w:adjustRightInd w:val="0"/>
        <w:spacing w:line="360" w:lineRule="auto"/>
        <w:ind w:firstLine="567"/>
        <w:jc w:val="both"/>
        <w:rPr>
          <w:lang w:val="lt-LT"/>
        </w:rPr>
      </w:pPr>
      <w:r w:rsidRPr="00310363">
        <w:rPr>
          <w:bCs/>
          <w:lang w:val="lt-LT"/>
        </w:rPr>
        <w:t>Plačiąja prasme</w:t>
      </w:r>
      <w:r w:rsidR="009803D7" w:rsidRPr="00310363">
        <w:rPr>
          <w:bCs/>
          <w:lang w:val="lt-LT"/>
        </w:rPr>
        <w:t>:</w:t>
      </w:r>
      <w:r w:rsidRPr="00310363">
        <w:rPr>
          <w:lang w:val="lt-LT"/>
        </w:rPr>
        <w:t xml:space="preserve"> </w:t>
      </w:r>
      <w:r w:rsidR="000630D7" w:rsidRPr="00310363">
        <w:rPr>
          <w:bCs/>
          <w:lang w:val="lt-LT"/>
        </w:rPr>
        <w:t>d</w:t>
      </w:r>
      <w:r w:rsidRPr="00310363">
        <w:rPr>
          <w:bCs/>
          <w:lang w:val="lt-LT"/>
        </w:rPr>
        <w:t>raudimas</w:t>
      </w:r>
      <w:r w:rsidR="009803D7" w:rsidRPr="00310363">
        <w:rPr>
          <w:b/>
          <w:bCs/>
          <w:lang w:val="lt-LT"/>
        </w:rPr>
        <w:t xml:space="preserve"> –</w:t>
      </w:r>
      <w:r w:rsidRPr="00310363">
        <w:rPr>
          <w:lang w:val="lt-LT"/>
        </w:rPr>
        <w:t xml:space="preserve"> </w:t>
      </w:r>
      <w:r w:rsidR="009803D7" w:rsidRPr="00310363">
        <w:rPr>
          <w:lang w:val="lt-LT"/>
        </w:rPr>
        <w:t xml:space="preserve">tokia ekonominių, finansinių ir socialinių santykių visuma, kurią reguliuoja ypatinga šalies teisinė bazė, ir kuri formuoja specialų tikslingą fondą iš namų ūkio, gamybinio, kreditinio, valstybinio sektorių bei tarptautinių organizacijų piniginių lėšų, kurios vėliau perskirstomos ir panaudojamos to fondo dalyvių patirtų nuostolių dėl nepalankių, bet aptartų sąlygų atlyginimui (kompensavimui). </w:t>
      </w:r>
    </w:p>
    <w:p w:rsidR="009803D7" w:rsidRPr="00310363" w:rsidRDefault="0001343F" w:rsidP="00310363">
      <w:pPr>
        <w:autoSpaceDE w:val="0"/>
        <w:autoSpaceDN w:val="0"/>
        <w:adjustRightInd w:val="0"/>
        <w:spacing w:line="360" w:lineRule="auto"/>
        <w:ind w:firstLine="567"/>
        <w:jc w:val="both"/>
        <w:rPr>
          <w:lang w:val="lt-LT"/>
        </w:rPr>
      </w:pPr>
      <w:r w:rsidRPr="00310363">
        <w:rPr>
          <w:lang w:val="lt-LT"/>
        </w:rPr>
        <w:t>Pateikti apibrėžimai išskiria svarbiausius draudimo sąvokos aspektus, kuriuos konkrečiai pateikia V</w:t>
      </w:r>
      <w:r w:rsidR="009803D7" w:rsidRPr="00310363">
        <w:rPr>
          <w:lang w:val="lt-LT"/>
        </w:rPr>
        <w:t>aughan (2008)</w:t>
      </w:r>
      <w:r w:rsidRPr="00310363">
        <w:rPr>
          <w:lang w:val="lt-LT"/>
        </w:rPr>
        <w:t xml:space="preserve"> kuris</w:t>
      </w:r>
      <w:r w:rsidR="009803D7" w:rsidRPr="00310363">
        <w:rPr>
          <w:lang w:val="lt-LT"/>
        </w:rPr>
        <w:t xml:space="preserve"> teigia, kad draudimo sąvoką sudėtinga apibrėžti, tačiau imant paprasčiausiu aspektu jis turi dvi fundamentalias charakteristikas: </w:t>
      </w:r>
    </w:p>
    <w:p w:rsidR="009803D7" w:rsidRPr="00310363" w:rsidRDefault="009803D7" w:rsidP="00310363">
      <w:pPr>
        <w:autoSpaceDE w:val="0"/>
        <w:autoSpaceDN w:val="0"/>
        <w:adjustRightInd w:val="0"/>
        <w:spacing w:line="360" w:lineRule="auto"/>
        <w:ind w:firstLine="567"/>
        <w:jc w:val="both"/>
        <w:rPr>
          <w:lang w:val="lt-LT"/>
        </w:rPr>
      </w:pPr>
      <w:r w:rsidRPr="00310363">
        <w:rPr>
          <w:lang w:val="lt-LT"/>
        </w:rPr>
        <w:t>1) kintamos rizikos perdavimas iš vieno individo grupei;</w:t>
      </w:r>
    </w:p>
    <w:p w:rsidR="009803D7" w:rsidRPr="00310363" w:rsidRDefault="009803D7" w:rsidP="00310363">
      <w:pPr>
        <w:autoSpaceDE w:val="0"/>
        <w:autoSpaceDN w:val="0"/>
        <w:adjustRightInd w:val="0"/>
        <w:spacing w:line="360" w:lineRule="auto"/>
        <w:ind w:firstLine="567"/>
        <w:jc w:val="both"/>
        <w:rPr>
          <w:lang w:val="lt-LT"/>
        </w:rPr>
      </w:pPr>
      <w:r w:rsidRPr="00310363">
        <w:rPr>
          <w:lang w:val="lt-LT"/>
        </w:rPr>
        <w:t>2) nuostolių dalinimasis vienodomis sąlygomis visiems grupės nariams.</w:t>
      </w:r>
    </w:p>
    <w:p w:rsidR="0001343F" w:rsidRPr="00310363" w:rsidRDefault="0001343F" w:rsidP="00310363">
      <w:pPr>
        <w:autoSpaceDE w:val="0"/>
        <w:autoSpaceDN w:val="0"/>
        <w:adjustRightInd w:val="0"/>
        <w:spacing w:line="360" w:lineRule="auto"/>
        <w:ind w:firstLine="567"/>
        <w:jc w:val="both"/>
        <w:rPr>
          <w:lang w:val="lt-LT"/>
        </w:rPr>
      </w:pPr>
      <w:r w:rsidRPr="00310363">
        <w:rPr>
          <w:lang w:val="lt-LT"/>
        </w:rPr>
        <w:tab/>
        <w:t xml:space="preserve">Apibendrinant, visus pateiktus draudimo apibrėžimus, būtų galima </w:t>
      </w:r>
      <w:r w:rsidR="00912619" w:rsidRPr="00310363">
        <w:rPr>
          <w:lang w:val="lt-LT"/>
        </w:rPr>
        <w:t>teigti, kad draudimas – tai sutartis, kuria susitariama dėl rizikos perkėlimo nuo vieno asmens</w:t>
      </w:r>
      <w:r w:rsidRPr="00310363">
        <w:rPr>
          <w:lang w:val="lt-LT"/>
        </w:rPr>
        <w:t xml:space="preserve"> </w:t>
      </w:r>
      <w:r w:rsidR="00912619" w:rsidRPr="00310363">
        <w:rPr>
          <w:lang w:val="lt-LT"/>
        </w:rPr>
        <w:t>asmenų grupei.</w:t>
      </w:r>
    </w:p>
    <w:p w:rsidR="009803D7" w:rsidRPr="00310363" w:rsidRDefault="00912619" w:rsidP="00310363">
      <w:pPr>
        <w:autoSpaceDE w:val="0"/>
        <w:autoSpaceDN w:val="0"/>
        <w:adjustRightInd w:val="0"/>
        <w:spacing w:line="360" w:lineRule="auto"/>
        <w:ind w:firstLine="567"/>
        <w:jc w:val="both"/>
        <w:rPr>
          <w:lang w:val="lt-LT"/>
        </w:rPr>
      </w:pPr>
      <w:r w:rsidRPr="00310363">
        <w:rPr>
          <w:lang w:val="lt-LT"/>
        </w:rPr>
        <w:t>Dėl skirtingai pateikiamų draudimo apibrėžimų, bei tam tikrų skirtumų, laikui bėgant susiformavo skirtingos teorijos nusakančios draudimo esmę.</w:t>
      </w:r>
      <w:r w:rsidR="00C861CE" w:rsidRPr="00310363">
        <w:rPr>
          <w:iCs/>
          <w:lang w:val="lt-LT"/>
        </w:rPr>
        <w:t xml:space="preserve"> Čepinskas, Raškinis (</w:t>
      </w:r>
      <w:r w:rsidR="009A2764" w:rsidRPr="00310363">
        <w:rPr>
          <w:iCs/>
          <w:lang w:val="lt-LT"/>
        </w:rPr>
        <w:t>2004</w:t>
      </w:r>
      <w:r w:rsidR="009803D7" w:rsidRPr="00310363">
        <w:rPr>
          <w:iCs/>
          <w:lang w:val="lt-LT"/>
        </w:rPr>
        <w:t>, p. 42-43) išskiria tokias isto</w:t>
      </w:r>
      <w:r w:rsidRPr="00310363">
        <w:rPr>
          <w:iCs/>
          <w:lang w:val="lt-LT"/>
        </w:rPr>
        <w:t>riškai susiformavusias teorijas</w:t>
      </w:r>
      <w:r w:rsidR="009803D7" w:rsidRPr="00310363">
        <w:rPr>
          <w:iCs/>
          <w:lang w:val="lt-LT"/>
        </w:rPr>
        <w:t>:</w:t>
      </w:r>
    </w:p>
    <w:p w:rsidR="009803D7" w:rsidRPr="00310363" w:rsidRDefault="009803D7" w:rsidP="00310363">
      <w:pPr>
        <w:autoSpaceDE w:val="0"/>
        <w:autoSpaceDN w:val="0"/>
        <w:adjustRightInd w:val="0"/>
        <w:spacing w:line="360" w:lineRule="auto"/>
        <w:ind w:firstLine="567"/>
        <w:jc w:val="both"/>
        <w:rPr>
          <w:iCs/>
          <w:lang w:val="lt-LT"/>
        </w:rPr>
      </w:pPr>
      <w:r w:rsidRPr="00310363">
        <w:rPr>
          <w:iCs/>
          <w:lang w:val="lt-LT"/>
        </w:rPr>
        <w:lastRenderedPageBreak/>
        <w:t>1. Žalos atlyginimo teorija, teigianti, kad draudiminio įvykio atveju draudikas visuomet yra įsipareigojęs atlyginti įvykio metu patirtą turtinę ar neturtinę žalą. Ši teorija, kurios pagrindinis atstovas italas Donati ganėtinai populiari anglosaksų, ispanų bei prancūzų draudimo literatūroje;</w:t>
      </w:r>
    </w:p>
    <w:p w:rsidR="009803D7" w:rsidRPr="00310363" w:rsidRDefault="009803D7" w:rsidP="00310363">
      <w:pPr>
        <w:autoSpaceDE w:val="0"/>
        <w:autoSpaceDN w:val="0"/>
        <w:adjustRightInd w:val="0"/>
        <w:spacing w:line="360" w:lineRule="auto"/>
        <w:ind w:firstLine="567"/>
        <w:jc w:val="both"/>
        <w:rPr>
          <w:iCs/>
          <w:lang w:val="lt-LT"/>
        </w:rPr>
      </w:pPr>
      <w:r w:rsidRPr="00310363">
        <w:rPr>
          <w:iCs/>
          <w:lang w:val="lt-LT"/>
        </w:rPr>
        <w:t>2. Remiantis Poreikio teorija, draudimui priskiriama konkrečių (patirtų nuostolių atlyginimas)</w:t>
      </w:r>
      <w:r w:rsidR="00912619" w:rsidRPr="00310363">
        <w:rPr>
          <w:iCs/>
          <w:lang w:val="lt-LT"/>
        </w:rPr>
        <w:t xml:space="preserve"> </w:t>
      </w:r>
      <w:r w:rsidRPr="00310363">
        <w:rPr>
          <w:iCs/>
          <w:lang w:val="lt-LT"/>
        </w:rPr>
        <w:t>ar abstrakčių (tam tikros sumos išmokėjimas) užtikrinimo funkciją. Šios teorijos pagrindiniai šalininkai Ulysses Gobbi ir Alfred Manes;</w:t>
      </w:r>
    </w:p>
    <w:p w:rsidR="009803D7" w:rsidRPr="00310363" w:rsidRDefault="009803D7" w:rsidP="00310363">
      <w:pPr>
        <w:autoSpaceDE w:val="0"/>
        <w:autoSpaceDN w:val="0"/>
        <w:adjustRightInd w:val="0"/>
        <w:spacing w:line="360" w:lineRule="auto"/>
        <w:ind w:firstLine="567"/>
        <w:jc w:val="both"/>
        <w:rPr>
          <w:iCs/>
          <w:lang w:val="lt-LT"/>
        </w:rPr>
      </w:pPr>
      <w:r w:rsidRPr="00310363">
        <w:rPr>
          <w:iCs/>
          <w:lang w:val="lt-LT"/>
        </w:rPr>
        <w:t>3. Apsaugojimo teorija, draudimą vertinanti kaip priemonę, kuri su mažina nesaugumo jausmą, garantuoja apsaugą nuo įvairių gyvenime pasitaikančių rizikų ir grėsmių. Pagrindinis šios draudimo teorijos atstovas – draudimo teoretikas Hupka;</w:t>
      </w:r>
    </w:p>
    <w:p w:rsidR="009803D7" w:rsidRPr="00310363" w:rsidRDefault="009803D7" w:rsidP="00310363">
      <w:pPr>
        <w:autoSpaceDE w:val="0"/>
        <w:autoSpaceDN w:val="0"/>
        <w:adjustRightInd w:val="0"/>
        <w:spacing w:line="360" w:lineRule="auto"/>
        <w:ind w:firstLine="567"/>
        <w:jc w:val="both"/>
        <w:rPr>
          <w:iCs/>
          <w:lang w:val="lt-LT"/>
        </w:rPr>
      </w:pPr>
      <w:r w:rsidRPr="00310363">
        <w:rPr>
          <w:iCs/>
          <w:lang w:val="lt-LT"/>
        </w:rPr>
        <w:t>4. Įmonių teorija, apibrėžianti draudimą kaip planingai vykdomą, piniginiais santykiai pagrįstą veiklą, kurios metu draudimo įmonės įsipareigoja suteikti draudiminę apsaugą draudėjams, kuriems gresia tos pačios rūšies rizika. Pagrindiniai šios teorijos šalininkai - italai Lordi, Mossa, Rocco;</w:t>
      </w:r>
    </w:p>
    <w:p w:rsidR="009803D7" w:rsidRPr="00310363" w:rsidRDefault="009803D7" w:rsidP="00310363">
      <w:pPr>
        <w:autoSpaceDE w:val="0"/>
        <w:autoSpaceDN w:val="0"/>
        <w:adjustRightInd w:val="0"/>
        <w:spacing w:line="360" w:lineRule="auto"/>
        <w:ind w:firstLine="567"/>
        <w:jc w:val="both"/>
        <w:rPr>
          <w:iCs/>
          <w:lang w:val="lt-LT"/>
        </w:rPr>
      </w:pPr>
      <w:r w:rsidRPr="00310363">
        <w:rPr>
          <w:lang w:val="lt-LT"/>
        </w:rPr>
        <w:t xml:space="preserve">5. </w:t>
      </w:r>
      <w:r w:rsidRPr="00310363">
        <w:rPr>
          <w:iCs/>
          <w:lang w:val="lt-LT"/>
        </w:rPr>
        <w:t>Rizikos bendrijos teorija teigia, kad asmenys, perduodantys draudimo įmonei tos pačios rūšies riziką, tuo pačiu gali būti laikomi vienos rizikos bendrijos nariais. Vokietijos mokslininkas Bruck laikomas šios draudimo teorijos pradininku ir pagrindiniu atstovu;</w:t>
      </w:r>
    </w:p>
    <w:p w:rsidR="009803D7" w:rsidRPr="00310363" w:rsidRDefault="009803D7" w:rsidP="00310363">
      <w:pPr>
        <w:autoSpaceDE w:val="0"/>
        <w:autoSpaceDN w:val="0"/>
        <w:adjustRightInd w:val="0"/>
        <w:spacing w:line="360" w:lineRule="auto"/>
        <w:ind w:firstLine="567"/>
        <w:jc w:val="both"/>
        <w:rPr>
          <w:iCs/>
          <w:lang w:val="lt-LT"/>
        </w:rPr>
      </w:pPr>
      <w:r w:rsidRPr="00310363">
        <w:rPr>
          <w:iCs/>
          <w:lang w:val="lt-LT"/>
        </w:rPr>
        <w:t>Šiuo</w:t>
      </w:r>
      <w:r w:rsidR="00912619" w:rsidRPr="00310363">
        <w:rPr>
          <w:iCs/>
          <w:lang w:val="lt-LT"/>
        </w:rPr>
        <w:t xml:space="preserve"> metu draudimas laikomas svarbia ekonomikos dalimi, kuri</w:t>
      </w:r>
      <w:r w:rsidRPr="00310363">
        <w:rPr>
          <w:iCs/>
          <w:lang w:val="lt-LT"/>
        </w:rPr>
        <w:t xml:space="preserve"> įtakoja šalies ekonomikos vystymąsi. Draudimas ekonomikoje įgyvendina rizikos kaupimo, rizikos perkėlimo bei nuostolių prevencijos funkcijas. Taip pat, kaip teigia Cummins ir Weis (2000) draudimas veikia kaip finansinis tarpininkas, kuris išduoda skolos sutartis, investuoja pinigus iki tol, kol reikia mokėti žalas. </w:t>
      </w:r>
    </w:p>
    <w:p w:rsidR="009803D7" w:rsidRPr="00310363" w:rsidRDefault="005A1970" w:rsidP="00310363">
      <w:pPr>
        <w:autoSpaceDE w:val="0"/>
        <w:autoSpaceDN w:val="0"/>
        <w:adjustRightInd w:val="0"/>
        <w:spacing w:line="360" w:lineRule="auto"/>
        <w:ind w:firstLine="567"/>
        <w:jc w:val="both"/>
        <w:rPr>
          <w:lang w:val="lt-LT"/>
        </w:rPr>
      </w:pPr>
      <w:r w:rsidRPr="00310363">
        <w:rPr>
          <w:iCs/>
          <w:lang w:val="lt-LT"/>
        </w:rPr>
        <w:t>Kad draudimas atliktų visas savo funkcijas, turi egzistuoti rinka, kurioje būtų platinami draudimo produktai. Kadangi draudimas, kaip produktas turi skirtingus apibrėžimus, l</w:t>
      </w:r>
      <w:r w:rsidR="009803D7" w:rsidRPr="00310363">
        <w:rPr>
          <w:iCs/>
          <w:lang w:val="lt-LT"/>
        </w:rPr>
        <w:t xml:space="preserve">ietuvių mokslininkai pateikia įvairius draudimo rinkos apibrėžimus. </w:t>
      </w:r>
      <w:r w:rsidR="00912619" w:rsidRPr="00310363">
        <w:rPr>
          <w:lang w:val="lt-LT"/>
        </w:rPr>
        <w:t xml:space="preserve">Autoriai - Čibinskienė ir kt. </w:t>
      </w:r>
      <w:r w:rsidR="009803D7" w:rsidRPr="00310363">
        <w:rPr>
          <w:lang w:val="lt-LT"/>
        </w:rPr>
        <w:t xml:space="preserve">(2005)- pažymi, kad draudimo rinka bendriausiu atveju nusakoma, kaip finansų rinkos dalis, apimanti visus tam tikroje ekonominėje aplinkoje veikiančius draudimo veiklos vykdytojus, kaip svarbiausius draudimo rinkos subjektus, taip pat draudimo brokerius (draudimo pasaugos tarpininkus), bei tarpusavio priklausomybės ryšius su aplinkos ūkio subjektais. </w:t>
      </w:r>
      <w:r w:rsidRPr="00310363">
        <w:rPr>
          <w:lang w:val="lt-LT"/>
        </w:rPr>
        <w:t>Šie a</w:t>
      </w:r>
      <w:r w:rsidR="009803D7" w:rsidRPr="00310363">
        <w:rPr>
          <w:lang w:val="lt-LT"/>
        </w:rPr>
        <w:t>utoriai siūlo tokį draudimo rinkos apibrėžimą: „Draudimo rinka – tai finansų rinkoje veikiantis mainų mechanizmas, suvedantis draudimo paslaugų pardavėjus (draudimo įmonės ir tarpininkai) ir pirkėjus (egzistuojantys motyvuoti ekonomikos subjektai: namų ūkiai, gamybinis, kreditinis, valstybinis sektoriai ir tarptautinės organizacijos), taip suformuojant draudimo paslaugų pasiūlą ir paklausą, kurią reguliuoja ypatinga piniginių santykių forma „draudimo įmoka – draudimo išmoka“ ir kuri leidžia šios rinkos dalyviams realizuoti savo tikslus bei kartu užtikrinti šalies ekonominės ir socialinės raidos tikslingumą bei efektyvumą.“.</w:t>
      </w:r>
    </w:p>
    <w:p w:rsidR="009803D7" w:rsidRPr="00310363" w:rsidRDefault="009803D7" w:rsidP="00310363">
      <w:pPr>
        <w:autoSpaceDE w:val="0"/>
        <w:autoSpaceDN w:val="0"/>
        <w:adjustRightInd w:val="0"/>
        <w:spacing w:line="360" w:lineRule="auto"/>
        <w:ind w:firstLine="567"/>
        <w:jc w:val="both"/>
        <w:rPr>
          <w:lang w:val="lt-LT"/>
        </w:rPr>
      </w:pPr>
      <w:r w:rsidRPr="00310363">
        <w:rPr>
          <w:lang w:val="lt-LT"/>
        </w:rPr>
        <w:t xml:space="preserve">V. Kindurys (2002) teigia, kad draudimo paslaugų rinka yra visuma draudimo paslaugų, kurios draudėjų požiūriu yra tinkamas pakaitalas viena kitai pagal jų savybes, naudojimą ir kainas. Autorius pateikia draudimo paslaugų rinkos apibrėžimą, kuris atskleidžia draudimą kaip ekonominį reiškinį: </w:t>
      </w:r>
      <w:r w:rsidRPr="00310363">
        <w:rPr>
          <w:lang w:val="lt-LT"/>
        </w:rPr>
        <w:lastRenderedPageBreak/>
        <w:t>„Draudimo paslaugų rinka – tai ypatinga draudikų, draudėjų ir prireikus tarpininkų tarpusavio piniginių santykių sistema, susiklostanti parduodant ir perkant draudimo paslaugas, sumokant draudikams draudimo įmokas (premijas) ir išmokant draudėjams išmokas iš draudimo įmonėse sudaryto fondo, leidžiančio užtikrinti fizinių ir juridinių asmenų draudimo interesus (draudimo apsaugą) ir suformuoti draudikų bei perdraudikų specifinio verslo finansinį pagrindą“ .</w:t>
      </w:r>
    </w:p>
    <w:p w:rsidR="009803D7" w:rsidRPr="00310363" w:rsidRDefault="00AD21AE" w:rsidP="00310363">
      <w:pPr>
        <w:autoSpaceDE w:val="0"/>
        <w:autoSpaceDN w:val="0"/>
        <w:adjustRightInd w:val="0"/>
        <w:spacing w:line="360" w:lineRule="auto"/>
        <w:ind w:firstLine="567"/>
        <w:jc w:val="both"/>
        <w:rPr>
          <w:lang w:val="lt-LT"/>
        </w:rPr>
      </w:pPr>
      <w:r w:rsidRPr="00310363">
        <w:rPr>
          <w:lang w:val="lt-LT"/>
        </w:rPr>
        <w:t xml:space="preserve">Skirtingų mokslininkų pateikti draudimo apibrėžimai skiriasi, nes tai įtakojo skirtingi požiūriai bei teorijos. Magistrantės nuomone, draudimo esmę geriausiai apibūdina Narkūnienės (2007) pateikiamas draudimo apibrėžimas, kad draudimas – tai rizikos pasidalijimo, perkėlimo, perskirstymo bei sumažinimo sistema. Tai paslauga draudėjams ir pelningas verslas draudikams. Šiame darbe bus naudojamas draudimo rinkos, kaip finansų rinkoje veikiančio mainų mechanizmo tarp </w:t>
      </w:r>
      <w:r w:rsidR="00DA4C05" w:rsidRPr="00310363">
        <w:rPr>
          <w:lang w:val="lt-LT"/>
        </w:rPr>
        <w:t>draudimo paslaugų pardavėjo ir pirkėjo, samprata.</w:t>
      </w:r>
    </w:p>
    <w:p w:rsidR="00CE762A" w:rsidRPr="00303A5A" w:rsidRDefault="00CE762A" w:rsidP="00DA4C05">
      <w:pPr>
        <w:autoSpaceDE w:val="0"/>
        <w:autoSpaceDN w:val="0"/>
        <w:adjustRightInd w:val="0"/>
        <w:spacing w:line="360" w:lineRule="auto"/>
        <w:ind w:firstLine="720"/>
        <w:jc w:val="both"/>
        <w:rPr>
          <w:lang w:val="lt-LT"/>
        </w:rPr>
      </w:pPr>
    </w:p>
    <w:p w:rsidR="000E73C3" w:rsidRPr="005D4E5F" w:rsidRDefault="00A60CE6" w:rsidP="000E73C3">
      <w:pPr>
        <w:pStyle w:val="Style1-h2"/>
      </w:pPr>
      <w:bookmarkStart w:id="12" w:name="_Toc311971354"/>
      <w:bookmarkStart w:id="13" w:name="_Toc311971543"/>
      <w:bookmarkStart w:id="14" w:name="_Toc311971689"/>
      <w:r w:rsidRPr="00303A5A">
        <w:t xml:space="preserve">1.2. </w:t>
      </w:r>
      <w:r w:rsidR="009803D7" w:rsidRPr="00303A5A">
        <w:t>Draudimo veiklos požymiai, reikšmė, skirstymas</w:t>
      </w:r>
      <w:bookmarkEnd w:id="12"/>
      <w:bookmarkEnd w:id="13"/>
      <w:bookmarkEnd w:id="14"/>
    </w:p>
    <w:p w:rsidR="003911D5" w:rsidRDefault="009803D7" w:rsidP="003911D5">
      <w:pPr>
        <w:spacing w:line="360" w:lineRule="auto"/>
        <w:ind w:firstLine="720"/>
        <w:jc w:val="both"/>
        <w:rPr>
          <w:rFonts w:ascii="TimesNewRomanPSMT" w:hAnsi="TimesNewRomanPSMT" w:cs="TimesNewRomanPSMT"/>
          <w:lang w:val="lt-LT"/>
        </w:rPr>
      </w:pPr>
      <w:r w:rsidRPr="00303A5A">
        <w:rPr>
          <w:lang w:val="lt-LT"/>
        </w:rPr>
        <w:t xml:space="preserve">Draudimo veikla, kad ji taip būtų vadinama turi atitikti tam tikras sąlygas. Šios sąlygos kyla iš ekonominės draudimo veiklos kilmės bei draudimo apibrėžimo. Yra išskiriama šeši draudimo veiklos </w:t>
      </w:r>
      <w:r w:rsidRPr="005A1970">
        <w:rPr>
          <w:lang w:val="lt-LT"/>
        </w:rPr>
        <w:t xml:space="preserve">požymiai, jei ekonominė veikla nepasižymi nors vienu požymiu, ji nebus laikoma draudimo veikla. </w:t>
      </w:r>
      <w:r w:rsidR="009A2764" w:rsidRPr="005A1970">
        <w:rPr>
          <w:lang w:val="lt-LT"/>
        </w:rPr>
        <w:t>Čep</w:t>
      </w:r>
      <w:r w:rsidR="00926EF1">
        <w:rPr>
          <w:lang w:val="lt-LT"/>
        </w:rPr>
        <w:t>inskas</w:t>
      </w:r>
      <w:r w:rsidR="009A2764" w:rsidRPr="005A1970">
        <w:rPr>
          <w:lang w:val="lt-LT"/>
        </w:rPr>
        <w:t xml:space="preserve"> ir kt.</w:t>
      </w:r>
      <w:r w:rsidRPr="005A1970">
        <w:rPr>
          <w:lang w:val="lt-LT"/>
        </w:rPr>
        <w:t xml:space="preserve"> (1999)</w:t>
      </w:r>
      <w:r w:rsidRPr="00303A5A">
        <w:rPr>
          <w:rFonts w:ascii="TimesNewRomanPSMT" w:hAnsi="TimesNewRomanPSMT" w:cs="TimesNewRomanPSMT"/>
          <w:lang w:val="lt-LT"/>
        </w:rPr>
        <w:t xml:space="preserve"> pateikia draudimo veiklos sudėtinių požymių schemą</w:t>
      </w:r>
      <w:r w:rsidR="003911D5">
        <w:rPr>
          <w:rFonts w:ascii="TimesNewRomanPSMT" w:hAnsi="TimesNewRomanPSMT" w:cs="TimesNewRomanPSMT"/>
          <w:lang w:val="lt-LT"/>
        </w:rPr>
        <w:t>, kuri atvaizduota 1.1. pav.</w:t>
      </w:r>
    </w:p>
    <w:p w:rsidR="00310363" w:rsidRPr="00303A5A" w:rsidRDefault="00310363" w:rsidP="00310363">
      <w:pPr>
        <w:rPr>
          <w:rFonts w:ascii="TimesNewRomanPSMT" w:hAnsi="TimesNewRomanPSMT" w:cs="TimesNewRomanPSMT"/>
          <w:lang w:val="lt-LT"/>
        </w:rPr>
      </w:pPr>
      <w:r w:rsidRPr="00303A5A">
        <w:rPr>
          <w:rFonts w:ascii="TimesNewRomanPSMT" w:hAnsi="TimesNewRomanPSMT" w:cs="TimesNewRomanPSMT"/>
          <w:noProof/>
        </w:rPr>
        <w:drawing>
          <wp:inline distT="0" distB="0" distL="0" distR="0">
            <wp:extent cx="6120000" cy="2160000"/>
            <wp:effectExtent l="0" t="38100" r="0" b="0"/>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10363" w:rsidRPr="00303A5A" w:rsidRDefault="00310363" w:rsidP="00310363">
      <w:pPr>
        <w:rPr>
          <w:rFonts w:ascii="TimesNewRomanPSMT" w:hAnsi="TimesNewRomanPSMT" w:cs="TimesNewRomanPSMT"/>
          <w:lang w:val="lt-LT"/>
        </w:rPr>
      </w:pPr>
    </w:p>
    <w:p w:rsidR="00310363" w:rsidRPr="0010733C" w:rsidRDefault="00310363" w:rsidP="00310363">
      <w:pPr>
        <w:rPr>
          <w:sz w:val="20"/>
          <w:szCs w:val="20"/>
          <w:lang w:val="lt-LT"/>
        </w:rPr>
      </w:pPr>
      <w:r w:rsidRPr="0010733C">
        <w:rPr>
          <w:sz w:val="20"/>
          <w:szCs w:val="20"/>
          <w:lang w:val="lt-LT"/>
        </w:rPr>
        <w:t>Šalti</w:t>
      </w:r>
      <w:r>
        <w:rPr>
          <w:sz w:val="20"/>
          <w:szCs w:val="20"/>
          <w:lang w:val="lt-LT"/>
        </w:rPr>
        <w:t>nis: Čepinskas  ir kt.</w:t>
      </w:r>
      <w:r w:rsidRPr="0010733C">
        <w:rPr>
          <w:sz w:val="20"/>
          <w:szCs w:val="20"/>
          <w:lang w:val="lt-LT"/>
        </w:rPr>
        <w:t xml:space="preserve"> (1999) </w:t>
      </w:r>
    </w:p>
    <w:p w:rsidR="00310363" w:rsidRPr="00303A5A" w:rsidRDefault="00310363" w:rsidP="00310363">
      <w:pPr>
        <w:rPr>
          <w:rFonts w:ascii="TimesNewRomanPSMT" w:hAnsi="TimesNewRomanPSMT" w:cs="TimesNewRomanPSMT"/>
          <w:lang w:val="lt-LT"/>
        </w:rPr>
      </w:pPr>
    </w:p>
    <w:p w:rsidR="00310363" w:rsidRPr="00DA4C05" w:rsidRDefault="00310363" w:rsidP="00310363">
      <w:pPr>
        <w:pStyle w:val="Paveikslai"/>
      </w:pPr>
      <w:bookmarkStart w:id="15" w:name="_Toc310014778"/>
      <w:bookmarkStart w:id="16" w:name="_Toc311971006"/>
      <w:bookmarkStart w:id="17" w:name="_Toc311971817"/>
      <w:bookmarkStart w:id="18" w:name="_Toc311972019"/>
      <w:r>
        <w:t>1.1. p</w:t>
      </w:r>
      <w:r w:rsidRPr="00DA4C05">
        <w:t>av. Draudimo veiklos požymiai</w:t>
      </w:r>
      <w:bookmarkEnd w:id="15"/>
      <w:bookmarkEnd w:id="16"/>
      <w:bookmarkEnd w:id="17"/>
      <w:bookmarkEnd w:id="18"/>
    </w:p>
    <w:p w:rsidR="00310363" w:rsidRDefault="00310363" w:rsidP="003911D5">
      <w:pPr>
        <w:spacing w:line="360" w:lineRule="auto"/>
        <w:ind w:firstLine="720"/>
        <w:jc w:val="both"/>
        <w:rPr>
          <w:rFonts w:ascii="TimesNewRomanPSMT" w:hAnsi="TimesNewRomanPSMT" w:cs="TimesNewRomanPSMT"/>
          <w:lang w:val="lt-LT"/>
        </w:rPr>
      </w:pPr>
    </w:p>
    <w:p w:rsidR="00310363" w:rsidRPr="00310363" w:rsidRDefault="003911D5" w:rsidP="00310363">
      <w:pPr>
        <w:spacing w:line="360" w:lineRule="auto"/>
        <w:ind w:firstLine="567"/>
        <w:jc w:val="both"/>
        <w:rPr>
          <w:lang w:val="lt-LT"/>
        </w:rPr>
      </w:pPr>
      <w:r w:rsidRPr="00310363">
        <w:rPr>
          <w:lang w:val="lt-LT"/>
        </w:rPr>
        <w:t xml:space="preserve"> Draudimo veiklos reikšmė kartais ne visiems lengvai suvokiama. Draudėjas turintis draudiminę apsaugą yra veikiamas dvejopų jausmų, kurie yra vienas su kitu susiję. Pirmiausia netikrumo dėl ateities bei nepasitikėjimo jausmas yra pakeičiamas saugumo jausmu, o antra, atsitikus draudiminiam įvykiui, būna patenkinamas dėl šio draudiminio įvykio atsiradęs poreikis. Draudimas atlieka socialinę </w:t>
      </w:r>
      <w:r w:rsidRPr="00310363">
        <w:rPr>
          <w:lang w:val="lt-LT"/>
        </w:rPr>
        <w:lastRenderedPageBreak/>
        <w:t>funkciją, būdamas gerovės palaikymo priemonė, nes atsitikus nelaimei ir neturint draudiminės apsaugos dalis žmonių būtų nustumti į skurdą. Draudimas, ekonominiu požiūriu, yra ūkio vystymosi bei klestėjimo sąlyga, nes jei nebūtų draudiminės apsaugos dalies projektų būtų atsisakyta, nesaugiais keliaujančių krovinių atsisakyta gabenti. Makroekonominiu požiūriu draudimas atlieka kapitalo bei pajamų išsaugojimo funkcijas. Kai atsitinka kokia nelaimė, pvz. gaisras tai turint draudiminę apsaugą galima greitai atstatyti ir toliau dirbti, taip išsaugoma veikla, kuri duoda vertę. O pajamų išsaugojimas yra darbo vietų išsaugojimo pasekmė. Taip pat reiktų paminėti, kad draudimo kompanijos sukuria daug darbo vietų ir moka mokesčius valstybei, taip pat norėdamos užsitikrinti būtinus rezervus investuoja savo finansus taip prisidėdamos prie ekonominės šalies gerovės ki</w:t>
      </w:r>
      <w:r w:rsidR="000F5AB5" w:rsidRPr="00310363">
        <w:rPr>
          <w:lang w:val="lt-LT"/>
        </w:rPr>
        <w:t>limo. Kartu, įvesdami tam tikras</w:t>
      </w:r>
      <w:r w:rsidRPr="00310363">
        <w:rPr>
          <w:lang w:val="lt-LT"/>
        </w:rPr>
        <w:t xml:space="preserve"> taisykles, kurias turi tenkinti draudžiamas turtas, draudikai skatina prevencinių priemonių pritaikymą taip vėl prisidėdami prie socialinės visuomenės gerovės. </w:t>
      </w:r>
    </w:p>
    <w:p w:rsidR="009803D7" w:rsidRPr="00310363" w:rsidRDefault="009803D7" w:rsidP="00310363">
      <w:pPr>
        <w:spacing w:line="360" w:lineRule="auto"/>
        <w:ind w:firstLine="567"/>
        <w:jc w:val="both"/>
        <w:rPr>
          <w:lang w:val="lt-LT"/>
        </w:rPr>
      </w:pPr>
      <w:r w:rsidRPr="00310363">
        <w:rPr>
          <w:lang w:val="lt-LT"/>
        </w:rPr>
        <w:t>Skirtinguose teorijos šaltiniuose draudimo veikla yra ski</w:t>
      </w:r>
      <w:r w:rsidR="003911D5" w:rsidRPr="00310363">
        <w:rPr>
          <w:lang w:val="lt-LT"/>
        </w:rPr>
        <w:t xml:space="preserve">rstoma pagal įvairius požymius. </w:t>
      </w:r>
      <w:r w:rsidR="00926EF1" w:rsidRPr="00310363">
        <w:rPr>
          <w:lang w:val="lt-LT"/>
        </w:rPr>
        <w:t>Čepinskas</w:t>
      </w:r>
      <w:r w:rsidR="009A2764" w:rsidRPr="00310363">
        <w:rPr>
          <w:lang w:val="lt-LT"/>
        </w:rPr>
        <w:t xml:space="preserve"> ir kt. </w:t>
      </w:r>
      <w:r w:rsidRPr="00310363">
        <w:rPr>
          <w:lang w:val="lt-LT"/>
        </w:rPr>
        <w:t>(1999) knygoje išskiria tok</w:t>
      </w:r>
      <w:r w:rsidR="006756D6" w:rsidRPr="00310363">
        <w:rPr>
          <w:lang w:val="lt-LT"/>
        </w:rPr>
        <w:t>ius draudimo veiklos skirstymus</w:t>
      </w:r>
      <w:r w:rsidRPr="00310363">
        <w:rPr>
          <w:lang w:val="lt-LT"/>
        </w:rPr>
        <w:t>:</w:t>
      </w:r>
    </w:p>
    <w:p w:rsidR="009803D7" w:rsidRPr="00310363" w:rsidRDefault="000F5AB5" w:rsidP="00310363">
      <w:pPr>
        <w:pStyle w:val="ListParagraph"/>
        <w:numPr>
          <w:ilvl w:val="0"/>
          <w:numId w:val="15"/>
        </w:numPr>
        <w:spacing w:line="360" w:lineRule="auto"/>
        <w:jc w:val="both"/>
        <w:rPr>
          <w:lang w:val="lt-LT"/>
        </w:rPr>
      </w:pPr>
      <w:r w:rsidRPr="00310363">
        <w:rPr>
          <w:lang w:val="lt-LT"/>
        </w:rPr>
        <w:t>Į draudimo šako</w:t>
      </w:r>
      <w:r w:rsidR="009803D7" w:rsidRPr="00310363">
        <w:rPr>
          <w:lang w:val="lt-LT"/>
        </w:rPr>
        <w:t>s bei gr</w:t>
      </w:r>
      <w:r w:rsidRPr="00310363">
        <w:rPr>
          <w:lang w:val="lt-LT"/>
        </w:rPr>
        <w:t>upė</w:t>
      </w:r>
      <w:r w:rsidR="00AD21AE" w:rsidRPr="00310363">
        <w:rPr>
          <w:lang w:val="lt-LT"/>
        </w:rPr>
        <w:t>s</w:t>
      </w:r>
      <w:r w:rsidR="009803D7" w:rsidRPr="00310363">
        <w:rPr>
          <w:lang w:val="lt-LT"/>
        </w:rPr>
        <w:t>: išskiriamos gyvybės ir ne gyvybės draudimo šakos, kiekviena šaka skirstoma į grupes. Tačiau grupių skirstymas pagal skirtingas direktyvas skiriasi;</w:t>
      </w:r>
    </w:p>
    <w:p w:rsidR="009803D7" w:rsidRPr="00310363" w:rsidRDefault="000F5AB5" w:rsidP="00310363">
      <w:pPr>
        <w:pStyle w:val="ListParagraph"/>
        <w:numPr>
          <w:ilvl w:val="0"/>
          <w:numId w:val="15"/>
        </w:numPr>
        <w:spacing w:line="360" w:lineRule="auto"/>
        <w:jc w:val="both"/>
        <w:rPr>
          <w:lang w:val="lt-LT"/>
        </w:rPr>
      </w:pPr>
      <w:r w:rsidRPr="00310363">
        <w:rPr>
          <w:lang w:val="lt-LT"/>
        </w:rPr>
        <w:t>Pagal draudžiamąjį objektą</w:t>
      </w:r>
      <w:r w:rsidR="009803D7" w:rsidRPr="00310363">
        <w:rPr>
          <w:lang w:val="lt-LT"/>
        </w:rPr>
        <w:t>: asmens draudimas, turto draudimas, finansinių nuostolių draudimas;</w:t>
      </w:r>
    </w:p>
    <w:p w:rsidR="009803D7" w:rsidRPr="00310363" w:rsidRDefault="000F5AB5" w:rsidP="00310363">
      <w:pPr>
        <w:pStyle w:val="ListParagraph"/>
        <w:numPr>
          <w:ilvl w:val="0"/>
          <w:numId w:val="15"/>
        </w:numPr>
        <w:spacing w:line="360" w:lineRule="auto"/>
        <w:jc w:val="both"/>
        <w:rPr>
          <w:lang w:val="lt-LT"/>
        </w:rPr>
      </w:pPr>
      <w:r w:rsidRPr="00310363">
        <w:rPr>
          <w:lang w:val="lt-LT"/>
        </w:rPr>
        <w:t>P</w:t>
      </w:r>
      <w:r w:rsidR="009803D7" w:rsidRPr="00310363">
        <w:rPr>
          <w:lang w:val="lt-LT"/>
        </w:rPr>
        <w:t>agal dra</w:t>
      </w:r>
      <w:r w:rsidR="00AD21AE" w:rsidRPr="00310363">
        <w:rPr>
          <w:lang w:val="lt-LT"/>
        </w:rPr>
        <w:t>udimo sutarties galiojimo laiką</w:t>
      </w:r>
      <w:r w:rsidRPr="00310363">
        <w:rPr>
          <w:lang w:val="lt-LT"/>
        </w:rPr>
        <w:t>:</w:t>
      </w:r>
      <w:r w:rsidR="009803D7" w:rsidRPr="00310363">
        <w:rPr>
          <w:lang w:val="lt-LT"/>
        </w:rPr>
        <w:t xml:space="preserve"> trumpalaikis arba ilgalaikis draudimas;</w:t>
      </w:r>
    </w:p>
    <w:p w:rsidR="009803D7" w:rsidRPr="00310363" w:rsidRDefault="000F5AB5" w:rsidP="00310363">
      <w:pPr>
        <w:pStyle w:val="ListParagraph"/>
        <w:numPr>
          <w:ilvl w:val="0"/>
          <w:numId w:val="15"/>
        </w:numPr>
        <w:spacing w:line="360" w:lineRule="auto"/>
        <w:jc w:val="both"/>
        <w:rPr>
          <w:lang w:val="lt-LT"/>
        </w:rPr>
      </w:pPr>
      <w:r w:rsidRPr="00310363">
        <w:rPr>
          <w:lang w:val="lt-LT"/>
        </w:rPr>
        <w:t>P</w:t>
      </w:r>
      <w:r w:rsidR="009803D7" w:rsidRPr="00310363">
        <w:rPr>
          <w:lang w:val="lt-LT"/>
        </w:rPr>
        <w:t>agal draudi</w:t>
      </w:r>
      <w:r w:rsidR="00AD21AE" w:rsidRPr="00310363">
        <w:rPr>
          <w:lang w:val="lt-LT"/>
        </w:rPr>
        <w:t>mo kompensacijos nustatymo būdą</w:t>
      </w:r>
      <w:r w:rsidR="009803D7" w:rsidRPr="00310363">
        <w:rPr>
          <w:lang w:val="lt-LT"/>
        </w:rPr>
        <w:t>: draudimas sumai ir nuostolių draudimas;</w:t>
      </w:r>
    </w:p>
    <w:p w:rsidR="009803D7" w:rsidRPr="00310363" w:rsidRDefault="000F5AB5" w:rsidP="00310363">
      <w:pPr>
        <w:pStyle w:val="ListParagraph"/>
        <w:numPr>
          <w:ilvl w:val="0"/>
          <w:numId w:val="15"/>
        </w:numPr>
        <w:spacing w:line="360" w:lineRule="auto"/>
        <w:jc w:val="both"/>
        <w:rPr>
          <w:lang w:val="lt-LT"/>
        </w:rPr>
      </w:pPr>
      <w:r w:rsidRPr="00310363">
        <w:rPr>
          <w:lang w:val="lt-LT"/>
        </w:rPr>
        <w:t>P</w:t>
      </w:r>
      <w:r w:rsidR="00AD21AE" w:rsidRPr="00310363">
        <w:rPr>
          <w:lang w:val="lt-LT"/>
        </w:rPr>
        <w:t>agal veiklos vykdytoją</w:t>
      </w:r>
      <w:r w:rsidR="009803D7" w:rsidRPr="00310363">
        <w:rPr>
          <w:lang w:val="lt-LT"/>
        </w:rPr>
        <w:t>: valstybinis ir privatus draudimas;</w:t>
      </w:r>
    </w:p>
    <w:p w:rsidR="009803D7" w:rsidRPr="00310363" w:rsidRDefault="000F5AB5" w:rsidP="00310363">
      <w:pPr>
        <w:pStyle w:val="ListParagraph"/>
        <w:numPr>
          <w:ilvl w:val="0"/>
          <w:numId w:val="15"/>
        </w:numPr>
        <w:spacing w:line="360" w:lineRule="auto"/>
        <w:jc w:val="both"/>
        <w:rPr>
          <w:lang w:val="lt-LT"/>
        </w:rPr>
      </w:pPr>
      <w:r w:rsidRPr="00310363">
        <w:rPr>
          <w:lang w:val="lt-LT"/>
        </w:rPr>
        <w:t xml:space="preserve">Pagal </w:t>
      </w:r>
      <w:r w:rsidR="009803D7" w:rsidRPr="00310363">
        <w:rPr>
          <w:lang w:val="lt-LT"/>
        </w:rPr>
        <w:t>viena sutar</w:t>
      </w:r>
      <w:r w:rsidR="00AD21AE" w:rsidRPr="00310363">
        <w:rPr>
          <w:lang w:val="lt-LT"/>
        </w:rPr>
        <w:t>timi draudžiamų objektų skaičių</w:t>
      </w:r>
      <w:r w:rsidR="009803D7" w:rsidRPr="00310363">
        <w:rPr>
          <w:lang w:val="lt-LT"/>
        </w:rPr>
        <w:t>: vienetinis ir kolektyvinis draudimas;</w:t>
      </w:r>
    </w:p>
    <w:p w:rsidR="009803D7" w:rsidRPr="00310363" w:rsidRDefault="009803D7" w:rsidP="00310363">
      <w:pPr>
        <w:pStyle w:val="ListParagraph"/>
        <w:numPr>
          <w:ilvl w:val="0"/>
          <w:numId w:val="15"/>
        </w:numPr>
        <w:spacing w:line="360" w:lineRule="auto"/>
        <w:jc w:val="both"/>
        <w:rPr>
          <w:lang w:val="lt-LT"/>
        </w:rPr>
      </w:pPr>
      <w:r w:rsidRPr="00310363">
        <w:rPr>
          <w:lang w:val="lt-LT"/>
        </w:rPr>
        <w:t>Skirstymas į savanorišką ir privalomą draudimą;</w:t>
      </w:r>
    </w:p>
    <w:p w:rsidR="009803D7" w:rsidRPr="00310363" w:rsidRDefault="000F5AB5" w:rsidP="00310363">
      <w:pPr>
        <w:pStyle w:val="ListParagraph"/>
        <w:numPr>
          <w:ilvl w:val="0"/>
          <w:numId w:val="15"/>
        </w:numPr>
        <w:spacing w:line="360" w:lineRule="auto"/>
        <w:jc w:val="both"/>
        <w:rPr>
          <w:lang w:val="lt-LT"/>
        </w:rPr>
      </w:pPr>
      <w:r w:rsidRPr="00310363">
        <w:rPr>
          <w:lang w:val="lt-LT"/>
        </w:rPr>
        <w:t xml:space="preserve">Pagal </w:t>
      </w:r>
      <w:r w:rsidR="009803D7" w:rsidRPr="00310363">
        <w:rPr>
          <w:lang w:val="lt-LT"/>
        </w:rPr>
        <w:t>draudžiamo objekto priklausomybę: nuosavas ir svetimas draudimas;</w:t>
      </w:r>
    </w:p>
    <w:p w:rsidR="000F5AB5" w:rsidRPr="00310363" w:rsidRDefault="009803D7" w:rsidP="00310363">
      <w:pPr>
        <w:spacing w:line="360" w:lineRule="auto"/>
        <w:ind w:left="360" w:firstLine="567"/>
        <w:jc w:val="both"/>
        <w:rPr>
          <w:lang w:val="lt-LT"/>
        </w:rPr>
      </w:pPr>
      <w:r w:rsidRPr="00310363">
        <w:rPr>
          <w:lang w:val="lt-LT"/>
        </w:rPr>
        <w:t xml:space="preserve">Lietuvos </w:t>
      </w:r>
      <w:r w:rsidR="00926EF1" w:rsidRPr="00310363">
        <w:rPr>
          <w:lang w:val="lt-LT"/>
        </w:rPr>
        <w:t xml:space="preserve">Respublikos </w:t>
      </w:r>
      <w:r w:rsidRPr="00310363">
        <w:rPr>
          <w:lang w:val="lt-LT"/>
        </w:rPr>
        <w:t xml:space="preserve">draudimo </w:t>
      </w:r>
      <w:r w:rsidR="00B54962" w:rsidRPr="00310363">
        <w:rPr>
          <w:lang w:val="lt-LT"/>
        </w:rPr>
        <w:t>įstatyme</w:t>
      </w:r>
      <w:r w:rsidRPr="00310363">
        <w:rPr>
          <w:lang w:val="lt-LT"/>
        </w:rPr>
        <w:t xml:space="preserve"> </w:t>
      </w:r>
      <w:r w:rsidR="00926EF1" w:rsidRPr="00310363">
        <w:rPr>
          <w:lang w:val="lt-LT"/>
        </w:rPr>
        <w:t>7</w:t>
      </w:r>
      <w:r w:rsidR="00B54962" w:rsidRPr="00310363">
        <w:rPr>
          <w:lang w:val="lt-LT"/>
        </w:rPr>
        <w:t xml:space="preserve"> straipsnyje yra </w:t>
      </w:r>
      <w:r w:rsidRPr="00310363">
        <w:rPr>
          <w:lang w:val="lt-LT"/>
        </w:rPr>
        <w:t xml:space="preserve">apibrėžtas draudimo veiklos skirstymas į šakas bei grupes Lietuvoje. </w:t>
      </w:r>
      <w:r w:rsidR="00B54962" w:rsidRPr="00310363">
        <w:rPr>
          <w:lang w:val="lt-LT"/>
        </w:rPr>
        <w:t>Šis skirstymas yra pateiktas 1.1. lentelėje.</w:t>
      </w:r>
    </w:p>
    <w:p w:rsidR="000F5AB5" w:rsidRPr="00310363" w:rsidRDefault="000F5AB5" w:rsidP="00310363">
      <w:pPr>
        <w:spacing w:line="360" w:lineRule="auto"/>
        <w:ind w:firstLine="567"/>
        <w:rPr>
          <w:lang w:val="lt-LT"/>
        </w:rPr>
      </w:pPr>
      <w:r w:rsidRPr="00310363">
        <w:rPr>
          <w:lang w:val="lt-LT"/>
        </w:rPr>
        <w:br w:type="page"/>
      </w:r>
    </w:p>
    <w:p w:rsidR="009803D7" w:rsidRPr="00303A5A" w:rsidRDefault="009803D7" w:rsidP="00AD21AE">
      <w:pPr>
        <w:spacing w:line="360" w:lineRule="auto"/>
        <w:ind w:left="360" w:firstLine="360"/>
        <w:jc w:val="both"/>
        <w:rPr>
          <w:lang w:val="lt-LT"/>
        </w:rPr>
      </w:pPr>
    </w:p>
    <w:p w:rsidR="009803D7" w:rsidRPr="000E483C" w:rsidRDefault="009803D7" w:rsidP="00CC4DA5">
      <w:pPr>
        <w:pStyle w:val="lentels"/>
      </w:pPr>
      <w:bookmarkStart w:id="19" w:name="_Toc309559969"/>
      <w:bookmarkStart w:id="20" w:name="_Toc310014779"/>
      <w:bookmarkStart w:id="21" w:name="_Toc311970988"/>
      <w:bookmarkStart w:id="22" w:name="_Toc311971818"/>
      <w:bookmarkStart w:id="23" w:name="_Toc311971874"/>
      <w:r w:rsidRPr="000E483C">
        <w:t>1.1 lentelė. Draudimo veiklos skirstymas Lietuvoje</w:t>
      </w:r>
      <w:bookmarkEnd w:id="19"/>
      <w:bookmarkEnd w:id="20"/>
      <w:bookmarkEnd w:id="21"/>
      <w:bookmarkEnd w:id="22"/>
      <w:bookmarkEnd w:id="23"/>
    </w:p>
    <w:tbl>
      <w:tblPr>
        <w:tblStyle w:val="TableGrid"/>
        <w:tblW w:w="0" w:type="auto"/>
        <w:jc w:val="center"/>
        <w:tblLook w:val="04A0"/>
      </w:tblPr>
      <w:tblGrid>
        <w:gridCol w:w="4428"/>
        <w:gridCol w:w="4428"/>
      </w:tblGrid>
      <w:tr w:rsidR="009803D7" w:rsidRPr="00303A5A" w:rsidTr="000E483C">
        <w:trPr>
          <w:jc w:val="center"/>
        </w:trPr>
        <w:tc>
          <w:tcPr>
            <w:tcW w:w="4428" w:type="dxa"/>
          </w:tcPr>
          <w:p w:rsidR="009803D7" w:rsidRPr="00303A5A" w:rsidRDefault="009803D7" w:rsidP="004C3AD6">
            <w:pPr>
              <w:pStyle w:val="statymopavad"/>
              <w:spacing w:after="80" w:afterAutospacing="0"/>
              <w:rPr>
                <w:lang w:val="lt-LT"/>
              </w:rPr>
            </w:pPr>
            <w:r w:rsidRPr="00303A5A">
              <w:rPr>
                <w:lang w:val="lt-LT"/>
              </w:rPr>
              <w:t>Ne gyvybės draudimas</w:t>
            </w:r>
          </w:p>
        </w:tc>
        <w:tc>
          <w:tcPr>
            <w:tcW w:w="4428" w:type="dxa"/>
          </w:tcPr>
          <w:p w:rsidR="009803D7" w:rsidRPr="00303A5A" w:rsidRDefault="009803D7" w:rsidP="004C3AD6">
            <w:pPr>
              <w:pStyle w:val="statymopavad"/>
              <w:spacing w:after="80" w:afterAutospacing="0"/>
              <w:rPr>
                <w:lang w:val="lt-LT"/>
              </w:rPr>
            </w:pPr>
            <w:r w:rsidRPr="00303A5A">
              <w:rPr>
                <w:lang w:val="lt-LT"/>
              </w:rPr>
              <w:t>Gyvybės draudimas</w:t>
            </w:r>
          </w:p>
        </w:tc>
      </w:tr>
      <w:tr w:rsidR="009803D7" w:rsidRPr="00303A5A" w:rsidTr="000E483C">
        <w:trPr>
          <w:jc w:val="center"/>
        </w:trPr>
        <w:tc>
          <w:tcPr>
            <w:tcW w:w="4428" w:type="dxa"/>
          </w:tcPr>
          <w:p w:rsidR="009803D7" w:rsidRPr="00303A5A" w:rsidRDefault="009803D7" w:rsidP="004C3AD6">
            <w:pPr>
              <w:rPr>
                <w:b/>
                <w:lang w:val="lt-LT"/>
              </w:rPr>
            </w:pPr>
            <w:r w:rsidRPr="00303A5A">
              <w:rPr>
                <w:lang w:val="lt-LT"/>
              </w:rPr>
              <w:t>1) draudimas nuo nelaimingų atsitikimų;</w:t>
            </w:r>
          </w:p>
          <w:p w:rsidR="009803D7" w:rsidRPr="00303A5A" w:rsidRDefault="009803D7" w:rsidP="004C3AD6">
            <w:pPr>
              <w:rPr>
                <w:b/>
                <w:lang w:val="lt-LT"/>
              </w:rPr>
            </w:pPr>
            <w:r w:rsidRPr="00303A5A">
              <w:rPr>
                <w:lang w:val="lt-LT"/>
              </w:rPr>
              <w:t>2) draudimas ligos atvejui;</w:t>
            </w:r>
          </w:p>
          <w:p w:rsidR="009803D7" w:rsidRPr="00303A5A" w:rsidRDefault="009803D7" w:rsidP="004C3AD6">
            <w:pPr>
              <w:rPr>
                <w:b/>
                <w:lang w:val="lt-LT"/>
              </w:rPr>
            </w:pPr>
            <w:r w:rsidRPr="00303A5A">
              <w:rPr>
                <w:lang w:val="lt-LT"/>
              </w:rPr>
              <w:t>3) sausumos transporto priemonių, išskyrus geležinkelio transporto priemones, draudimas;</w:t>
            </w:r>
          </w:p>
          <w:p w:rsidR="009803D7" w:rsidRPr="00303A5A" w:rsidRDefault="009803D7" w:rsidP="004C3AD6">
            <w:pPr>
              <w:rPr>
                <w:b/>
                <w:lang w:val="lt-LT"/>
              </w:rPr>
            </w:pPr>
            <w:r w:rsidRPr="00303A5A">
              <w:rPr>
                <w:lang w:val="lt-LT"/>
              </w:rPr>
              <w:t>4) geležinkelio transporto priemonių draudimas;</w:t>
            </w:r>
          </w:p>
          <w:p w:rsidR="009803D7" w:rsidRPr="00303A5A" w:rsidRDefault="009803D7" w:rsidP="004C3AD6">
            <w:pPr>
              <w:rPr>
                <w:b/>
                <w:lang w:val="lt-LT"/>
              </w:rPr>
            </w:pPr>
            <w:r w:rsidRPr="00303A5A">
              <w:rPr>
                <w:lang w:val="lt-LT"/>
              </w:rPr>
              <w:t>5) skraidymo aparatų draudimas;</w:t>
            </w:r>
          </w:p>
          <w:p w:rsidR="009803D7" w:rsidRPr="00303A5A" w:rsidRDefault="009803D7" w:rsidP="004C3AD6">
            <w:pPr>
              <w:rPr>
                <w:b/>
                <w:lang w:val="lt-LT"/>
              </w:rPr>
            </w:pPr>
            <w:r w:rsidRPr="00303A5A">
              <w:rPr>
                <w:lang w:val="lt-LT"/>
              </w:rPr>
              <w:t>6) laivų (jūrų ir vidaus vandenų) draudimas;</w:t>
            </w:r>
          </w:p>
          <w:p w:rsidR="009803D7" w:rsidRPr="00303A5A" w:rsidRDefault="009803D7" w:rsidP="004C3AD6">
            <w:pPr>
              <w:rPr>
                <w:b/>
                <w:lang w:val="lt-LT"/>
              </w:rPr>
            </w:pPr>
            <w:r w:rsidRPr="00303A5A">
              <w:rPr>
                <w:lang w:val="lt-LT"/>
              </w:rPr>
              <w:t>7) vežamų krovinių draudimas;</w:t>
            </w:r>
          </w:p>
          <w:p w:rsidR="009803D7" w:rsidRPr="00303A5A" w:rsidRDefault="009803D7" w:rsidP="004C3AD6">
            <w:pPr>
              <w:rPr>
                <w:b/>
                <w:lang w:val="lt-LT"/>
              </w:rPr>
            </w:pPr>
            <w:r w:rsidRPr="00303A5A">
              <w:rPr>
                <w:lang w:val="lt-LT"/>
              </w:rPr>
              <w:t>8) turto (išskyrus šios dalies 3–7 punktus) draudimas nuo gaisro ar gamtinių jėgų;</w:t>
            </w:r>
          </w:p>
          <w:p w:rsidR="009803D7" w:rsidRPr="00303A5A" w:rsidRDefault="009803D7" w:rsidP="004C3AD6">
            <w:pPr>
              <w:rPr>
                <w:b/>
                <w:lang w:val="lt-LT"/>
              </w:rPr>
            </w:pPr>
            <w:r w:rsidRPr="00303A5A">
              <w:rPr>
                <w:lang w:val="lt-LT"/>
              </w:rPr>
              <w:t>9) turto draudimas nuo kitų rizikų (išskyrus šios dalies 8 punktą);</w:t>
            </w:r>
          </w:p>
          <w:p w:rsidR="009803D7" w:rsidRPr="00303A5A" w:rsidRDefault="009803D7" w:rsidP="004C3AD6">
            <w:pPr>
              <w:rPr>
                <w:b/>
                <w:lang w:val="lt-LT"/>
              </w:rPr>
            </w:pPr>
            <w:r w:rsidRPr="00303A5A">
              <w:rPr>
                <w:lang w:val="lt-LT"/>
              </w:rPr>
              <w:t>10) su sausumos transporto priemonių valdymu susijusios civilinės atsakomybės draudimas;</w:t>
            </w:r>
          </w:p>
          <w:p w:rsidR="009803D7" w:rsidRPr="00303A5A" w:rsidRDefault="009803D7" w:rsidP="004C3AD6">
            <w:pPr>
              <w:rPr>
                <w:b/>
                <w:lang w:val="lt-LT"/>
              </w:rPr>
            </w:pPr>
            <w:r w:rsidRPr="00303A5A">
              <w:rPr>
                <w:lang w:val="lt-LT"/>
              </w:rPr>
              <w:t>11) su skraidymo aparatų valdymu susijusios civilinės atsakomybės draudimas;</w:t>
            </w:r>
          </w:p>
          <w:p w:rsidR="009803D7" w:rsidRPr="00303A5A" w:rsidRDefault="009803D7" w:rsidP="004C3AD6">
            <w:pPr>
              <w:rPr>
                <w:b/>
                <w:lang w:val="lt-LT"/>
              </w:rPr>
            </w:pPr>
            <w:r w:rsidRPr="00303A5A">
              <w:rPr>
                <w:lang w:val="lt-LT"/>
              </w:rPr>
              <w:t>12) su laivų (jūrų ir vidaus vandenų) valdymu susijusios civilinės atsakomybės draudimas;</w:t>
            </w:r>
          </w:p>
          <w:p w:rsidR="009803D7" w:rsidRPr="00303A5A" w:rsidRDefault="009803D7" w:rsidP="004C3AD6">
            <w:pPr>
              <w:rPr>
                <w:b/>
                <w:lang w:val="lt-LT"/>
              </w:rPr>
            </w:pPr>
            <w:r w:rsidRPr="00303A5A">
              <w:rPr>
                <w:lang w:val="lt-LT"/>
              </w:rPr>
              <w:t>13) bendrosios civilinės atsakomybės draudimas;</w:t>
            </w:r>
          </w:p>
          <w:p w:rsidR="009803D7" w:rsidRPr="00303A5A" w:rsidRDefault="009803D7" w:rsidP="004C3AD6">
            <w:pPr>
              <w:rPr>
                <w:b/>
                <w:lang w:val="lt-LT"/>
              </w:rPr>
            </w:pPr>
            <w:r w:rsidRPr="00303A5A">
              <w:rPr>
                <w:lang w:val="lt-LT"/>
              </w:rPr>
              <w:t>14) kredito draudimas;</w:t>
            </w:r>
          </w:p>
          <w:p w:rsidR="009803D7" w:rsidRPr="00303A5A" w:rsidRDefault="009803D7" w:rsidP="004C3AD6">
            <w:pPr>
              <w:rPr>
                <w:b/>
                <w:lang w:val="lt-LT"/>
              </w:rPr>
            </w:pPr>
            <w:r w:rsidRPr="00303A5A">
              <w:rPr>
                <w:lang w:val="lt-LT"/>
              </w:rPr>
              <w:t>15) laidavimo draudimas;</w:t>
            </w:r>
          </w:p>
          <w:p w:rsidR="009803D7" w:rsidRPr="00303A5A" w:rsidRDefault="009803D7" w:rsidP="004C3AD6">
            <w:pPr>
              <w:rPr>
                <w:b/>
                <w:lang w:val="lt-LT"/>
              </w:rPr>
            </w:pPr>
            <w:r w:rsidRPr="00303A5A">
              <w:rPr>
                <w:lang w:val="lt-LT"/>
              </w:rPr>
              <w:t>16) finansinių nuostolių draudimas;</w:t>
            </w:r>
          </w:p>
          <w:p w:rsidR="009803D7" w:rsidRPr="00303A5A" w:rsidRDefault="009803D7" w:rsidP="004C3AD6">
            <w:pPr>
              <w:rPr>
                <w:b/>
                <w:lang w:val="lt-LT"/>
              </w:rPr>
            </w:pPr>
            <w:r w:rsidRPr="00303A5A">
              <w:rPr>
                <w:lang w:val="lt-LT"/>
              </w:rPr>
              <w:t>17) teisinių išlaidų draudimas;</w:t>
            </w:r>
          </w:p>
          <w:p w:rsidR="009803D7" w:rsidRPr="00303A5A" w:rsidRDefault="009803D7" w:rsidP="004C3AD6">
            <w:pPr>
              <w:rPr>
                <w:b/>
                <w:lang w:val="lt-LT"/>
              </w:rPr>
            </w:pPr>
            <w:r w:rsidRPr="00303A5A">
              <w:rPr>
                <w:lang w:val="lt-LT"/>
              </w:rPr>
              <w:t>18) pagalbos draudimas.</w:t>
            </w:r>
          </w:p>
          <w:p w:rsidR="009803D7" w:rsidRPr="00303A5A" w:rsidRDefault="009803D7" w:rsidP="004C3AD6">
            <w:pPr>
              <w:pStyle w:val="statymopavad"/>
              <w:spacing w:after="80" w:afterAutospacing="0"/>
              <w:rPr>
                <w:lang w:val="lt-LT"/>
              </w:rPr>
            </w:pPr>
          </w:p>
        </w:tc>
        <w:tc>
          <w:tcPr>
            <w:tcW w:w="4428" w:type="dxa"/>
          </w:tcPr>
          <w:p w:rsidR="009803D7" w:rsidRPr="00303A5A" w:rsidRDefault="009803D7" w:rsidP="004C3AD6">
            <w:pPr>
              <w:jc w:val="both"/>
              <w:rPr>
                <w:lang w:val="lt-LT"/>
              </w:rPr>
            </w:pPr>
            <w:r w:rsidRPr="00303A5A">
              <w:rPr>
                <w:lang w:val="lt-LT"/>
              </w:rPr>
              <w:t>1) gyvybės draudimas, kiek nenumatyta šios dalies 2–5 punktuose;</w:t>
            </w:r>
          </w:p>
          <w:p w:rsidR="009803D7" w:rsidRPr="00303A5A" w:rsidRDefault="009803D7" w:rsidP="004C3AD6">
            <w:pPr>
              <w:jc w:val="both"/>
              <w:rPr>
                <w:lang w:val="lt-LT"/>
              </w:rPr>
            </w:pPr>
            <w:r w:rsidRPr="00303A5A">
              <w:rPr>
                <w:lang w:val="lt-LT"/>
              </w:rPr>
              <w:t>2) sutuoktuvių ir gimimų draudimas;</w:t>
            </w:r>
          </w:p>
          <w:p w:rsidR="009803D7" w:rsidRPr="00303A5A" w:rsidRDefault="009803D7" w:rsidP="004C3AD6">
            <w:pPr>
              <w:jc w:val="both"/>
              <w:rPr>
                <w:lang w:val="lt-LT"/>
              </w:rPr>
            </w:pPr>
            <w:r w:rsidRPr="00303A5A">
              <w:rPr>
                <w:lang w:val="lt-LT"/>
              </w:rPr>
              <w:t>3) gyvybės draudimas, susijęs su investiciniais fondais (kai investavimo rizika tenka draudėjui);</w:t>
            </w:r>
          </w:p>
          <w:p w:rsidR="009803D7" w:rsidRPr="00303A5A" w:rsidRDefault="009803D7" w:rsidP="004C3AD6">
            <w:pPr>
              <w:jc w:val="both"/>
              <w:rPr>
                <w:lang w:val="lt-LT"/>
              </w:rPr>
            </w:pPr>
            <w:r w:rsidRPr="00303A5A">
              <w:rPr>
                <w:lang w:val="lt-LT"/>
              </w:rPr>
              <w:t>4) tontinos;</w:t>
            </w:r>
          </w:p>
          <w:p w:rsidR="009803D7" w:rsidRPr="00303A5A" w:rsidRDefault="009803D7" w:rsidP="004C3AD6">
            <w:pPr>
              <w:jc w:val="both"/>
              <w:rPr>
                <w:lang w:val="lt-LT"/>
              </w:rPr>
            </w:pPr>
            <w:r w:rsidRPr="00303A5A">
              <w:rPr>
                <w:lang w:val="lt-LT"/>
              </w:rPr>
              <w:t>5) pensijų kaupimo veikla.</w:t>
            </w:r>
          </w:p>
          <w:p w:rsidR="009803D7" w:rsidRPr="00303A5A" w:rsidRDefault="009803D7" w:rsidP="004C3AD6">
            <w:pPr>
              <w:pStyle w:val="statymopavad"/>
              <w:spacing w:after="80" w:afterAutospacing="0"/>
              <w:rPr>
                <w:lang w:val="lt-LT"/>
              </w:rPr>
            </w:pPr>
          </w:p>
        </w:tc>
      </w:tr>
    </w:tbl>
    <w:p w:rsidR="009803D7" w:rsidRPr="000E483C" w:rsidRDefault="00926EF1" w:rsidP="009803D7">
      <w:pPr>
        <w:pStyle w:val="statymopavad"/>
        <w:spacing w:after="80" w:afterAutospacing="0"/>
        <w:rPr>
          <w:rStyle w:val="statymonr"/>
          <w:sz w:val="20"/>
          <w:szCs w:val="20"/>
          <w:lang w:val="lt-LT"/>
        </w:rPr>
      </w:pPr>
      <w:r>
        <w:rPr>
          <w:sz w:val="20"/>
          <w:szCs w:val="20"/>
          <w:lang w:val="lt-LT"/>
        </w:rPr>
        <w:t>Šaltinis</w:t>
      </w:r>
      <w:r w:rsidR="006756D6">
        <w:rPr>
          <w:sz w:val="20"/>
          <w:szCs w:val="20"/>
          <w:lang w:val="lt-LT"/>
        </w:rPr>
        <w:t>:</w:t>
      </w:r>
      <w:r>
        <w:rPr>
          <w:sz w:val="20"/>
          <w:szCs w:val="20"/>
          <w:lang w:val="lt-LT"/>
        </w:rPr>
        <w:t xml:space="preserve"> Lietuvos R</w:t>
      </w:r>
      <w:r w:rsidR="009803D7" w:rsidRPr="000E483C">
        <w:rPr>
          <w:sz w:val="20"/>
          <w:szCs w:val="20"/>
          <w:lang w:val="lt-LT"/>
        </w:rPr>
        <w:t xml:space="preserve">espublikos draudimo įstatymas </w:t>
      </w:r>
      <w:bookmarkStart w:id="24" w:name="data_metai"/>
      <w:bookmarkEnd w:id="24"/>
      <w:r w:rsidR="009803D7" w:rsidRPr="000E483C">
        <w:rPr>
          <w:rStyle w:val="datametai"/>
          <w:sz w:val="20"/>
          <w:szCs w:val="20"/>
          <w:lang w:val="lt-LT"/>
        </w:rPr>
        <w:t>2003</w:t>
      </w:r>
      <w:r w:rsidR="009803D7" w:rsidRPr="000E483C">
        <w:rPr>
          <w:sz w:val="20"/>
          <w:szCs w:val="20"/>
          <w:lang w:val="lt-LT"/>
        </w:rPr>
        <w:t xml:space="preserve"> m. </w:t>
      </w:r>
      <w:bookmarkStart w:id="25" w:name="data_menuo"/>
      <w:bookmarkEnd w:id="25"/>
      <w:r w:rsidR="009803D7" w:rsidRPr="000E483C">
        <w:rPr>
          <w:rStyle w:val="datamnuo"/>
          <w:sz w:val="20"/>
          <w:szCs w:val="20"/>
          <w:lang w:val="lt-LT"/>
        </w:rPr>
        <w:t>rugsėjo</w:t>
      </w:r>
      <w:r w:rsidR="009803D7" w:rsidRPr="000E483C">
        <w:rPr>
          <w:sz w:val="20"/>
          <w:szCs w:val="20"/>
          <w:lang w:val="lt-LT"/>
        </w:rPr>
        <w:t xml:space="preserve"> </w:t>
      </w:r>
      <w:bookmarkStart w:id="26" w:name="data_diena"/>
      <w:bookmarkEnd w:id="26"/>
      <w:r w:rsidR="009803D7" w:rsidRPr="000E483C">
        <w:rPr>
          <w:rStyle w:val="datadiena"/>
          <w:sz w:val="20"/>
          <w:szCs w:val="20"/>
          <w:lang w:val="lt-LT"/>
        </w:rPr>
        <w:t>18</w:t>
      </w:r>
      <w:r w:rsidR="009803D7" w:rsidRPr="000E483C">
        <w:rPr>
          <w:sz w:val="20"/>
          <w:szCs w:val="20"/>
          <w:lang w:val="lt-LT"/>
        </w:rPr>
        <w:t xml:space="preserve"> d. Nr. </w:t>
      </w:r>
      <w:bookmarkStart w:id="27" w:name="dok_nr"/>
      <w:bookmarkEnd w:id="27"/>
      <w:r w:rsidR="009803D7" w:rsidRPr="000E483C">
        <w:rPr>
          <w:rStyle w:val="statymonr"/>
          <w:sz w:val="20"/>
          <w:szCs w:val="20"/>
          <w:lang w:val="lt-LT"/>
        </w:rPr>
        <w:t>IX-1737</w:t>
      </w:r>
    </w:p>
    <w:p w:rsidR="00AD21AE" w:rsidRDefault="00AD21AE">
      <w:pPr>
        <w:rPr>
          <w:rStyle w:val="statymonr"/>
          <w:color w:val="000000" w:themeColor="text1"/>
          <w:lang w:val="lt-LT"/>
        </w:rPr>
      </w:pPr>
    </w:p>
    <w:p w:rsidR="00835E7C" w:rsidRDefault="00835E7C">
      <w:pPr>
        <w:rPr>
          <w:rStyle w:val="statymonr"/>
          <w:rFonts w:eastAsiaTheme="majorEastAsia" w:cstheme="majorBidi"/>
          <w:b/>
          <w:bCs/>
          <w:color w:val="000000" w:themeColor="text1"/>
          <w:szCs w:val="26"/>
          <w:lang w:val="lt-LT"/>
        </w:rPr>
      </w:pPr>
    </w:p>
    <w:p w:rsidR="00A60CE6" w:rsidRPr="004C0E5F" w:rsidRDefault="009803D7" w:rsidP="004C0E5F">
      <w:pPr>
        <w:pStyle w:val="Style1-h2"/>
        <w:rPr>
          <w:color w:val="000000" w:themeColor="text1"/>
        </w:rPr>
      </w:pPr>
      <w:bookmarkStart w:id="28" w:name="_Toc311971355"/>
      <w:bookmarkStart w:id="29" w:name="_Toc311971544"/>
      <w:bookmarkStart w:id="30" w:name="_Toc311971690"/>
      <w:r w:rsidRPr="00303A5A">
        <w:rPr>
          <w:rStyle w:val="statymonr"/>
          <w:color w:val="000000" w:themeColor="text1"/>
        </w:rPr>
        <w:t>1.3. Ne gyvybės draudimas</w:t>
      </w:r>
      <w:bookmarkEnd w:id="28"/>
      <w:bookmarkEnd w:id="29"/>
      <w:bookmarkEnd w:id="30"/>
    </w:p>
    <w:p w:rsidR="009803D7" w:rsidRPr="00303A5A" w:rsidRDefault="009803D7" w:rsidP="00310363">
      <w:pPr>
        <w:autoSpaceDE w:val="0"/>
        <w:autoSpaceDN w:val="0"/>
        <w:adjustRightInd w:val="0"/>
        <w:spacing w:line="360" w:lineRule="auto"/>
        <w:ind w:firstLine="567"/>
        <w:jc w:val="both"/>
        <w:rPr>
          <w:lang w:val="lt-LT"/>
        </w:rPr>
      </w:pPr>
      <w:r w:rsidRPr="00303A5A">
        <w:rPr>
          <w:lang w:val="lt-LT"/>
        </w:rPr>
        <w:t xml:space="preserve">1996 metais liepos 10 d. Lietuvoje buvo priimtas Lietuvos Respublikos draudimo įstatymas, kuriame buvo įteisintas straipsnis numatantis, kad viena draudimo bendrovė negali teikit draudimo paslaugų priskirtų abiems draudimo šakoms. Nuo to laiko </w:t>
      </w:r>
      <w:r w:rsidR="00926EF1">
        <w:rPr>
          <w:lang w:val="lt-LT"/>
        </w:rPr>
        <w:t xml:space="preserve">Lietuvoje </w:t>
      </w:r>
      <w:r w:rsidRPr="00303A5A">
        <w:rPr>
          <w:lang w:val="lt-LT"/>
        </w:rPr>
        <w:t>pradėjo plėtotis ne gyvybės draudimas – atskira draudimo šaka.</w:t>
      </w:r>
    </w:p>
    <w:p w:rsidR="009803D7" w:rsidRPr="00303A5A" w:rsidRDefault="00926EF1" w:rsidP="00310363">
      <w:pPr>
        <w:autoSpaceDE w:val="0"/>
        <w:autoSpaceDN w:val="0"/>
        <w:adjustRightInd w:val="0"/>
        <w:spacing w:line="360" w:lineRule="auto"/>
        <w:ind w:firstLine="567"/>
        <w:jc w:val="both"/>
        <w:rPr>
          <w:lang w:val="lt-LT"/>
        </w:rPr>
      </w:pPr>
      <w:r w:rsidRPr="0009404B">
        <w:rPr>
          <w:lang w:val="lt-LT"/>
        </w:rPr>
        <w:lastRenderedPageBreak/>
        <w:t>Anot</w:t>
      </w:r>
      <w:r w:rsidR="009803D7" w:rsidRPr="0009404B">
        <w:rPr>
          <w:lang w:val="lt-LT"/>
        </w:rPr>
        <w:t xml:space="preserve"> Girdzijausko (</w:t>
      </w:r>
      <w:r w:rsidR="0009404B">
        <w:rPr>
          <w:lang w:val="lt-LT"/>
        </w:rPr>
        <w:t>2002</w:t>
      </w:r>
      <w:r w:rsidR="009803D7" w:rsidRPr="0009404B">
        <w:rPr>
          <w:lang w:val="lt-LT"/>
        </w:rPr>
        <w:t>),</w:t>
      </w:r>
      <w:r w:rsidR="009803D7" w:rsidRPr="00303A5A">
        <w:rPr>
          <w:lang w:val="lt-LT"/>
        </w:rPr>
        <w:t xml:space="preserve"> ne gyvybės draudimu vadinama dėl draudiminio įvykio ir įstatymo ar sutarties pagrindu atsiradusi finansinė ūkinė veikla, ginanti ūkio subjektų ir piliečių turtinius interesus. Šių interesų gynimas pagrįstas piniginiais fondais, sudarytais iš tų ūkio subjektų ir piliečių (draudėjų) sumokėtų draudimo įmokų. Naudojamas terminas “ne gyvybės draudimas” susilaukia kritikos iš kai kurių Lietuvos draudimo specialistų, tačiau geresnio pavadinimo šiai draudiminei šakai nėra pasiūloma. Dėl šios priežasties nėra vieno apibrėžimo, kuris apimtų visus šios draudimo šakos paslaugų grupes. </w:t>
      </w:r>
    </w:p>
    <w:p w:rsidR="009803D7" w:rsidRPr="00303A5A" w:rsidRDefault="009803D7" w:rsidP="00310363">
      <w:pPr>
        <w:autoSpaceDE w:val="0"/>
        <w:autoSpaceDN w:val="0"/>
        <w:adjustRightInd w:val="0"/>
        <w:spacing w:line="360" w:lineRule="auto"/>
        <w:ind w:firstLine="567"/>
        <w:jc w:val="both"/>
        <w:rPr>
          <w:lang w:val="lt-LT"/>
        </w:rPr>
      </w:pPr>
      <w:r w:rsidRPr="00303A5A">
        <w:rPr>
          <w:lang w:val="lt-LT"/>
        </w:rPr>
        <w:t xml:space="preserve"> Užsienio autorių literatūroje galima rasti įvairių ne gyvybės draudimą apibrėžiančių sąvokų: ne gyvybės draudimas vadinamas “bendruoju draudimu”, “turto draudimu”, “trumpo laikotarpio draudimo veikla”. Sąvoka “bendrasis draudimas” atspindi tą įvairovę skirtingų draudimo rūšių, kurios sudaro ne gyvybės draudimo paslaugų visumą. Tačiau Lietuvoje ši sąvoka nevartotina šia prasme, nes Lietuvos Respublikos draudimo įstatyme bendrasis draudimas yra apibūdinamas kaip kelių draudimo įmonių tarpusavio susitarimas bendrai suteikti draudimo apsaugą vienam ir tam pačiam draudimo objektui nuo tos pačios rizikos</w:t>
      </w:r>
    </w:p>
    <w:p w:rsidR="009803D7" w:rsidRPr="00303A5A" w:rsidRDefault="00793542" w:rsidP="00310363">
      <w:pPr>
        <w:autoSpaceDE w:val="0"/>
        <w:autoSpaceDN w:val="0"/>
        <w:adjustRightInd w:val="0"/>
        <w:spacing w:line="360" w:lineRule="auto"/>
        <w:ind w:firstLine="567"/>
        <w:jc w:val="both"/>
        <w:rPr>
          <w:lang w:val="lt-LT"/>
        </w:rPr>
      </w:pPr>
      <w:r>
        <w:rPr>
          <w:lang w:val="lt-LT"/>
        </w:rPr>
        <w:t>Čepinsko ir kt.</w:t>
      </w:r>
      <w:r w:rsidR="00006084">
        <w:rPr>
          <w:lang w:val="lt-LT"/>
        </w:rPr>
        <w:t xml:space="preserve"> (1999) teigimu, </w:t>
      </w:r>
      <w:r w:rsidR="009803D7" w:rsidRPr="00303A5A">
        <w:rPr>
          <w:lang w:val="lt-LT"/>
        </w:rPr>
        <w:t xml:space="preserve">ne gyvybės draudimo šakai priklausančių rizikų draudimas, neskaitant keleto išimčių, yra draudimas nuo draudėjų turtui ar jų sveikatai gresiančių pavojų. </w:t>
      </w:r>
    </w:p>
    <w:p w:rsidR="009803D7" w:rsidRDefault="009803D7" w:rsidP="00310363">
      <w:pPr>
        <w:autoSpaceDE w:val="0"/>
        <w:autoSpaceDN w:val="0"/>
        <w:adjustRightInd w:val="0"/>
        <w:spacing w:line="360" w:lineRule="auto"/>
        <w:ind w:firstLine="567"/>
        <w:jc w:val="both"/>
        <w:rPr>
          <w:lang w:val="lt-LT"/>
        </w:rPr>
      </w:pPr>
      <w:r w:rsidRPr="00303A5A">
        <w:rPr>
          <w:lang w:val="lt-LT"/>
        </w:rPr>
        <w:t>Lezgovko (2010) nurodo, kad svarbiausiu ne gyvybės draudimo veiklos klasifikavimo faktoriumi galima laikyti draudžiamąjį objektą, kurį pagal ne gyvybės draudimą galimą skirtyti į asmens, turto ir finansinių nuostolių bei atsakomybės draudimą.</w:t>
      </w:r>
      <w:r w:rsidR="00006084">
        <w:rPr>
          <w:lang w:val="lt-LT"/>
        </w:rPr>
        <w:t xml:space="preserve"> Skirstymas pateiktas </w:t>
      </w:r>
      <w:r w:rsidRPr="00303A5A">
        <w:rPr>
          <w:lang w:val="lt-LT"/>
        </w:rPr>
        <w:t>1.2. lentelė</w:t>
      </w:r>
      <w:r w:rsidR="00006084">
        <w:rPr>
          <w:lang w:val="lt-LT"/>
        </w:rPr>
        <w:t>je.</w:t>
      </w:r>
    </w:p>
    <w:p w:rsidR="00835E7C" w:rsidRDefault="003911D5" w:rsidP="00310363">
      <w:pPr>
        <w:autoSpaceDE w:val="0"/>
        <w:autoSpaceDN w:val="0"/>
        <w:adjustRightInd w:val="0"/>
        <w:spacing w:line="360" w:lineRule="auto"/>
        <w:ind w:firstLine="567"/>
        <w:jc w:val="both"/>
        <w:rPr>
          <w:lang w:val="lt-LT"/>
        </w:rPr>
      </w:pPr>
      <w:r w:rsidRPr="00303A5A">
        <w:rPr>
          <w:lang w:val="lt-LT"/>
        </w:rPr>
        <w:t xml:space="preserve">Įvairių draudimo rūšių produktai, skirtingai veikiantys ekonomiką, siūlo apsisaugoti nuo plataus spektro rizikų, kurios gali paveikti namų ūkius arba įmones. </w:t>
      </w:r>
      <w:r>
        <w:rPr>
          <w:lang w:val="lt-LT"/>
        </w:rPr>
        <w:t>Magistro baigiamajame</w:t>
      </w:r>
      <w:r w:rsidRPr="00303A5A">
        <w:rPr>
          <w:lang w:val="lt-LT"/>
        </w:rPr>
        <w:t xml:space="preserve"> darbe dėmesys skiriamas ne gyvybės draudimo rūšims, nes jos palengvina ekonominį gyvenimą dėl rizikos perkėlimo bei žalų išmokėjimo bei skatina finansinį tarpininkavimą. </w:t>
      </w:r>
      <w:r w:rsidR="000F5AB5">
        <w:rPr>
          <w:lang w:val="lt-LT"/>
        </w:rPr>
        <w:t>Pavyzdžiui, dideli nuostoliai st</w:t>
      </w:r>
      <w:r w:rsidRPr="00303A5A">
        <w:rPr>
          <w:lang w:val="lt-LT"/>
        </w:rPr>
        <w:t>ambiose kompanijose gali sumažinti ekonominį augimą. Dažniausiai tokios kompanijos būna pagrindiniai klientai ne gyvybės draudime ir greitas žalų atlyginimas padeda kompanijoms greitai atstatyti jų produktyvumą. Čia minima ne tik turto draudimas, bet ne gyvybės draudimo šakai priklausantis verslo nutrūkimo draudimas, kur dažniausiai nuostoliai siekia milijoną litų ir daugiau.</w:t>
      </w:r>
      <w:r>
        <w:rPr>
          <w:lang w:val="lt-LT"/>
        </w:rPr>
        <w:t xml:space="preserve"> Darbe bus analizuojami didžiąją dalį ne gyvybės draudimo rinkos užimantys produktai: turto draudimas, transporto priemonių (kasko) draudimas, transporto priemonių valdytojų civilinės atsakomybės draudimas (TPVCAD).</w:t>
      </w:r>
    </w:p>
    <w:p w:rsidR="00835E7C" w:rsidRDefault="00835E7C">
      <w:pPr>
        <w:rPr>
          <w:lang w:val="lt-LT"/>
        </w:rPr>
      </w:pPr>
      <w:r>
        <w:rPr>
          <w:lang w:val="lt-LT"/>
        </w:rPr>
        <w:br w:type="page"/>
      </w:r>
    </w:p>
    <w:p w:rsidR="003911D5" w:rsidRPr="00303A5A" w:rsidRDefault="003911D5" w:rsidP="003911D5">
      <w:pPr>
        <w:autoSpaceDE w:val="0"/>
        <w:autoSpaceDN w:val="0"/>
        <w:adjustRightInd w:val="0"/>
        <w:spacing w:line="360" w:lineRule="auto"/>
        <w:ind w:firstLine="720"/>
        <w:jc w:val="both"/>
        <w:rPr>
          <w:lang w:val="lt-LT"/>
        </w:rPr>
      </w:pPr>
    </w:p>
    <w:p w:rsidR="000E483C" w:rsidRPr="000E483C" w:rsidRDefault="000E483C" w:rsidP="00CC4DA5">
      <w:pPr>
        <w:pStyle w:val="lentels"/>
      </w:pPr>
      <w:bookmarkStart w:id="31" w:name="_Toc309559970"/>
      <w:bookmarkStart w:id="32" w:name="_Toc310014780"/>
      <w:bookmarkStart w:id="33" w:name="_Toc311970989"/>
      <w:bookmarkStart w:id="34" w:name="_Toc311971819"/>
      <w:bookmarkStart w:id="35" w:name="_Toc311971875"/>
      <w:r w:rsidRPr="000E483C">
        <w:rPr>
          <w:rStyle w:val="statymonr"/>
        </w:rPr>
        <w:t xml:space="preserve">1.2. </w:t>
      </w:r>
      <w:r w:rsidR="00A4245B">
        <w:rPr>
          <w:rStyle w:val="statymonr"/>
        </w:rPr>
        <w:t>l</w:t>
      </w:r>
      <w:r w:rsidR="009803D7" w:rsidRPr="000E483C">
        <w:rPr>
          <w:rStyle w:val="statymonr"/>
        </w:rPr>
        <w:t>entelė. Ne gyvybės draudimo produktai</w:t>
      </w:r>
      <w:bookmarkEnd w:id="31"/>
      <w:bookmarkEnd w:id="32"/>
      <w:bookmarkEnd w:id="33"/>
      <w:bookmarkEnd w:id="34"/>
      <w:bookmarkEnd w:id="35"/>
    </w:p>
    <w:tbl>
      <w:tblPr>
        <w:tblStyle w:val="TableGrid"/>
        <w:tblW w:w="0" w:type="auto"/>
        <w:jc w:val="center"/>
        <w:tblLook w:val="04A0"/>
      </w:tblPr>
      <w:tblGrid>
        <w:gridCol w:w="2952"/>
        <w:gridCol w:w="2952"/>
        <w:gridCol w:w="2952"/>
      </w:tblGrid>
      <w:tr w:rsidR="009803D7" w:rsidRPr="00303A5A" w:rsidTr="000E483C">
        <w:trPr>
          <w:jc w:val="center"/>
        </w:trPr>
        <w:tc>
          <w:tcPr>
            <w:tcW w:w="2952" w:type="dxa"/>
          </w:tcPr>
          <w:p w:rsidR="009803D7" w:rsidRPr="00303A5A" w:rsidRDefault="009803D7" w:rsidP="004C3AD6">
            <w:pPr>
              <w:pStyle w:val="statymopavad"/>
              <w:spacing w:after="80" w:afterAutospacing="0" w:line="360" w:lineRule="auto"/>
              <w:jc w:val="both"/>
              <w:rPr>
                <w:lang w:val="lt-LT"/>
              </w:rPr>
            </w:pPr>
            <w:r w:rsidRPr="00303A5A">
              <w:rPr>
                <w:lang w:val="lt-LT"/>
              </w:rPr>
              <w:t>Asmens draudimas</w:t>
            </w:r>
          </w:p>
        </w:tc>
        <w:tc>
          <w:tcPr>
            <w:tcW w:w="2952" w:type="dxa"/>
          </w:tcPr>
          <w:p w:rsidR="009803D7" w:rsidRPr="00303A5A" w:rsidRDefault="009803D7" w:rsidP="004C3AD6">
            <w:pPr>
              <w:pStyle w:val="statymopavad"/>
              <w:spacing w:after="80" w:afterAutospacing="0" w:line="360" w:lineRule="auto"/>
              <w:jc w:val="both"/>
              <w:rPr>
                <w:lang w:val="lt-LT"/>
              </w:rPr>
            </w:pPr>
            <w:r w:rsidRPr="00303A5A">
              <w:rPr>
                <w:lang w:val="lt-LT"/>
              </w:rPr>
              <w:t>Turto ir finansinių nuostolių draudimas</w:t>
            </w:r>
          </w:p>
        </w:tc>
        <w:tc>
          <w:tcPr>
            <w:tcW w:w="2952" w:type="dxa"/>
          </w:tcPr>
          <w:p w:rsidR="009803D7" w:rsidRPr="00303A5A" w:rsidRDefault="009803D7" w:rsidP="004C3AD6">
            <w:pPr>
              <w:pStyle w:val="statymopavad"/>
              <w:spacing w:after="80" w:afterAutospacing="0" w:line="360" w:lineRule="auto"/>
              <w:jc w:val="both"/>
              <w:rPr>
                <w:lang w:val="lt-LT"/>
              </w:rPr>
            </w:pPr>
            <w:r w:rsidRPr="00303A5A">
              <w:rPr>
                <w:lang w:val="lt-LT"/>
              </w:rPr>
              <w:t>Atsakomybės draudimas</w:t>
            </w:r>
          </w:p>
        </w:tc>
      </w:tr>
      <w:tr w:rsidR="009803D7" w:rsidRPr="00303A5A" w:rsidTr="000E483C">
        <w:trPr>
          <w:jc w:val="center"/>
        </w:trPr>
        <w:tc>
          <w:tcPr>
            <w:tcW w:w="2952" w:type="dxa"/>
          </w:tcPr>
          <w:p w:rsidR="009803D7" w:rsidRPr="00303A5A" w:rsidRDefault="000F5AB5" w:rsidP="004C3AD6">
            <w:pPr>
              <w:pStyle w:val="statymopavad"/>
              <w:numPr>
                <w:ilvl w:val="0"/>
                <w:numId w:val="4"/>
              </w:numPr>
              <w:spacing w:after="80" w:afterAutospacing="0"/>
              <w:rPr>
                <w:b/>
                <w:lang w:val="lt-LT"/>
              </w:rPr>
            </w:pPr>
            <w:r>
              <w:rPr>
                <w:lang w:val="lt-LT"/>
              </w:rPr>
              <w:t>Draudimas nuo mir</w:t>
            </w:r>
            <w:r w:rsidR="009803D7" w:rsidRPr="00303A5A">
              <w:rPr>
                <w:lang w:val="lt-LT"/>
              </w:rPr>
              <w:t>ties ir nelaimingų atsitikimų</w:t>
            </w:r>
          </w:p>
          <w:p w:rsidR="009803D7" w:rsidRPr="00303A5A" w:rsidRDefault="009803D7" w:rsidP="004C3AD6">
            <w:pPr>
              <w:pStyle w:val="statymopavad"/>
              <w:numPr>
                <w:ilvl w:val="0"/>
                <w:numId w:val="4"/>
              </w:numPr>
              <w:spacing w:after="80" w:afterAutospacing="0"/>
              <w:rPr>
                <w:b/>
                <w:lang w:val="lt-LT"/>
              </w:rPr>
            </w:pPr>
            <w:r w:rsidRPr="00303A5A">
              <w:rPr>
                <w:lang w:val="lt-LT"/>
              </w:rPr>
              <w:t>Užsieniečių būtinosios pagalbos LR išlaidų draudimas</w:t>
            </w:r>
          </w:p>
          <w:p w:rsidR="009803D7" w:rsidRPr="00303A5A" w:rsidRDefault="009803D7" w:rsidP="004C3AD6">
            <w:pPr>
              <w:pStyle w:val="statymopavad"/>
              <w:numPr>
                <w:ilvl w:val="0"/>
                <w:numId w:val="4"/>
              </w:numPr>
              <w:spacing w:after="80" w:afterAutospacing="0"/>
              <w:rPr>
                <w:b/>
                <w:lang w:val="lt-LT"/>
              </w:rPr>
            </w:pPr>
            <w:r w:rsidRPr="00303A5A">
              <w:rPr>
                <w:lang w:val="lt-LT"/>
              </w:rPr>
              <w:t>Būtinosios medicininės pagalbos kelionėse į užsienį draudimas</w:t>
            </w:r>
          </w:p>
          <w:p w:rsidR="009803D7" w:rsidRPr="00303A5A" w:rsidRDefault="009803D7" w:rsidP="004C3AD6">
            <w:pPr>
              <w:pStyle w:val="statymopavad"/>
              <w:numPr>
                <w:ilvl w:val="0"/>
                <w:numId w:val="4"/>
              </w:numPr>
              <w:spacing w:after="80" w:afterAutospacing="0"/>
              <w:rPr>
                <w:b/>
                <w:lang w:val="lt-LT"/>
              </w:rPr>
            </w:pPr>
            <w:r w:rsidRPr="00303A5A">
              <w:rPr>
                <w:lang w:val="lt-LT"/>
              </w:rPr>
              <w:t>Sveikatos draudimas</w:t>
            </w:r>
          </w:p>
          <w:p w:rsidR="009803D7" w:rsidRPr="00303A5A" w:rsidRDefault="009803D7" w:rsidP="004C3AD6">
            <w:pPr>
              <w:pStyle w:val="statymopavad"/>
              <w:numPr>
                <w:ilvl w:val="0"/>
                <w:numId w:val="4"/>
              </w:numPr>
              <w:spacing w:after="80" w:afterAutospacing="0"/>
              <w:rPr>
                <w:b/>
                <w:lang w:val="lt-LT"/>
              </w:rPr>
            </w:pPr>
            <w:r w:rsidRPr="00303A5A">
              <w:rPr>
                <w:lang w:val="lt-LT"/>
              </w:rPr>
              <w:t>Keleivių draudimas</w:t>
            </w:r>
          </w:p>
        </w:tc>
        <w:tc>
          <w:tcPr>
            <w:tcW w:w="2952" w:type="dxa"/>
          </w:tcPr>
          <w:p w:rsidR="009803D7" w:rsidRPr="00303A5A" w:rsidRDefault="009803D7" w:rsidP="004C3AD6">
            <w:pPr>
              <w:pStyle w:val="statymopavad"/>
              <w:numPr>
                <w:ilvl w:val="0"/>
                <w:numId w:val="4"/>
              </w:numPr>
              <w:spacing w:after="80" w:afterAutospacing="0"/>
              <w:rPr>
                <w:lang w:val="lt-LT"/>
              </w:rPr>
            </w:pPr>
            <w:r w:rsidRPr="00303A5A">
              <w:rPr>
                <w:lang w:val="lt-LT"/>
              </w:rPr>
              <w:t>Kasko draudimas</w:t>
            </w:r>
          </w:p>
          <w:p w:rsidR="009803D7" w:rsidRPr="00303A5A" w:rsidRDefault="009803D7" w:rsidP="004C3AD6">
            <w:pPr>
              <w:pStyle w:val="statymopavad"/>
              <w:numPr>
                <w:ilvl w:val="0"/>
                <w:numId w:val="4"/>
              </w:numPr>
              <w:spacing w:after="80" w:afterAutospacing="0"/>
              <w:rPr>
                <w:lang w:val="lt-LT"/>
              </w:rPr>
            </w:pPr>
            <w:r w:rsidRPr="00303A5A">
              <w:rPr>
                <w:lang w:val="lt-LT"/>
              </w:rPr>
              <w:t>Laivų draudimas</w:t>
            </w:r>
          </w:p>
          <w:p w:rsidR="009803D7" w:rsidRPr="00303A5A" w:rsidRDefault="009803D7" w:rsidP="004C3AD6">
            <w:pPr>
              <w:pStyle w:val="statymopavad"/>
              <w:numPr>
                <w:ilvl w:val="0"/>
                <w:numId w:val="4"/>
              </w:numPr>
              <w:spacing w:after="80" w:afterAutospacing="0"/>
              <w:rPr>
                <w:lang w:val="lt-LT"/>
              </w:rPr>
            </w:pPr>
            <w:r w:rsidRPr="00303A5A">
              <w:rPr>
                <w:lang w:val="lt-LT"/>
              </w:rPr>
              <w:t>Aviacijos draudimas</w:t>
            </w:r>
          </w:p>
          <w:p w:rsidR="009803D7" w:rsidRPr="00303A5A" w:rsidRDefault="009803D7" w:rsidP="004C3AD6">
            <w:pPr>
              <w:pStyle w:val="statymopavad"/>
              <w:numPr>
                <w:ilvl w:val="0"/>
                <w:numId w:val="4"/>
              </w:numPr>
              <w:spacing w:after="80" w:afterAutospacing="0"/>
              <w:rPr>
                <w:lang w:val="lt-LT"/>
              </w:rPr>
            </w:pPr>
            <w:r w:rsidRPr="00303A5A">
              <w:rPr>
                <w:lang w:val="lt-LT"/>
              </w:rPr>
              <w:t>Vežamų krovinių draudimas</w:t>
            </w:r>
          </w:p>
          <w:p w:rsidR="009803D7" w:rsidRPr="00303A5A" w:rsidRDefault="009803D7" w:rsidP="004C3AD6">
            <w:pPr>
              <w:pStyle w:val="statymopavad"/>
              <w:numPr>
                <w:ilvl w:val="0"/>
                <w:numId w:val="4"/>
              </w:numPr>
              <w:spacing w:after="80" w:afterAutospacing="0"/>
              <w:rPr>
                <w:lang w:val="lt-LT"/>
              </w:rPr>
            </w:pPr>
            <w:r w:rsidRPr="00303A5A">
              <w:rPr>
                <w:lang w:val="lt-LT"/>
              </w:rPr>
              <w:t>Gyventojų turto draudimas</w:t>
            </w:r>
          </w:p>
          <w:p w:rsidR="009803D7" w:rsidRPr="00303A5A" w:rsidRDefault="009803D7" w:rsidP="004C3AD6">
            <w:pPr>
              <w:pStyle w:val="statymopavad"/>
              <w:numPr>
                <w:ilvl w:val="0"/>
                <w:numId w:val="4"/>
              </w:numPr>
              <w:spacing w:after="80" w:afterAutospacing="0"/>
              <w:rPr>
                <w:lang w:val="lt-LT"/>
              </w:rPr>
            </w:pPr>
            <w:r w:rsidRPr="00303A5A">
              <w:rPr>
                <w:lang w:val="lt-LT"/>
              </w:rPr>
              <w:t>Įmonių ir organizacijų turto draudimas</w:t>
            </w:r>
          </w:p>
          <w:p w:rsidR="009803D7" w:rsidRPr="00303A5A" w:rsidRDefault="009803D7" w:rsidP="004C3AD6">
            <w:pPr>
              <w:pStyle w:val="statymopavad"/>
              <w:numPr>
                <w:ilvl w:val="0"/>
                <w:numId w:val="4"/>
              </w:numPr>
              <w:spacing w:after="80" w:afterAutospacing="0"/>
              <w:rPr>
                <w:lang w:val="lt-LT"/>
              </w:rPr>
            </w:pPr>
            <w:r w:rsidRPr="00303A5A">
              <w:rPr>
                <w:lang w:val="lt-LT"/>
              </w:rPr>
              <w:t>Gyvūnų ir gyvulių draudimas</w:t>
            </w:r>
          </w:p>
          <w:p w:rsidR="009803D7" w:rsidRPr="00303A5A" w:rsidRDefault="009803D7" w:rsidP="004C3AD6">
            <w:pPr>
              <w:pStyle w:val="statymopavad"/>
              <w:numPr>
                <w:ilvl w:val="0"/>
                <w:numId w:val="4"/>
              </w:numPr>
              <w:spacing w:after="80" w:afterAutospacing="0"/>
              <w:rPr>
                <w:lang w:val="lt-LT"/>
              </w:rPr>
            </w:pPr>
            <w:r w:rsidRPr="00303A5A">
              <w:rPr>
                <w:lang w:val="lt-LT"/>
              </w:rPr>
              <w:t>Statybos ir mo</w:t>
            </w:r>
            <w:r w:rsidR="00006084">
              <w:rPr>
                <w:lang w:val="lt-LT"/>
              </w:rPr>
              <w:t>n</w:t>
            </w:r>
            <w:r w:rsidRPr="00303A5A">
              <w:rPr>
                <w:lang w:val="lt-LT"/>
              </w:rPr>
              <w:t>tavimo draudimas</w:t>
            </w:r>
          </w:p>
          <w:p w:rsidR="009803D7" w:rsidRPr="00303A5A" w:rsidRDefault="009803D7" w:rsidP="004C3AD6">
            <w:pPr>
              <w:pStyle w:val="statymopavad"/>
              <w:numPr>
                <w:ilvl w:val="0"/>
                <w:numId w:val="4"/>
              </w:numPr>
              <w:spacing w:after="80" w:afterAutospacing="0"/>
              <w:rPr>
                <w:lang w:val="lt-LT"/>
              </w:rPr>
            </w:pPr>
            <w:r w:rsidRPr="00303A5A">
              <w:rPr>
                <w:lang w:val="lt-LT"/>
              </w:rPr>
              <w:t>Verslo nutrūkimo draudimas</w:t>
            </w:r>
          </w:p>
          <w:p w:rsidR="009803D7" w:rsidRPr="00303A5A" w:rsidRDefault="009803D7" w:rsidP="004C3AD6">
            <w:pPr>
              <w:pStyle w:val="statymopavad"/>
              <w:numPr>
                <w:ilvl w:val="0"/>
                <w:numId w:val="4"/>
              </w:numPr>
              <w:spacing w:after="80" w:afterAutospacing="0"/>
              <w:rPr>
                <w:lang w:val="lt-LT"/>
              </w:rPr>
            </w:pPr>
            <w:r w:rsidRPr="00303A5A">
              <w:rPr>
                <w:lang w:val="lt-LT"/>
              </w:rPr>
              <w:t>Neįvykusios kelionės draudimas</w:t>
            </w:r>
          </w:p>
          <w:p w:rsidR="009803D7" w:rsidRPr="00303A5A" w:rsidRDefault="009803D7" w:rsidP="004C3AD6">
            <w:pPr>
              <w:pStyle w:val="statymopavad"/>
              <w:spacing w:after="80" w:afterAutospacing="0"/>
              <w:rPr>
                <w:lang w:val="lt-LT"/>
              </w:rPr>
            </w:pPr>
          </w:p>
        </w:tc>
        <w:tc>
          <w:tcPr>
            <w:tcW w:w="2952" w:type="dxa"/>
          </w:tcPr>
          <w:p w:rsidR="009803D7" w:rsidRPr="00303A5A" w:rsidRDefault="009803D7" w:rsidP="004C3AD6">
            <w:pPr>
              <w:pStyle w:val="statymopavad"/>
              <w:numPr>
                <w:ilvl w:val="0"/>
                <w:numId w:val="4"/>
              </w:numPr>
              <w:spacing w:after="80" w:afterAutospacing="0"/>
              <w:rPr>
                <w:lang w:val="lt-LT"/>
              </w:rPr>
            </w:pPr>
            <w:r w:rsidRPr="00303A5A">
              <w:rPr>
                <w:lang w:val="lt-LT"/>
              </w:rPr>
              <w:t>Laidavimo draudimas</w:t>
            </w:r>
          </w:p>
          <w:p w:rsidR="009803D7" w:rsidRPr="00303A5A" w:rsidRDefault="009803D7" w:rsidP="004C3AD6">
            <w:pPr>
              <w:pStyle w:val="statymopavad"/>
              <w:numPr>
                <w:ilvl w:val="0"/>
                <w:numId w:val="4"/>
              </w:numPr>
              <w:spacing w:after="80" w:afterAutospacing="0"/>
              <w:rPr>
                <w:lang w:val="lt-LT"/>
              </w:rPr>
            </w:pPr>
            <w:r w:rsidRPr="00303A5A">
              <w:rPr>
                <w:lang w:val="lt-LT"/>
              </w:rPr>
              <w:t>TVPCAD</w:t>
            </w:r>
          </w:p>
          <w:p w:rsidR="009803D7" w:rsidRPr="00303A5A" w:rsidRDefault="009803D7" w:rsidP="004C3AD6">
            <w:pPr>
              <w:pStyle w:val="statymopavad"/>
              <w:numPr>
                <w:ilvl w:val="0"/>
                <w:numId w:val="4"/>
              </w:numPr>
              <w:spacing w:after="80" w:afterAutospacing="0"/>
              <w:rPr>
                <w:lang w:val="lt-LT"/>
              </w:rPr>
            </w:pPr>
            <w:r w:rsidRPr="00303A5A">
              <w:rPr>
                <w:lang w:val="lt-LT"/>
              </w:rPr>
              <w:t>“Žaliosios kortelės” draudimas</w:t>
            </w:r>
          </w:p>
          <w:p w:rsidR="009803D7" w:rsidRPr="00303A5A" w:rsidRDefault="009803D7" w:rsidP="004C3AD6">
            <w:pPr>
              <w:pStyle w:val="statymopavad"/>
              <w:numPr>
                <w:ilvl w:val="0"/>
                <w:numId w:val="4"/>
              </w:numPr>
              <w:spacing w:after="80" w:afterAutospacing="0"/>
              <w:rPr>
                <w:lang w:val="lt-LT"/>
              </w:rPr>
            </w:pPr>
            <w:r w:rsidRPr="00303A5A">
              <w:rPr>
                <w:lang w:val="lt-LT"/>
              </w:rPr>
              <w:t>Asmens civilinės atsakomybės draudimas</w:t>
            </w:r>
          </w:p>
          <w:p w:rsidR="009803D7" w:rsidRPr="00303A5A" w:rsidRDefault="009803D7" w:rsidP="004C3AD6">
            <w:pPr>
              <w:pStyle w:val="statymopavad"/>
              <w:numPr>
                <w:ilvl w:val="0"/>
                <w:numId w:val="4"/>
              </w:numPr>
              <w:spacing w:after="80" w:afterAutospacing="0"/>
              <w:rPr>
                <w:lang w:val="lt-LT"/>
              </w:rPr>
            </w:pPr>
            <w:r w:rsidRPr="00303A5A">
              <w:rPr>
                <w:lang w:val="lt-LT"/>
              </w:rPr>
              <w:t>Bendrosios profesinės civilinės atsakomybės draudimas</w:t>
            </w:r>
          </w:p>
          <w:p w:rsidR="009803D7" w:rsidRPr="00303A5A" w:rsidRDefault="009803D7" w:rsidP="004C3AD6">
            <w:pPr>
              <w:pStyle w:val="statymopavad"/>
              <w:numPr>
                <w:ilvl w:val="0"/>
                <w:numId w:val="4"/>
              </w:numPr>
              <w:spacing w:after="80" w:afterAutospacing="0"/>
              <w:rPr>
                <w:lang w:val="lt-LT"/>
              </w:rPr>
            </w:pPr>
            <w:r w:rsidRPr="00303A5A">
              <w:rPr>
                <w:lang w:val="lt-LT"/>
              </w:rPr>
              <w:t>Darbdavio civilinės atsakomybės draudimas</w:t>
            </w:r>
          </w:p>
          <w:p w:rsidR="009803D7" w:rsidRPr="00303A5A" w:rsidRDefault="009803D7" w:rsidP="004C3AD6">
            <w:pPr>
              <w:pStyle w:val="statymopavad"/>
              <w:numPr>
                <w:ilvl w:val="0"/>
                <w:numId w:val="4"/>
              </w:numPr>
              <w:spacing w:after="80" w:afterAutospacing="0"/>
              <w:rPr>
                <w:lang w:val="lt-LT"/>
              </w:rPr>
            </w:pPr>
            <w:r w:rsidRPr="00303A5A">
              <w:rPr>
                <w:lang w:val="lt-LT"/>
              </w:rPr>
              <w:t>Laivų savininkų civilinės atsakomybės draudimas</w:t>
            </w:r>
          </w:p>
          <w:p w:rsidR="009803D7" w:rsidRPr="00303A5A" w:rsidRDefault="009803D7" w:rsidP="004C3AD6">
            <w:pPr>
              <w:pStyle w:val="statymopavad"/>
              <w:numPr>
                <w:ilvl w:val="0"/>
                <w:numId w:val="4"/>
              </w:numPr>
              <w:spacing w:after="80" w:afterAutospacing="0"/>
              <w:rPr>
                <w:lang w:val="lt-LT"/>
              </w:rPr>
            </w:pPr>
            <w:r w:rsidRPr="00303A5A">
              <w:rPr>
                <w:lang w:val="lt-LT"/>
              </w:rPr>
              <w:t>Kiti</w:t>
            </w:r>
          </w:p>
          <w:p w:rsidR="009803D7" w:rsidRPr="00303A5A" w:rsidRDefault="009803D7" w:rsidP="004C3AD6">
            <w:pPr>
              <w:pStyle w:val="statymopavad"/>
              <w:spacing w:after="80" w:afterAutospacing="0"/>
              <w:rPr>
                <w:lang w:val="lt-LT"/>
              </w:rPr>
            </w:pPr>
          </w:p>
        </w:tc>
      </w:tr>
    </w:tbl>
    <w:p w:rsidR="009803D7" w:rsidRDefault="009803D7" w:rsidP="009803D7">
      <w:pPr>
        <w:pStyle w:val="statymopavad"/>
        <w:spacing w:after="80" w:afterAutospacing="0" w:line="360" w:lineRule="auto"/>
        <w:ind w:firstLine="720"/>
        <w:jc w:val="both"/>
        <w:rPr>
          <w:sz w:val="20"/>
          <w:szCs w:val="20"/>
          <w:lang w:val="lt-LT"/>
        </w:rPr>
      </w:pPr>
      <w:r w:rsidRPr="000E483C">
        <w:rPr>
          <w:sz w:val="20"/>
          <w:szCs w:val="20"/>
          <w:lang w:val="lt-LT"/>
        </w:rPr>
        <w:t>Šaltinis: Lezgovko, A., Draudimo ekonomikos pagrindai (2010)</w:t>
      </w:r>
    </w:p>
    <w:p w:rsidR="003911D5" w:rsidRPr="000E483C" w:rsidRDefault="003911D5" w:rsidP="009803D7">
      <w:pPr>
        <w:pStyle w:val="statymopavad"/>
        <w:spacing w:after="80" w:afterAutospacing="0" w:line="360" w:lineRule="auto"/>
        <w:ind w:firstLine="720"/>
        <w:jc w:val="both"/>
        <w:rPr>
          <w:sz w:val="20"/>
          <w:szCs w:val="20"/>
          <w:lang w:val="lt-LT"/>
        </w:rPr>
      </w:pPr>
    </w:p>
    <w:p w:rsidR="009803D7" w:rsidRPr="004C0E5F" w:rsidRDefault="009803D7" w:rsidP="004C0E5F">
      <w:pPr>
        <w:pStyle w:val="Style1-h2"/>
      </w:pPr>
      <w:bookmarkStart w:id="36" w:name="_Toc311971356"/>
      <w:bookmarkStart w:id="37" w:name="_Toc311971545"/>
      <w:bookmarkStart w:id="38" w:name="_Toc311971691"/>
      <w:r w:rsidRPr="00303A5A">
        <w:t xml:space="preserve">1.4. </w:t>
      </w:r>
      <w:r w:rsidR="00A60CE6" w:rsidRPr="00303A5A">
        <w:t xml:space="preserve">Ne gyvybės draudimo rinkai </w:t>
      </w:r>
      <w:r w:rsidR="00E34A50">
        <w:t>įtaką</w:t>
      </w:r>
      <w:r w:rsidR="00E34A50" w:rsidRPr="00303A5A">
        <w:t xml:space="preserve"> </w:t>
      </w:r>
      <w:r w:rsidR="00A60CE6" w:rsidRPr="00303A5A">
        <w:t>darantys veiksniai</w:t>
      </w:r>
      <w:bookmarkEnd w:id="36"/>
      <w:bookmarkEnd w:id="37"/>
      <w:bookmarkEnd w:id="38"/>
    </w:p>
    <w:p w:rsidR="009803D7" w:rsidRPr="00303A5A" w:rsidRDefault="009803D7" w:rsidP="00310363">
      <w:pPr>
        <w:spacing w:line="360" w:lineRule="auto"/>
        <w:ind w:firstLine="567"/>
        <w:jc w:val="both"/>
        <w:rPr>
          <w:lang w:val="lt-LT"/>
        </w:rPr>
      </w:pPr>
      <w:r w:rsidRPr="00303A5A">
        <w:rPr>
          <w:lang w:val="lt-LT"/>
        </w:rPr>
        <w:t>Draudimo rinka labai svarbi dalis globalios finansų rinkos,</w:t>
      </w:r>
      <w:r w:rsidR="00083877">
        <w:rPr>
          <w:lang w:val="lt-LT"/>
        </w:rPr>
        <w:t xml:space="preserve"> ne tik dėl rizikos perkėlimo bei padalinimo, bet ir dėl to,</w:t>
      </w:r>
      <w:r w:rsidRPr="00303A5A">
        <w:rPr>
          <w:lang w:val="lt-LT"/>
        </w:rPr>
        <w:t xml:space="preserve"> draudimo kompanijos yra reikšmingi instituciniai investuotojai. Ekonominis draudimo aspektas – šiandien sumokėdami fiksuotą kainą – įmoką, užsitikriname didesnį stabilumą ateityje, t.y. a</w:t>
      </w:r>
      <w:r w:rsidR="00083877">
        <w:rPr>
          <w:lang w:val="lt-LT"/>
        </w:rPr>
        <w:t xml:space="preserve">psisaugome nuo galimų nuostolių. </w:t>
      </w:r>
      <w:r w:rsidRPr="00303A5A">
        <w:rPr>
          <w:lang w:val="lt-LT"/>
        </w:rPr>
        <w:t>Kaip teigė Mossin (1968), remiantis ekonomikos teorija, draudimas garantuoja ateities gerovę perduodamas ją iš rizikos netoleruojančių, rizikai neutraliems individams – draudikams, kurie sudėję daug rizikų efektyviai jas valdo. Taip vieno asmens (nepriklausomai ar jis fizinis ar juridinis) rizika pasidalinama su kitais asmenimis. Draudimas teikia naudą</w:t>
      </w:r>
      <w:r w:rsidR="00083877">
        <w:rPr>
          <w:lang w:val="lt-LT"/>
        </w:rPr>
        <w:t>,</w:t>
      </w:r>
      <w:r w:rsidRPr="00303A5A">
        <w:rPr>
          <w:lang w:val="lt-LT"/>
        </w:rPr>
        <w:t xml:space="preserve"> kurią jaučia ne tik konkretus vartotojas, kuriam kompensuojami žalos atveju patirti nuostoliai, bet </w:t>
      </w:r>
      <w:r w:rsidR="00083877">
        <w:rPr>
          <w:lang w:val="lt-LT"/>
        </w:rPr>
        <w:t xml:space="preserve">nauda jaučiama ir visos šalies mastu, kadangi </w:t>
      </w:r>
      <w:r w:rsidR="001C6962">
        <w:rPr>
          <w:lang w:val="lt-LT"/>
        </w:rPr>
        <w:t xml:space="preserve">draudimo kompanijai atlyginus nuostolius vartotojas </w:t>
      </w:r>
      <w:r w:rsidR="001C6962">
        <w:rPr>
          <w:lang w:val="lt-LT"/>
        </w:rPr>
        <w:lastRenderedPageBreak/>
        <w:t>nepatiria ekonominio nestabilumo.</w:t>
      </w:r>
      <w:r w:rsidRPr="00303A5A">
        <w:rPr>
          <w:lang w:val="lt-LT"/>
        </w:rPr>
        <w:t xml:space="preserve"> Todėl draudimas ekonominiu požiūriu yra puiki rizikos perskirstymo sistema, kuri užtikrina ekonominį stabilumą.</w:t>
      </w:r>
    </w:p>
    <w:p w:rsidR="009803D7" w:rsidRPr="00303A5A" w:rsidRDefault="009803D7" w:rsidP="00310363">
      <w:pPr>
        <w:spacing w:line="360" w:lineRule="auto"/>
        <w:ind w:firstLine="567"/>
        <w:jc w:val="both"/>
        <w:rPr>
          <w:lang w:val="lt-LT"/>
        </w:rPr>
      </w:pPr>
      <w:r w:rsidRPr="00303A5A">
        <w:rPr>
          <w:lang w:val="lt-LT"/>
        </w:rPr>
        <w:t>Paskutiniais dešimtmečiais draudimo rinka buvo labai svarbi ekonominio augimo kontekste. Augimą lėmė daugelis įvairių veiksnių, tačiau kaip pagrindinius (Ward ir Zurbruegg, 2002) išskiria šiuos</w:t>
      </w:r>
      <w:r w:rsidR="006756D6">
        <w:rPr>
          <w:lang w:val="lt-LT"/>
        </w:rPr>
        <w:t>:</w:t>
      </w:r>
    </w:p>
    <w:p w:rsidR="009803D7" w:rsidRPr="00303A5A" w:rsidRDefault="009803D7" w:rsidP="00310363">
      <w:pPr>
        <w:pStyle w:val="ListParagraph"/>
        <w:numPr>
          <w:ilvl w:val="0"/>
          <w:numId w:val="6"/>
        </w:numPr>
        <w:autoSpaceDE w:val="0"/>
        <w:autoSpaceDN w:val="0"/>
        <w:adjustRightInd w:val="0"/>
        <w:spacing w:line="360" w:lineRule="auto"/>
        <w:ind w:firstLine="567"/>
        <w:jc w:val="both"/>
        <w:rPr>
          <w:lang w:val="lt-LT"/>
        </w:rPr>
      </w:pPr>
      <w:r w:rsidRPr="00303A5A">
        <w:rPr>
          <w:lang w:val="lt-LT"/>
        </w:rPr>
        <w:t>didėjanti draudimo paklausa bei pajamos iš draudimo veiklos;</w:t>
      </w:r>
    </w:p>
    <w:p w:rsidR="009803D7" w:rsidRPr="00303A5A" w:rsidRDefault="009803D7" w:rsidP="00310363">
      <w:pPr>
        <w:pStyle w:val="ListParagraph"/>
        <w:numPr>
          <w:ilvl w:val="0"/>
          <w:numId w:val="6"/>
        </w:numPr>
        <w:autoSpaceDE w:val="0"/>
        <w:autoSpaceDN w:val="0"/>
        <w:adjustRightInd w:val="0"/>
        <w:spacing w:line="360" w:lineRule="auto"/>
        <w:ind w:firstLine="567"/>
        <w:jc w:val="both"/>
        <w:rPr>
          <w:lang w:val="lt-LT"/>
        </w:rPr>
      </w:pPr>
      <w:r w:rsidRPr="00303A5A">
        <w:rPr>
          <w:lang w:val="lt-LT"/>
        </w:rPr>
        <w:t>didėjantis darbuotojų užimtumas draudimo sektoriuje;</w:t>
      </w:r>
    </w:p>
    <w:p w:rsidR="009803D7" w:rsidRPr="00303A5A" w:rsidRDefault="009803D7" w:rsidP="00310363">
      <w:pPr>
        <w:pStyle w:val="ListParagraph"/>
        <w:numPr>
          <w:ilvl w:val="0"/>
          <w:numId w:val="6"/>
        </w:numPr>
        <w:autoSpaceDE w:val="0"/>
        <w:autoSpaceDN w:val="0"/>
        <w:adjustRightInd w:val="0"/>
        <w:spacing w:line="360" w:lineRule="auto"/>
        <w:ind w:firstLine="567"/>
        <w:jc w:val="both"/>
        <w:rPr>
          <w:lang w:val="lt-LT"/>
        </w:rPr>
      </w:pPr>
      <w:r w:rsidRPr="00303A5A">
        <w:rPr>
          <w:lang w:val="lt-LT"/>
        </w:rPr>
        <w:t>besiplečianti finansinio tarpininko veikla draudėjams, t.y. ypatingai pensijų fondų veikloje.</w:t>
      </w:r>
    </w:p>
    <w:p w:rsidR="009803D7" w:rsidRPr="00303A5A" w:rsidRDefault="009803D7" w:rsidP="00310363">
      <w:pPr>
        <w:autoSpaceDE w:val="0"/>
        <w:autoSpaceDN w:val="0"/>
        <w:adjustRightInd w:val="0"/>
        <w:spacing w:line="360" w:lineRule="auto"/>
        <w:ind w:firstLine="567"/>
        <w:jc w:val="both"/>
        <w:rPr>
          <w:lang w:val="lt-LT"/>
        </w:rPr>
      </w:pPr>
      <w:r w:rsidRPr="00303A5A">
        <w:rPr>
          <w:lang w:val="lt-LT"/>
        </w:rPr>
        <w:t xml:space="preserve">Ryšį tarp ekonominio augimo bei </w:t>
      </w:r>
      <w:r w:rsidR="00D04C80">
        <w:rPr>
          <w:lang w:val="lt-LT"/>
        </w:rPr>
        <w:t xml:space="preserve">ne gyvybės </w:t>
      </w:r>
      <w:r w:rsidRPr="00303A5A">
        <w:rPr>
          <w:lang w:val="lt-LT"/>
        </w:rPr>
        <w:t xml:space="preserve">draudimo sektoriaus augimo nagrinėjo </w:t>
      </w:r>
      <w:r w:rsidR="001C6962">
        <w:rPr>
          <w:lang w:val="lt-LT"/>
        </w:rPr>
        <w:t xml:space="preserve">keletas </w:t>
      </w:r>
      <w:r w:rsidRPr="00303A5A">
        <w:rPr>
          <w:lang w:val="lt-LT"/>
        </w:rPr>
        <w:t>mokslininkų.</w:t>
      </w:r>
      <w:r w:rsidR="00D04C80">
        <w:rPr>
          <w:lang w:val="lt-LT"/>
        </w:rPr>
        <w:t xml:space="preserve"> Ne gyvybės d</w:t>
      </w:r>
      <w:r w:rsidRPr="00303A5A">
        <w:rPr>
          <w:lang w:val="lt-LT"/>
        </w:rPr>
        <w:t>raudimo rinkos svarba ekonominiam augimu</w:t>
      </w:r>
      <w:r w:rsidR="00E34A50">
        <w:rPr>
          <w:lang w:val="lt-LT"/>
        </w:rPr>
        <w:t>i yra aptarta Outreville (1990)</w:t>
      </w:r>
      <w:r w:rsidRPr="00303A5A">
        <w:rPr>
          <w:lang w:val="lt-LT"/>
        </w:rPr>
        <w:t xml:space="preserve"> bei Ward ir Zurbruegg (2002). </w:t>
      </w:r>
      <w:r w:rsidR="001C6962">
        <w:rPr>
          <w:lang w:val="lt-LT"/>
        </w:rPr>
        <w:t>Apibendrinant šių autorių darbus,</w:t>
      </w:r>
      <w:r w:rsidRPr="00303A5A">
        <w:rPr>
          <w:lang w:val="lt-LT"/>
        </w:rPr>
        <w:t xml:space="preserve"> galima teigti, kad </w:t>
      </w:r>
      <w:r w:rsidR="00D04C80">
        <w:rPr>
          <w:lang w:val="lt-LT"/>
        </w:rPr>
        <w:t xml:space="preserve">ne gyvybės </w:t>
      </w:r>
      <w:r w:rsidRPr="00303A5A">
        <w:rPr>
          <w:lang w:val="lt-LT"/>
        </w:rPr>
        <w:t xml:space="preserve">draudimo veikla dėl rizikos perkėlimo, finansinio tarpininkavimo bei užimtumo didinimo </w:t>
      </w:r>
      <w:r w:rsidR="001C6962">
        <w:rPr>
          <w:lang w:val="lt-LT"/>
        </w:rPr>
        <w:t>prisideda</w:t>
      </w:r>
      <w:r w:rsidR="00FD30C9">
        <w:rPr>
          <w:lang w:val="lt-LT"/>
        </w:rPr>
        <w:t xml:space="preserve"> </w:t>
      </w:r>
      <w:r w:rsidR="000F5AB5">
        <w:rPr>
          <w:lang w:val="lt-LT"/>
        </w:rPr>
        <w:t>prie ekonominio augimo. Atilikti teoriniai bei empiriniai tyrimai</w:t>
      </w:r>
      <w:r w:rsidR="00FD30C9">
        <w:rPr>
          <w:lang w:val="lt-LT"/>
        </w:rPr>
        <w:t xml:space="preserve"> apibrėžia, kad finansinis išsivystymas daro įtaką ekonominiam augimui. Draudimas yra viena iš finansų srities krypčių, todėl įvertinus veiksnius, kurie daro įtaką draudimo rinkai, būtų galima sužinoti, kas prisideda prie finansinių paslaugų išsivystymo, o kartu ir prie ekonominio augimo. Būtent šiuo aspektu teorinėje literatūroje nagrinėjama draudimo rinka bei jos atskiros rūšys. </w:t>
      </w:r>
      <w:r w:rsidRPr="00303A5A">
        <w:rPr>
          <w:lang w:val="lt-LT"/>
        </w:rPr>
        <w:t xml:space="preserve">Browne </w:t>
      </w:r>
      <w:r w:rsidR="007B51D7">
        <w:rPr>
          <w:lang w:val="lt-LT"/>
        </w:rPr>
        <w:t>et al.</w:t>
      </w:r>
      <w:r w:rsidRPr="00303A5A">
        <w:rPr>
          <w:lang w:val="lt-LT"/>
        </w:rPr>
        <w:t xml:space="preserve"> (2</w:t>
      </w:r>
      <w:r w:rsidR="00BC0220">
        <w:rPr>
          <w:lang w:val="lt-LT"/>
        </w:rPr>
        <w:t xml:space="preserve">000), Ward ir Zurbruegg (2002) </w:t>
      </w:r>
      <w:r w:rsidRPr="00303A5A">
        <w:rPr>
          <w:lang w:val="lt-LT"/>
        </w:rPr>
        <w:t xml:space="preserve">bei Esho </w:t>
      </w:r>
      <w:r w:rsidR="00823749">
        <w:rPr>
          <w:lang w:val="lt-LT"/>
        </w:rPr>
        <w:t>et al.</w:t>
      </w:r>
      <w:r w:rsidRPr="00303A5A">
        <w:rPr>
          <w:lang w:val="lt-LT"/>
        </w:rPr>
        <w:t xml:space="preserve"> (2004) atliko empirinius tyrinėjimus, kuriuose tyrė kokie veiksniai daro įtaką</w:t>
      </w:r>
      <w:r w:rsidR="00D04C80">
        <w:rPr>
          <w:lang w:val="lt-LT"/>
        </w:rPr>
        <w:t xml:space="preserve"> ne gyvybės</w:t>
      </w:r>
      <w:r w:rsidR="00207402">
        <w:rPr>
          <w:lang w:val="lt-LT"/>
        </w:rPr>
        <w:t xml:space="preserve"> draudimui</w:t>
      </w:r>
      <w:r w:rsidRPr="00303A5A">
        <w:rPr>
          <w:lang w:val="lt-LT"/>
        </w:rPr>
        <w:t xml:space="preserve">. </w:t>
      </w:r>
      <w:r w:rsidR="00207402">
        <w:rPr>
          <w:lang w:val="lt-LT"/>
        </w:rPr>
        <w:t>Apibendrinant šių autorių darbus galima teigti, kad ne gyvybės draudimo rinką veikia ekonominiai, teisiniai bei socialiniai veiksniai.</w:t>
      </w:r>
      <w:r w:rsidRPr="00303A5A">
        <w:rPr>
          <w:lang w:val="lt-LT"/>
        </w:rPr>
        <w:t xml:space="preserve"> </w:t>
      </w:r>
    </w:p>
    <w:p w:rsidR="009803D7" w:rsidRPr="00303A5A" w:rsidRDefault="009803D7" w:rsidP="00310363">
      <w:pPr>
        <w:spacing w:line="360" w:lineRule="auto"/>
        <w:ind w:firstLine="567"/>
        <w:jc w:val="both"/>
        <w:rPr>
          <w:b/>
          <w:i/>
          <w:lang w:val="lt-LT"/>
        </w:rPr>
      </w:pPr>
      <w:r w:rsidRPr="00303A5A">
        <w:rPr>
          <w:b/>
          <w:i/>
          <w:lang w:val="lt-LT"/>
        </w:rPr>
        <w:t>Ekonominiai veiksniai</w:t>
      </w:r>
    </w:p>
    <w:p w:rsidR="009803D7" w:rsidRPr="00303A5A" w:rsidRDefault="009803D7" w:rsidP="00310363">
      <w:pPr>
        <w:spacing w:line="360" w:lineRule="auto"/>
        <w:ind w:firstLine="567"/>
        <w:jc w:val="both"/>
        <w:rPr>
          <w:b/>
          <w:lang w:val="lt-LT"/>
        </w:rPr>
      </w:pPr>
      <w:r w:rsidRPr="00303A5A">
        <w:rPr>
          <w:lang w:val="lt-LT"/>
        </w:rPr>
        <w:t xml:space="preserve">Draudimą </w:t>
      </w:r>
      <w:r w:rsidR="00544931">
        <w:rPr>
          <w:lang w:val="lt-LT"/>
        </w:rPr>
        <w:t xml:space="preserve">būtų </w:t>
      </w:r>
      <w:r w:rsidRPr="00303A5A">
        <w:rPr>
          <w:lang w:val="lt-LT"/>
        </w:rPr>
        <w:t xml:space="preserve">galima </w:t>
      </w:r>
      <w:r w:rsidR="00544931">
        <w:rPr>
          <w:lang w:val="lt-LT"/>
        </w:rPr>
        <w:t>pa</w:t>
      </w:r>
      <w:r w:rsidRPr="00303A5A">
        <w:rPr>
          <w:lang w:val="lt-LT"/>
        </w:rPr>
        <w:t xml:space="preserve">vadinti apverstu ekonominiu ciklu, kadangi viena šalis pirmiausia moka įmoką ir tik tada jei įvyksta įvykis atgauna </w:t>
      </w:r>
      <w:r w:rsidR="00544931">
        <w:rPr>
          <w:lang w:val="lt-LT"/>
        </w:rPr>
        <w:t>„prekę“, už kurią jau su</w:t>
      </w:r>
      <w:r w:rsidRPr="00303A5A">
        <w:rPr>
          <w:lang w:val="lt-LT"/>
        </w:rPr>
        <w:t xml:space="preserve">mokėjo. </w:t>
      </w:r>
      <w:r w:rsidR="00544931">
        <w:rPr>
          <w:lang w:val="lt-LT"/>
        </w:rPr>
        <w:t>Tačiau, t</w:t>
      </w:r>
      <w:r w:rsidRPr="00303A5A">
        <w:rPr>
          <w:lang w:val="lt-LT"/>
        </w:rPr>
        <w:t>okiu būdu prarandama galimybė investuoti sumokėtą įmoką į finansų rinkas ir gauti grąžą iš investicijų.</w:t>
      </w:r>
      <w:r w:rsidR="00D04C80">
        <w:rPr>
          <w:lang w:val="lt-LT"/>
        </w:rPr>
        <w:t xml:space="preserve"> Atlikęs empirinį tyrimą</w:t>
      </w:r>
      <w:r w:rsidRPr="00303A5A">
        <w:rPr>
          <w:lang w:val="lt-LT"/>
        </w:rPr>
        <w:t xml:space="preserve"> </w:t>
      </w:r>
      <w:r w:rsidRPr="00544931">
        <w:rPr>
          <w:lang w:val="lt-LT"/>
        </w:rPr>
        <w:t>Falciglia (1980)</w:t>
      </w:r>
      <w:r w:rsidRPr="00303A5A">
        <w:rPr>
          <w:lang w:val="lt-LT"/>
        </w:rPr>
        <w:t xml:space="preserve"> parodė, kad didesnės rinkos palūkanų normos mažina draudimo paklausą tik tokiu atveju, jei vartotojai </w:t>
      </w:r>
      <w:r w:rsidR="00D04C80">
        <w:rPr>
          <w:lang w:val="lt-LT"/>
        </w:rPr>
        <w:t>nebijo</w:t>
      </w:r>
      <w:r w:rsidRPr="00303A5A">
        <w:rPr>
          <w:lang w:val="lt-LT"/>
        </w:rPr>
        <w:t xml:space="preserve"> rizikuoti ir yra taupūs žmonės. </w:t>
      </w:r>
      <w:r w:rsidR="00D04C80">
        <w:rPr>
          <w:lang w:val="lt-LT"/>
        </w:rPr>
        <w:t>Aptartu atveju, pinigus naudingiau būtų investuoti, nei draustis, tačiau tam būtina anksčiau minėta sąlyga – žmogus turi nebijoti rizikuoti.</w:t>
      </w:r>
    </w:p>
    <w:p w:rsidR="006D49D4" w:rsidRDefault="00E34A50" w:rsidP="00310363">
      <w:pPr>
        <w:spacing w:line="360" w:lineRule="auto"/>
        <w:ind w:firstLine="567"/>
        <w:jc w:val="both"/>
        <w:rPr>
          <w:lang w:val="lt-LT"/>
        </w:rPr>
      </w:pPr>
      <w:r>
        <w:rPr>
          <w:lang w:val="lt-LT"/>
        </w:rPr>
        <w:t xml:space="preserve">Beenstock </w:t>
      </w:r>
      <w:r w:rsidR="007B51D7">
        <w:rPr>
          <w:lang w:val="lt-LT"/>
        </w:rPr>
        <w:t>et al.</w:t>
      </w:r>
      <w:r>
        <w:rPr>
          <w:lang w:val="lt-LT"/>
        </w:rPr>
        <w:t xml:space="preserve"> (1988) </w:t>
      </w:r>
      <w:r w:rsidR="00544931">
        <w:rPr>
          <w:lang w:val="lt-LT"/>
        </w:rPr>
        <w:t xml:space="preserve">savo tyrime įvardino </w:t>
      </w:r>
      <w:r w:rsidR="00EA1659">
        <w:rPr>
          <w:lang w:val="lt-LT"/>
        </w:rPr>
        <w:t>du</w:t>
      </w:r>
      <w:r w:rsidR="00544931">
        <w:rPr>
          <w:lang w:val="lt-LT"/>
        </w:rPr>
        <w:t xml:space="preserve"> ekonominius veiksnius, kurie daro įtaką ne gyv</w:t>
      </w:r>
      <w:r w:rsidR="006D49D4">
        <w:rPr>
          <w:lang w:val="lt-LT"/>
        </w:rPr>
        <w:t>y</w:t>
      </w:r>
      <w:r w:rsidR="00544931">
        <w:rPr>
          <w:lang w:val="lt-LT"/>
        </w:rPr>
        <w:t xml:space="preserve">bės draudimo rūšiai – </w:t>
      </w:r>
      <w:r w:rsidR="006D49D4">
        <w:rPr>
          <w:lang w:val="lt-LT"/>
        </w:rPr>
        <w:t xml:space="preserve">turto bei </w:t>
      </w:r>
      <w:r w:rsidR="00544931">
        <w:rPr>
          <w:lang w:val="lt-LT"/>
        </w:rPr>
        <w:t>atsakomybės draudimui. Tai bendras nacionalinis produktas</w:t>
      </w:r>
      <w:r w:rsidR="009803D7" w:rsidRPr="00303A5A">
        <w:rPr>
          <w:lang w:val="lt-LT"/>
        </w:rPr>
        <w:t xml:space="preserve"> </w:t>
      </w:r>
      <w:r w:rsidR="00EA1659">
        <w:rPr>
          <w:lang w:val="lt-LT"/>
        </w:rPr>
        <w:t>(BNP) ir</w:t>
      </w:r>
      <w:r w:rsidR="00544931">
        <w:rPr>
          <w:lang w:val="lt-LT"/>
        </w:rPr>
        <w:t xml:space="preserve"> palūkanų normos. </w:t>
      </w:r>
      <w:r w:rsidR="00EA1659">
        <w:rPr>
          <w:lang w:val="lt-LT"/>
        </w:rPr>
        <w:t>Atliktas empirinis tyrimas patvirtino, kad šie veiksniai daro įtaką</w:t>
      </w:r>
      <w:r w:rsidR="009803D7" w:rsidRPr="00303A5A">
        <w:rPr>
          <w:lang w:val="lt-LT"/>
        </w:rPr>
        <w:t xml:space="preserve"> </w:t>
      </w:r>
      <w:r w:rsidR="006D49D4">
        <w:rPr>
          <w:lang w:val="lt-LT"/>
        </w:rPr>
        <w:t>turto bei atsakomybės draudimui.</w:t>
      </w:r>
    </w:p>
    <w:p w:rsidR="009803D7" w:rsidRPr="00303A5A" w:rsidRDefault="009803D7" w:rsidP="00310363">
      <w:pPr>
        <w:spacing w:line="360" w:lineRule="auto"/>
        <w:ind w:firstLine="567"/>
        <w:jc w:val="both"/>
        <w:rPr>
          <w:lang w:val="lt-LT"/>
        </w:rPr>
      </w:pPr>
      <w:r w:rsidRPr="00303A5A">
        <w:rPr>
          <w:lang w:val="lt-LT"/>
        </w:rPr>
        <w:t xml:space="preserve">Browne </w:t>
      </w:r>
      <w:r w:rsidR="007B51D7">
        <w:rPr>
          <w:lang w:val="lt-LT"/>
        </w:rPr>
        <w:t>et al</w:t>
      </w:r>
      <w:r w:rsidRPr="00303A5A">
        <w:rPr>
          <w:lang w:val="lt-LT"/>
        </w:rPr>
        <w:t xml:space="preserve">. (2000) analizavo motorinių priemonių </w:t>
      </w:r>
      <w:r w:rsidR="006D49D4">
        <w:rPr>
          <w:lang w:val="lt-LT"/>
        </w:rPr>
        <w:t xml:space="preserve">draudimo </w:t>
      </w:r>
      <w:r w:rsidRPr="00303A5A">
        <w:rPr>
          <w:lang w:val="lt-LT"/>
        </w:rPr>
        <w:t xml:space="preserve">ir atsakomybės draudimo rinką OECD šalyse ir atrado teigiamą ir statistiškai reikšmingą ryšį tarp įmokų vienam gyventojui ir </w:t>
      </w:r>
      <w:r w:rsidR="003A4F07">
        <w:rPr>
          <w:lang w:val="lt-LT"/>
        </w:rPr>
        <w:t xml:space="preserve">bendro </w:t>
      </w:r>
      <w:r w:rsidR="003A4F07">
        <w:rPr>
          <w:lang w:val="lt-LT"/>
        </w:rPr>
        <w:lastRenderedPageBreak/>
        <w:t>nacionalinio produkto</w:t>
      </w:r>
      <w:r w:rsidRPr="00303A5A">
        <w:rPr>
          <w:lang w:val="lt-LT"/>
        </w:rPr>
        <w:t xml:space="preserve"> vienam gyventojui. </w:t>
      </w:r>
      <w:r w:rsidR="003A4F07">
        <w:rPr>
          <w:lang w:val="lt-LT"/>
        </w:rPr>
        <w:t>Žinoma, šis ryšys buvo numanomas, nes t</w:t>
      </w:r>
      <w:r w:rsidRPr="00303A5A">
        <w:rPr>
          <w:lang w:val="lt-LT"/>
        </w:rPr>
        <w:t>ransporto priemonių draudimas yra tiesiogiai susijęs su pajamų didėjimu bei automobilių pardavimais</w:t>
      </w:r>
      <w:r w:rsidR="003A4F07">
        <w:rPr>
          <w:lang w:val="lt-LT"/>
        </w:rPr>
        <w:t>, kurie įeina į BNP sudėtį.</w:t>
      </w:r>
    </w:p>
    <w:p w:rsidR="009803D7" w:rsidRDefault="006D49D4" w:rsidP="00310363">
      <w:pPr>
        <w:spacing w:line="360" w:lineRule="auto"/>
        <w:ind w:firstLine="567"/>
        <w:jc w:val="both"/>
        <w:rPr>
          <w:lang w:val="lt-LT"/>
        </w:rPr>
      </w:pPr>
      <w:r>
        <w:rPr>
          <w:lang w:val="lt-LT"/>
        </w:rPr>
        <w:t xml:space="preserve">Ne gyvybės draudimo rinką keliais aspektais nagrinėjo </w:t>
      </w:r>
      <w:r w:rsidR="009803D7" w:rsidRPr="00303A5A">
        <w:rPr>
          <w:lang w:val="lt-LT"/>
        </w:rPr>
        <w:t xml:space="preserve">Esho </w:t>
      </w:r>
      <w:r w:rsidR="00823749">
        <w:rPr>
          <w:lang w:val="lt-LT"/>
        </w:rPr>
        <w:t>et al.</w:t>
      </w:r>
      <w:r w:rsidR="009803D7" w:rsidRPr="00303A5A">
        <w:rPr>
          <w:lang w:val="lt-LT"/>
        </w:rPr>
        <w:t xml:space="preserve"> (2004)</w:t>
      </w:r>
      <w:r>
        <w:rPr>
          <w:lang w:val="lt-LT"/>
        </w:rPr>
        <w:t xml:space="preserve">. Jų tyrimo objektu buvo turto bei nelaimingų atsitikimų draudimas ir pagrindinis tyrimo tikslas buvo išskirti ar įtaką šiai draudimo rūšiai daro teisiniai veiksniai, bet kartu jie išskyrė ir ekonominius veiksnius. Pagal Esho </w:t>
      </w:r>
      <w:r w:rsidR="00823749">
        <w:rPr>
          <w:lang w:val="lt-LT"/>
        </w:rPr>
        <w:t>et al.</w:t>
      </w:r>
      <w:r>
        <w:rPr>
          <w:lang w:val="lt-LT"/>
        </w:rPr>
        <w:t xml:space="preserve"> (2004) įtaką</w:t>
      </w:r>
      <w:r w:rsidR="00792852">
        <w:rPr>
          <w:lang w:val="lt-LT"/>
        </w:rPr>
        <w:t xml:space="preserve"> turto bei nelaimingų atsitikimų draudimui daro bendras nacionalinis produktas, draudimo kaina. Ryšys tarp draudimo kainos ir draudimo paklausos atvirkštinis – didėjant turto bei nelaimingų atsitikimų draudimo kainai, paklausa mažėja. </w:t>
      </w:r>
      <w:r w:rsidR="00CD3F4F">
        <w:rPr>
          <w:lang w:val="lt-LT"/>
        </w:rPr>
        <w:t xml:space="preserve">Šio tyrimo rezultatai suderinti su </w:t>
      </w:r>
      <w:r w:rsidR="00CD3F4F" w:rsidRPr="00303A5A">
        <w:rPr>
          <w:lang w:val="lt-LT"/>
        </w:rPr>
        <w:t xml:space="preserve">Lester </w:t>
      </w:r>
      <w:r w:rsidR="00CD3F4F">
        <w:rPr>
          <w:lang w:val="lt-LT"/>
        </w:rPr>
        <w:t xml:space="preserve">(2002) </w:t>
      </w:r>
      <w:r w:rsidR="009803D7" w:rsidRPr="00303A5A">
        <w:rPr>
          <w:lang w:val="lt-LT"/>
        </w:rPr>
        <w:t>, kuris teigia, kad turto bei nelaimingų atsitikimų draudimas gali būti laikomas normaliu produktu, o tai reiškia, kad draudimo pakl</w:t>
      </w:r>
      <w:r w:rsidR="00CD3F4F">
        <w:rPr>
          <w:lang w:val="lt-LT"/>
        </w:rPr>
        <w:t xml:space="preserve">ausa didėja, kai didėja pajamos (bendras nacionalinis produktas). </w:t>
      </w:r>
    </w:p>
    <w:p w:rsidR="009803D7" w:rsidRPr="00303A5A" w:rsidRDefault="009803D7" w:rsidP="00310363">
      <w:pPr>
        <w:spacing w:line="360" w:lineRule="auto"/>
        <w:ind w:firstLine="567"/>
        <w:jc w:val="both"/>
        <w:rPr>
          <w:i/>
          <w:lang w:val="lt-LT"/>
        </w:rPr>
      </w:pPr>
      <w:r w:rsidRPr="00303A5A">
        <w:rPr>
          <w:b/>
          <w:i/>
          <w:lang w:val="lt-LT"/>
        </w:rPr>
        <w:t>Teisinė aplinka</w:t>
      </w:r>
    </w:p>
    <w:p w:rsidR="009803D7" w:rsidRPr="00303A5A" w:rsidRDefault="009803D7" w:rsidP="00310363">
      <w:pPr>
        <w:spacing w:line="360" w:lineRule="auto"/>
        <w:ind w:firstLine="567"/>
        <w:jc w:val="both"/>
        <w:rPr>
          <w:lang w:val="lt-LT"/>
        </w:rPr>
      </w:pPr>
      <w:r w:rsidRPr="00303A5A">
        <w:rPr>
          <w:lang w:val="lt-LT"/>
        </w:rPr>
        <w:t xml:space="preserve"> Ne gyvybės draudime labai svarbus faktorius yra t</w:t>
      </w:r>
      <w:r w:rsidR="00E34A50">
        <w:rPr>
          <w:lang w:val="lt-LT"/>
        </w:rPr>
        <w:t>eisinė aplinka</w:t>
      </w:r>
      <w:r w:rsidR="004730F1">
        <w:rPr>
          <w:lang w:val="lt-LT"/>
        </w:rPr>
        <w:t xml:space="preserve">, kadangi santykis tarp draudėjo ir draudiko egzistuoja sutarties pagrindu bei apibrėžta įstatymų rinkiniais. </w:t>
      </w:r>
      <w:r w:rsidR="00E34A50">
        <w:rPr>
          <w:lang w:val="lt-LT"/>
        </w:rPr>
        <w:t xml:space="preserve">La Porta </w:t>
      </w:r>
      <w:r w:rsidR="00270B1A">
        <w:rPr>
          <w:lang w:val="lt-LT"/>
        </w:rPr>
        <w:t>et al.</w:t>
      </w:r>
      <w:r w:rsidRPr="00303A5A">
        <w:rPr>
          <w:lang w:val="lt-LT"/>
        </w:rPr>
        <w:t xml:space="preserve"> </w:t>
      </w:r>
      <w:r w:rsidR="00270B1A">
        <w:rPr>
          <w:lang w:val="lt-LT"/>
        </w:rPr>
        <w:t>(</w:t>
      </w:r>
      <w:r w:rsidRPr="00303A5A">
        <w:rPr>
          <w:lang w:val="lt-LT"/>
        </w:rPr>
        <w:t xml:space="preserve">1997) bei Levine (1998) </w:t>
      </w:r>
      <w:r w:rsidR="004730F1">
        <w:rPr>
          <w:lang w:val="lt-LT"/>
        </w:rPr>
        <w:t xml:space="preserve">atliko empirinį tyrimą ir </w:t>
      </w:r>
      <w:r w:rsidRPr="00303A5A">
        <w:rPr>
          <w:lang w:val="lt-LT"/>
        </w:rPr>
        <w:t>parodė, kad teisinė aplinka, kurioje geresnė investuotojų apsauga</w:t>
      </w:r>
      <w:r w:rsidR="004730F1">
        <w:rPr>
          <w:lang w:val="lt-LT"/>
        </w:rPr>
        <w:t>,</w:t>
      </w:r>
      <w:r w:rsidRPr="00303A5A">
        <w:rPr>
          <w:lang w:val="lt-LT"/>
        </w:rPr>
        <w:t xml:space="preserve"> skatina finansinį tarpininkavimą bei kartu ir ekonominį augimą.</w:t>
      </w:r>
      <w:r w:rsidR="004730F1">
        <w:rPr>
          <w:lang w:val="lt-LT"/>
        </w:rPr>
        <w:t xml:space="preserve"> D</w:t>
      </w:r>
      <w:r w:rsidRPr="00303A5A">
        <w:rPr>
          <w:lang w:val="lt-LT"/>
        </w:rPr>
        <w:t xml:space="preserve">raudimo kompanijos kartais elgiasi opurtunistiškai, pavyzdžiui atsisako mokėti žalas arba sumažina investicijų grąžą (gyvybės draudime). Dėl šių faktorių nukenčia draudimo klientai. Kai teisinė situacija šalyje gera tokie veiksmai mažai galimi. </w:t>
      </w:r>
    </w:p>
    <w:p w:rsidR="009803D7" w:rsidRPr="00303A5A" w:rsidRDefault="004C4026" w:rsidP="00310363">
      <w:pPr>
        <w:spacing w:line="360" w:lineRule="auto"/>
        <w:ind w:firstLine="567"/>
        <w:jc w:val="both"/>
        <w:rPr>
          <w:lang w:val="lt-LT"/>
        </w:rPr>
      </w:pPr>
      <w:r>
        <w:rPr>
          <w:lang w:val="lt-LT"/>
        </w:rPr>
        <w:t xml:space="preserve">Kaip minėta anksčiau, </w:t>
      </w:r>
      <w:r w:rsidR="009803D7" w:rsidRPr="00303A5A">
        <w:rPr>
          <w:lang w:val="lt-LT"/>
        </w:rPr>
        <w:t xml:space="preserve">Esho </w:t>
      </w:r>
      <w:r w:rsidR="00823749">
        <w:rPr>
          <w:lang w:val="lt-LT"/>
        </w:rPr>
        <w:t>et al.</w:t>
      </w:r>
      <w:r w:rsidR="009803D7" w:rsidRPr="00303A5A">
        <w:rPr>
          <w:lang w:val="lt-LT"/>
        </w:rPr>
        <w:t xml:space="preserve"> (2004) </w:t>
      </w:r>
      <w:r w:rsidR="004730F1">
        <w:rPr>
          <w:lang w:val="lt-LT"/>
        </w:rPr>
        <w:t xml:space="preserve">savo tyrime </w:t>
      </w:r>
      <w:r>
        <w:rPr>
          <w:lang w:val="lt-LT"/>
        </w:rPr>
        <w:t>tyrė teisinė</w:t>
      </w:r>
      <w:r w:rsidR="0078159D">
        <w:rPr>
          <w:lang w:val="lt-LT"/>
        </w:rPr>
        <w:t>s</w:t>
      </w:r>
      <w:r>
        <w:rPr>
          <w:lang w:val="lt-LT"/>
        </w:rPr>
        <w:t xml:space="preserve"> aplinkos poveikį </w:t>
      </w:r>
      <w:r w:rsidRPr="00303A5A">
        <w:rPr>
          <w:lang w:val="lt-LT"/>
        </w:rPr>
        <w:t>turto ir nelaimingų atsitikimų draudim</w:t>
      </w:r>
      <w:r>
        <w:rPr>
          <w:lang w:val="lt-LT"/>
        </w:rPr>
        <w:t>ui. Į modelį buvo įtrauktas</w:t>
      </w:r>
      <w:r w:rsidR="00270B1A">
        <w:rPr>
          <w:lang w:val="lt-LT"/>
        </w:rPr>
        <w:t xml:space="preserve"> kintama</w:t>
      </w:r>
      <w:r>
        <w:rPr>
          <w:lang w:val="lt-LT"/>
        </w:rPr>
        <w:t>sis</w:t>
      </w:r>
      <w:r w:rsidR="004730F1">
        <w:rPr>
          <w:lang w:val="lt-LT"/>
        </w:rPr>
        <w:t>, kuris</w:t>
      </w:r>
      <w:r w:rsidR="009803D7" w:rsidRPr="00303A5A">
        <w:rPr>
          <w:lang w:val="lt-LT"/>
        </w:rPr>
        <w:t xml:space="preserve"> </w:t>
      </w:r>
      <w:r w:rsidR="0078159D">
        <w:rPr>
          <w:lang w:val="lt-LT"/>
        </w:rPr>
        <w:t>leido daryti prielaidą, kad egzistuoja stiprus teigiamas ryšys</w:t>
      </w:r>
      <w:r w:rsidR="00E34A50">
        <w:rPr>
          <w:lang w:val="lt-LT"/>
        </w:rPr>
        <w:t xml:space="preserve"> tarp </w:t>
      </w:r>
      <w:r w:rsidR="009803D7" w:rsidRPr="00303A5A">
        <w:rPr>
          <w:lang w:val="lt-LT"/>
        </w:rPr>
        <w:t xml:space="preserve">turto teisių apsaugos bei turto ir nelaimingų atsitikimų draudimo. Taip pat </w:t>
      </w:r>
      <w:r>
        <w:rPr>
          <w:lang w:val="lt-LT"/>
        </w:rPr>
        <w:t>sekdami</w:t>
      </w:r>
      <w:r w:rsidR="009803D7" w:rsidRPr="00303A5A">
        <w:rPr>
          <w:lang w:val="lt-LT"/>
        </w:rPr>
        <w:t xml:space="preserve"> La Porta </w:t>
      </w:r>
      <w:r w:rsidR="00270B1A">
        <w:rPr>
          <w:lang w:val="lt-LT"/>
        </w:rPr>
        <w:t>et al.</w:t>
      </w:r>
      <w:r w:rsidR="00D10019">
        <w:rPr>
          <w:lang w:val="lt-LT"/>
        </w:rPr>
        <w:t xml:space="preserve"> (1997) bei Levine ir kt. (1998</w:t>
      </w:r>
      <w:r w:rsidR="009803D7" w:rsidRPr="00303A5A">
        <w:rPr>
          <w:lang w:val="lt-LT"/>
        </w:rPr>
        <w:t>) darbais apie bankinį sektorių</w:t>
      </w:r>
      <w:r w:rsidR="004730F1">
        <w:rPr>
          <w:lang w:val="lt-LT"/>
        </w:rPr>
        <w:t>,</w:t>
      </w:r>
      <w:r w:rsidR="009803D7" w:rsidRPr="00303A5A">
        <w:rPr>
          <w:lang w:val="lt-LT"/>
        </w:rPr>
        <w:t xml:space="preserve"> tyrė kokį efektą</w:t>
      </w:r>
      <w:r>
        <w:rPr>
          <w:lang w:val="lt-LT"/>
        </w:rPr>
        <w:t xml:space="preserve"> turi</w:t>
      </w:r>
      <w:r w:rsidR="009803D7" w:rsidRPr="00303A5A">
        <w:rPr>
          <w:lang w:val="lt-LT"/>
        </w:rPr>
        <w:t xml:space="preserve"> teisinė šalies sistemos kilmė</w:t>
      </w:r>
      <w:r w:rsidR="004730F1">
        <w:rPr>
          <w:lang w:val="lt-LT"/>
        </w:rPr>
        <w:t>.</w:t>
      </w:r>
      <w:r w:rsidR="004730F1" w:rsidRPr="004730F1">
        <w:rPr>
          <w:lang w:val="lt-LT"/>
        </w:rPr>
        <w:t xml:space="preserve"> </w:t>
      </w:r>
      <w:r w:rsidR="004730F1">
        <w:rPr>
          <w:lang w:val="lt-LT"/>
        </w:rPr>
        <w:t>Į tyrimą buvo įtrauktos 44 išsivysčiusios ir besivystančios</w:t>
      </w:r>
      <w:r w:rsidR="00687901">
        <w:rPr>
          <w:lang w:val="lt-LT"/>
        </w:rPr>
        <w:t xml:space="preserve"> šalys ir kiekviena buvo priskirta į vieną iš grupių pagal teisinės sistemos kilmę: skandinaviška, angliška, prancūziška, vokiška. </w:t>
      </w:r>
    </w:p>
    <w:p w:rsidR="009803D7" w:rsidRPr="00303A5A" w:rsidRDefault="009803D7" w:rsidP="00310363">
      <w:pPr>
        <w:spacing w:line="360" w:lineRule="auto"/>
        <w:ind w:firstLine="567"/>
        <w:jc w:val="both"/>
        <w:rPr>
          <w:i/>
          <w:lang w:val="lt-LT"/>
        </w:rPr>
      </w:pPr>
      <w:r w:rsidRPr="00303A5A">
        <w:rPr>
          <w:b/>
          <w:i/>
          <w:lang w:val="lt-LT"/>
        </w:rPr>
        <w:t>Socialiniai faktoriai</w:t>
      </w:r>
    </w:p>
    <w:p w:rsidR="004C4026" w:rsidRDefault="009803D7" w:rsidP="00310363">
      <w:pPr>
        <w:spacing w:line="360" w:lineRule="auto"/>
        <w:ind w:firstLine="567"/>
        <w:jc w:val="both"/>
        <w:rPr>
          <w:lang w:val="lt-LT"/>
        </w:rPr>
      </w:pPr>
      <w:r w:rsidRPr="00303A5A">
        <w:rPr>
          <w:lang w:val="lt-LT"/>
        </w:rPr>
        <w:t xml:space="preserve"> Draudimas gali būti laikomas produktu, kurį subjektyviai įvertina pats pirkėjas. T.y. jis</w:t>
      </w:r>
      <w:r w:rsidR="0078159D">
        <w:rPr>
          <w:lang w:val="lt-LT"/>
        </w:rPr>
        <w:t xml:space="preserve"> puikiai žino savo rizikos lygį</w:t>
      </w:r>
      <w:r w:rsidRPr="00303A5A">
        <w:rPr>
          <w:lang w:val="lt-LT"/>
        </w:rPr>
        <w:t xml:space="preserve">, žino savo finansinę situaciją ir įvertina, ar to produkto jam tikrai reikia. Hofstede (1995) pabrėžia, kad draudimo lygis šalyje priklauso nuo šalies kultūros, pasiryžimo naudotis draudimo paslaugomis, o tai žinoma priklauso nuo to </w:t>
      </w:r>
      <w:r w:rsidR="00687901">
        <w:rPr>
          <w:lang w:val="lt-LT"/>
        </w:rPr>
        <w:t xml:space="preserve">kiek yra susiduriama su rizika. </w:t>
      </w:r>
      <w:r w:rsidR="004C4026">
        <w:rPr>
          <w:lang w:val="lt-LT"/>
        </w:rPr>
        <w:t xml:space="preserve">Jau minėti </w:t>
      </w:r>
      <w:r w:rsidR="00687901">
        <w:rPr>
          <w:lang w:val="lt-LT"/>
        </w:rPr>
        <w:t xml:space="preserve">Esho </w:t>
      </w:r>
      <w:r w:rsidR="00823749">
        <w:rPr>
          <w:lang w:val="lt-LT"/>
        </w:rPr>
        <w:t xml:space="preserve">et al. </w:t>
      </w:r>
      <w:r w:rsidR="00687901">
        <w:rPr>
          <w:lang w:val="lt-LT"/>
        </w:rPr>
        <w:t>(2004)</w:t>
      </w:r>
      <w:r w:rsidR="004C4026">
        <w:rPr>
          <w:lang w:val="lt-LT"/>
        </w:rPr>
        <w:t xml:space="preserve"> į savo modelį</w:t>
      </w:r>
      <w:r w:rsidR="00687901">
        <w:rPr>
          <w:lang w:val="lt-LT"/>
        </w:rPr>
        <w:t xml:space="preserve"> įtraukė rizikos vengimą atitinkantį veiksnį ir gavo rezultatus, </w:t>
      </w:r>
      <w:r w:rsidRPr="00303A5A">
        <w:rPr>
          <w:lang w:val="lt-LT"/>
        </w:rPr>
        <w:t>kad rizikos vengimas turį svarbų poveikį turto bei nelaimingų atsitikimų draudimo paklausai.</w:t>
      </w:r>
    </w:p>
    <w:p w:rsidR="009803D7" w:rsidRPr="00303A5A" w:rsidRDefault="009803D7" w:rsidP="00310363">
      <w:pPr>
        <w:spacing w:line="360" w:lineRule="auto"/>
        <w:ind w:firstLine="567"/>
        <w:jc w:val="both"/>
        <w:rPr>
          <w:lang w:val="lt-LT"/>
        </w:rPr>
      </w:pPr>
      <w:r w:rsidRPr="00303A5A">
        <w:rPr>
          <w:lang w:val="lt-LT"/>
        </w:rPr>
        <w:lastRenderedPageBreak/>
        <w:t xml:space="preserve"> </w:t>
      </w:r>
      <w:r w:rsidR="004C4026">
        <w:rPr>
          <w:lang w:val="lt-LT"/>
        </w:rPr>
        <w:t>D</w:t>
      </w:r>
      <w:r w:rsidRPr="00303A5A">
        <w:rPr>
          <w:lang w:val="lt-LT"/>
        </w:rPr>
        <w:t xml:space="preserve">aug tyrimų </w:t>
      </w:r>
      <w:r w:rsidR="004C4026">
        <w:rPr>
          <w:lang w:val="lt-LT"/>
        </w:rPr>
        <w:t xml:space="preserve">yra atlikta </w:t>
      </w:r>
      <w:r w:rsidRPr="00303A5A">
        <w:rPr>
          <w:lang w:val="lt-LT"/>
        </w:rPr>
        <w:t>gyvybės draudimo srityje, kur</w:t>
      </w:r>
      <w:r w:rsidR="004C4026">
        <w:rPr>
          <w:lang w:val="lt-LT"/>
        </w:rPr>
        <w:t>iuose</w:t>
      </w:r>
      <w:r w:rsidRPr="00303A5A">
        <w:rPr>
          <w:lang w:val="lt-LT"/>
        </w:rPr>
        <w:t xml:space="preserve"> </w:t>
      </w:r>
      <w:r w:rsidR="004C4026">
        <w:rPr>
          <w:lang w:val="lt-LT"/>
        </w:rPr>
        <w:t>nagrinėjamas</w:t>
      </w:r>
      <w:r w:rsidRPr="00303A5A">
        <w:rPr>
          <w:lang w:val="lt-LT"/>
        </w:rPr>
        <w:t xml:space="preserve"> dar vienas aspektas, galintis įtakoti draudimo rinką – religija. Tyrimais buvo įrodyta, kad musulmoniškose šalyse parduodama mažiau gyvybės draudimo polisų. Tačiau</w:t>
      </w:r>
      <w:r w:rsidR="004C4026">
        <w:rPr>
          <w:lang w:val="lt-LT"/>
        </w:rPr>
        <w:t xml:space="preserve"> literatūroje, analizuojančioje ne gyvybės draudimo rinką </w:t>
      </w:r>
      <w:r w:rsidRPr="00303A5A">
        <w:rPr>
          <w:lang w:val="lt-LT"/>
        </w:rPr>
        <w:t>šis faktorius nebuvo plačiau patyrinėtas.</w:t>
      </w:r>
    </w:p>
    <w:p w:rsidR="00304577" w:rsidRDefault="009803D7" w:rsidP="00310363">
      <w:pPr>
        <w:spacing w:line="360" w:lineRule="auto"/>
        <w:ind w:firstLine="567"/>
        <w:jc w:val="both"/>
        <w:rPr>
          <w:lang w:val="lt-LT"/>
        </w:rPr>
      </w:pPr>
      <w:r w:rsidRPr="00303A5A">
        <w:rPr>
          <w:lang w:val="lt-LT"/>
        </w:rPr>
        <w:t>Remiantis teoriniais ne gyvybės draudimo paklausos modeliais, prie nustatytos rizikos ir duotos kainos draudimo paklausa auga dėl rizikos vengimo, tikimybės patirti nuostoliu</w:t>
      </w:r>
      <w:r w:rsidR="00687901">
        <w:rPr>
          <w:lang w:val="lt-LT"/>
        </w:rPr>
        <w:t>s ir taip rizikuoti savo turtu</w:t>
      </w:r>
      <w:r w:rsidRPr="00303A5A">
        <w:rPr>
          <w:lang w:val="lt-LT"/>
        </w:rPr>
        <w:t>(Szpiro 1985). Polinkis drausti atsiranda, jei individas yra apibūdinamas kaip turintis didesnį rizikos vengimo laipsnį. Remiantis Arrow (1971) dėl šios priežasties didėja draudimo paklausa. Vengimo rizkuoti lygis tiesiogiai koreliuoja su draudimo vartojimu valstybėje.</w:t>
      </w:r>
      <w:r w:rsidRPr="00303A5A">
        <w:rPr>
          <w:bCs/>
          <w:lang w:val="lt-LT"/>
        </w:rPr>
        <w:t xml:space="preserve"> </w:t>
      </w:r>
      <w:r w:rsidR="00D10019">
        <w:rPr>
          <w:bCs/>
          <w:lang w:val="lt-LT"/>
        </w:rPr>
        <w:t>Arrow (1971</w:t>
      </w:r>
      <w:r w:rsidRPr="00303A5A">
        <w:rPr>
          <w:bCs/>
          <w:lang w:val="lt-LT"/>
        </w:rPr>
        <w:t xml:space="preserve">) ir Szpiro (1985) parodė, kad teoriškai kuo didesnis nenoras rizikuoti, tuo didesnis apsidraudimo lygis. </w:t>
      </w:r>
      <w:r w:rsidR="00687901">
        <w:rPr>
          <w:bCs/>
          <w:lang w:val="lt-LT"/>
        </w:rPr>
        <w:t>Kiti panašūs darbai</w:t>
      </w:r>
      <w:r w:rsidRPr="00303A5A">
        <w:rPr>
          <w:bCs/>
          <w:lang w:val="lt-LT"/>
        </w:rPr>
        <w:t xml:space="preserve"> parodė, kuo žmogaus turtinė padėtis yra prastesnė, kuo didesnė nuostolio tikimybė bei aukštesnis rizikos vengimo laipsnis, tuo draudimo produktų bus parduota daugia</w:t>
      </w:r>
      <w:r w:rsidR="00304577">
        <w:rPr>
          <w:bCs/>
          <w:lang w:val="lt-LT"/>
        </w:rPr>
        <w:t>u. Vienas iš rizikos vengimo atitikmenų dažniausiai įtraukiamų į empirinius tyrinėjimus yra išsilavinimo lygis šalyje. Išsilavinimo lygis šalyje kelia piliečių sąmoningumą, išsilavinę žmonės pu</w:t>
      </w:r>
      <w:r w:rsidR="00E773A4">
        <w:rPr>
          <w:bCs/>
          <w:lang w:val="lt-LT"/>
        </w:rPr>
        <w:t xml:space="preserve">ikiai supranta draudimo reikšmę, bei žinoma daugiau uždirba, turi daugiau turto ir daugiau pajamų gali skirti draudimo produktams bei savo gerovei. Kai kurie autoriai nurodo, kad rizikos vengimo laipsniui apibūdinti tinka ir populiacijos amžiaus struktūra. Tačiau tai paneigė </w:t>
      </w:r>
      <w:r w:rsidR="00E773A4">
        <w:rPr>
          <w:lang w:val="lt-LT"/>
        </w:rPr>
        <w:t>įdomų tyrimą vykdę</w:t>
      </w:r>
      <w:r w:rsidR="00E773A4" w:rsidRPr="00303A5A">
        <w:rPr>
          <w:lang w:val="lt-LT"/>
        </w:rPr>
        <w:t xml:space="preserve"> Focarelli </w:t>
      </w:r>
      <w:r w:rsidR="00270B1A">
        <w:rPr>
          <w:lang w:val="lt-LT"/>
        </w:rPr>
        <w:t>et al.</w:t>
      </w:r>
      <w:r w:rsidR="00E773A4" w:rsidRPr="00303A5A">
        <w:rPr>
          <w:lang w:val="lt-LT"/>
        </w:rPr>
        <w:t xml:space="preserve"> (2004), kurie tyrė tikimybę pirkti draudimą dvejose grupėse</w:t>
      </w:r>
      <w:r w:rsidR="006756D6">
        <w:rPr>
          <w:lang w:val="lt-LT"/>
        </w:rPr>
        <w:t>:</w:t>
      </w:r>
      <w:r w:rsidR="00E773A4" w:rsidRPr="00303A5A">
        <w:rPr>
          <w:lang w:val="lt-LT"/>
        </w:rPr>
        <w:t xml:space="preserve"> sveikatos</w:t>
      </w:r>
      <w:r w:rsidR="0078159D">
        <w:rPr>
          <w:lang w:val="lt-LT"/>
        </w:rPr>
        <w:t xml:space="preserve"> draudime bei visose kitose ne gyvybės draudimo rūšyse. </w:t>
      </w:r>
      <w:r w:rsidR="00E773A4" w:rsidRPr="00303A5A">
        <w:rPr>
          <w:lang w:val="lt-LT"/>
        </w:rPr>
        <w:t>Jie rado, kad yra priklausomybė nuo pajamų, finansinio turto, išsilavinimo bei nuo to kuriam Italijos regionui priklauso – Šiaurės ar Centro</w:t>
      </w:r>
      <w:r w:rsidR="00E773A4">
        <w:rPr>
          <w:lang w:val="lt-LT"/>
        </w:rPr>
        <w:t>,</w:t>
      </w:r>
      <w:r w:rsidR="00E773A4" w:rsidRPr="00303A5A">
        <w:rPr>
          <w:lang w:val="lt-LT"/>
        </w:rPr>
        <w:t xml:space="preserve"> o nuo amžiaus priklausomybės nėra.</w:t>
      </w:r>
    </w:p>
    <w:p w:rsidR="00E773A4" w:rsidRDefault="00E773A4" w:rsidP="00310363">
      <w:pPr>
        <w:spacing w:line="360" w:lineRule="auto"/>
        <w:ind w:firstLine="567"/>
        <w:jc w:val="both"/>
        <w:rPr>
          <w:lang w:val="lt-LT"/>
        </w:rPr>
      </w:pPr>
      <w:r>
        <w:rPr>
          <w:lang w:val="lt-LT"/>
        </w:rPr>
        <w:t xml:space="preserve">Apibendrinant, daugelis autorių į savo vykdomus tyrimus įtraukė tuos pačius veiksnius, kurie gali daryti įtaką ne gyvybės draudimo rinkai. 1.3. lentelėje yra pateikta susisteminta informacija. </w:t>
      </w:r>
    </w:p>
    <w:p w:rsidR="003911D5" w:rsidRDefault="003911D5" w:rsidP="00310363">
      <w:pPr>
        <w:spacing w:line="360" w:lineRule="auto"/>
        <w:ind w:firstLine="567"/>
        <w:jc w:val="both"/>
        <w:rPr>
          <w:lang w:val="lt-LT"/>
        </w:rPr>
      </w:pPr>
      <w:r>
        <w:rPr>
          <w:lang w:val="lt-LT"/>
        </w:rPr>
        <w:t>Atlikta literatūros analizė parodė, kad draudimas yra labai svarbus šių dienų visuomenėje. Jis atlieka rizikos perkėlimo, sumažinimo padalinimo funkcijas. Ne gyvybės draudimas atlieka ypatingą vaidmenį, kadangi jis skirtas apsaugoti nuo rizikų kylančių turtui ir sveikatai, ir skirtas išlaikyti finansinį stabilumą draudiminio įvykio atveju. Ne gyvybės draudimo srityje buvo atlikti teoriniai bei empiriniai tyrimai, kuriais buvo siekiama nustatyti, kokie veiksniai daro įtaką ne gyvybės draudimo vartojimui. Skyriaus pabaigoje išskirti ir apibendrinti pagrindiniai veiksniai, kurie bus naudojami tolimesniame magistro baigiamojo darbo tyrime.</w:t>
      </w:r>
    </w:p>
    <w:p w:rsidR="001C1B8C" w:rsidRDefault="001C1B8C">
      <w:pPr>
        <w:rPr>
          <w:b/>
          <w:bCs/>
          <w:sz w:val="20"/>
          <w:szCs w:val="20"/>
          <w:lang w:val="lt-LT"/>
        </w:rPr>
      </w:pPr>
      <w:r>
        <w:rPr>
          <w:b/>
          <w:bCs/>
          <w:sz w:val="20"/>
          <w:szCs w:val="20"/>
          <w:lang w:val="lt-LT"/>
        </w:rPr>
        <w:br w:type="page"/>
      </w:r>
    </w:p>
    <w:p w:rsidR="003911D5" w:rsidRPr="00304577" w:rsidRDefault="003911D5" w:rsidP="00304577">
      <w:pPr>
        <w:spacing w:line="360" w:lineRule="auto"/>
        <w:ind w:firstLine="567"/>
        <w:jc w:val="both"/>
        <w:rPr>
          <w:b/>
          <w:bCs/>
          <w:sz w:val="20"/>
          <w:szCs w:val="20"/>
          <w:lang w:val="lt-LT"/>
        </w:rPr>
      </w:pPr>
    </w:p>
    <w:p w:rsidR="000E483C" w:rsidRPr="000E483C" w:rsidRDefault="00A4245B" w:rsidP="00CC4DA5">
      <w:pPr>
        <w:pStyle w:val="lentels"/>
      </w:pPr>
      <w:bookmarkStart w:id="39" w:name="_Toc309559971"/>
      <w:bookmarkStart w:id="40" w:name="_Toc310014781"/>
      <w:bookmarkStart w:id="41" w:name="_Toc311970990"/>
      <w:bookmarkStart w:id="42" w:name="_Toc311971820"/>
      <w:bookmarkStart w:id="43" w:name="_Toc311971876"/>
      <w:r>
        <w:t>1.3. l</w:t>
      </w:r>
      <w:r w:rsidR="000E483C" w:rsidRPr="000E483C">
        <w:t>entelė</w:t>
      </w:r>
      <w:r w:rsidR="009803D7" w:rsidRPr="000E483C">
        <w:t>. Ne gyvybės draudimo rinką veikiantys veiksniai</w:t>
      </w:r>
      <w:bookmarkEnd w:id="39"/>
      <w:bookmarkEnd w:id="40"/>
      <w:bookmarkEnd w:id="41"/>
      <w:bookmarkEnd w:id="42"/>
      <w:bookmarkEnd w:id="43"/>
    </w:p>
    <w:tbl>
      <w:tblPr>
        <w:tblStyle w:val="TableGrid"/>
        <w:tblW w:w="0" w:type="auto"/>
        <w:jc w:val="center"/>
        <w:tblInd w:w="-799" w:type="dxa"/>
        <w:tblLook w:val="04A0"/>
      </w:tblPr>
      <w:tblGrid>
        <w:gridCol w:w="3260"/>
        <w:gridCol w:w="5140"/>
      </w:tblGrid>
      <w:tr w:rsidR="009803D7" w:rsidRPr="00E12CFF" w:rsidTr="004C3AD6">
        <w:trPr>
          <w:jc w:val="center"/>
        </w:trPr>
        <w:tc>
          <w:tcPr>
            <w:tcW w:w="3260" w:type="dxa"/>
          </w:tcPr>
          <w:p w:rsidR="009803D7" w:rsidRPr="00303A5A" w:rsidRDefault="009803D7" w:rsidP="004C3AD6">
            <w:pPr>
              <w:spacing w:line="360" w:lineRule="auto"/>
              <w:rPr>
                <w:b/>
                <w:lang w:val="lt-LT"/>
              </w:rPr>
            </w:pPr>
            <w:r w:rsidRPr="00303A5A">
              <w:rPr>
                <w:b/>
                <w:lang w:val="lt-LT"/>
              </w:rPr>
              <w:t>Veiksniai</w:t>
            </w:r>
          </w:p>
        </w:tc>
        <w:tc>
          <w:tcPr>
            <w:tcW w:w="5140" w:type="dxa"/>
          </w:tcPr>
          <w:p w:rsidR="009803D7" w:rsidRPr="00303A5A" w:rsidRDefault="009803D7" w:rsidP="004C3AD6">
            <w:pPr>
              <w:spacing w:line="360" w:lineRule="auto"/>
              <w:rPr>
                <w:b/>
                <w:lang w:val="lt-LT"/>
              </w:rPr>
            </w:pPr>
            <w:r w:rsidRPr="00303A5A">
              <w:rPr>
                <w:b/>
                <w:lang w:val="lt-LT"/>
              </w:rPr>
              <w:t>Empiriniai tyrimai, kuriuose veiksnys minimas</w:t>
            </w:r>
          </w:p>
        </w:tc>
      </w:tr>
      <w:tr w:rsidR="009803D7" w:rsidRPr="00303A5A" w:rsidTr="004C3AD6">
        <w:trPr>
          <w:jc w:val="center"/>
        </w:trPr>
        <w:tc>
          <w:tcPr>
            <w:tcW w:w="3260" w:type="dxa"/>
          </w:tcPr>
          <w:p w:rsidR="009803D7" w:rsidRPr="00303A5A" w:rsidRDefault="004C4026" w:rsidP="007708B1">
            <w:pPr>
              <w:spacing w:line="360" w:lineRule="auto"/>
              <w:rPr>
                <w:lang w:val="lt-LT"/>
              </w:rPr>
            </w:pPr>
            <w:r>
              <w:rPr>
                <w:lang w:val="lt-LT"/>
              </w:rPr>
              <w:t xml:space="preserve">Pajamos </w:t>
            </w:r>
          </w:p>
        </w:tc>
        <w:tc>
          <w:tcPr>
            <w:tcW w:w="5140" w:type="dxa"/>
          </w:tcPr>
          <w:p w:rsidR="009803D7" w:rsidRPr="00303A5A" w:rsidRDefault="00270B1A" w:rsidP="004C3AD6">
            <w:pPr>
              <w:spacing w:line="360" w:lineRule="auto"/>
              <w:rPr>
                <w:lang w:val="lt-LT"/>
              </w:rPr>
            </w:pPr>
            <w:r>
              <w:rPr>
                <w:lang w:val="lt-LT"/>
              </w:rPr>
              <w:t>Beenstock et al.</w:t>
            </w:r>
            <w:r w:rsidR="009803D7" w:rsidRPr="00303A5A">
              <w:rPr>
                <w:lang w:val="lt-LT"/>
              </w:rPr>
              <w:t xml:space="preserve"> (1988)</w:t>
            </w:r>
          </w:p>
          <w:p w:rsidR="009803D7" w:rsidRPr="00303A5A" w:rsidRDefault="009803D7" w:rsidP="004C3AD6">
            <w:pPr>
              <w:spacing w:line="360" w:lineRule="auto"/>
              <w:rPr>
                <w:lang w:val="lt-LT"/>
              </w:rPr>
            </w:pPr>
            <w:r w:rsidRPr="00303A5A">
              <w:rPr>
                <w:lang w:val="lt-LT"/>
              </w:rPr>
              <w:t>Outreville (1990)</w:t>
            </w:r>
          </w:p>
          <w:p w:rsidR="009803D7" w:rsidRPr="00303A5A" w:rsidRDefault="009803D7" w:rsidP="004C3AD6">
            <w:pPr>
              <w:spacing w:line="360" w:lineRule="auto"/>
              <w:rPr>
                <w:lang w:val="lt-LT"/>
              </w:rPr>
            </w:pPr>
            <w:r w:rsidRPr="00303A5A">
              <w:rPr>
                <w:lang w:val="lt-LT"/>
              </w:rPr>
              <w:t xml:space="preserve">Browne </w:t>
            </w:r>
            <w:r w:rsidR="007B51D7">
              <w:rPr>
                <w:lang w:val="lt-LT"/>
              </w:rPr>
              <w:t>et al.</w:t>
            </w:r>
            <w:r w:rsidRPr="00303A5A">
              <w:rPr>
                <w:lang w:val="lt-LT"/>
              </w:rPr>
              <w:t xml:space="preserve"> (2000)</w:t>
            </w:r>
          </w:p>
          <w:p w:rsidR="009803D7" w:rsidRPr="00303A5A" w:rsidRDefault="009803D7" w:rsidP="00823749">
            <w:pPr>
              <w:spacing w:line="360" w:lineRule="auto"/>
              <w:rPr>
                <w:lang w:val="lt-LT"/>
              </w:rPr>
            </w:pPr>
            <w:r w:rsidRPr="00303A5A">
              <w:rPr>
                <w:lang w:val="lt-LT"/>
              </w:rPr>
              <w:t xml:space="preserve">Echo </w:t>
            </w:r>
            <w:r w:rsidR="00823749">
              <w:rPr>
                <w:lang w:val="lt-LT"/>
              </w:rPr>
              <w:t>et al.</w:t>
            </w:r>
            <w:r w:rsidRPr="00303A5A">
              <w:rPr>
                <w:lang w:val="lt-LT"/>
              </w:rPr>
              <w:t xml:space="preserve"> (2004)</w:t>
            </w:r>
          </w:p>
        </w:tc>
      </w:tr>
      <w:tr w:rsidR="009803D7" w:rsidRPr="007B51D7" w:rsidTr="004C3AD6">
        <w:trPr>
          <w:jc w:val="center"/>
        </w:trPr>
        <w:tc>
          <w:tcPr>
            <w:tcW w:w="3260" w:type="dxa"/>
          </w:tcPr>
          <w:p w:rsidR="009803D7" w:rsidRPr="00303A5A" w:rsidRDefault="009803D7" w:rsidP="004C3AD6">
            <w:pPr>
              <w:spacing w:line="360" w:lineRule="auto"/>
              <w:rPr>
                <w:lang w:val="lt-LT"/>
              </w:rPr>
            </w:pPr>
            <w:r w:rsidRPr="00303A5A">
              <w:rPr>
                <w:lang w:val="lt-LT"/>
              </w:rPr>
              <w:t>Draudimo kaina</w:t>
            </w:r>
          </w:p>
        </w:tc>
        <w:tc>
          <w:tcPr>
            <w:tcW w:w="5140" w:type="dxa"/>
          </w:tcPr>
          <w:p w:rsidR="009803D7" w:rsidRPr="00303A5A" w:rsidRDefault="009803D7" w:rsidP="004C3AD6">
            <w:pPr>
              <w:spacing w:line="360" w:lineRule="auto"/>
              <w:rPr>
                <w:lang w:val="lt-LT"/>
              </w:rPr>
            </w:pPr>
            <w:r w:rsidRPr="00303A5A">
              <w:rPr>
                <w:lang w:val="lt-LT"/>
              </w:rPr>
              <w:t>Outreville (1990)</w:t>
            </w:r>
          </w:p>
          <w:p w:rsidR="009803D7" w:rsidRPr="00303A5A" w:rsidRDefault="009803D7" w:rsidP="004C3AD6">
            <w:pPr>
              <w:spacing w:line="360" w:lineRule="auto"/>
              <w:rPr>
                <w:lang w:val="lt-LT"/>
              </w:rPr>
            </w:pPr>
            <w:r w:rsidRPr="00303A5A">
              <w:rPr>
                <w:lang w:val="lt-LT"/>
              </w:rPr>
              <w:t xml:space="preserve">Browne </w:t>
            </w:r>
            <w:r w:rsidR="007B51D7">
              <w:rPr>
                <w:lang w:val="lt-LT"/>
              </w:rPr>
              <w:t>et al.</w:t>
            </w:r>
            <w:r w:rsidRPr="00303A5A">
              <w:rPr>
                <w:lang w:val="lt-LT"/>
              </w:rPr>
              <w:t xml:space="preserve"> (2000)</w:t>
            </w:r>
          </w:p>
          <w:p w:rsidR="009803D7" w:rsidRPr="00303A5A" w:rsidRDefault="009803D7" w:rsidP="00823749">
            <w:pPr>
              <w:spacing w:line="360" w:lineRule="auto"/>
              <w:rPr>
                <w:lang w:val="lt-LT"/>
              </w:rPr>
            </w:pPr>
            <w:r w:rsidRPr="00303A5A">
              <w:rPr>
                <w:lang w:val="lt-LT"/>
              </w:rPr>
              <w:t xml:space="preserve">Echo </w:t>
            </w:r>
            <w:r w:rsidR="00823749">
              <w:rPr>
                <w:lang w:val="lt-LT"/>
              </w:rPr>
              <w:t>et al.</w:t>
            </w:r>
            <w:r w:rsidRPr="00303A5A">
              <w:rPr>
                <w:lang w:val="lt-LT"/>
              </w:rPr>
              <w:t xml:space="preserve"> (2004)</w:t>
            </w:r>
          </w:p>
        </w:tc>
      </w:tr>
      <w:tr w:rsidR="009803D7" w:rsidRPr="00303A5A" w:rsidTr="004C3AD6">
        <w:trPr>
          <w:jc w:val="center"/>
        </w:trPr>
        <w:tc>
          <w:tcPr>
            <w:tcW w:w="3260" w:type="dxa"/>
          </w:tcPr>
          <w:p w:rsidR="009803D7" w:rsidRPr="00303A5A" w:rsidRDefault="009803D7" w:rsidP="004C3AD6">
            <w:pPr>
              <w:spacing w:line="360" w:lineRule="auto"/>
              <w:rPr>
                <w:lang w:val="lt-LT"/>
              </w:rPr>
            </w:pPr>
            <w:r w:rsidRPr="00303A5A">
              <w:rPr>
                <w:lang w:val="lt-LT"/>
              </w:rPr>
              <w:t>Teisinė aplinka</w:t>
            </w:r>
          </w:p>
        </w:tc>
        <w:tc>
          <w:tcPr>
            <w:tcW w:w="5140" w:type="dxa"/>
          </w:tcPr>
          <w:p w:rsidR="009803D7" w:rsidRPr="00303A5A" w:rsidRDefault="009803D7" w:rsidP="004C3AD6">
            <w:pPr>
              <w:spacing w:line="360" w:lineRule="auto"/>
              <w:rPr>
                <w:lang w:val="lt-LT"/>
              </w:rPr>
            </w:pPr>
            <w:r w:rsidRPr="00303A5A">
              <w:rPr>
                <w:lang w:val="lt-LT"/>
              </w:rPr>
              <w:t xml:space="preserve">Browne </w:t>
            </w:r>
            <w:r w:rsidR="007B51D7">
              <w:rPr>
                <w:lang w:val="lt-LT"/>
              </w:rPr>
              <w:t>et al.</w:t>
            </w:r>
            <w:r w:rsidRPr="00303A5A">
              <w:rPr>
                <w:lang w:val="lt-LT"/>
              </w:rPr>
              <w:t xml:space="preserve"> (2000)</w:t>
            </w:r>
          </w:p>
          <w:p w:rsidR="009803D7" w:rsidRPr="00303A5A" w:rsidRDefault="009803D7" w:rsidP="00823749">
            <w:pPr>
              <w:spacing w:line="360" w:lineRule="auto"/>
              <w:rPr>
                <w:lang w:val="lt-LT"/>
              </w:rPr>
            </w:pPr>
            <w:r w:rsidRPr="00303A5A">
              <w:rPr>
                <w:lang w:val="lt-LT"/>
              </w:rPr>
              <w:t xml:space="preserve">Echo </w:t>
            </w:r>
            <w:r w:rsidR="00823749">
              <w:rPr>
                <w:lang w:val="lt-LT"/>
              </w:rPr>
              <w:t>et al.</w:t>
            </w:r>
            <w:r w:rsidRPr="00303A5A">
              <w:rPr>
                <w:lang w:val="lt-LT"/>
              </w:rPr>
              <w:t xml:space="preserve"> (2004)</w:t>
            </w:r>
          </w:p>
        </w:tc>
      </w:tr>
      <w:tr w:rsidR="009803D7" w:rsidRPr="00303A5A" w:rsidTr="004C3AD6">
        <w:trPr>
          <w:jc w:val="center"/>
        </w:trPr>
        <w:tc>
          <w:tcPr>
            <w:tcW w:w="3260" w:type="dxa"/>
          </w:tcPr>
          <w:p w:rsidR="009803D7" w:rsidRPr="00303A5A" w:rsidRDefault="009803D7" w:rsidP="004C3AD6">
            <w:pPr>
              <w:spacing w:line="360" w:lineRule="auto"/>
              <w:rPr>
                <w:lang w:val="lt-LT"/>
              </w:rPr>
            </w:pPr>
            <w:r w:rsidRPr="00303A5A">
              <w:rPr>
                <w:lang w:val="lt-LT"/>
              </w:rPr>
              <w:t>Rizikos vengimas</w:t>
            </w:r>
          </w:p>
        </w:tc>
        <w:tc>
          <w:tcPr>
            <w:tcW w:w="5140" w:type="dxa"/>
          </w:tcPr>
          <w:p w:rsidR="009803D7" w:rsidRPr="00303A5A" w:rsidRDefault="009803D7" w:rsidP="004C3AD6">
            <w:pPr>
              <w:spacing w:line="360" w:lineRule="auto"/>
              <w:rPr>
                <w:lang w:val="lt-LT"/>
              </w:rPr>
            </w:pPr>
            <w:r w:rsidRPr="00303A5A">
              <w:rPr>
                <w:lang w:val="lt-LT"/>
              </w:rPr>
              <w:t xml:space="preserve">Browne </w:t>
            </w:r>
            <w:r w:rsidR="007B51D7">
              <w:rPr>
                <w:lang w:val="lt-LT"/>
              </w:rPr>
              <w:t>et al.</w:t>
            </w:r>
            <w:r w:rsidRPr="00303A5A">
              <w:rPr>
                <w:lang w:val="lt-LT"/>
              </w:rPr>
              <w:t xml:space="preserve"> (2000)</w:t>
            </w:r>
          </w:p>
          <w:p w:rsidR="009803D7" w:rsidRPr="00303A5A" w:rsidRDefault="009803D7" w:rsidP="004C3AD6">
            <w:pPr>
              <w:spacing w:line="360" w:lineRule="auto"/>
              <w:rPr>
                <w:lang w:val="lt-LT"/>
              </w:rPr>
            </w:pPr>
            <w:r w:rsidRPr="00303A5A">
              <w:rPr>
                <w:lang w:val="lt-LT"/>
              </w:rPr>
              <w:t xml:space="preserve">Echo </w:t>
            </w:r>
            <w:r w:rsidR="00823749">
              <w:rPr>
                <w:lang w:val="lt-LT"/>
              </w:rPr>
              <w:t>et al.</w:t>
            </w:r>
            <w:r w:rsidRPr="00303A5A">
              <w:rPr>
                <w:lang w:val="lt-LT"/>
              </w:rPr>
              <w:t xml:space="preserve"> (2004)</w:t>
            </w:r>
          </w:p>
          <w:p w:rsidR="009803D7" w:rsidRPr="00303A5A" w:rsidRDefault="009803D7" w:rsidP="004C3AD6">
            <w:pPr>
              <w:spacing w:line="360" w:lineRule="auto"/>
              <w:rPr>
                <w:lang w:val="lt-LT"/>
              </w:rPr>
            </w:pPr>
            <w:r w:rsidRPr="00303A5A">
              <w:rPr>
                <w:lang w:val="lt-LT"/>
              </w:rPr>
              <w:t>Szipiro (1985)</w:t>
            </w:r>
          </w:p>
        </w:tc>
      </w:tr>
      <w:tr w:rsidR="009803D7" w:rsidRPr="00823749" w:rsidTr="004C3AD6">
        <w:trPr>
          <w:jc w:val="center"/>
        </w:trPr>
        <w:tc>
          <w:tcPr>
            <w:tcW w:w="3260" w:type="dxa"/>
          </w:tcPr>
          <w:p w:rsidR="009803D7" w:rsidRPr="00303A5A" w:rsidRDefault="009803D7" w:rsidP="004C3AD6">
            <w:pPr>
              <w:spacing w:line="360" w:lineRule="auto"/>
              <w:rPr>
                <w:lang w:val="lt-LT"/>
              </w:rPr>
            </w:pPr>
            <w:r w:rsidRPr="00303A5A">
              <w:rPr>
                <w:lang w:val="lt-LT"/>
              </w:rPr>
              <w:t>Išsilavinimas</w:t>
            </w:r>
          </w:p>
        </w:tc>
        <w:tc>
          <w:tcPr>
            <w:tcW w:w="5140" w:type="dxa"/>
          </w:tcPr>
          <w:p w:rsidR="009803D7" w:rsidRPr="00303A5A" w:rsidRDefault="009803D7" w:rsidP="004C3AD6">
            <w:pPr>
              <w:spacing w:line="360" w:lineRule="auto"/>
              <w:rPr>
                <w:lang w:val="lt-LT"/>
              </w:rPr>
            </w:pPr>
            <w:r w:rsidRPr="00303A5A">
              <w:rPr>
                <w:lang w:val="lt-LT"/>
              </w:rPr>
              <w:t>Outreville (1990)</w:t>
            </w:r>
          </w:p>
          <w:p w:rsidR="009803D7" w:rsidRDefault="009803D7" w:rsidP="004C3AD6">
            <w:pPr>
              <w:spacing w:line="360" w:lineRule="auto"/>
              <w:rPr>
                <w:lang w:val="lt-LT"/>
              </w:rPr>
            </w:pPr>
            <w:r w:rsidRPr="00303A5A">
              <w:rPr>
                <w:lang w:val="lt-LT"/>
              </w:rPr>
              <w:t xml:space="preserve">Echo </w:t>
            </w:r>
            <w:r w:rsidR="00823749">
              <w:rPr>
                <w:lang w:val="lt-LT"/>
              </w:rPr>
              <w:t>et al.</w:t>
            </w:r>
            <w:r w:rsidRPr="00303A5A">
              <w:rPr>
                <w:lang w:val="lt-LT"/>
              </w:rPr>
              <w:t xml:space="preserve"> (2004)</w:t>
            </w:r>
          </w:p>
          <w:p w:rsidR="00E773A4" w:rsidRPr="00303A5A" w:rsidRDefault="00E773A4" w:rsidP="00270B1A">
            <w:pPr>
              <w:spacing w:line="360" w:lineRule="auto"/>
              <w:rPr>
                <w:lang w:val="lt-LT"/>
              </w:rPr>
            </w:pPr>
            <w:r w:rsidRPr="00303A5A">
              <w:rPr>
                <w:lang w:val="lt-LT"/>
              </w:rPr>
              <w:t xml:space="preserve">Focarelli </w:t>
            </w:r>
            <w:r w:rsidR="00270B1A">
              <w:rPr>
                <w:lang w:val="lt-LT"/>
              </w:rPr>
              <w:t>et al.</w:t>
            </w:r>
            <w:r w:rsidRPr="00303A5A">
              <w:rPr>
                <w:lang w:val="lt-LT"/>
              </w:rPr>
              <w:t xml:space="preserve"> (2004)</w:t>
            </w:r>
            <w:r>
              <w:rPr>
                <w:lang w:val="lt-LT"/>
              </w:rPr>
              <w:t xml:space="preserve"> </w:t>
            </w:r>
          </w:p>
        </w:tc>
      </w:tr>
    </w:tbl>
    <w:p w:rsidR="009803D7" w:rsidRPr="000E483C" w:rsidRDefault="009803D7" w:rsidP="00F332D6">
      <w:pPr>
        <w:spacing w:line="360" w:lineRule="auto"/>
        <w:jc w:val="center"/>
        <w:rPr>
          <w:sz w:val="20"/>
          <w:szCs w:val="20"/>
          <w:lang w:val="lt-LT"/>
        </w:rPr>
      </w:pPr>
      <w:r w:rsidRPr="000E483C">
        <w:rPr>
          <w:sz w:val="20"/>
          <w:szCs w:val="20"/>
          <w:lang w:val="lt-LT"/>
        </w:rPr>
        <w:t>Šaltinis</w:t>
      </w:r>
      <w:r w:rsidR="006756D6">
        <w:rPr>
          <w:sz w:val="20"/>
          <w:szCs w:val="20"/>
          <w:lang w:val="lt-LT"/>
        </w:rPr>
        <w:t>:</w:t>
      </w:r>
      <w:r w:rsidRPr="000E483C">
        <w:rPr>
          <w:sz w:val="20"/>
          <w:szCs w:val="20"/>
          <w:lang w:val="lt-LT"/>
        </w:rPr>
        <w:t xml:space="preserve"> sudaryta autorės remiantis literatūros analize.</w:t>
      </w:r>
    </w:p>
    <w:p w:rsidR="009803D7" w:rsidRPr="00303A5A" w:rsidRDefault="009803D7" w:rsidP="00F332D6">
      <w:pPr>
        <w:spacing w:line="360" w:lineRule="auto"/>
        <w:ind w:firstLine="567"/>
        <w:jc w:val="both"/>
        <w:rPr>
          <w:lang w:val="lt-LT"/>
        </w:rPr>
      </w:pPr>
      <w:r w:rsidRPr="00303A5A">
        <w:rPr>
          <w:lang w:val="lt-LT"/>
        </w:rPr>
        <w:br w:type="page"/>
      </w:r>
    </w:p>
    <w:p w:rsidR="00F332D6" w:rsidRDefault="00A60CE6" w:rsidP="0088708F">
      <w:pPr>
        <w:pStyle w:val="Style1-h1"/>
      </w:pPr>
      <w:bookmarkStart w:id="44" w:name="_Toc311971357"/>
      <w:bookmarkStart w:id="45" w:name="_Toc311971546"/>
      <w:bookmarkStart w:id="46" w:name="_Toc311971692"/>
      <w:bookmarkStart w:id="47" w:name="_Toc309559972"/>
      <w:r w:rsidRPr="0088708F">
        <w:lastRenderedPageBreak/>
        <w:t>2.</w:t>
      </w:r>
      <w:r w:rsidR="000D2310">
        <w:t xml:space="preserve"> L</w:t>
      </w:r>
      <w:r w:rsidR="0088708F" w:rsidRPr="0088708F">
        <w:t>IETUVOS NE GYVYBĖS DRAUDIMO RINKOS VERTINIMO METODŲ PAGRINDIMAS</w:t>
      </w:r>
      <w:bookmarkEnd w:id="44"/>
      <w:bookmarkEnd w:id="45"/>
      <w:bookmarkEnd w:id="46"/>
      <w:r w:rsidR="0088708F" w:rsidRPr="0088708F">
        <w:t xml:space="preserve"> </w:t>
      </w:r>
      <w:r w:rsidRPr="0088708F">
        <w:t xml:space="preserve"> </w:t>
      </w:r>
      <w:bookmarkEnd w:id="47"/>
    </w:p>
    <w:p w:rsidR="003911D5" w:rsidRPr="0088708F" w:rsidRDefault="003911D5" w:rsidP="0088708F">
      <w:pPr>
        <w:pStyle w:val="Style1-h1"/>
      </w:pPr>
    </w:p>
    <w:p w:rsidR="00DF2F54" w:rsidRDefault="00F332D6" w:rsidP="004C0E5F">
      <w:pPr>
        <w:pStyle w:val="Style1-h2"/>
      </w:pPr>
      <w:bookmarkStart w:id="48" w:name="_Toc311971358"/>
      <w:bookmarkStart w:id="49" w:name="_Toc311971547"/>
      <w:bookmarkStart w:id="50" w:name="_Toc311971693"/>
      <w:r>
        <w:t xml:space="preserve">2.1. </w:t>
      </w:r>
      <w:r w:rsidR="00762B43">
        <w:t>Liet</w:t>
      </w:r>
      <w:r w:rsidR="0088708F">
        <w:t>uvos ne gyvybės draudimo rinkai įtaką darančių veiksnių vertinimo metodo pasirinkimas</w:t>
      </w:r>
      <w:bookmarkEnd w:id="48"/>
      <w:bookmarkEnd w:id="49"/>
      <w:bookmarkEnd w:id="50"/>
    </w:p>
    <w:p w:rsidR="00F332D6" w:rsidRDefault="00762B43" w:rsidP="00310363">
      <w:pPr>
        <w:spacing w:line="360" w:lineRule="auto"/>
        <w:ind w:firstLine="567"/>
        <w:jc w:val="both"/>
        <w:rPr>
          <w:lang w:val="lt-LT"/>
        </w:rPr>
      </w:pPr>
      <w:r>
        <w:rPr>
          <w:lang w:val="lt-LT"/>
        </w:rPr>
        <w:t>Tyrimo tikslas – apibrėžti pagrindinius veiksnius, kurie daro įtaką Lietuvos ne gyvybės draudimo rinkai. Lie</w:t>
      </w:r>
      <w:r w:rsidR="004C4026">
        <w:rPr>
          <w:lang w:val="lt-LT"/>
        </w:rPr>
        <w:t>tuvos ne gyvybės draudimo rinkai</w:t>
      </w:r>
      <w:r>
        <w:rPr>
          <w:lang w:val="lt-LT"/>
        </w:rPr>
        <w:t xml:space="preserve"> apibrėžti buvo pasirinkta</w:t>
      </w:r>
      <w:r w:rsidR="004C4026">
        <w:rPr>
          <w:lang w:val="lt-LT"/>
        </w:rPr>
        <w:t xml:space="preserve"> nagrinėti pasirašytas įmokas</w:t>
      </w:r>
      <w:r>
        <w:rPr>
          <w:lang w:val="lt-LT"/>
        </w:rPr>
        <w:t>. Draudimo rinkos situacija apibūdina tokie rodikliai kaip tan</w:t>
      </w:r>
      <w:r w:rsidR="00DF2F54">
        <w:rPr>
          <w:lang w:val="lt-LT"/>
        </w:rPr>
        <w:t>kis arba s</w:t>
      </w:r>
      <w:r w:rsidR="0078159D">
        <w:rPr>
          <w:lang w:val="lt-LT"/>
        </w:rPr>
        <w:t>k</w:t>
      </w:r>
      <w:r w:rsidR="00DF2F54">
        <w:rPr>
          <w:lang w:val="lt-LT"/>
        </w:rPr>
        <w:t>varba, bet pasirinkti</w:t>
      </w:r>
      <w:r>
        <w:rPr>
          <w:lang w:val="lt-LT"/>
        </w:rPr>
        <w:t xml:space="preserve"> nagrinėti pasirašytas draudimo įmokas ne gyvybės draudime paskatino duomenų prieinamumas bei galimybė nagrinėti ketvirtinius duomenis.</w:t>
      </w:r>
    </w:p>
    <w:p w:rsidR="00762B43" w:rsidRDefault="00DF2F54" w:rsidP="00310363">
      <w:pPr>
        <w:spacing w:line="360" w:lineRule="auto"/>
        <w:ind w:firstLine="567"/>
        <w:jc w:val="both"/>
        <w:rPr>
          <w:lang w:val="lt-LT"/>
        </w:rPr>
      </w:pPr>
      <w:r>
        <w:rPr>
          <w:lang w:val="lt-LT"/>
        </w:rPr>
        <w:t>Teorinėje dalyje buvo aptarti</w:t>
      </w:r>
      <w:r w:rsidR="00762B43">
        <w:rPr>
          <w:lang w:val="lt-LT"/>
        </w:rPr>
        <w:t xml:space="preserve"> tyrimai, kuriuose buvo nagrinėjami įvairūs veiksniai galintys daryti įtaką n</w:t>
      </w:r>
      <w:r>
        <w:rPr>
          <w:lang w:val="lt-LT"/>
        </w:rPr>
        <w:t>e</w:t>
      </w:r>
      <w:r w:rsidR="00762B43">
        <w:rPr>
          <w:lang w:val="lt-LT"/>
        </w:rPr>
        <w:t xml:space="preserve"> gyvybės draudimo rinkai, tačiau vieningos nuomonės nėra prieita. Ir nėra bendros tyrimo metodologijos, kokie veiksniai gali daryti įtaką gyvybės ar ne gyvybės draudimo rinkoms.</w:t>
      </w:r>
    </w:p>
    <w:p w:rsidR="00762B43" w:rsidRDefault="00762B43" w:rsidP="00310363">
      <w:pPr>
        <w:spacing w:line="360" w:lineRule="auto"/>
        <w:ind w:firstLine="567"/>
        <w:jc w:val="both"/>
        <w:rPr>
          <w:lang w:val="lt-LT"/>
        </w:rPr>
      </w:pPr>
      <w:r>
        <w:rPr>
          <w:lang w:val="lt-LT"/>
        </w:rPr>
        <w:t>Draudimo tiek gyvybės tiek ne gyvybės rinkų teoriniams ir empiriniams tyrim</w:t>
      </w:r>
      <w:r w:rsidR="0078159D">
        <w:rPr>
          <w:lang w:val="lt-LT"/>
        </w:rPr>
        <w:t>ams taikoma daug įvairių metodų:</w:t>
      </w:r>
      <w:r>
        <w:rPr>
          <w:lang w:val="lt-LT"/>
        </w:rPr>
        <w:t xml:space="preserve"> </w:t>
      </w:r>
      <w:r w:rsidR="0078159D">
        <w:rPr>
          <w:lang w:val="lt-LT"/>
        </w:rPr>
        <w:t>mažųjų kvadratų metodas, ekonometrinis</w:t>
      </w:r>
      <w:r>
        <w:rPr>
          <w:lang w:val="lt-LT"/>
        </w:rPr>
        <w:t xml:space="preserve"> laiko eilučių, arba panelinių duomenų ekonometrinė analizė. </w:t>
      </w:r>
      <w:r w:rsidR="00DF2F54">
        <w:rPr>
          <w:lang w:val="lt-LT"/>
        </w:rPr>
        <w:t xml:space="preserve">Kadangi šio tyrimo objektas Lietuvos ne gyvybės draudimo rinkoje pasirašytos įmokos, tai tyrimas bus atliekamas naudojant regresinę analizę mažiausių kvadratų metodu. Šis metodas pasirinktas todėl, kad galima įvertinti kiek kiekvienas pasirinktas veiksnys daro įtaką atskirai ir kaip veikia </w:t>
      </w:r>
      <w:r w:rsidR="007708B1">
        <w:rPr>
          <w:lang w:val="lt-LT"/>
        </w:rPr>
        <w:t xml:space="preserve">kartu </w:t>
      </w:r>
      <w:r w:rsidR="00DF2F54">
        <w:rPr>
          <w:lang w:val="lt-LT"/>
        </w:rPr>
        <w:t>su kitais veiksniais.</w:t>
      </w:r>
    </w:p>
    <w:p w:rsidR="00DF2F54" w:rsidRDefault="00DF2F54" w:rsidP="00310363">
      <w:pPr>
        <w:spacing w:line="360" w:lineRule="auto"/>
        <w:ind w:firstLine="567"/>
        <w:jc w:val="both"/>
        <w:rPr>
          <w:lang w:val="lt-LT"/>
        </w:rPr>
      </w:pPr>
      <w:r>
        <w:rPr>
          <w:lang w:val="lt-LT"/>
        </w:rPr>
        <w:t>Analizuojant veiksnius, kuriuos būtų galima įtraukti į tyrimą susiduriama su problema, kad tam tikrą veiksnį aptartą teorijoje, norint įtraukti į modelį</w:t>
      </w:r>
      <w:r w:rsidR="00604F2A">
        <w:rPr>
          <w:lang w:val="lt-LT"/>
        </w:rPr>
        <w:t xml:space="preserve"> reikia rasti tinkamą matuojamą atitikmenį. T.y.</w:t>
      </w:r>
      <w:r w:rsidR="009D2699">
        <w:rPr>
          <w:lang w:val="lt-LT"/>
        </w:rPr>
        <w:t xml:space="preserve"> rasti geriausią aproksimaciją. Todėl </w:t>
      </w:r>
      <w:r w:rsidR="007708B1">
        <w:rPr>
          <w:lang w:val="lt-LT"/>
        </w:rPr>
        <w:t>sudarant tyrimo modelį buvo nustatyti</w:t>
      </w:r>
      <w:r w:rsidR="009D2699">
        <w:rPr>
          <w:lang w:val="lt-LT"/>
        </w:rPr>
        <w:t xml:space="preserve"> galimi veiksniai, kurie bus įtraukti į regresinę analizę.</w:t>
      </w:r>
    </w:p>
    <w:p w:rsidR="002672E2" w:rsidRDefault="009D2699" w:rsidP="00310363">
      <w:pPr>
        <w:spacing w:line="360" w:lineRule="auto"/>
        <w:ind w:firstLine="567"/>
        <w:jc w:val="both"/>
        <w:rPr>
          <w:lang w:val="lt-LT"/>
        </w:rPr>
      </w:pPr>
      <w:r>
        <w:rPr>
          <w:lang w:val="lt-LT"/>
        </w:rPr>
        <w:t>Atsižvelgiant į gerėjančią ekonominę situacija šalyje ir didėjančias pajamas, išlaidos draudimui turi di</w:t>
      </w:r>
      <w:r w:rsidR="0078159D">
        <w:rPr>
          <w:lang w:val="lt-LT"/>
        </w:rPr>
        <w:t>dėti, t.y. pasirašytų įmokų suma</w:t>
      </w:r>
      <w:r>
        <w:rPr>
          <w:lang w:val="lt-LT"/>
        </w:rPr>
        <w:t xml:space="preserve"> turi augti. Ekonominei situacijai aprašyti įvairiuose tyrimuose </w:t>
      </w:r>
      <w:r w:rsidR="005D6E60">
        <w:rPr>
          <w:lang w:val="lt-LT"/>
        </w:rPr>
        <w:t>naudojami įvairūs veiksniai, kaip BVP, BNP (bendras nacionalinis produktas), vidutinis darbo užmokestis ir panašiai. T</w:t>
      </w:r>
      <w:r>
        <w:rPr>
          <w:lang w:val="lt-LT"/>
        </w:rPr>
        <w:t>ikintis teigiamos priklausomybės, įtrauktas BVP vienam gyventojui, kaip matas atspindintis ekonominę situaciją šalyje.</w:t>
      </w:r>
      <w:r w:rsidR="005D6E60">
        <w:rPr>
          <w:lang w:val="lt-LT"/>
        </w:rPr>
        <w:t xml:space="preserve"> Dar vienas veiksnys, kuris buvo pasirinktas ekonominei situacijai aprašyti – nedarbo lygis šalyje. Tikimasi, kad priklausomybė tarp nedarbo bei pasirašytų įmokų ne gyvybės draudime bus atvirkštinė – didėjant nedarbo lygiui, ne gyvybės draudimo rinka mažėja. Hussels </w:t>
      </w:r>
      <w:r w:rsidR="00270B1A">
        <w:rPr>
          <w:lang w:val="lt-LT"/>
        </w:rPr>
        <w:t>et al.</w:t>
      </w:r>
      <w:r w:rsidR="005D6E60">
        <w:rPr>
          <w:lang w:val="lt-LT"/>
        </w:rPr>
        <w:t xml:space="preserve"> (2005) savo darbe konstatuoja, kad į sąrašą ekonominių veiksnių darančių įtaką draudimo augimui reikia įtraukti infliacijos lygį šalyje. Remiantis šia informacija, buvo pasirinkta į modelį įtraukti vartotojų kainų indeksą, kaip atitikmenį infliacijos lygiui šalyje.</w:t>
      </w:r>
    </w:p>
    <w:p w:rsidR="00EF2979" w:rsidRDefault="00EF2979" w:rsidP="00310363">
      <w:pPr>
        <w:spacing w:line="360" w:lineRule="auto"/>
        <w:ind w:firstLine="567"/>
        <w:jc w:val="both"/>
        <w:rPr>
          <w:lang w:val="lt-LT"/>
        </w:rPr>
      </w:pPr>
      <w:r>
        <w:rPr>
          <w:lang w:val="lt-LT"/>
        </w:rPr>
        <w:lastRenderedPageBreak/>
        <w:t xml:space="preserve">Svarbus veiksnys minimas visuose teorijoje analizuotose tyrimuose yra rizikos vengimo lygis šalyje. Autoriai siūlo rizikos vengimo lygiui šalyje matuoti pasirinkti amžiaus struktūrą šalyje arba išsilavinimo lygį šalyje. Remiantis Browne </w:t>
      </w:r>
      <w:r w:rsidR="00823749">
        <w:rPr>
          <w:lang w:val="lt-LT"/>
        </w:rPr>
        <w:t>et al.</w:t>
      </w:r>
      <w:r>
        <w:rPr>
          <w:lang w:val="lt-LT"/>
        </w:rPr>
        <w:t xml:space="preserve"> (2000) atliktu tyrimu</w:t>
      </w:r>
      <w:r w:rsidR="0078159D">
        <w:rPr>
          <w:lang w:val="lt-LT"/>
        </w:rPr>
        <w:t>, magistrantės nuomone</w:t>
      </w:r>
      <w:r>
        <w:rPr>
          <w:lang w:val="lt-LT"/>
        </w:rPr>
        <w:t xml:space="preserve"> į modelį </w:t>
      </w:r>
      <w:r w:rsidR="0078159D">
        <w:rPr>
          <w:lang w:val="lt-LT"/>
        </w:rPr>
        <w:t xml:space="preserve">reikia </w:t>
      </w:r>
      <w:r w:rsidR="008B2D90">
        <w:rPr>
          <w:lang w:val="lt-LT"/>
        </w:rPr>
        <w:t>įtraukti išsilavinimo lygį šalyje, t.y. vidurinį ir aukštesnį išsilavinimą įgijusio jaunimo (20-24 metų) dalis.</w:t>
      </w:r>
    </w:p>
    <w:p w:rsidR="00984056" w:rsidRDefault="00984056" w:rsidP="00310363">
      <w:pPr>
        <w:spacing w:line="360" w:lineRule="auto"/>
        <w:ind w:firstLine="567"/>
        <w:jc w:val="both"/>
        <w:rPr>
          <w:lang w:val="lt-LT"/>
        </w:rPr>
      </w:pPr>
      <w:r>
        <w:rPr>
          <w:lang w:val="lt-LT"/>
        </w:rPr>
        <w:t xml:space="preserve">Esho </w:t>
      </w:r>
      <w:r w:rsidR="00823749">
        <w:rPr>
          <w:lang w:val="lt-LT"/>
        </w:rPr>
        <w:t>et al.</w:t>
      </w:r>
      <w:r>
        <w:rPr>
          <w:lang w:val="lt-LT"/>
        </w:rPr>
        <w:t xml:space="preserve"> (2004) savo tyrime į modelį įtraukė vagysčių skaičių šalyje, kaip atitikmenį tikimybei patirti nuostolį. Ne gyvybės draudimo paklausa turi būti tiesiogiai susijusi su tikimybe patirti nuostolį. Kadangi Lietuvos ne gyvybės draudimo rinkos daugiau nei 50 proc. sudaro transporto priemonių draudimas (tiek savanoriškas tiek privalomas) į modelį buvo pasirinkta įtrau</w:t>
      </w:r>
      <w:r w:rsidR="007708B1">
        <w:rPr>
          <w:lang w:val="lt-LT"/>
        </w:rPr>
        <w:t>kti kelių eismo įvykių skaičių</w:t>
      </w:r>
      <w:r>
        <w:rPr>
          <w:lang w:val="lt-LT"/>
        </w:rPr>
        <w:t xml:space="preserve"> šalyje.</w:t>
      </w:r>
    </w:p>
    <w:p w:rsidR="006C19F1" w:rsidRDefault="00136E46" w:rsidP="00310363">
      <w:pPr>
        <w:spacing w:line="360" w:lineRule="auto"/>
        <w:ind w:firstLine="567"/>
        <w:jc w:val="both"/>
        <w:rPr>
          <w:lang w:val="lt-LT"/>
        </w:rPr>
      </w:pPr>
      <w:r>
        <w:rPr>
          <w:lang w:val="lt-LT"/>
        </w:rPr>
        <w:t>Poreikis drausti</w:t>
      </w:r>
      <w:r w:rsidR="0078159D">
        <w:rPr>
          <w:lang w:val="lt-LT"/>
        </w:rPr>
        <w:t>s</w:t>
      </w:r>
      <w:r>
        <w:rPr>
          <w:lang w:val="lt-LT"/>
        </w:rPr>
        <w:t xml:space="preserve"> atsiranda tada, kai yra turimas turtas. Todėl į modelį papildomai buvo įtraukti tokie kintamieji, kaip pirmą kartą užregistruotų transporto priemonių skaičius šalyje, naujai pastatytų butų skaičius šalyje bei išduotos </w:t>
      </w:r>
      <w:r w:rsidR="007708B1">
        <w:rPr>
          <w:lang w:val="lt-LT"/>
        </w:rPr>
        <w:t xml:space="preserve">būsto </w:t>
      </w:r>
      <w:r>
        <w:rPr>
          <w:lang w:val="lt-LT"/>
        </w:rPr>
        <w:t>paskolos namų ūkiams (likutis litais). Būtent šie rodikliai pasirinkti, kadangi transporto priemonių draudimas bei turto draudimas sudaro didžiąją dalį Lietuvos ne gyvybės draudimo rinkos. Išduotų paskolų suma pasirinkta atsižvelgiant į tai, kad už paimtą paskolą yra įsigyta tu</w:t>
      </w:r>
      <w:r w:rsidR="006C19F1">
        <w:rPr>
          <w:lang w:val="lt-LT"/>
        </w:rPr>
        <w:t>rto, kuris gali būti apdraustas.</w:t>
      </w:r>
    </w:p>
    <w:p w:rsidR="006C19F1" w:rsidRDefault="00F76197" w:rsidP="00310363">
      <w:pPr>
        <w:spacing w:line="360" w:lineRule="auto"/>
        <w:ind w:firstLine="567"/>
        <w:jc w:val="both"/>
        <w:rPr>
          <w:lang w:val="lt-LT"/>
        </w:rPr>
      </w:pPr>
      <w:r>
        <w:rPr>
          <w:lang w:val="lt-LT"/>
        </w:rPr>
        <w:t>Lietuvos ne gyvybės draudimo rinka sudaryta iš trijų didžiausių draudimo grupių</w:t>
      </w:r>
      <w:r w:rsidR="006756D6">
        <w:rPr>
          <w:lang w:val="lt-LT"/>
        </w:rPr>
        <w:t>:</w:t>
      </w:r>
      <w:r>
        <w:rPr>
          <w:lang w:val="lt-LT"/>
        </w:rPr>
        <w:t xml:space="preserve"> TPVCA privalomasis draudimas, transporto priemonių draudimas bei turto draudimas. </w:t>
      </w:r>
      <w:r w:rsidR="00B20A57">
        <w:rPr>
          <w:lang w:val="lt-LT"/>
        </w:rPr>
        <w:t xml:space="preserve">Magistrantės nuomone bei remiantis literatūros analize yra tikslinga </w:t>
      </w:r>
      <w:r>
        <w:rPr>
          <w:lang w:val="lt-LT"/>
        </w:rPr>
        <w:t xml:space="preserve">sudaryti tris modelius, kuriais </w:t>
      </w:r>
      <w:r w:rsidR="00B20A57">
        <w:rPr>
          <w:lang w:val="lt-LT"/>
        </w:rPr>
        <w:t>bus siekiama</w:t>
      </w:r>
      <w:r>
        <w:rPr>
          <w:lang w:val="lt-LT"/>
        </w:rPr>
        <w:t xml:space="preserve"> nustatyti kokie veiksniai daro įtaką visai Lietuvos ne gyvybės draudimo rinkai, transporto priemonių draudimo rinkai bei turto draudimo rinkai į analizę įtraukiant anksčiau pasirinktus veiksnius.</w:t>
      </w:r>
    </w:p>
    <w:p w:rsidR="003911D5" w:rsidRDefault="003911D5" w:rsidP="006C19F1">
      <w:pPr>
        <w:spacing w:line="360" w:lineRule="auto"/>
        <w:ind w:firstLine="567"/>
        <w:jc w:val="both"/>
        <w:rPr>
          <w:lang w:val="lt-LT"/>
        </w:rPr>
      </w:pPr>
    </w:p>
    <w:p w:rsidR="005D617C" w:rsidRDefault="00F332D6" w:rsidP="004C0E5F">
      <w:pPr>
        <w:pStyle w:val="Style1-h2"/>
      </w:pPr>
      <w:bookmarkStart w:id="51" w:name="_Toc311971359"/>
      <w:bookmarkStart w:id="52" w:name="_Toc311971548"/>
      <w:bookmarkStart w:id="53" w:name="_Toc311971694"/>
      <w:r>
        <w:t xml:space="preserve">2.2. </w:t>
      </w:r>
      <w:r w:rsidR="00267C43">
        <w:t>Ekspertinio vertinimo metodo pasirinkimo pagrindimas</w:t>
      </w:r>
      <w:bookmarkEnd w:id="51"/>
      <w:bookmarkEnd w:id="52"/>
      <w:bookmarkEnd w:id="53"/>
    </w:p>
    <w:p w:rsidR="00267C43" w:rsidRDefault="00267C43" w:rsidP="004C0E5F">
      <w:pPr>
        <w:spacing w:line="360" w:lineRule="auto"/>
        <w:jc w:val="both"/>
        <w:rPr>
          <w:lang w:val="lt-LT"/>
        </w:rPr>
      </w:pPr>
    </w:p>
    <w:p w:rsidR="005D617C" w:rsidRDefault="00C94E53" w:rsidP="00310363">
      <w:pPr>
        <w:spacing w:line="360" w:lineRule="auto"/>
        <w:ind w:firstLine="567"/>
        <w:jc w:val="both"/>
        <w:rPr>
          <w:lang w:val="lt-LT"/>
        </w:rPr>
      </w:pPr>
      <w:r>
        <w:rPr>
          <w:lang w:val="lt-LT"/>
        </w:rPr>
        <w:t>Viena iš tyrimo dalių – ekonometrinis modelis į kurį bus įtraukiami veiksniai aptarti 2.1. skyriuje. Tačiau t</w:t>
      </w:r>
      <w:r w:rsidR="005D617C" w:rsidRPr="00303A5A">
        <w:rPr>
          <w:lang w:val="lt-LT"/>
        </w:rPr>
        <w:t>eorijoje apžvelgtuose straipsniuose buvo išskiriami tokie faktoriai kaip religija, kultūra, teisinė sistema ir kt.</w:t>
      </w:r>
      <w:r w:rsidR="008B0582">
        <w:rPr>
          <w:lang w:val="lt-LT"/>
        </w:rPr>
        <w:t xml:space="preserve"> Kadangi baigiamojo magistrinio darbo</w:t>
      </w:r>
      <w:r w:rsidR="005D617C" w:rsidRPr="00303A5A">
        <w:rPr>
          <w:lang w:val="lt-LT"/>
        </w:rPr>
        <w:t xml:space="preserve"> </w:t>
      </w:r>
      <w:r w:rsidR="008B0582">
        <w:rPr>
          <w:lang w:val="lt-LT"/>
        </w:rPr>
        <w:t xml:space="preserve">tyrimo objektas </w:t>
      </w:r>
      <w:r w:rsidR="005D617C" w:rsidRPr="00303A5A">
        <w:rPr>
          <w:lang w:val="lt-LT"/>
        </w:rPr>
        <w:t xml:space="preserve">tik vienos valstybės </w:t>
      </w:r>
      <w:r w:rsidR="008B0582">
        <w:rPr>
          <w:lang w:val="lt-LT"/>
        </w:rPr>
        <w:t>ne gyvybės draudimo rinka, tai įtraukti šiuos veiksnius į modelį sudėtinga.</w:t>
      </w:r>
      <w:r w:rsidR="005D617C" w:rsidRPr="00303A5A">
        <w:rPr>
          <w:lang w:val="lt-LT"/>
        </w:rPr>
        <w:t xml:space="preserve"> </w:t>
      </w:r>
      <w:r w:rsidR="0078159D">
        <w:rPr>
          <w:lang w:val="lt-LT"/>
        </w:rPr>
        <w:t xml:space="preserve">Kadangi gyventojų išsilavinimo lygis šalyje gali būti susijęs su rizikos vengimo lygiu (labiau išsilavinę žmonės </w:t>
      </w:r>
      <w:r w:rsidR="00603EE9">
        <w:rPr>
          <w:lang w:val="lt-LT"/>
        </w:rPr>
        <w:t xml:space="preserve">geriau </w:t>
      </w:r>
      <w:r w:rsidR="0078159D">
        <w:rPr>
          <w:lang w:val="lt-LT"/>
        </w:rPr>
        <w:t xml:space="preserve">supranta draudimo naudą ir yra mažiau linkę rizikuoti), šis rodiklis buvo įtrauktas </w:t>
      </w:r>
      <w:r w:rsidR="005D617C" w:rsidRPr="00303A5A">
        <w:rPr>
          <w:lang w:val="lt-LT"/>
        </w:rPr>
        <w:t xml:space="preserve">į </w:t>
      </w:r>
      <w:r>
        <w:rPr>
          <w:lang w:val="lt-LT"/>
        </w:rPr>
        <w:t>regresinę analizę</w:t>
      </w:r>
      <w:r w:rsidR="005D617C" w:rsidRPr="00303A5A">
        <w:rPr>
          <w:lang w:val="lt-LT"/>
        </w:rPr>
        <w:t>.</w:t>
      </w:r>
      <w:r w:rsidR="008B0582">
        <w:rPr>
          <w:lang w:val="lt-LT"/>
        </w:rPr>
        <w:t xml:space="preserve"> Tačiau, galbūt ir kiti veiksniai ne mažiau reikšmingi?</w:t>
      </w:r>
      <w:r w:rsidR="005D617C" w:rsidRPr="00303A5A">
        <w:rPr>
          <w:lang w:val="lt-LT"/>
        </w:rPr>
        <w:t xml:space="preserve"> </w:t>
      </w:r>
      <w:r>
        <w:rPr>
          <w:lang w:val="lt-LT"/>
        </w:rPr>
        <w:t>Norint atlikti išsamų Lietuvos ne gyvybės draudimo rinkai įtaką darančių veiksnių vertinimą buvo iškeltas toks klausimas</w:t>
      </w:r>
      <w:r w:rsidR="006756D6">
        <w:rPr>
          <w:lang w:val="lt-LT"/>
        </w:rPr>
        <w:t>:</w:t>
      </w:r>
      <w:r>
        <w:rPr>
          <w:lang w:val="lt-LT"/>
        </w:rPr>
        <w:t xml:space="preserve"> „</w:t>
      </w:r>
      <w:r w:rsidR="005D617C" w:rsidRPr="00303A5A">
        <w:rPr>
          <w:lang w:val="lt-LT"/>
        </w:rPr>
        <w:t>O kaip išmatuoti kitus veiksnius</w:t>
      </w:r>
      <w:r>
        <w:rPr>
          <w:lang w:val="lt-LT"/>
        </w:rPr>
        <w:t xml:space="preserve">, kurie neįtraukti į regresinę analizę </w:t>
      </w:r>
      <w:r w:rsidR="005D617C" w:rsidRPr="00303A5A">
        <w:rPr>
          <w:lang w:val="lt-LT"/>
        </w:rPr>
        <w:t xml:space="preserve">? </w:t>
      </w:r>
    </w:p>
    <w:p w:rsidR="007708B1" w:rsidRDefault="00C94E53" w:rsidP="00310363">
      <w:pPr>
        <w:spacing w:line="360" w:lineRule="auto"/>
        <w:ind w:firstLine="567"/>
        <w:jc w:val="both"/>
        <w:rPr>
          <w:lang w:val="lt-LT"/>
        </w:rPr>
      </w:pPr>
      <w:r>
        <w:rPr>
          <w:lang w:val="lt-LT"/>
        </w:rPr>
        <w:lastRenderedPageBreak/>
        <w:t>Norint atsakyti į išsikeltą klausimą buvo atlikta literatūros analizė</w:t>
      </w:r>
      <w:r w:rsidR="00C45E38">
        <w:rPr>
          <w:lang w:val="lt-LT"/>
        </w:rPr>
        <w:t>, apžvelgti įvairiuose tyrimuose naudojami metodai</w:t>
      </w:r>
      <w:r w:rsidR="0001163A">
        <w:rPr>
          <w:lang w:val="lt-LT"/>
        </w:rPr>
        <w:t xml:space="preserve"> ir buvo nuspręsta pasitelkti ekspertinio vertinimo metodą. </w:t>
      </w:r>
      <w:r w:rsidR="00267C43" w:rsidRPr="00303A5A">
        <w:rPr>
          <w:lang w:val="lt-LT"/>
        </w:rPr>
        <w:t xml:space="preserve">Ekspertinio vertinimo metodai naudojami įvairiems tyrimams atlikti (Maskeliūnaitė,2009; Banaitienė, 2006). Ekspertiniam vertinimui atlikti reikalingos specialios žinios ir patirtis tiriamoje srityje, kurį turi tik aukščiausios rūšies specialistai. </w:t>
      </w:r>
      <w:r w:rsidR="007708B1" w:rsidRPr="007708B1">
        <w:rPr>
          <w:sz w:val="23"/>
          <w:szCs w:val="23"/>
          <w:lang w:val="lt-LT"/>
        </w:rPr>
        <w:t>Ekspertai – asmenys, kurie d</w:t>
      </w:r>
      <w:r w:rsidR="007708B1">
        <w:rPr>
          <w:rFonts w:ascii="TTE1799C40t00" w:eastAsia="TTE1799C40t00" w:cs="TTE1799C40t00"/>
          <w:sz w:val="23"/>
          <w:szCs w:val="23"/>
          <w:lang w:val="lt-LT"/>
        </w:rPr>
        <w:t>ė</w:t>
      </w:r>
      <w:r w:rsidR="007708B1" w:rsidRPr="007708B1">
        <w:rPr>
          <w:sz w:val="23"/>
          <w:szCs w:val="23"/>
          <w:lang w:val="lt-LT"/>
        </w:rPr>
        <w:t>l savo</w:t>
      </w:r>
      <w:r w:rsidR="007708B1">
        <w:rPr>
          <w:sz w:val="23"/>
          <w:szCs w:val="23"/>
          <w:lang w:val="lt-LT"/>
        </w:rPr>
        <w:t xml:space="preserve"> </w:t>
      </w:r>
      <w:r w:rsidR="007708B1" w:rsidRPr="007708B1">
        <w:rPr>
          <w:sz w:val="23"/>
          <w:szCs w:val="23"/>
          <w:lang w:val="lt-LT"/>
        </w:rPr>
        <w:t>profesin</w:t>
      </w:r>
      <w:r w:rsidR="007708B1">
        <w:rPr>
          <w:rFonts w:ascii="TTE1799C40t00" w:eastAsia="TTE1799C40t00" w:cs="TTE1799C40t00"/>
          <w:sz w:val="23"/>
          <w:szCs w:val="23"/>
          <w:lang w:val="lt-LT"/>
        </w:rPr>
        <w:t>ė</w:t>
      </w:r>
      <w:r w:rsidR="007708B1" w:rsidRPr="007708B1">
        <w:rPr>
          <w:sz w:val="23"/>
          <w:szCs w:val="23"/>
          <w:lang w:val="lt-LT"/>
        </w:rPr>
        <w:t>s ir gyvenimo patirties turi didžiausi</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kompetencij</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ir patikim</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bei pakankamai išsami</w:t>
      </w:r>
      <w:r w:rsidR="007708B1" w:rsidRPr="007708B1">
        <w:rPr>
          <w:rFonts w:ascii="TTE1799C40t00" w:eastAsia="TTE1799C40t00" w:cs="TTE1799C40t00" w:hint="eastAsia"/>
          <w:sz w:val="23"/>
          <w:szCs w:val="23"/>
          <w:lang w:val="lt-LT"/>
        </w:rPr>
        <w:t>ą</w:t>
      </w:r>
      <w:r w:rsidR="007708B1">
        <w:rPr>
          <w:rFonts w:ascii="TTE1799C40t00" w:eastAsia="TTE1799C40t00" w:cs="TTE1799C40t00"/>
          <w:sz w:val="23"/>
          <w:szCs w:val="23"/>
          <w:lang w:val="lt-LT"/>
        </w:rPr>
        <w:t xml:space="preserve"> </w:t>
      </w:r>
      <w:r w:rsidR="007708B1" w:rsidRPr="007708B1">
        <w:rPr>
          <w:sz w:val="23"/>
          <w:szCs w:val="23"/>
          <w:lang w:val="lt-LT"/>
        </w:rPr>
        <w:t>informacij</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apie tiriam</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problem</w:t>
      </w:r>
      <w:r w:rsidR="007708B1" w:rsidRPr="007708B1">
        <w:rPr>
          <w:rFonts w:ascii="TTE1799C40t00" w:eastAsia="TTE1799C40t00" w:cs="TTE1799C40t00" w:hint="eastAsia"/>
          <w:sz w:val="23"/>
          <w:szCs w:val="23"/>
          <w:lang w:val="lt-LT"/>
        </w:rPr>
        <w:t>ą</w:t>
      </w:r>
      <w:r w:rsidR="007708B1" w:rsidRPr="007708B1">
        <w:rPr>
          <w:sz w:val="23"/>
          <w:szCs w:val="23"/>
          <w:lang w:val="lt-LT"/>
        </w:rPr>
        <w:t>. Iš j</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sidRPr="007708B1">
        <w:rPr>
          <w:sz w:val="23"/>
          <w:szCs w:val="23"/>
          <w:lang w:val="lt-LT"/>
        </w:rPr>
        <w:t>tyr</w:t>
      </w:r>
      <w:r w:rsidR="007708B1">
        <w:rPr>
          <w:rFonts w:ascii="TTE1799C40t00" w:eastAsia="TTE1799C40t00" w:cs="TTE1799C40t00"/>
          <w:sz w:val="23"/>
          <w:szCs w:val="23"/>
          <w:lang w:val="lt-LT"/>
        </w:rPr>
        <w:t>ė</w:t>
      </w:r>
      <w:r w:rsidR="007708B1" w:rsidRPr="007708B1">
        <w:rPr>
          <w:sz w:val="23"/>
          <w:szCs w:val="23"/>
          <w:lang w:val="lt-LT"/>
        </w:rPr>
        <w:t>jas gali gauti maksimali</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ir detali</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informacij</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apie tiriam</w:t>
      </w:r>
      <w:r w:rsidR="007708B1" w:rsidRPr="007708B1">
        <w:rPr>
          <w:rFonts w:ascii="TTE1799C40t00" w:eastAsia="TTE1799C40t00" w:cs="TTE1799C40t00" w:hint="eastAsia"/>
          <w:sz w:val="23"/>
          <w:szCs w:val="23"/>
          <w:lang w:val="lt-LT"/>
        </w:rPr>
        <w:t>ą</w:t>
      </w:r>
      <w:r w:rsidR="007708B1">
        <w:rPr>
          <w:rFonts w:ascii="TTE1799C40t00" w:eastAsia="TTE1799C40t00" w:cs="TTE1799C40t00"/>
          <w:sz w:val="23"/>
          <w:szCs w:val="23"/>
          <w:lang w:val="lt-LT"/>
        </w:rPr>
        <w:t xml:space="preserve"> </w:t>
      </w:r>
      <w:r w:rsidR="007708B1" w:rsidRPr="007708B1">
        <w:rPr>
          <w:sz w:val="23"/>
          <w:szCs w:val="23"/>
          <w:lang w:val="lt-LT"/>
        </w:rPr>
        <w:t>objekt</w:t>
      </w:r>
      <w:r w:rsidR="007708B1" w:rsidRPr="007708B1">
        <w:rPr>
          <w:rFonts w:ascii="TTE1799C40t00" w:eastAsia="TTE1799C40t00" w:cs="TTE1799C40t00" w:hint="eastAsia"/>
          <w:sz w:val="23"/>
          <w:szCs w:val="23"/>
          <w:lang w:val="lt-LT"/>
        </w:rPr>
        <w:t>ą</w:t>
      </w:r>
      <w:r w:rsidR="007708B1" w:rsidRPr="007708B1">
        <w:rPr>
          <w:sz w:val="23"/>
          <w:szCs w:val="23"/>
          <w:lang w:val="lt-LT"/>
        </w:rPr>
        <w:t xml:space="preserve">, aptarti ir patikrinti tyrimo hipotezes, </w:t>
      </w:r>
      <w:r w:rsidR="007708B1" w:rsidRPr="007708B1">
        <w:rPr>
          <w:rFonts w:ascii="TTE1799C40t00" w:eastAsia="TTE1799C40t00" w:cs="TTE1799C40t00" w:hint="eastAsia"/>
          <w:sz w:val="23"/>
          <w:szCs w:val="23"/>
          <w:lang w:val="lt-LT"/>
        </w:rPr>
        <w:t>į</w:t>
      </w:r>
      <w:r w:rsidR="007708B1" w:rsidRPr="007708B1">
        <w:rPr>
          <w:sz w:val="23"/>
          <w:szCs w:val="23"/>
          <w:lang w:val="lt-LT"/>
        </w:rPr>
        <w:t xml:space="preserve">vertinti </w:t>
      </w:r>
      <w:r w:rsidR="007708B1" w:rsidRPr="007708B1">
        <w:rPr>
          <w:rFonts w:ascii="TTE1799C40t00" w:eastAsia="TTE1799C40t00" w:cs="TTE1799C40t00" w:hint="eastAsia"/>
          <w:sz w:val="23"/>
          <w:szCs w:val="23"/>
          <w:lang w:val="lt-LT"/>
        </w:rPr>
        <w:t>į</w:t>
      </w:r>
      <w:r w:rsidR="007708B1" w:rsidRPr="007708B1">
        <w:rPr>
          <w:sz w:val="23"/>
          <w:szCs w:val="23"/>
          <w:lang w:val="lt-LT"/>
        </w:rPr>
        <w:t>vairias tyrimo metodikas, susidaryti tikslesn</w:t>
      </w:r>
      <w:r w:rsidR="007708B1" w:rsidRPr="007708B1">
        <w:rPr>
          <w:rFonts w:ascii="TTE1799C40t00" w:eastAsia="TTE1799C40t00" w:cs="TTE1799C40t00" w:hint="eastAsia"/>
          <w:sz w:val="23"/>
          <w:szCs w:val="23"/>
          <w:lang w:val="lt-LT"/>
        </w:rPr>
        <w:t>ę</w:t>
      </w:r>
      <w:r w:rsidR="007708B1">
        <w:rPr>
          <w:rFonts w:ascii="TTE1799C40t00" w:eastAsia="TTE1799C40t00" w:cs="TTE1799C40t00"/>
          <w:sz w:val="23"/>
          <w:szCs w:val="23"/>
          <w:lang w:val="lt-LT"/>
        </w:rPr>
        <w:t xml:space="preserve"> </w:t>
      </w:r>
      <w:r w:rsidR="007708B1" w:rsidRPr="007708B1">
        <w:rPr>
          <w:sz w:val="23"/>
          <w:szCs w:val="23"/>
          <w:lang w:val="lt-LT"/>
        </w:rPr>
        <w:t>tyrimo proceso program</w:t>
      </w:r>
      <w:r w:rsidR="007708B1" w:rsidRPr="007708B1">
        <w:rPr>
          <w:rFonts w:ascii="TTE1799C40t00" w:eastAsia="TTE1799C40t00" w:cs="TTE1799C40t00" w:hint="eastAsia"/>
          <w:sz w:val="23"/>
          <w:szCs w:val="23"/>
          <w:lang w:val="lt-LT"/>
        </w:rPr>
        <w:t>ą</w:t>
      </w:r>
      <w:r w:rsidR="007708B1" w:rsidRPr="007708B1">
        <w:rPr>
          <w:sz w:val="23"/>
          <w:szCs w:val="23"/>
          <w:lang w:val="lt-LT"/>
        </w:rPr>
        <w:t>. Ekspert</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sidRPr="007708B1">
        <w:rPr>
          <w:sz w:val="23"/>
          <w:szCs w:val="23"/>
          <w:lang w:val="lt-LT"/>
        </w:rPr>
        <w:t>vertinimo metodo esm</w:t>
      </w:r>
      <w:r w:rsidR="007708B1">
        <w:rPr>
          <w:rFonts w:ascii="TTE1799C40t00" w:eastAsia="TTE1799C40t00" w:cs="TTE1799C40t00"/>
          <w:sz w:val="23"/>
          <w:szCs w:val="23"/>
          <w:lang w:val="lt-LT"/>
        </w:rPr>
        <w:t>ė</w:t>
      </w:r>
      <w:r w:rsidR="007708B1" w:rsidRPr="007708B1">
        <w:rPr>
          <w:rFonts w:ascii="TTE1799C40t00" w:eastAsia="TTE1799C40t00" w:cs="TTE1799C40t00"/>
          <w:sz w:val="23"/>
          <w:szCs w:val="23"/>
          <w:lang w:val="lt-LT"/>
        </w:rPr>
        <w:t xml:space="preserve"> </w:t>
      </w:r>
      <w:r w:rsidR="007708B1" w:rsidRPr="007708B1">
        <w:rPr>
          <w:sz w:val="23"/>
          <w:szCs w:val="23"/>
          <w:lang w:val="lt-LT"/>
        </w:rPr>
        <w:t>– ekspertai logiškai analizuoja kuri</w:t>
      </w:r>
      <w:r w:rsidR="007708B1" w:rsidRPr="007708B1">
        <w:rPr>
          <w:rFonts w:ascii="TTE1799C40t00" w:eastAsia="TTE1799C40t00" w:cs="TTE1799C40t00" w:hint="eastAsia"/>
          <w:sz w:val="23"/>
          <w:szCs w:val="23"/>
          <w:lang w:val="lt-LT"/>
        </w:rPr>
        <w:t>ą</w:t>
      </w:r>
      <w:r w:rsidR="007708B1" w:rsidRPr="007708B1">
        <w:rPr>
          <w:rFonts w:ascii="TTE1799C40t00" w:eastAsia="TTE1799C40t00" w:cs="TTE1799C40t00"/>
          <w:sz w:val="23"/>
          <w:szCs w:val="23"/>
          <w:lang w:val="lt-LT"/>
        </w:rPr>
        <w:t xml:space="preserve"> </w:t>
      </w:r>
      <w:r w:rsidR="007708B1" w:rsidRPr="007708B1">
        <w:rPr>
          <w:sz w:val="23"/>
          <w:szCs w:val="23"/>
          <w:lang w:val="lt-LT"/>
        </w:rPr>
        <w:t>nors</w:t>
      </w:r>
      <w:r w:rsidR="007708B1">
        <w:rPr>
          <w:sz w:val="23"/>
          <w:szCs w:val="23"/>
          <w:lang w:val="lt-LT"/>
        </w:rPr>
        <w:t xml:space="preserve"> </w:t>
      </w:r>
      <w:r w:rsidR="007708B1" w:rsidRPr="007708B1">
        <w:rPr>
          <w:sz w:val="23"/>
          <w:szCs w:val="23"/>
          <w:lang w:val="lt-LT"/>
        </w:rPr>
        <w:t>problem</w:t>
      </w:r>
      <w:r w:rsidR="007708B1" w:rsidRPr="007708B1">
        <w:rPr>
          <w:rFonts w:ascii="TTE1799C40t00" w:eastAsia="TTE1799C40t00" w:cs="TTE1799C40t00" w:hint="eastAsia"/>
          <w:sz w:val="23"/>
          <w:szCs w:val="23"/>
          <w:lang w:val="lt-LT"/>
        </w:rPr>
        <w:t>ą</w:t>
      </w:r>
      <w:r w:rsidR="007708B1" w:rsidRPr="007708B1">
        <w:rPr>
          <w:sz w:val="23"/>
          <w:szCs w:val="23"/>
          <w:lang w:val="lt-LT"/>
        </w:rPr>
        <w:t>, kiekybiškai vertindami ir formaliai apdorodami duomenis. Pagal ekspert</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sidRPr="007708B1">
        <w:rPr>
          <w:sz w:val="23"/>
          <w:szCs w:val="23"/>
          <w:lang w:val="lt-LT"/>
        </w:rPr>
        <w:t>vertinimus</w:t>
      </w:r>
      <w:r w:rsidR="007708B1">
        <w:rPr>
          <w:sz w:val="23"/>
          <w:szCs w:val="23"/>
          <w:lang w:val="lt-LT"/>
        </w:rPr>
        <w:t xml:space="preserve"> </w:t>
      </w:r>
      <w:r w:rsidR="007708B1" w:rsidRPr="007708B1">
        <w:rPr>
          <w:sz w:val="23"/>
          <w:szCs w:val="23"/>
          <w:lang w:val="lt-LT"/>
        </w:rPr>
        <w:t>nustatomas j</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sidRPr="007708B1">
        <w:rPr>
          <w:sz w:val="23"/>
          <w:szCs w:val="23"/>
          <w:lang w:val="lt-LT"/>
        </w:rPr>
        <w:t>nuomoni</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Pr>
          <w:sz w:val="23"/>
          <w:szCs w:val="23"/>
          <w:lang w:val="lt-LT"/>
        </w:rPr>
        <w:t>atitikimo laipsnis ti</w:t>
      </w:r>
      <w:r w:rsidR="007708B1" w:rsidRPr="007708B1">
        <w:rPr>
          <w:sz w:val="23"/>
          <w:szCs w:val="23"/>
          <w:lang w:val="lt-LT"/>
        </w:rPr>
        <w:t>riamuoju klausimu bei ekspert</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sidRPr="007708B1">
        <w:rPr>
          <w:sz w:val="23"/>
          <w:szCs w:val="23"/>
          <w:lang w:val="lt-LT"/>
        </w:rPr>
        <w:t>išvad</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sidRPr="007708B1">
        <w:rPr>
          <w:sz w:val="23"/>
          <w:szCs w:val="23"/>
          <w:lang w:val="lt-LT"/>
        </w:rPr>
        <w:t>objektyvumas, kur</w:t>
      </w:r>
      <w:r w:rsidR="007708B1" w:rsidRPr="007708B1">
        <w:rPr>
          <w:rFonts w:ascii="TTE1799C40t00" w:eastAsia="TTE1799C40t00" w:cs="TTE1799C40t00" w:hint="eastAsia"/>
          <w:sz w:val="23"/>
          <w:szCs w:val="23"/>
          <w:lang w:val="lt-LT"/>
        </w:rPr>
        <w:t>į</w:t>
      </w:r>
      <w:r w:rsidR="007708B1">
        <w:rPr>
          <w:rFonts w:ascii="TTE1799C40t00" w:eastAsia="TTE1799C40t00" w:cs="TTE1799C40t00"/>
          <w:sz w:val="23"/>
          <w:szCs w:val="23"/>
          <w:lang w:val="lt-LT"/>
        </w:rPr>
        <w:t xml:space="preserve"> </w:t>
      </w:r>
      <w:r w:rsidR="007708B1" w:rsidRPr="007708B1">
        <w:rPr>
          <w:sz w:val="23"/>
          <w:szCs w:val="23"/>
          <w:lang w:val="lt-LT"/>
        </w:rPr>
        <w:t>lemia esminiai, real</w:t>
      </w:r>
      <w:r w:rsidR="007708B1" w:rsidRPr="007708B1">
        <w:rPr>
          <w:rFonts w:ascii="TTE1799C40t00" w:eastAsia="TTE1799C40t00" w:cs="TTE1799C40t00" w:hint="eastAsia"/>
          <w:sz w:val="23"/>
          <w:szCs w:val="23"/>
          <w:lang w:val="lt-LT"/>
        </w:rPr>
        <w:t>ū</w:t>
      </w:r>
      <w:r w:rsidR="007708B1" w:rsidRPr="007708B1">
        <w:rPr>
          <w:sz w:val="23"/>
          <w:szCs w:val="23"/>
          <w:lang w:val="lt-LT"/>
        </w:rPr>
        <w:t>s fakt</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sidRPr="007708B1">
        <w:rPr>
          <w:sz w:val="23"/>
          <w:szCs w:val="23"/>
          <w:lang w:val="lt-LT"/>
        </w:rPr>
        <w:t>ir reiškini</w:t>
      </w:r>
      <w:r w:rsidR="007708B1" w:rsidRPr="007708B1">
        <w:rPr>
          <w:rFonts w:ascii="TTE1799C40t00" w:eastAsia="TTE1799C40t00" w:cs="TTE1799C40t00" w:hint="eastAsia"/>
          <w:sz w:val="23"/>
          <w:szCs w:val="23"/>
          <w:lang w:val="lt-LT"/>
        </w:rPr>
        <w:t>ų</w:t>
      </w:r>
      <w:r w:rsidR="007708B1" w:rsidRPr="007708B1">
        <w:rPr>
          <w:rFonts w:ascii="TTE1799C40t00" w:eastAsia="TTE1799C40t00" w:cs="TTE1799C40t00"/>
          <w:sz w:val="23"/>
          <w:szCs w:val="23"/>
          <w:lang w:val="lt-LT"/>
        </w:rPr>
        <w:t xml:space="preserve"> </w:t>
      </w:r>
      <w:r w:rsidR="007708B1" w:rsidRPr="007708B1">
        <w:rPr>
          <w:sz w:val="23"/>
          <w:szCs w:val="23"/>
          <w:lang w:val="lt-LT"/>
        </w:rPr>
        <w:t>ryšiai (K. Kardelis, 2007, p. 206-207).</w:t>
      </w:r>
      <w:r w:rsidR="007708B1">
        <w:rPr>
          <w:lang w:val="lt-LT"/>
        </w:rPr>
        <w:t xml:space="preserve"> </w:t>
      </w:r>
    </w:p>
    <w:p w:rsidR="00267C43" w:rsidRPr="00303A5A" w:rsidRDefault="005D3A3E" w:rsidP="00310363">
      <w:pPr>
        <w:spacing w:line="360" w:lineRule="auto"/>
        <w:ind w:firstLine="567"/>
        <w:jc w:val="both"/>
        <w:rPr>
          <w:lang w:val="lt-LT"/>
        </w:rPr>
      </w:pPr>
      <w:r>
        <w:rPr>
          <w:lang w:val="lt-LT"/>
        </w:rPr>
        <w:t>Magistrantės nuomone, š</w:t>
      </w:r>
      <w:r w:rsidR="0001163A">
        <w:rPr>
          <w:lang w:val="lt-LT"/>
        </w:rPr>
        <w:t>į metodą galima taikyti</w:t>
      </w:r>
      <w:r w:rsidR="00267C43" w:rsidRPr="00303A5A">
        <w:rPr>
          <w:lang w:val="lt-LT"/>
        </w:rPr>
        <w:t xml:space="preserve"> atliekant ne gyvybės draudimo rinką veikiančių veiksnių </w:t>
      </w:r>
      <w:r>
        <w:rPr>
          <w:lang w:val="lt-LT"/>
        </w:rPr>
        <w:t>vertinimą.</w:t>
      </w:r>
    </w:p>
    <w:p w:rsidR="00A60CE6" w:rsidRPr="00303A5A" w:rsidRDefault="00A60CE6" w:rsidP="00F332D6">
      <w:pPr>
        <w:pStyle w:val="Heading1"/>
        <w:jc w:val="center"/>
        <w:rPr>
          <w:rFonts w:ascii="Times New Roman" w:hAnsi="Times New Roman"/>
          <w:color w:val="000000" w:themeColor="text1"/>
          <w:sz w:val="24"/>
          <w:lang w:val="lt-LT"/>
        </w:rPr>
      </w:pPr>
      <w:r w:rsidRPr="00303A5A">
        <w:rPr>
          <w:rFonts w:ascii="Times New Roman" w:hAnsi="Times New Roman"/>
          <w:color w:val="000000" w:themeColor="text1"/>
          <w:sz w:val="24"/>
          <w:lang w:val="lt-LT"/>
        </w:rPr>
        <w:br w:type="page"/>
      </w:r>
    </w:p>
    <w:p w:rsidR="00A60CE6" w:rsidRDefault="00A60CE6" w:rsidP="005D4E5F">
      <w:pPr>
        <w:pStyle w:val="Style1-h1"/>
      </w:pPr>
      <w:bookmarkStart w:id="54" w:name="_Toc309559973"/>
      <w:bookmarkStart w:id="55" w:name="_Toc311971360"/>
      <w:bookmarkStart w:id="56" w:name="_Toc311971549"/>
      <w:bookmarkStart w:id="57" w:name="_Toc311971695"/>
      <w:r w:rsidRPr="00303A5A">
        <w:lastRenderedPageBreak/>
        <w:t>3. NE GYVYBĖS DRAUDIMO RINKAI ĮTAKĄ DARANČIŲ VEIKSNIŲ VERTINIMAS</w:t>
      </w:r>
      <w:bookmarkEnd w:id="54"/>
      <w:bookmarkEnd w:id="55"/>
      <w:bookmarkEnd w:id="56"/>
      <w:bookmarkEnd w:id="57"/>
    </w:p>
    <w:p w:rsidR="003911D5" w:rsidRPr="00303A5A" w:rsidRDefault="003911D5" w:rsidP="005D4E5F">
      <w:pPr>
        <w:pStyle w:val="Style1-h1"/>
      </w:pPr>
    </w:p>
    <w:p w:rsidR="005A2023" w:rsidRPr="00303A5A" w:rsidRDefault="00A60CE6" w:rsidP="004C0E5F">
      <w:pPr>
        <w:pStyle w:val="Style1-h2"/>
      </w:pPr>
      <w:bookmarkStart w:id="58" w:name="_Toc311971361"/>
      <w:bookmarkStart w:id="59" w:name="_Toc311971550"/>
      <w:bookmarkStart w:id="60" w:name="_Toc311971696"/>
      <w:r w:rsidRPr="00303A5A">
        <w:t>3.1. Lietuvos ne gyvybės draudimo rinkos apžvalga</w:t>
      </w:r>
      <w:bookmarkEnd w:id="58"/>
      <w:bookmarkEnd w:id="59"/>
      <w:bookmarkEnd w:id="60"/>
    </w:p>
    <w:p w:rsidR="005A2023" w:rsidRPr="00303A5A" w:rsidRDefault="005A2023" w:rsidP="00310363">
      <w:pPr>
        <w:spacing w:line="360" w:lineRule="auto"/>
        <w:ind w:firstLine="567"/>
        <w:jc w:val="both"/>
        <w:rPr>
          <w:lang w:val="lt-LT"/>
        </w:rPr>
      </w:pPr>
      <w:r w:rsidRPr="00303A5A">
        <w:rPr>
          <w:lang w:val="lt-LT"/>
        </w:rPr>
        <w:t xml:space="preserve">Manoma, kad draudimo veikla prasidėjo dar Lietuvos Didžiosios Kunigaikštystės laikais. Tačiau draudimas kaip verslas, anot daugelio šaltinių, atsirado tik XIX amžiuje. Lietuva buvo Rusijos dalimi ir čia veikė tie patys įstatymai. 1835 metais buvo įkurta gyvybės draudimo įmonė „Gyvenimas“, taip pat veikė transporto draudimu užsiimanti akcinė bendrovė „Viltis“. Vėliau buvo pradėtos kurti savitarpio draudimo draugijos, kurios pirmiausia vienijo stambiuosius žemės savininkus. Prie draudimo veiklos prisijungusios valstybinės taupomosios kasos specializavosi gyvybės draudimo srityje. Atkuriant Lietuvos ūkį buvo puikiai suprantama, kad draudimo vaidmuo labai svarbus valstybėje, todėl prie Prekybos ir pramonės ministerijos įkuriami Draudimo skyrius bei Draudimo reikalų inspekcija. 1921 buvo įkurta Valstybinė apdraudimo įstaiga, kuri draudė </w:t>
      </w:r>
      <w:r w:rsidR="00B4098B">
        <w:rPr>
          <w:lang w:val="lt-LT"/>
        </w:rPr>
        <w:t>pastatus</w:t>
      </w:r>
      <w:r w:rsidRPr="00303A5A">
        <w:rPr>
          <w:lang w:val="lt-LT"/>
        </w:rPr>
        <w:t>, gyvulius pašarus, žmogaus gyvybę. Tais pačiais metais įkuriama akcinė bendrovė „Lietuva“, kuri aptarnavo nemažą rinkos dalį. Paskutiniaisiais Lietuvos nepriklausomybės metais veikė 6 draudimo kompanijos, kurios prasidėjus Sovietų valdžiai tapo pavaldžios TSRS valdymo struktūroms. Lietuvos valstybės draudimo įstaiga buvo reorganizuota į TSRS valstybinio draudimo įmonės padalinį ir tapo vienu monopolistu draudimo rinkoje Lietuvoje. Centralizuotos ekonomikos laikotarpiu įmokų augimo tempai buvo kiek aukštesni nei kaimyninėse valstybėse, bet tikrai neprilygo kitų užsienio valstybių tempams.</w:t>
      </w:r>
    </w:p>
    <w:p w:rsidR="005A2023" w:rsidRPr="00303A5A" w:rsidRDefault="005A2023" w:rsidP="00310363">
      <w:pPr>
        <w:spacing w:line="360" w:lineRule="auto"/>
        <w:ind w:firstLine="567"/>
        <w:jc w:val="both"/>
        <w:rPr>
          <w:lang w:val="lt-LT"/>
        </w:rPr>
      </w:pPr>
      <w:r w:rsidRPr="00303A5A">
        <w:rPr>
          <w:lang w:val="lt-LT"/>
        </w:rPr>
        <w:t>Atkuriant Lietuvos nepriklausomybę buvo priimti įstatymai palankūs draudimo rinkos plėtrai. Pirmaisiais metais draudimo kompanijos Lietuvoje steigėsi pasyviai, tačiau 1993 metais buvo įregistruotos 32 draudimo kompanijos. (Nors kai kurios jų draudimo veiklos taip ir nevykdė) Plečiantis draudimo rinkai, buvo tobulinama ir jų priežiūra, griežtinami minimalaus kapitalo reikalavimai. Jei 1993 metais buvo reikalaujamas, kad minimalus draudimo kompanijų kapitalas sudarytų 30000 Lt, tai 1996 metais priėmus naująjį draudimo įstatymą buvo padidintas iki 2 mln. Lt ne gyvybės draudimo įmonėse. Šis ir kiti įstatymų numatyti reikalavimai buvo kai kurių draudimo kompanijų greito bankroto priežastimi. Šiuo įstatymu taip pat buvo atskirtos draudimo šakos - gyvybės draudimas bei ne gyvybės draudimas. Draudimo įmonės turėjo pasirinkti kurios šakos veiklą vystyti. 1998 metų pabaigoje licenzijas turėjo 26 ne gyvybės draudimo įmonės. Draudimo įmonių (kartu su kredito draudimo įmonėmis, bei ES filialais veikiančiais Lietuvoje (nuo 2005 met</w:t>
      </w:r>
      <w:r w:rsidR="0010733C">
        <w:rPr>
          <w:lang w:val="lt-LT"/>
        </w:rPr>
        <w:t>ų)) skaičiaus dinamika pateikta</w:t>
      </w:r>
      <w:r w:rsidRPr="00303A5A">
        <w:rPr>
          <w:lang w:val="lt-LT"/>
        </w:rPr>
        <w:t xml:space="preserve"> </w:t>
      </w:r>
      <w:r w:rsidR="0010733C">
        <w:rPr>
          <w:lang w:val="lt-LT"/>
        </w:rPr>
        <w:t xml:space="preserve">3.1. </w:t>
      </w:r>
      <w:r w:rsidRPr="00303A5A">
        <w:rPr>
          <w:lang w:val="lt-LT"/>
        </w:rPr>
        <w:t>pav.</w:t>
      </w:r>
    </w:p>
    <w:p w:rsidR="005A2023" w:rsidRPr="00B20A57" w:rsidRDefault="005A2023" w:rsidP="00310363">
      <w:pPr>
        <w:autoSpaceDE w:val="0"/>
        <w:autoSpaceDN w:val="0"/>
        <w:adjustRightInd w:val="0"/>
        <w:spacing w:line="360" w:lineRule="auto"/>
        <w:ind w:firstLine="567"/>
        <w:jc w:val="both"/>
        <w:rPr>
          <w:rStyle w:val="apple-style-span"/>
          <w:color w:val="000000"/>
          <w:shd w:val="clear" w:color="auto" w:fill="FFFFFF"/>
          <w:lang w:val="lt-LT"/>
        </w:rPr>
      </w:pPr>
      <w:r w:rsidRPr="00303A5A">
        <w:rPr>
          <w:lang w:val="lt-LT"/>
        </w:rPr>
        <w:t xml:space="preserve">2009 m. draudimo įmonių skaičiaus mažėjo, nes </w:t>
      </w:r>
      <w:r w:rsidR="00603EE9">
        <w:rPr>
          <w:lang w:val="lt-LT"/>
        </w:rPr>
        <w:t>d</w:t>
      </w:r>
      <w:r w:rsidRPr="00303A5A">
        <w:rPr>
          <w:lang w:val="lt-LT"/>
        </w:rPr>
        <w:t>raudimo veiklos licencija panaikinta ADB „</w:t>
      </w:r>
      <w:r w:rsidRPr="00303A5A">
        <w:rPr>
          <w:iCs/>
          <w:lang w:val="lt-LT"/>
        </w:rPr>
        <w:t>RESO Europa“</w:t>
      </w:r>
      <w:r w:rsidRPr="00303A5A">
        <w:rPr>
          <w:lang w:val="lt-LT"/>
        </w:rPr>
        <w:t>, įmonei reorganizavus savo veiklą ir ją prijungus prie AAS „</w:t>
      </w:r>
      <w:r w:rsidRPr="00303A5A">
        <w:rPr>
          <w:iCs/>
          <w:lang w:val="lt-LT"/>
        </w:rPr>
        <w:t>Gjensidige Baltic“</w:t>
      </w:r>
      <w:r w:rsidRPr="00303A5A">
        <w:rPr>
          <w:lang w:val="lt-LT"/>
        </w:rPr>
        <w:t>, bei DUAB „</w:t>
      </w:r>
      <w:r w:rsidRPr="00303A5A">
        <w:rPr>
          <w:iCs/>
          <w:lang w:val="lt-LT"/>
        </w:rPr>
        <w:t>Baltijos garantas“</w:t>
      </w:r>
      <w:r w:rsidRPr="00303A5A">
        <w:rPr>
          <w:lang w:val="lt-LT"/>
        </w:rPr>
        <w:t xml:space="preserve">, bendrovei nesuformavus reikiamo dydžio minimalaus garantinio fondo. Taip pat draudimo veiklos licencija panaikinta AB “If draudimas”, dėl jos prijungimo prie </w:t>
      </w:r>
      <w:r w:rsidRPr="00303A5A">
        <w:rPr>
          <w:iCs/>
          <w:lang w:val="lt-LT"/>
        </w:rPr>
        <w:t xml:space="preserve">AS If Eesti </w:t>
      </w:r>
      <w:r w:rsidRPr="00303A5A">
        <w:rPr>
          <w:iCs/>
          <w:lang w:val="lt-LT"/>
        </w:rPr>
        <w:lastRenderedPageBreak/>
        <w:t>Kindlustus</w:t>
      </w:r>
      <w:r w:rsidRPr="00303A5A">
        <w:rPr>
          <w:lang w:val="lt-LT"/>
        </w:rPr>
        <w:t>.</w:t>
      </w:r>
      <w:r w:rsidRPr="00303A5A">
        <w:rPr>
          <w:iCs/>
          <w:lang w:val="lt-LT"/>
        </w:rPr>
        <w:t xml:space="preserve"> </w:t>
      </w:r>
      <w:r w:rsidRPr="00303A5A">
        <w:rPr>
          <w:lang w:val="lt-LT"/>
        </w:rPr>
        <w:t xml:space="preserve">Draudimo įmonių skaičiaus kitimui bei pasidalinimui tarp Lietuvos registruotų įmonių bei kitų ES valstybių filialų įtaką daro naujausios tendencijos, kai vienoje iš Baltijos valstybių įkuriama pagrindinė įmonė, o kitose valstybėse įkuriami filialai. Dar vienas pavyzdžių - </w:t>
      </w:r>
      <w:r w:rsidRPr="00303A5A">
        <w:rPr>
          <w:rStyle w:val="apple-style-span"/>
          <w:color w:val="000000"/>
          <w:shd w:val="clear" w:color="auto" w:fill="FFFFFF"/>
          <w:lang w:val="lt-LT"/>
        </w:rPr>
        <w:t>“BTA Insurance</w:t>
      </w:r>
      <w:r w:rsidR="00B20A57">
        <w:rPr>
          <w:rStyle w:val="apple-style-span"/>
          <w:color w:val="000000"/>
          <w:shd w:val="clear" w:color="auto" w:fill="FFFFFF"/>
          <w:lang w:val="lt-LT"/>
        </w:rPr>
        <w:t xml:space="preserve"> Company” SE filialas Lietuvoje</w:t>
      </w:r>
      <w:r w:rsidRPr="00303A5A">
        <w:rPr>
          <w:rStyle w:val="apple-style-span"/>
          <w:color w:val="000000"/>
          <w:shd w:val="clear" w:color="auto" w:fill="FFFFFF"/>
          <w:lang w:val="lt-LT"/>
        </w:rPr>
        <w:t xml:space="preserve">. Anksčiau ši įmonė turėjo Lietuvos registruotos draudimo įmonės statusą, tačiau 2011 pakeitė </w:t>
      </w:r>
      <w:r w:rsidRPr="000E483C">
        <w:rPr>
          <w:rStyle w:val="apple-style-span"/>
          <w:color w:val="000000"/>
          <w:shd w:val="clear" w:color="auto" w:fill="FFFFFF"/>
          <w:lang w:val="lt-LT"/>
        </w:rPr>
        <w:t xml:space="preserve">statusą ir tapo Europos bendrovės filialu Lietuvoje. Šis ir panašūs pasikeitimai atsispindi lentelėje nr. </w:t>
      </w:r>
      <w:r w:rsidR="000E483C" w:rsidRPr="000E483C">
        <w:rPr>
          <w:rStyle w:val="apple-style-span"/>
          <w:color w:val="000000"/>
          <w:shd w:val="clear" w:color="auto" w:fill="FFFFFF"/>
          <w:lang w:val="lt-LT"/>
        </w:rPr>
        <w:t>3.1</w:t>
      </w:r>
      <w:r w:rsidRPr="000E483C">
        <w:rPr>
          <w:rStyle w:val="apple-style-span"/>
          <w:color w:val="000000"/>
          <w:shd w:val="clear" w:color="auto" w:fill="FFFFFF"/>
          <w:lang w:val="lt-LT"/>
        </w:rPr>
        <w:t xml:space="preserve">. </w:t>
      </w:r>
      <w:r w:rsidR="000E483C" w:rsidRPr="000E483C">
        <w:rPr>
          <w:lang w:val="lt-LT"/>
        </w:rPr>
        <w:t>(2011 metų skaičius pateiktas pagal faktinę lapkričio mėn. situaciją)</w:t>
      </w:r>
      <w:r w:rsidR="00B20A57">
        <w:rPr>
          <w:lang w:val="lt-LT"/>
        </w:rPr>
        <w:t xml:space="preserve">. </w:t>
      </w:r>
    </w:p>
    <w:p w:rsidR="00A60CE6" w:rsidRPr="00303A5A" w:rsidRDefault="00A60CE6" w:rsidP="005A2023">
      <w:pPr>
        <w:autoSpaceDE w:val="0"/>
        <w:autoSpaceDN w:val="0"/>
        <w:adjustRightInd w:val="0"/>
        <w:spacing w:line="360" w:lineRule="auto"/>
        <w:ind w:firstLine="284"/>
        <w:jc w:val="both"/>
        <w:rPr>
          <w:rStyle w:val="apple-style-span"/>
          <w:color w:val="000000"/>
          <w:shd w:val="clear" w:color="auto" w:fill="FFFFFF"/>
          <w:lang w:val="lt-LT"/>
        </w:rPr>
      </w:pPr>
    </w:p>
    <w:p w:rsidR="005A2023" w:rsidRPr="00303A5A" w:rsidRDefault="005A2023" w:rsidP="00835E7C">
      <w:pPr>
        <w:spacing w:line="360" w:lineRule="auto"/>
        <w:ind w:firstLine="284"/>
        <w:jc w:val="center"/>
        <w:rPr>
          <w:lang w:val="lt-LT"/>
        </w:rPr>
      </w:pPr>
      <w:r w:rsidRPr="00303A5A">
        <w:rPr>
          <w:noProof/>
        </w:rPr>
        <w:drawing>
          <wp:inline distT="0" distB="0" distL="0" distR="0">
            <wp:extent cx="5940000" cy="2162175"/>
            <wp:effectExtent l="19050" t="0" r="226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A2023" w:rsidRPr="00303A5A" w:rsidRDefault="005A2023" w:rsidP="005A2023">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0E483C" w:rsidRDefault="0010733C" w:rsidP="0010733C">
      <w:pPr>
        <w:pStyle w:val="Paveikslai"/>
      </w:pPr>
      <w:bookmarkStart w:id="61" w:name="_Toc310014782"/>
      <w:bookmarkStart w:id="62" w:name="_Toc311971007"/>
      <w:bookmarkStart w:id="63" w:name="_Toc311971821"/>
      <w:bookmarkStart w:id="64" w:name="_Toc311972020"/>
      <w:r>
        <w:t>3.1.</w:t>
      </w:r>
      <w:r w:rsidR="005A2023" w:rsidRPr="00303A5A">
        <w:t xml:space="preserve"> pav. 1997 m. - 2011 m. ne gyvybės draudimo įmonių skaičius</w:t>
      </w:r>
      <w:r w:rsidR="00603EE9">
        <w:t xml:space="preserve"> vnt</w:t>
      </w:r>
      <w:r w:rsidR="005A2023" w:rsidRPr="00303A5A">
        <w:t>.(2011 metų skaičius pateiktas pagal faktinę 2011 lapkričio mėn. situaciją)</w:t>
      </w:r>
      <w:bookmarkEnd w:id="61"/>
      <w:bookmarkEnd w:id="62"/>
      <w:bookmarkEnd w:id="63"/>
      <w:bookmarkEnd w:id="64"/>
    </w:p>
    <w:p w:rsidR="00B20A57" w:rsidRDefault="00B20A57" w:rsidP="0010733C">
      <w:pPr>
        <w:pStyle w:val="Paveikslai"/>
      </w:pPr>
    </w:p>
    <w:p w:rsidR="000E483C" w:rsidRDefault="00B20A57" w:rsidP="00310363">
      <w:pPr>
        <w:spacing w:line="360" w:lineRule="auto"/>
        <w:ind w:firstLine="567"/>
        <w:jc w:val="both"/>
        <w:rPr>
          <w:bCs/>
          <w:color w:val="000000"/>
          <w:shd w:val="clear" w:color="auto" w:fill="FFFFFF"/>
          <w:lang w:val="lt-LT"/>
        </w:rPr>
      </w:pPr>
      <w:r>
        <w:rPr>
          <w:lang w:val="lt-LT"/>
        </w:rPr>
        <w:t>Na</w:t>
      </w:r>
      <w:r w:rsidRPr="00B20A57">
        <w:rPr>
          <w:lang w:val="lt-LT"/>
        </w:rPr>
        <w:t xml:space="preserve">ujausias pasikeitimas Lietuvos ne gyvybės draudimo rinkoje – 2011-07-22 dieną buvo įregistruotas Estijos draudimo įmonės </w:t>
      </w:r>
      <w:r w:rsidRPr="00B20A57">
        <w:rPr>
          <w:bCs/>
          <w:color w:val="000000"/>
          <w:shd w:val="clear" w:color="auto" w:fill="FFFFFF"/>
          <w:lang w:val="lt-LT"/>
        </w:rPr>
        <w:t>Swedbank P&amp;C Insurance AS Lietuvos filialas</w:t>
      </w:r>
      <w:r>
        <w:rPr>
          <w:bCs/>
          <w:color w:val="000000"/>
          <w:shd w:val="clear" w:color="auto" w:fill="FFFFFF"/>
          <w:lang w:val="lt-LT"/>
        </w:rPr>
        <w:t>, kuris savo veiklą pradėjo 2011 metų rudenį. Šis filialas – didelis konkurentas, kadangi per 2011 metų spalio mėnesį buvo nutrauktos UAB „Swedbank autoparko valdymas“ bei kitos didelės kompleksinės draudimo sutartys kitose draudimo įmonėse ir sudarytos naujai įsteigtame filiale.</w:t>
      </w:r>
    </w:p>
    <w:p w:rsidR="005A2023" w:rsidRPr="000E483C" w:rsidRDefault="000E483C" w:rsidP="00CC4DA5">
      <w:pPr>
        <w:pStyle w:val="lentels"/>
        <w:rPr>
          <w:szCs w:val="20"/>
        </w:rPr>
      </w:pPr>
      <w:bookmarkStart w:id="65" w:name="_Toc309559974"/>
      <w:bookmarkStart w:id="66" w:name="_Toc310014783"/>
      <w:bookmarkStart w:id="67" w:name="_Toc311970991"/>
      <w:bookmarkStart w:id="68" w:name="_Toc311971822"/>
      <w:bookmarkStart w:id="69" w:name="_Toc311971877"/>
      <w:r w:rsidRPr="000E483C">
        <w:t>3.1</w:t>
      </w:r>
      <w:r w:rsidR="00A4245B">
        <w:t xml:space="preserve"> l</w:t>
      </w:r>
      <w:r w:rsidR="005A2023" w:rsidRPr="000E483C">
        <w:t>entelė. Ne gyvybės įmonių skaičiaus sudėtis pagal įmonės registravimo vietą</w:t>
      </w:r>
      <w:bookmarkEnd w:id="65"/>
      <w:bookmarkEnd w:id="66"/>
      <w:bookmarkEnd w:id="67"/>
      <w:bookmarkEnd w:id="68"/>
      <w:bookmarkEnd w:id="69"/>
    </w:p>
    <w:tbl>
      <w:tblPr>
        <w:tblStyle w:val="TableGrid1"/>
        <w:tblW w:w="0" w:type="auto"/>
        <w:tblLayout w:type="fixed"/>
        <w:tblLook w:val="04A0"/>
      </w:tblPr>
      <w:tblGrid>
        <w:gridCol w:w="5778"/>
        <w:gridCol w:w="709"/>
        <w:gridCol w:w="709"/>
        <w:gridCol w:w="709"/>
        <w:gridCol w:w="708"/>
        <w:gridCol w:w="709"/>
        <w:gridCol w:w="816"/>
      </w:tblGrid>
      <w:tr w:rsidR="007D0B31" w:rsidRPr="00303A5A" w:rsidTr="001C1B8C">
        <w:trPr>
          <w:trHeight w:val="300"/>
        </w:trPr>
        <w:tc>
          <w:tcPr>
            <w:tcW w:w="5778" w:type="dxa"/>
            <w:noWrap/>
            <w:hideMark/>
          </w:tcPr>
          <w:p w:rsidR="005A2023" w:rsidRPr="00303A5A" w:rsidRDefault="005A2023" w:rsidP="004C3AD6">
            <w:pPr>
              <w:rPr>
                <w:color w:val="000000"/>
                <w:lang w:val="lt-LT"/>
              </w:rPr>
            </w:pPr>
          </w:p>
        </w:tc>
        <w:tc>
          <w:tcPr>
            <w:tcW w:w="709" w:type="dxa"/>
            <w:noWrap/>
            <w:hideMark/>
          </w:tcPr>
          <w:p w:rsidR="005A2023" w:rsidRPr="00303A5A" w:rsidRDefault="005A2023" w:rsidP="004C3AD6">
            <w:pPr>
              <w:rPr>
                <w:b/>
                <w:color w:val="000000"/>
                <w:lang w:val="lt-LT"/>
              </w:rPr>
            </w:pPr>
            <w:r w:rsidRPr="00303A5A">
              <w:rPr>
                <w:b/>
                <w:color w:val="000000"/>
                <w:lang w:val="lt-LT"/>
              </w:rPr>
              <w:t>2006</w:t>
            </w:r>
          </w:p>
        </w:tc>
        <w:tc>
          <w:tcPr>
            <w:tcW w:w="709" w:type="dxa"/>
            <w:noWrap/>
            <w:hideMark/>
          </w:tcPr>
          <w:p w:rsidR="005A2023" w:rsidRPr="00303A5A" w:rsidRDefault="005A2023" w:rsidP="004C3AD6">
            <w:pPr>
              <w:rPr>
                <w:b/>
                <w:color w:val="000000"/>
                <w:lang w:val="lt-LT"/>
              </w:rPr>
            </w:pPr>
            <w:r w:rsidRPr="00303A5A">
              <w:rPr>
                <w:b/>
                <w:color w:val="000000"/>
                <w:lang w:val="lt-LT"/>
              </w:rPr>
              <w:t>2007</w:t>
            </w:r>
          </w:p>
        </w:tc>
        <w:tc>
          <w:tcPr>
            <w:tcW w:w="709" w:type="dxa"/>
            <w:noWrap/>
            <w:hideMark/>
          </w:tcPr>
          <w:p w:rsidR="005A2023" w:rsidRPr="00303A5A" w:rsidRDefault="005A2023" w:rsidP="004C3AD6">
            <w:pPr>
              <w:rPr>
                <w:b/>
                <w:color w:val="000000"/>
                <w:lang w:val="lt-LT"/>
              </w:rPr>
            </w:pPr>
            <w:r w:rsidRPr="00303A5A">
              <w:rPr>
                <w:b/>
                <w:color w:val="000000"/>
                <w:lang w:val="lt-LT"/>
              </w:rPr>
              <w:t xml:space="preserve">2008 </w:t>
            </w:r>
          </w:p>
        </w:tc>
        <w:tc>
          <w:tcPr>
            <w:tcW w:w="708" w:type="dxa"/>
            <w:noWrap/>
            <w:hideMark/>
          </w:tcPr>
          <w:p w:rsidR="005A2023" w:rsidRPr="00303A5A" w:rsidRDefault="005A2023" w:rsidP="004C3AD6">
            <w:pPr>
              <w:rPr>
                <w:b/>
                <w:color w:val="000000"/>
                <w:lang w:val="lt-LT"/>
              </w:rPr>
            </w:pPr>
            <w:r w:rsidRPr="00303A5A">
              <w:rPr>
                <w:b/>
                <w:color w:val="000000"/>
                <w:lang w:val="lt-LT"/>
              </w:rPr>
              <w:t xml:space="preserve">2009 </w:t>
            </w:r>
          </w:p>
        </w:tc>
        <w:tc>
          <w:tcPr>
            <w:tcW w:w="709" w:type="dxa"/>
            <w:noWrap/>
            <w:hideMark/>
          </w:tcPr>
          <w:p w:rsidR="005A2023" w:rsidRPr="00303A5A" w:rsidRDefault="005A2023" w:rsidP="004C3AD6">
            <w:pPr>
              <w:rPr>
                <w:b/>
                <w:color w:val="000000"/>
                <w:lang w:val="lt-LT"/>
              </w:rPr>
            </w:pPr>
            <w:r w:rsidRPr="00303A5A">
              <w:rPr>
                <w:b/>
                <w:color w:val="000000"/>
                <w:lang w:val="lt-LT"/>
              </w:rPr>
              <w:t xml:space="preserve">2010 </w:t>
            </w:r>
          </w:p>
        </w:tc>
        <w:tc>
          <w:tcPr>
            <w:tcW w:w="816" w:type="dxa"/>
            <w:noWrap/>
            <w:hideMark/>
          </w:tcPr>
          <w:p w:rsidR="005A2023" w:rsidRPr="00303A5A" w:rsidRDefault="005A2023" w:rsidP="004C3AD6">
            <w:pPr>
              <w:rPr>
                <w:b/>
                <w:color w:val="000000"/>
                <w:lang w:val="lt-LT"/>
              </w:rPr>
            </w:pPr>
            <w:r w:rsidRPr="00303A5A">
              <w:rPr>
                <w:b/>
                <w:color w:val="000000"/>
                <w:lang w:val="lt-LT"/>
              </w:rPr>
              <w:t>2011</w:t>
            </w:r>
          </w:p>
        </w:tc>
      </w:tr>
      <w:tr w:rsidR="007D0B31" w:rsidRPr="00303A5A" w:rsidTr="001C1B8C">
        <w:trPr>
          <w:trHeight w:val="300"/>
        </w:trPr>
        <w:tc>
          <w:tcPr>
            <w:tcW w:w="5778" w:type="dxa"/>
            <w:noWrap/>
            <w:hideMark/>
          </w:tcPr>
          <w:p w:rsidR="005A2023" w:rsidRPr="00303A5A" w:rsidRDefault="005A2023" w:rsidP="004C3AD6">
            <w:pPr>
              <w:rPr>
                <w:b/>
                <w:color w:val="000000"/>
                <w:lang w:val="lt-LT"/>
              </w:rPr>
            </w:pPr>
            <w:r w:rsidRPr="00303A5A">
              <w:rPr>
                <w:b/>
                <w:color w:val="000000"/>
                <w:lang w:val="lt-LT"/>
              </w:rPr>
              <w:t>Lietuvos Respublikoje registruotos draudimo įmonės</w:t>
            </w:r>
          </w:p>
        </w:tc>
        <w:tc>
          <w:tcPr>
            <w:tcW w:w="709" w:type="dxa"/>
            <w:noWrap/>
            <w:hideMark/>
          </w:tcPr>
          <w:p w:rsidR="005A2023" w:rsidRPr="00303A5A" w:rsidRDefault="005A2023" w:rsidP="004C3AD6">
            <w:pPr>
              <w:jc w:val="right"/>
              <w:rPr>
                <w:color w:val="000000"/>
                <w:lang w:val="lt-LT"/>
              </w:rPr>
            </w:pPr>
            <w:r w:rsidRPr="00303A5A">
              <w:rPr>
                <w:color w:val="000000"/>
                <w:lang w:val="lt-LT"/>
              </w:rPr>
              <w:t>15</w:t>
            </w:r>
          </w:p>
        </w:tc>
        <w:tc>
          <w:tcPr>
            <w:tcW w:w="709" w:type="dxa"/>
            <w:noWrap/>
            <w:hideMark/>
          </w:tcPr>
          <w:p w:rsidR="005A2023" w:rsidRPr="00303A5A" w:rsidRDefault="005A2023" w:rsidP="004C3AD6">
            <w:pPr>
              <w:jc w:val="right"/>
              <w:rPr>
                <w:color w:val="000000"/>
                <w:lang w:val="lt-LT"/>
              </w:rPr>
            </w:pPr>
            <w:r w:rsidRPr="00303A5A">
              <w:rPr>
                <w:color w:val="000000"/>
                <w:lang w:val="lt-LT"/>
              </w:rPr>
              <w:t>12</w:t>
            </w:r>
          </w:p>
        </w:tc>
        <w:tc>
          <w:tcPr>
            <w:tcW w:w="709" w:type="dxa"/>
            <w:noWrap/>
            <w:hideMark/>
          </w:tcPr>
          <w:p w:rsidR="005A2023" w:rsidRPr="00303A5A" w:rsidRDefault="005A2023" w:rsidP="004C3AD6">
            <w:pPr>
              <w:jc w:val="right"/>
              <w:rPr>
                <w:color w:val="000000"/>
                <w:lang w:val="lt-LT"/>
              </w:rPr>
            </w:pPr>
            <w:r w:rsidRPr="00303A5A">
              <w:rPr>
                <w:color w:val="000000"/>
                <w:lang w:val="lt-LT"/>
              </w:rPr>
              <w:t>11</w:t>
            </w:r>
          </w:p>
        </w:tc>
        <w:tc>
          <w:tcPr>
            <w:tcW w:w="708" w:type="dxa"/>
            <w:noWrap/>
            <w:hideMark/>
          </w:tcPr>
          <w:p w:rsidR="005A2023" w:rsidRPr="00303A5A" w:rsidRDefault="005A2023" w:rsidP="004C3AD6">
            <w:pPr>
              <w:jc w:val="right"/>
              <w:rPr>
                <w:color w:val="000000"/>
                <w:lang w:val="lt-LT"/>
              </w:rPr>
            </w:pPr>
            <w:r w:rsidRPr="00303A5A">
              <w:rPr>
                <w:color w:val="000000"/>
                <w:lang w:val="lt-LT"/>
              </w:rPr>
              <w:t>8</w:t>
            </w:r>
          </w:p>
        </w:tc>
        <w:tc>
          <w:tcPr>
            <w:tcW w:w="709" w:type="dxa"/>
            <w:noWrap/>
            <w:hideMark/>
          </w:tcPr>
          <w:p w:rsidR="005A2023" w:rsidRPr="00303A5A" w:rsidRDefault="005A2023" w:rsidP="004C3AD6">
            <w:pPr>
              <w:jc w:val="right"/>
              <w:rPr>
                <w:color w:val="000000"/>
                <w:lang w:val="lt-LT"/>
              </w:rPr>
            </w:pPr>
            <w:r w:rsidRPr="00303A5A">
              <w:rPr>
                <w:color w:val="000000"/>
                <w:lang w:val="lt-LT"/>
              </w:rPr>
              <w:t>8</w:t>
            </w:r>
          </w:p>
        </w:tc>
        <w:tc>
          <w:tcPr>
            <w:tcW w:w="816" w:type="dxa"/>
            <w:noWrap/>
            <w:hideMark/>
          </w:tcPr>
          <w:p w:rsidR="005A2023" w:rsidRPr="00303A5A" w:rsidRDefault="005A2023" w:rsidP="004C3AD6">
            <w:pPr>
              <w:jc w:val="right"/>
              <w:rPr>
                <w:color w:val="000000"/>
                <w:lang w:val="lt-LT"/>
              </w:rPr>
            </w:pPr>
            <w:r w:rsidRPr="00303A5A">
              <w:rPr>
                <w:color w:val="000000"/>
                <w:lang w:val="lt-LT"/>
              </w:rPr>
              <w:t>7</w:t>
            </w:r>
          </w:p>
        </w:tc>
      </w:tr>
      <w:tr w:rsidR="007D0B31" w:rsidRPr="00303A5A" w:rsidTr="001C1B8C">
        <w:trPr>
          <w:trHeight w:val="300"/>
        </w:trPr>
        <w:tc>
          <w:tcPr>
            <w:tcW w:w="5778" w:type="dxa"/>
            <w:noWrap/>
            <w:hideMark/>
          </w:tcPr>
          <w:p w:rsidR="005A2023" w:rsidRPr="00303A5A" w:rsidRDefault="005A2023" w:rsidP="004C3AD6">
            <w:pPr>
              <w:rPr>
                <w:b/>
                <w:color w:val="000000"/>
                <w:lang w:val="lt-LT"/>
              </w:rPr>
            </w:pPr>
            <w:r w:rsidRPr="00303A5A">
              <w:rPr>
                <w:b/>
                <w:color w:val="000000"/>
                <w:lang w:val="lt-LT"/>
              </w:rPr>
              <w:t>Kitų ES</w:t>
            </w:r>
            <w:r w:rsidR="00D132B0">
              <w:rPr>
                <w:rStyle w:val="FootnoteReference"/>
                <w:b/>
                <w:color w:val="000000"/>
                <w:lang w:val="lt-LT"/>
              </w:rPr>
              <w:footnoteReference w:id="2"/>
            </w:r>
            <w:r w:rsidRPr="00303A5A">
              <w:rPr>
                <w:b/>
                <w:color w:val="000000"/>
                <w:lang w:val="lt-LT"/>
              </w:rPr>
              <w:t xml:space="preserve"> ir EEE</w:t>
            </w:r>
            <w:r w:rsidR="00D132B0">
              <w:rPr>
                <w:rStyle w:val="FootnoteReference"/>
                <w:b/>
                <w:color w:val="000000"/>
                <w:lang w:val="lt-LT"/>
              </w:rPr>
              <w:footnoteReference w:id="3"/>
            </w:r>
            <w:r w:rsidRPr="00303A5A">
              <w:rPr>
                <w:b/>
                <w:color w:val="000000"/>
                <w:lang w:val="lt-LT"/>
              </w:rPr>
              <w:t xml:space="preserve"> valstybių narių draudimo įmonių filialai</w:t>
            </w:r>
          </w:p>
        </w:tc>
        <w:tc>
          <w:tcPr>
            <w:tcW w:w="709" w:type="dxa"/>
            <w:noWrap/>
            <w:hideMark/>
          </w:tcPr>
          <w:p w:rsidR="005A2023" w:rsidRPr="00303A5A" w:rsidRDefault="005A2023" w:rsidP="004C3AD6">
            <w:pPr>
              <w:jc w:val="right"/>
              <w:rPr>
                <w:color w:val="000000"/>
                <w:lang w:val="lt-LT"/>
              </w:rPr>
            </w:pPr>
            <w:r w:rsidRPr="00303A5A">
              <w:rPr>
                <w:color w:val="000000"/>
                <w:lang w:val="lt-LT"/>
              </w:rPr>
              <w:t>5</w:t>
            </w:r>
          </w:p>
        </w:tc>
        <w:tc>
          <w:tcPr>
            <w:tcW w:w="709" w:type="dxa"/>
            <w:noWrap/>
            <w:hideMark/>
          </w:tcPr>
          <w:p w:rsidR="005A2023" w:rsidRPr="00303A5A" w:rsidRDefault="005A2023" w:rsidP="004C3AD6">
            <w:pPr>
              <w:jc w:val="right"/>
              <w:rPr>
                <w:color w:val="000000"/>
                <w:lang w:val="lt-LT"/>
              </w:rPr>
            </w:pPr>
            <w:r w:rsidRPr="00303A5A">
              <w:rPr>
                <w:color w:val="000000"/>
                <w:lang w:val="lt-LT"/>
              </w:rPr>
              <w:t>6</w:t>
            </w:r>
          </w:p>
        </w:tc>
        <w:tc>
          <w:tcPr>
            <w:tcW w:w="709" w:type="dxa"/>
            <w:noWrap/>
            <w:hideMark/>
          </w:tcPr>
          <w:p w:rsidR="005A2023" w:rsidRPr="00303A5A" w:rsidRDefault="005A2023" w:rsidP="004C3AD6">
            <w:pPr>
              <w:jc w:val="right"/>
              <w:rPr>
                <w:color w:val="000000"/>
                <w:lang w:val="lt-LT"/>
              </w:rPr>
            </w:pPr>
            <w:r w:rsidRPr="00303A5A">
              <w:rPr>
                <w:color w:val="000000"/>
                <w:lang w:val="lt-LT"/>
              </w:rPr>
              <w:t>8</w:t>
            </w:r>
          </w:p>
        </w:tc>
        <w:tc>
          <w:tcPr>
            <w:tcW w:w="708" w:type="dxa"/>
            <w:noWrap/>
            <w:hideMark/>
          </w:tcPr>
          <w:p w:rsidR="005A2023" w:rsidRPr="00303A5A" w:rsidRDefault="005A2023" w:rsidP="004C3AD6">
            <w:pPr>
              <w:jc w:val="right"/>
              <w:rPr>
                <w:color w:val="000000"/>
                <w:lang w:val="lt-LT"/>
              </w:rPr>
            </w:pPr>
            <w:r w:rsidRPr="00303A5A">
              <w:rPr>
                <w:color w:val="000000"/>
                <w:lang w:val="lt-LT"/>
              </w:rPr>
              <w:t>8</w:t>
            </w:r>
          </w:p>
        </w:tc>
        <w:tc>
          <w:tcPr>
            <w:tcW w:w="709" w:type="dxa"/>
            <w:noWrap/>
            <w:hideMark/>
          </w:tcPr>
          <w:p w:rsidR="005A2023" w:rsidRPr="00303A5A" w:rsidRDefault="005A2023" w:rsidP="004C3AD6">
            <w:pPr>
              <w:jc w:val="right"/>
              <w:rPr>
                <w:color w:val="000000"/>
                <w:lang w:val="lt-LT"/>
              </w:rPr>
            </w:pPr>
            <w:r w:rsidRPr="00303A5A">
              <w:rPr>
                <w:color w:val="000000"/>
                <w:lang w:val="lt-LT"/>
              </w:rPr>
              <w:t>9</w:t>
            </w:r>
          </w:p>
        </w:tc>
        <w:tc>
          <w:tcPr>
            <w:tcW w:w="816" w:type="dxa"/>
            <w:noWrap/>
            <w:hideMark/>
          </w:tcPr>
          <w:p w:rsidR="005A2023" w:rsidRPr="00303A5A" w:rsidRDefault="005A2023" w:rsidP="004C3AD6">
            <w:pPr>
              <w:jc w:val="right"/>
              <w:rPr>
                <w:color w:val="000000"/>
                <w:lang w:val="lt-LT"/>
              </w:rPr>
            </w:pPr>
            <w:r w:rsidRPr="00303A5A">
              <w:rPr>
                <w:color w:val="000000"/>
                <w:lang w:val="lt-LT"/>
              </w:rPr>
              <w:t>8</w:t>
            </w:r>
          </w:p>
        </w:tc>
      </w:tr>
    </w:tbl>
    <w:p w:rsidR="005A2023" w:rsidRPr="00303A5A" w:rsidRDefault="005A2023" w:rsidP="005A2023">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3911D5" w:rsidRPr="00303A5A" w:rsidRDefault="005A2023" w:rsidP="00310363">
      <w:pPr>
        <w:spacing w:line="360" w:lineRule="auto"/>
        <w:ind w:firstLine="567"/>
        <w:jc w:val="both"/>
        <w:rPr>
          <w:lang w:val="lt-LT"/>
        </w:rPr>
      </w:pPr>
      <w:r w:rsidRPr="00303A5A">
        <w:rPr>
          <w:lang w:val="lt-LT"/>
        </w:rPr>
        <w:t xml:space="preserve"> Nors draudimo įmonių skaičius ne gyvybės draudime nemažas, nuo pat nepriklausomybės atkūrimo Lietuvoje įmonių koncentracija šalies rinkoje buvo labai didelė. Žinoma, tam įtakos turėjo tai, kad iki tol Lietuvos teritorijoje veikė tik viena valstybinė draudimo įmonė. Pradėjus kurtis kitoms </w:t>
      </w:r>
      <w:r w:rsidRPr="00303A5A">
        <w:rPr>
          <w:lang w:val="lt-LT"/>
        </w:rPr>
        <w:lastRenderedPageBreak/>
        <w:t>draudimo kompanijoms,</w:t>
      </w:r>
      <w:r w:rsidR="0010733C">
        <w:rPr>
          <w:lang w:val="lt-LT"/>
        </w:rPr>
        <w:t xml:space="preserve"> jos atsiriekė savo rinkos dalį. Tačiau kaip galima matyti 3.2. pav. </w:t>
      </w:r>
      <w:r w:rsidRPr="00303A5A">
        <w:rPr>
          <w:lang w:val="lt-LT"/>
        </w:rPr>
        <w:t xml:space="preserve">visada 3 didžiausią rinkos dalį užimančios draudimo kompanijos turėjo </w:t>
      </w:r>
      <w:r w:rsidR="0010733C">
        <w:rPr>
          <w:lang w:val="lt-LT"/>
        </w:rPr>
        <w:t xml:space="preserve">užėmusios </w:t>
      </w:r>
      <w:r w:rsidRPr="00303A5A">
        <w:rPr>
          <w:lang w:val="lt-LT"/>
        </w:rPr>
        <w:t>daugiau nei p</w:t>
      </w:r>
      <w:r w:rsidR="0010733C">
        <w:rPr>
          <w:lang w:val="lt-LT"/>
        </w:rPr>
        <w:t xml:space="preserve">usę ne gyvybės draudimo rinkos. </w:t>
      </w:r>
      <w:r w:rsidRPr="00303A5A">
        <w:rPr>
          <w:lang w:val="lt-LT"/>
        </w:rPr>
        <w:t>Lietuvos ne gyvybės draudimo rinkoje bendrovės veikia aštrios konkurencijos sąlygomis ir todėl koncentracijos rodikliai stipriai nesikeičia. Įmonės siekdamos išlaikyti užimamą rinkos dalį pasiūlo draudėjams naujų produktų, gerina draudimo sąlygas arba įveda papildomas sąlygas. Dėl šios priežasties 2010 metais penkių didžiausių draudimo įmonių užimama rinkos dalis sudarė 80,6 proc.</w:t>
      </w:r>
      <w:r w:rsidR="00286068">
        <w:rPr>
          <w:lang w:val="lt-LT"/>
        </w:rPr>
        <w:t>,</w:t>
      </w:r>
      <w:r w:rsidRPr="00303A5A">
        <w:rPr>
          <w:lang w:val="lt-LT"/>
        </w:rPr>
        <w:t xml:space="preserve"> kai atitinkamai 2009 metais sudarė 80,8 procentus. </w:t>
      </w:r>
      <w:r w:rsidR="00B4098B">
        <w:rPr>
          <w:lang w:val="lt-LT"/>
        </w:rPr>
        <w:t xml:space="preserve">3.3. pav. Pateikta kaip kompanijos buvo pasidalinę </w:t>
      </w:r>
      <w:r w:rsidR="00286068">
        <w:rPr>
          <w:lang w:val="lt-LT"/>
        </w:rPr>
        <w:t>Lie</w:t>
      </w:r>
      <w:r w:rsidR="00B4098B">
        <w:rPr>
          <w:lang w:val="lt-LT"/>
        </w:rPr>
        <w:t>tuvos ne gyvybės draudimo rinką</w:t>
      </w:r>
      <w:r w:rsidR="00286068">
        <w:rPr>
          <w:lang w:val="lt-LT"/>
        </w:rPr>
        <w:t xml:space="preserve"> </w:t>
      </w:r>
      <w:r w:rsidR="00B4098B">
        <w:rPr>
          <w:lang w:val="lt-LT"/>
        </w:rPr>
        <w:t>2010 m</w:t>
      </w:r>
      <w:r w:rsidR="003911D5">
        <w:rPr>
          <w:lang w:val="lt-LT"/>
        </w:rPr>
        <w:t>etais pagal pasirašytas įmokas.</w:t>
      </w:r>
    </w:p>
    <w:p w:rsidR="005A2023" w:rsidRPr="00303A5A" w:rsidRDefault="005A2023" w:rsidP="00835E7C">
      <w:pPr>
        <w:spacing w:line="360" w:lineRule="auto"/>
        <w:ind w:firstLine="284"/>
        <w:jc w:val="center"/>
        <w:rPr>
          <w:lang w:val="lt-LT"/>
        </w:rPr>
      </w:pPr>
      <w:r w:rsidRPr="00303A5A">
        <w:rPr>
          <w:noProof/>
        </w:rPr>
        <w:drawing>
          <wp:inline distT="0" distB="0" distL="0" distR="0">
            <wp:extent cx="5940000" cy="2162175"/>
            <wp:effectExtent l="19050" t="0" r="226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2023" w:rsidRPr="00303A5A" w:rsidRDefault="005A2023" w:rsidP="005A2023">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5A2023" w:rsidRDefault="0010733C" w:rsidP="0010733C">
      <w:pPr>
        <w:pStyle w:val="Paveikslai"/>
      </w:pPr>
      <w:bookmarkStart w:id="70" w:name="_Toc310014784"/>
      <w:bookmarkStart w:id="71" w:name="_Toc311971008"/>
      <w:bookmarkStart w:id="72" w:name="_Toc311971823"/>
      <w:bookmarkStart w:id="73" w:name="_Toc311972021"/>
      <w:r>
        <w:t>3.2.</w:t>
      </w:r>
      <w:r w:rsidR="00063EA7">
        <w:t xml:space="preserve"> p</w:t>
      </w:r>
      <w:r w:rsidR="005A2023" w:rsidRPr="00303A5A">
        <w:t>av. Trijų didžiausią rinkos dalį užsiimančių draudimo įmonių bendrai užimama rinkos dalis</w:t>
      </w:r>
      <w:bookmarkEnd w:id="70"/>
      <w:bookmarkEnd w:id="71"/>
      <w:bookmarkEnd w:id="72"/>
      <w:bookmarkEnd w:id="73"/>
    </w:p>
    <w:p w:rsidR="00310363" w:rsidRPr="00303A5A" w:rsidRDefault="00310363" w:rsidP="0010733C">
      <w:pPr>
        <w:pStyle w:val="Paveikslai"/>
      </w:pPr>
    </w:p>
    <w:p w:rsidR="00835E7C" w:rsidRPr="00303A5A" w:rsidRDefault="00835E7C" w:rsidP="00835E7C">
      <w:pPr>
        <w:spacing w:line="360" w:lineRule="auto"/>
        <w:ind w:firstLine="284"/>
        <w:jc w:val="center"/>
        <w:rPr>
          <w:lang w:val="lt-LT"/>
        </w:rPr>
      </w:pPr>
      <w:r w:rsidRPr="00303A5A">
        <w:rPr>
          <w:noProof/>
        </w:rPr>
        <w:drawing>
          <wp:inline distT="0" distB="0" distL="0" distR="0">
            <wp:extent cx="5940000" cy="2676525"/>
            <wp:effectExtent l="19050" t="0" r="2265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5E7C" w:rsidRPr="00303A5A" w:rsidRDefault="00835E7C" w:rsidP="00835E7C">
      <w:pPr>
        <w:spacing w:line="360" w:lineRule="auto"/>
        <w:ind w:firstLine="284"/>
        <w:jc w:val="both"/>
        <w:rPr>
          <w:sz w:val="20"/>
          <w:szCs w:val="20"/>
          <w:lang w:val="lt-LT"/>
        </w:rPr>
      </w:pPr>
      <w:r w:rsidRPr="00303A5A">
        <w:rPr>
          <w:sz w:val="20"/>
          <w:szCs w:val="20"/>
          <w:lang w:val="lt-LT"/>
        </w:rPr>
        <w:t>Šaltinis. Sudaryta autorės</w:t>
      </w:r>
      <w:r>
        <w:rPr>
          <w:sz w:val="20"/>
          <w:szCs w:val="20"/>
          <w:lang w:val="lt-LT"/>
        </w:rPr>
        <w:t xml:space="preserve"> </w:t>
      </w:r>
      <w:r w:rsidRPr="00303A5A">
        <w:rPr>
          <w:sz w:val="20"/>
          <w:szCs w:val="20"/>
          <w:lang w:val="lt-LT"/>
        </w:rPr>
        <w:t>remiantis draudimo priežiūros komisijos skelbiamais duomenimis.</w:t>
      </w:r>
      <w:r w:rsidRPr="00303A5A">
        <w:rPr>
          <w:sz w:val="20"/>
          <w:szCs w:val="20"/>
          <w:lang w:val="lt-LT"/>
        </w:rPr>
        <w:tab/>
      </w:r>
    </w:p>
    <w:p w:rsidR="00835E7C" w:rsidRPr="00303A5A" w:rsidRDefault="00835E7C" w:rsidP="00835E7C">
      <w:pPr>
        <w:pStyle w:val="Paveikslai"/>
      </w:pPr>
      <w:bookmarkStart w:id="74" w:name="_Toc310014785"/>
      <w:bookmarkStart w:id="75" w:name="_Toc311971009"/>
      <w:bookmarkStart w:id="76" w:name="_Toc311971824"/>
      <w:bookmarkStart w:id="77" w:name="_Toc311972022"/>
      <w:r>
        <w:t>3.3. p</w:t>
      </w:r>
      <w:r w:rsidRPr="00303A5A">
        <w:t>av. Koncentracija ne gyvybės draudimo rinkoje pagal pasirašytas draudimo įmokas 2010 metais</w:t>
      </w:r>
      <w:bookmarkEnd w:id="74"/>
      <w:bookmarkEnd w:id="75"/>
      <w:bookmarkEnd w:id="76"/>
      <w:bookmarkEnd w:id="77"/>
    </w:p>
    <w:p w:rsidR="00E9306F" w:rsidRDefault="00E9306F" w:rsidP="00E9306F">
      <w:pPr>
        <w:spacing w:line="360" w:lineRule="auto"/>
        <w:ind w:firstLine="284"/>
        <w:jc w:val="both"/>
        <w:rPr>
          <w:lang w:val="lt-LT"/>
        </w:rPr>
      </w:pPr>
    </w:p>
    <w:p w:rsidR="00E9306F" w:rsidRPr="00303A5A" w:rsidRDefault="00E9306F" w:rsidP="00310363">
      <w:pPr>
        <w:spacing w:line="360" w:lineRule="auto"/>
        <w:ind w:firstLine="567"/>
        <w:jc w:val="both"/>
        <w:rPr>
          <w:lang w:val="lt-LT"/>
        </w:rPr>
      </w:pPr>
      <w:r w:rsidRPr="00303A5A">
        <w:rPr>
          <w:lang w:val="lt-LT"/>
        </w:rPr>
        <w:lastRenderedPageBreak/>
        <w:t xml:space="preserve">Daugelyje išsivysčiusių šalių gyvybės draudimas užima dominuojančią rinkos dalį, tai būdinga ir didžiajai daliai besivystančių regionų. Lietuvos draudimo rinka nuo pasaulinių tendencijų skiriasi tuo, kad Lietuvoje kaip ir Vidurio bei Rytų Europoje didžiąją rinkos dalį sudaro ne gyvybės draudimas. Tuo tarpu Pasaulyje 2010 metais 58 </w:t>
      </w:r>
      <w:r>
        <w:rPr>
          <w:lang w:val="lt-LT"/>
        </w:rPr>
        <w:t>proc.</w:t>
      </w:r>
      <w:r w:rsidRPr="00303A5A">
        <w:rPr>
          <w:lang w:val="lt-LT"/>
        </w:rPr>
        <w:t xml:space="preserve"> rinkos užėmė gyvybės draudimas, kai Lietuvoje gyvybės draudimas 2010 metais užėmė tik 35 </w:t>
      </w:r>
      <w:r>
        <w:rPr>
          <w:lang w:val="lt-LT"/>
        </w:rPr>
        <w:t>proc.</w:t>
      </w:r>
      <w:r w:rsidRPr="00303A5A">
        <w:rPr>
          <w:lang w:val="lt-LT"/>
        </w:rPr>
        <w:t xml:space="preserve"> draudimo rinkos ir palyginti su 2009 metais šio draudimo rinkos dalis išaugo 3,6 proc. Lietuvoje ne gyvybės draudimas visada užėmė stipresnes pozicijas</w:t>
      </w:r>
      <w:r>
        <w:rPr>
          <w:lang w:val="lt-LT"/>
        </w:rPr>
        <w:t>, kaip jos keitėsi 2006-2010 metais informacija pateikta 3.4. pav.</w:t>
      </w:r>
    </w:p>
    <w:p w:rsidR="005A2023" w:rsidRPr="00303A5A" w:rsidRDefault="005A2023" w:rsidP="00310363">
      <w:pPr>
        <w:spacing w:line="360" w:lineRule="auto"/>
        <w:ind w:firstLine="567"/>
        <w:jc w:val="both"/>
        <w:rPr>
          <w:b/>
          <w:sz w:val="20"/>
          <w:szCs w:val="20"/>
          <w:lang w:val="lt-LT"/>
        </w:rPr>
      </w:pPr>
    </w:p>
    <w:p w:rsidR="005A2023" w:rsidRPr="00303A5A" w:rsidRDefault="005A2023" w:rsidP="00835E7C">
      <w:pPr>
        <w:spacing w:line="360" w:lineRule="auto"/>
        <w:ind w:firstLine="284"/>
        <w:jc w:val="center"/>
        <w:rPr>
          <w:lang w:val="lt-LT"/>
        </w:rPr>
      </w:pPr>
      <w:r w:rsidRPr="00303A5A">
        <w:rPr>
          <w:noProof/>
        </w:rPr>
        <w:drawing>
          <wp:inline distT="0" distB="0" distL="0" distR="0">
            <wp:extent cx="5940000" cy="2162175"/>
            <wp:effectExtent l="19050" t="0" r="226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2023" w:rsidRPr="00303A5A" w:rsidRDefault="005A2023" w:rsidP="005A2023">
      <w:pPr>
        <w:spacing w:line="360" w:lineRule="auto"/>
        <w:ind w:firstLine="284"/>
        <w:jc w:val="center"/>
        <w:rPr>
          <w:sz w:val="20"/>
          <w:szCs w:val="20"/>
          <w:lang w:val="lt-LT"/>
        </w:rPr>
      </w:pPr>
      <w:r w:rsidRPr="00303A5A">
        <w:rPr>
          <w:sz w:val="20"/>
          <w:szCs w:val="20"/>
          <w:lang w:val="lt-LT"/>
        </w:rPr>
        <w:t>Šaltinis. Sudaryta autorės remiantis draudimo priežiūros komisijos skelbiamais duomenimis.</w:t>
      </w:r>
    </w:p>
    <w:p w:rsidR="005A2023" w:rsidRPr="00303A5A" w:rsidRDefault="00286068" w:rsidP="00286068">
      <w:pPr>
        <w:pStyle w:val="Paveikslai"/>
      </w:pPr>
      <w:bookmarkStart w:id="78" w:name="_Toc310014786"/>
      <w:bookmarkStart w:id="79" w:name="_Toc311971010"/>
      <w:bookmarkStart w:id="80" w:name="_Toc311971825"/>
      <w:bookmarkStart w:id="81" w:name="_Toc311972023"/>
      <w:r>
        <w:t>3.4.</w:t>
      </w:r>
      <w:r w:rsidR="00063EA7">
        <w:t xml:space="preserve"> p</w:t>
      </w:r>
      <w:r w:rsidR="005A2023" w:rsidRPr="00303A5A">
        <w:t>av. Lietuvos draudimo šakų pasiskirstymas Lietuvoje 2006 – 2010 metais</w:t>
      </w:r>
      <w:bookmarkEnd w:id="78"/>
      <w:bookmarkEnd w:id="79"/>
      <w:bookmarkEnd w:id="80"/>
      <w:bookmarkEnd w:id="81"/>
    </w:p>
    <w:p w:rsidR="005A2023" w:rsidRPr="00303A5A" w:rsidRDefault="005A2023" w:rsidP="005A2023">
      <w:pPr>
        <w:spacing w:line="360" w:lineRule="auto"/>
        <w:ind w:firstLine="284"/>
        <w:jc w:val="center"/>
        <w:rPr>
          <w:b/>
          <w:sz w:val="20"/>
          <w:szCs w:val="20"/>
          <w:lang w:val="lt-LT"/>
        </w:rPr>
      </w:pPr>
    </w:p>
    <w:p w:rsidR="005A2023" w:rsidRPr="00303A5A" w:rsidRDefault="005A2023" w:rsidP="00310363">
      <w:pPr>
        <w:spacing w:line="360" w:lineRule="auto"/>
        <w:ind w:firstLine="567"/>
        <w:jc w:val="both"/>
        <w:rPr>
          <w:lang w:val="lt-LT"/>
        </w:rPr>
      </w:pPr>
      <w:r w:rsidRPr="00303A5A">
        <w:rPr>
          <w:lang w:val="lt-LT"/>
        </w:rPr>
        <w:t>Draudimo rinkos išsivystymui bei palyginimui su</w:t>
      </w:r>
      <w:r w:rsidR="00286068">
        <w:rPr>
          <w:lang w:val="lt-LT"/>
        </w:rPr>
        <w:t xml:space="preserve"> kitomis šalimis yra naudojami</w:t>
      </w:r>
      <w:r w:rsidRPr="00303A5A">
        <w:rPr>
          <w:lang w:val="lt-LT"/>
        </w:rPr>
        <w:t xml:space="preserve"> du rodikliai</w:t>
      </w:r>
      <w:r w:rsidR="006756D6">
        <w:rPr>
          <w:lang w:val="lt-LT"/>
        </w:rPr>
        <w:t>:</w:t>
      </w:r>
      <w:r w:rsidRPr="00303A5A">
        <w:rPr>
          <w:lang w:val="lt-LT"/>
        </w:rPr>
        <w:t xml:space="preserve"> </w:t>
      </w:r>
    </w:p>
    <w:p w:rsidR="005A2023" w:rsidRPr="00303A5A" w:rsidRDefault="005A2023" w:rsidP="00310363">
      <w:pPr>
        <w:pStyle w:val="ListParagraph"/>
        <w:numPr>
          <w:ilvl w:val="0"/>
          <w:numId w:val="8"/>
        </w:numPr>
        <w:spacing w:line="360" w:lineRule="auto"/>
        <w:ind w:firstLine="567"/>
        <w:jc w:val="both"/>
        <w:rPr>
          <w:lang w:val="lt-LT"/>
        </w:rPr>
      </w:pPr>
      <w:r w:rsidRPr="00303A5A">
        <w:rPr>
          <w:lang w:val="lt-LT"/>
        </w:rPr>
        <w:t>Draudimo tankis – pasirašytos įmokos tenkančios vienam gyventojui;</w:t>
      </w:r>
    </w:p>
    <w:p w:rsidR="005A2023" w:rsidRPr="00303A5A" w:rsidRDefault="005A2023" w:rsidP="00310363">
      <w:pPr>
        <w:pStyle w:val="ListParagraph"/>
        <w:numPr>
          <w:ilvl w:val="0"/>
          <w:numId w:val="8"/>
        </w:numPr>
        <w:spacing w:line="360" w:lineRule="auto"/>
        <w:ind w:firstLine="567"/>
        <w:jc w:val="both"/>
        <w:rPr>
          <w:lang w:val="lt-LT"/>
        </w:rPr>
      </w:pPr>
      <w:r w:rsidRPr="00303A5A">
        <w:rPr>
          <w:lang w:val="lt-LT"/>
        </w:rPr>
        <w:t>Draudimo s</w:t>
      </w:r>
      <w:r w:rsidR="00603EE9">
        <w:rPr>
          <w:lang w:val="lt-LT"/>
        </w:rPr>
        <w:t>k</w:t>
      </w:r>
      <w:r w:rsidRPr="00303A5A">
        <w:rPr>
          <w:lang w:val="lt-LT"/>
        </w:rPr>
        <w:t xml:space="preserve">varba - pasirašytų draudimo įmokų bei BVP santykis; </w:t>
      </w:r>
    </w:p>
    <w:p w:rsidR="005A2023" w:rsidRPr="00303A5A" w:rsidRDefault="005A2023" w:rsidP="00310363">
      <w:pPr>
        <w:spacing w:line="360" w:lineRule="auto"/>
        <w:ind w:firstLine="567"/>
        <w:jc w:val="both"/>
        <w:rPr>
          <w:lang w:val="lt-LT"/>
        </w:rPr>
      </w:pPr>
      <w:r w:rsidRPr="00303A5A">
        <w:rPr>
          <w:lang w:val="lt-LT"/>
        </w:rPr>
        <w:t>Draudimo s</w:t>
      </w:r>
      <w:r w:rsidR="00603EE9">
        <w:rPr>
          <w:lang w:val="lt-LT"/>
        </w:rPr>
        <w:t>k</w:t>
      </w:r>
      <w:r w:rsidRPr="00303A5A">
        <w:rPr>
          <w:lang w:val="lt-LT"/>
        </w:rPr>
        <w:t xml:space="preserve">varba (visos draudimo rinkos) 2010 metais sudarė 1,6 </w:t>
      </w:r>
      <w:r w:rsidR="009A0ECE">
        <w:rPr>
          <w:lang w:val="lt-LT"/>
        </w:rPr>
        <w:t>proc.</w:t>
      </w:r>
      <w:r w:rsidRPr="00303A5A">
        <w:rPr>
          <w:lang w:val="lt-LT"/>
        </w:rPr>
        <w:t>, draudimo tankis 472 litus. Tuo tarpu ne gyvybės draudimo tankis 2010 metais buvo 307 Lt. Lietuvos draudimo rinka dar stipriai atsilieka nuo ES bei Centrinės ir Rytų Europos valstybių- draudimo s</w:t>
      </w:r>
      <w:r w:rsidR="00603EE9">
        <w:rPr>
          <w:lang w:val="lt-LT"/>
        </w:rPr>
        <w:t>k</w:t>
      </w:r>
      <w:r w:rsidRPr="00303A5A">
        <w:rPr>
          <w:lang w:val="lt-LT"/>
        </w:rPr>
        <w:t xml:space="preserve">varba šiuose valstybėse 2010 metais sudarė 2,6 </w:t>
      </w:r>
      <w:r w:rsidR="009A0ECE">
        <w:rPr>
          <w:lang w:val="lt-LT"/>
        </w:rPr>
        <w:t>proc.</w:t>
      </w:r>
      <w:r w:rsidRPr="00303A5A">
        <w:rPr>
          <w:lang w:val="lt-LT"/>
        </w:rPr>
        <w:t xml:space="preserve">, o tankis - 655 litus. Tuo tarpu, </w:t>
      </w:r>
      <w:r w:rsidRPr="00303A5A">
        <w:rPr>
          <w:rFonts w:eastAsia="TrebuchetMS"/>
          <w:lang w:val="lt-LT"/>
        </w:rPr>
        <w:t>2010 metais ES draudimo rinkos skvarba siekė 8,4 proc., draudimo tankis – 6 581 litą.</w:t>
      </w:r>
      <w:r w:rsidRPr="00303A5A">
        <w:rPr>
          <w:lang w:val="lt-LT"/>
        </w:rPr>
        <w:t xml:space="preserve"> Palyginti su panašaus ekonominio išsivystymo lygio šalimis (pagal BVP dalį tenkančią vienam gyventojui), Lietuvos draudimo s</w:t>
      </w:r>
      <w:r w:rsidR="00603EE9">
        <w:rPr>
          <w:lang w:val="lt-LT"/>
        </w:rPr>
        <w:t>k</w:t>
      </w:r>
      <w:r w:rsidRPr="00303A5A">
        <w:rPr>
          <w:lang w:val="lt-LT"/>
        </w:rPr>
        <w:t xml:space="preserve">varba yra pasiekusi tik 66 </w:t>
      </w:r>
      <w:r w:rsidR="009A0ECE">
        <w:rPr>
          <w:lang w:val="lt-LT"/>
        </w:rPr>
        <w:t>proc.</w:t>
      </w:r>
      <w:r w:rsidRPr="00303A5A">
        <w:rPr>
          <w:lang w:val="lt-LT"/>
        </w:rPr>
        <w:t xml:space="preserve"> ne gyvybės draudimo svarbos vidurkio. </w:t>
      </w:r>
    </w:p>
    <w:p w:rsidR="005A2023" w:rsidRPr="00303A5A" w:rsidRDefault="00286068" w:rsidP="00310363">
      <w:pPr>
        <w:spacing w:line="360" w:lineRule="auto"/>
        <w:ind w:firstLine="567"/>
        <w:jc w:val="both"/>
        <w:rPr>
          <w:lang w:val="lt-LT"/>
        </w:rPr>
      </w:pPr>
      <w:r>
        <w:rPr>
          <w:lang w:val="lt-LT"/>
        </w:rPr>
        <w:t>Kaip galima matyti 3.5. pav., d</w:t>
      </w:r>
      <w:r w:rsidR="005A2023" w:rsidRPr="00303A5A">
        <w:rPr>
          <w:lang w:val="lt-LT"/>
        </w:rPr>
        <w:t>idžiausia ne gyvybės draudimo tankio reikšmė 448,70 litų užfiksuota 2008 metais – ekonominio pakilimo laikotarpiu. Draudimo rinka, kaip visas paslaugų sektorius, jautriai reaguoja į pokyčius šalies ekonomikoje, todėl 2009 metais draudimo tankio reikšmė stipriai sumažėjo.</w:t>
      </w:r>
    </w:p>
    <w:p w:rsidR="000B1351" w:rsidRDefault="005A2023" w:rsidP="00310363">
      <w:pPr>
        <w:autoSpaceDE w:val="0"/>
        <w:autoSpaceDN w:val="0"/>
        <w:adjustRightInd w:val="0"/>
        <w:spacing w:line="360" w:lineRule="auto"/>
        <w:ind w:firstLine="567"/>
        <w:jc w:val="both"/>
        <w:rPr>
          <w:rFonts w:eastAsia="TrebuchetMS"/>
          <w:lang w:val="lt-LT"/>
        </w:rPr>
      </w:pPr>
      <w:r w:rsidRPr="00303A5A">
        <w:rPr>
          <w:rFonts w:eastAsia="TrebuchetMS"/>
          <w:lang w:val="lt-LT"/>
        </w:rPr>
        <w:t>Ne gyvybės draudimo rinkos vystymasis glaudžiai susijęs su šalie</w:t>
      </w:r>
      <w:r w:rsidR="00286068">
        <w:rPr>
          <w:rFonts w:eastAsia="TrebuchetMS"/>
          <w:lang w:val="lt-LT"/>
        </w:rPr>
        <w:t>s ūkio vystymosi tendencijomis.</w:t>
      </w:r>
      <w:r w:rsidRPr="00303A5A">
        <w:rPr>
          <w:rFonts w:eastAsia="TrebuchetMS"/>
          <w:lang w:val="lt-LT"/>
        </w:rPr>
        <w:t xml:space="preserve"> Kaip ir Lietuvos ekonomikoje, ne gyvybės draudimo rinkoje didžiausias nuosmukis </w:t>
      </w:r>
      <w:r w:rsidRPr="00303A5A">
        <w:rPr>
          <w:rFonts w:eastAsia="TrebuchetMS"/>
          <w:lang w:val="lt-LT"/>
        </w:rPr>
        <w:lastRenderedPageBreak/>
        <w:t>buvo 2009 metais, kai ne gyvybės draudimo įmokų suma palyginti su 2008 metais sumažėjo 29,5 proc. (Realus ne gyvybės draudimo rinkos augimo tempas, atsižvelgiant į infliacijos tempus buvo – 32,4 proc.) 2010 metais ūkiui augant, ne gyvybės draudimo sektoriaus rezultatai dar</w:t>
      </w:r>
      <w:r w:rsidR="009A0ECE">
        <w:rPr>
          <w:rFonts w:eastAsia="TrebuchetMS"/>
          <w:lang w:val="lt-LT"/>
        </w:rPr>
        <w:t xml:space="preserve"> atsiliko – rinka sumažėjo 4,7 proc</w:t>
      </w:r>
      <w:r w:rsidRPr="00303A5A">
        <w:rPr>
          <w:rFonts w:eastAsia="TrebuchetMS"/>
          <w:lang w:val="lt-LT"/>
        </w:rPr>
        <w:t xml:space="preserve">. (žr. </w:t>
      </w:r>
      <w:r w:rsidR="00286068">
        <w:rPr>
          <w:rFonts w:eastAsia="TrebuchetMS"/>
          <w:lang w:val="lt-LT"/>
        </w:rPr>
        <w:t>3.6.</w:t>
      </w:r>
      <w:r w:rsidRPr="00303A5A">
        <w:rPr>
          <w:rFonts w:eastAsia="TrebuchetMS"/>
          <w:lang w:val="lt-LT"/>
        </w:rPr>
        <w:t xml:space="preserve"> pav.) Kai ekonomika kyla ne gyvybės draudimo rinka auga didesniais tempais, nei BVP, bet kai BVP mažėja, ne gyvybės rinka traukiasi taip pat žymiai greičiau. Už 2011 metų 9 mėnesius yra surinkta 852,24 mln. litų įmokų, tai 11,67 proc. daugiau nei 2010 metais tuo pačiu metu. Tai geros naujienos draudimo rinkai, nes pagaliau rinkoje matomi atsigavimo požymiai.</w:t>
      </w:r>
    </w:p>
    <w:p w:rsidR="00835E7C" w:rsidRPr="00835E7C" w:rsidRDefault="00835E7C" w:rsidP="00310363">
      <w:pPr>
        <w:autoSpaceDE w:val="0"/>
        <w:autoSpaceDN w:val="0"/>
        <w:adjustRightInd w:val="0"/>
        <w:spacing w:line="360" w:lineRule="auto"/>
        <w:ind w:firstLine="567"/>
        <w:jc w:val="both"/>
        <w:rPr>
          <w:rFonts w:eastAsia="TrebuchetMS"/>
          <w:lang w:val="lt-LT"/>
        </w:rPr>
      </w:pPr>
    </w:p>
    <w:p w:rsidR="005A2023" w:rsidRPr="00303A5A" w:rsidRDefault="005A2023" w:rsidP="00835E7C">
      <w:pPr>
        <w:spacing w:line="360" w:lineRule="auto"/>
        <w:jc w:val="center"/>
        <w:rPr>
          <w:lang w:val="lt-LT"/>
        </w:rPr>
      </w:pPr>
      <w:r w:rsidRPr="00303A5A">
        <w:rPr>
          <w:noProof/>
        </w:rPr>
        <w:drawing>
          <wp:inline distT="0" distB="0" distL="0" distR="0">
            <wp:extent cx="5940000" cy="2162175"/>
            <wp:effectExtent l="19050" t="0" r="226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2023" w:rsidRPr="00303A5A" w:rsidRDefault="005A2023" w:rsidP="005A2023">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5A2023" w:rsidRDefault="00286068" w:rsidP="00835E7C">
      <w:pPr>
        <w:pStyle w:val="Paveikslai"/>
      </w:pPr>
      <w:bookmarkStart w:id="82" w:name="_Toc310014787"/>
      <w:bookmarkStart w:id="83" w:name="_Toc311971011"/>
      <w:bookmarkStart w:id="84" w:name="_Toc311971826"/>
      <w:bookmarkStart w:id="85" w:name="_Toc311972024"/>
      <w:r w:rsidRPr="00835E7C">
        <w:t>3.5.</w:t>
      </w:r>
      <w:r w:rsidR="005A2023" w:rsidRPr="00835E7C">
        <w:t xml:space="preserve"> pav..Ne gyvybės draudimo įmokų tankis(skalė kairėje, matavimo vienetas Lt.), bei s</w:t>
      </w:r>
      <w:r w:rsidR="006D715B" w:rsidRPr="00835E7C">
        <w:t>k</w:t>
      </w:r>
      <w:r w:rsidR="005A2023" w:rsidRPr="00835E7C">
        <w:t>varba(skalė dešinėje, procentais)</w:t>
      </w:r>
      <w:bookmarkEnd w:id="82"/>
      <w:bookmarkEnd w:id="83"/>
      <w:bookmarkEnd w:id="84"/>
      <w:bookmarkEnd w:id="85"/>
    </w:p>
    <w:p w:rsidR="00BC79D7" w:rsidRPr="00835E7C" w:rsidRDefault="00BC79D7" w:rsidP="00835E7C">
      <w:pPr>
        <w:pStyle w:val="Paveikslai"/>
      </w:pPr>
    </w:p>
    <w:p w:rsidR="005A2023" w:rsidRDefault="00C16006" w:rsidP="00835E7C">
      <w:pPr>
        <w:jc w:val="center"/>
        <w:rPr>
          <w:rFonts w:eastAsia="TrebuchetMS"/>
          <w:lang w:val="lt-LT"/>
        </w:rPr>
      </w:pPr>
      <w:r w:rsidRPr="00C16006">
        <w:rPr>
          <w:rFonts w:eastAsia="TrebuchetMS"/>
          <w:noProof/>
        </w:rPr>
        <w:drawing>
          <wp:inline distT="0" distB="0" distL="0" distR="0">
            <wp:extent cx="5940000" cy="2162175"/>
            <wp:effectExtent l="19050" t="0" r="22650" b="0"/>
            <wp:docPr id="1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35E7C" w:rsidRPr="00303A5A" w:rsidRDefault="00835E7C" w:rsidP="00835E7C">
      <w:pPr>
        <w:jc w:val="center"/>
        <w:rPr>
          <w:rFonts w:eastAsia="TrebuchetMS"/>
          <w:lang w:val="lt-LT"/>
        </w:rPr>
      </w:pPr>
    </w:p>
    <w:p w:rsidR="005A2023" w:rsidRPr="00303A5A" w:rsidRDefault="005A2023" w:rsidP="005A2023">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286068" w:rsidRDefault="00286068" w:rsidP="00BC79D7">
      <w:pPr>
        <w:pStyle w:val="Paveikslai"/>
        <w:rPr>
          <w:rFonts w:eastAsia="TrebuchetMS"/>
        </w:rPr>
      </w:pPr>
      <w:bookmarkStart w:id="86" w:name="_Toc310014788"/>
      <w:bookmarkStart w:id="87" w:name="_Toc311971012"/>
      <w:bookmarkStart w:id="88" w:name="_Toc311971827"/>
      <w:bookmarkStart w:id="89" w:name="_Toc311972025"/>
      <w:r>
        <w:rPr>
          <w:rFonts w:eastAsia="TrebuchetMS"/>
        </w:rPr>
        <w:t>3.6.</w:t>
      </w:r>
      <w:r w:rsidR="005A2023" w:rsidRPr="00303A5A">
        <w:rPr>
          <w:rFonts w:eastAsia="TrebuchetMS"/>
        </w:rPr>
        <w:t xml:space="preserve"> pav. Pasirašytų draudimo įmokų ne gyvybės draudime dinamika (mln. litų skalė kairėje) bei augim</w:t>
      </w:r>
      <w:r w:rsidR="00E12CFF">
        <w:rPr>
          <w:rFonts w:eastAsia="TrebuchetMS"/>
        </w:rPr>
        <w:t>o tempai (proc., skalė dešinėje</w:t>
      </w:r>
      <w:r w:rsidR="005A2023" w:rsidRPr="00303A5A">
        <w:rPr>
          <w:rFonts w:eastAsia="TrebuchetMS"/>
        </w:rPr>
        <w:t>)</w:t>
      </w:r>
      <w:bookmarkEnd w:id="86"/>
      <w:bookmarkEnd w:id="87"/>
      <w:bookmarkEnd w:id="88"/>
      <w:bookmarkEnd w:id="89"/>
      <w:r w:rsidR="005A2023" w:rsidRPr="00303A5A">
        <w:rPr>
          <w:rFonts w:eastAsia="TrebuchetMS"/>
        </w:rPr>
        <w:t xml:space="preserve"> </w:t>
      </w:r>
    </w:p>
    <w:p w:rsidR="00BC79D7" w:rsidRPr="00303A5A" w:rsidRDefault="00BC79D7" w:rsidP="00BC79D7">
      <w:pPr>
        <w:pStyle w:val="Paveikslai"/>
        <w:rPr>
          <w:rFonts w:eastAsia="TrebuchetMS"/>
        </w:rPr>
      </w:pPr>
    </w:p>
    <w:p w:rsidR="001B7A5F" w:rsidRDefault="005A2023" w:rsidP="00BC79D7">
      <w:pPr>
        <w:spacing w:line="360" w:lineRule="auto"/>
        <w:ind w:firstLine="567"/>
        <w:jc w:val="both"/>
        <w:rPr>
          <w:lang w:val="lt-LT"/>
        </w:rPr>
      </w:pPr>
      <w:r w:rsidRPr="00303A5A">
        <w:rPr>
          <w:lang w:val="lt-LT"/>
        </w:rPr>
        <w:t>Ne gyvybės draudime sudarytų sutarčių skaičius 2002 -</w:t>
      </w:r>
      <w:r w:rsidR="00286068">
        <w:rPr>
          <w:lang w:val="lt-LT"/>
        </w:rPr>
        <w:t xml:space="preserve"> </w:t>
      </w:r>
      <w:r w:rsidRPr="00303A5A">
        <w:rPr>
          <w:lang w:val="lt-LT"/>
        </w:rPr>
        <w:t>2010 metų laikotarpyje</w:t>
      </w:r>
      <w:r w:rsidR="00286068">
        <w:rPr>
          <w:lang w:val="lt-LT"/>
        </w:rPr>
        <w:t xml:space="preserve"> beveik visais metais augo. Tendencijas metams bėgant galima matyti 3.7. pav.</w:t>
      </w:r>
      <w:r w:rsidRPr="00303A5A">
        <w:rPr>
          <w:lang w:val="lt-LT"/>
        </w:rPr>
        <w:t xml:space="preserve"> Tačiau krizės laikotarpyje draudimo </w:t>
      </w:r>
      <w:r w:rsidRPr="00303A5A">
        <w:rPr>
          <w:lang w:val="lt-LT"/>
        </w:rPr>
        <w:lastRenderedPageBreak/>
        <w:t>sutarčių skaičius tik nežymiai sumažėjo, t.y. 2009 metais sudarytų draudimo sutarčių skaičius sumažėjo tik 1,44 proc. (kai tuo tarpu pasira</w:t>
      </w:r>
      <w:r w:rsidR="003911D5">
        <w:rPr>
          <w:lang w:val="lt-LT"/>
        </w:rPr>
        <w:t>šytomis įmokomis kritimas buvo -</w:t>
      </w:r>
      <w:r w:rsidRPr="00303A5A">
        <w:rPr>
          <w:lang w:val="lt-LT"/>
        </w:rPr>
        <w:t>29,5 proc.). Tokias tendencijas sąlygojo krizės laikotarpiu sumažėjusi draudžiamo turto vertė, bei mažiau kompleksiško draudimo sutarčių pasirinkimas. Per 2011 metų devynis mėnesius yra sudaryta 3,65 mln. vienetų draudimo sutar</w:t>
      </w:r>
      <w:r w:rsidR="009A0ECE">
        <w:rPr>
          <w:lang w:val="lt-LT"/>
        </w:rPr>
        <w:t>čių ne gyvybės draudime. Tai 3,</w:t>
      </w:r>
      <w:r w:rsidRPr="00303A5A">
        <w:rPr>
          <w:lang w:val="lt-LT"/>
        </w:rPr>
        <w:t>39 proc. daugiau nei už tą patį laikotarpį 2010 metais.</w:t>
      </w:r>
    </w:p>
    <w:p w:rsidR="00BC79D7" w:rsidRDefault="00BC79D7" w:rsidP="00BC79D7">
      <w:pPr>
        <w:spacing w:line="360" w:lineRule="auto"/>
        <w:ind w:firstLine="567"/>
        <w:jc w:val="both"/>
        <w:rPr>
          <w:lang w:val="lt-LT"/>
        </w:rPr>
      </w:pPr>
    </w:p>
    <w:p w:rsidR="005A2023" w:rsidRPr="00303A5A" w:rsidRDefault="001B7A5F" w:rsidP="00835E7C">
      <w:pPr>
        <w:spacing w:line="360" w:lineRule="auto"/>
        <w:ind w:firstLine="284"/>
        <w:jc w:val="center"/>
        <w:rPr>
          <w:lang w:val="lt-LT"/>
        </w:rPr>
      </w:pPr>
      <w:r w:rsidRPr="001B7A5F">
        <w:rPr>
          <w:noProof/>
        </w:rPr>
        <w:drawing>
          <wp:inline distT="0" distB="0" distL="0" distR="0">
            <wp:extent cx="5940000" cy="2160000"/>
            <wp:effectExtent l="19050" t="0" r="2265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A2023" w:rsidRPr="00303A5A" w:rsidRDefault="005A2023" w:rsidP="005A2023">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5A2023" w:rsidRPr="00303A5A" w:rsidRDefault="00286068" w:rsidP="00286068">
      <w:pPr>
        <w:pStyle w:val="Paveikslai"/>
        <w:rPr>
          <w:rFonts w:eastAsia="TrebuchetMS"/>
        </w:rPr>
      </w:pPr>
      <w:bookmarkStart w:id="90" w:name="_Toc310014789"/>
      <w:bookmarkStart w:id="91" w:name="_Toc311971013"/>
      <w:bookmarkStart w:id="92" w:name="_Toc311971828"/>
      <w:bookmarkStart w:id="93" w:name="_Toc311972026"/>
      <w:r>
        <w:rPr>
          <w:rFonts w:eastAsia="TrebuchetMS"/>
        </w:rPr>
        <w:t>3.7.</w:t>
      </w:r>
      <w:r w:rsidR="005A2023" w:rsidRPr="00303A5A">
        <w:rPr>
          <w:rFonts w:eastAsia="TrebuchetMS"/>
        </w:rPr>
        <w:t xml:space="preserve"> pav. Sudarytų draudimo sutarčių skaičiaus ne gyvybės draudime dinamika (mln. vnt., skalė kairėje) bei augimo tempai (p</w:t>
      </w:r>
      <w:r w:rsidR="00E12CFF">
        <w:rPr>
          <w:rFonts w:eastAsia="TrebuchetMS"/>
        </w:rPr>
        <w:t>roc., skalė dešinėje</w:t>
      </w:r>
      <w:r w:rsidR="005A2023" w:rsidRPr="00303A5A">
        <w:rPr>
          <w:rFonts w:eastAsia="TrebuchetMS"/>
        </w:rPr>
        <w:t>)</w:t>
      </w:r>
      <w:bookmarkEnd w:id="90"/>
      <w:bookmarkEnd w:id="91"/>
      <w:bookmarkEnd w:id="92"/>
      <w:bookmarkEnd w:id="93"/>
      <w:r w:rsidR="005A2023" w:rsidRPr="00303A5A">
        <w:rPr>
          <w:rFonts w:eastAsia="TrebuchetMS"/>
        </w:rPr>
        <w:t xml:space="preserve"> </w:t>
      </w:r>
    </w:p>
    <w:p w:rsidR="005A2023" w:rsidRPr="00303A5A" w:rsidRDefault="005A2023" w:rsidP="005A2023">
      <w:pPr>
        <w:spacing w:line="360" w:lineRule="auto"/>
        <w:ind w:firstLine="284"/>
        <w:jc w:val="both"/>
        <w:rPr>
          <w:lang w:val="lt-LT"/>
        </w:rPr>
      </w:pPr>
    </w:p>
    <w:p w:rsidR="005A2023" w:rsidRPr="00303A5A" w:rsidRDefault="005A2023" w:rsidP="001B7A5F">
      <w:pPr>
        <w:autoSpaceDE w:val="0"/>
        <w:autoSpaceDN w:val="0"/>
        <w:adjustRightInd w:val="0"/>
        <w:spacing w:line="360" w:lineRule="auto"/>
        <w:ind w:firstLine="567"/>
        <w:jc w:val="both"/>
        <w:rPr>
          <w:rFonts w:eastAsia="TrebuchetMS"/>
          <w:lang w:val="lt-LT"/>
        </w:rPr>
      </w:pPr>
      <w:r w:rsidRPr="00303A5A">
        <w:rPr>
          <w:rFonts w:eastAsia="TrebuchetMS"/>
          <w:lang w:val="lt-LT"/>
        </w:rPr>
        <w:t xml:space="preserve"> Didžiausias istorinis teigimas šuolis buvo užfiksuotas 2002 metais, kai Lietuvoje įsigaliojo Transporto priemonių valdytojų civilinės atsakomybės privalomojo draudimo įstatymas. Po įstatymo priėmimo, visos Lietuvoje registruotos transporto priemonės privalėjo būti apdraustos Transporto priemonių valdytojų civilinės atsakomybės draudimu (TPVCA</w:t>
      </w:r>
      <w:r w:rsidR="006D6A53">
        <w:rPr>
          <w:rFonts w:eastAsia="TrebuchetMS"/>
          <w:lang w:val="lt-LT"/>
        </w:rPr>
        <w:t>P</w:t>
      </w:r>
      <w:r w:rsidRPr="00303A5A">
        <w:rPr>
          <w:rFonts w:eastAsia="TrebuchetMS"/>
          <w:lang w:val="lt-LT"/>
        </w:rPr>
        <w:t xml:space="preserve">D). </w:t>
      </w:r>
      <w:r w:rsidRPr="00303A5A">
        <w:rPr>
          <w:lang w:val="lt-LT"/>
        </w:rPr>
        <w:t>TPVCA</w:t>
      </w:r>
      <w:r w:rsidR="006D6A53">
        <w:rPr>
          <w:lang w:val="lt-LT"/>
        </w:rPr>
        <w:t>P</w:t>
      </w:r>
      <w:r w:rsidRPr="00303A5A">
        <w:rPr>
          <w:lang w:val="lt-LT"/>
        </w:rPr>
        <w:t xml:space="preserve">D įmokos gautos už šios rūšies draudimą sudarė 40 </w:t>
      </w:r>
      <w:r w:rsidR="009A0ECE">
        <w:rPr>
          <w:lang w:val="lt-LT"/>
        </w:rPr>
        <w:t>proc.</w:t>
      </w:r>
      <w:r w:rsidRPr="00303A5A">
        <w:rPr>
          <w:lang w:val="lt-LT"/>
        </w:rPr>
        <w:t xml:space="preserve"> visos ne gyvybės draudimo rinkos. Nors baudos už šios įstatymo nesilaikymą buvo tik simbolinės, žmonės buvo suinteresuoti šio įstatymo laikytis. Manoma, kad tai sąlygojo nedidelė kaina (220 Lt) bei taikomos didelės nuolaidos. Antraisiais privalomojo draudimo gyvavimo metais buvo pasirašyta mažiau įmokų TPVCA privalomojo draudimo srityje. Tai įtakojo kilusi konkurencija draudimo kompanijų tarpe, kuri skatino kainų mažinimą. Įmokos sumažėjo netgi apie 19 </w:t>
      </w:r>
      <w:r w:rsidR="009A0ECE">
        <w:rPr>
          <w:lang w:val="lt-LT"/>
        </w:rPr>
        <w:t>proc</w:t>
      </w:r>
      <w:r w:rsidRPr="00303A5A">
        <w:rPr>
          <w:lang w:val="lt-LT"/>
        </w:rPr>
        <w:t>. Ir šiuo metu TPV</w:t>
      </w:r>
      <w:r w:rsidR="006D6A53">
        <w:rPr>
          <w:lang w:val="lt-LT"/>
        </w:rPr>
        <w:t>CAPD</w:t>
      </w:r>
      <w:r w:rsidRPr="00303A5A">
        <w:rPr>
          <w:lang w:val="lt-LT"/>
        </w:rPr>
        <w:t xml:space="preserve"> yra svarbiausia ne gyvybės draudimo rinkos draudimo grupė. 2010 metais</w:t>
      </w:r>
      <w:r w:rsidRPr="00303A5A">
        <w:rPr>
          <w:rFonts w:eastAsia="TrebuchetMS"/>
          <w:lang w:val="lt-LT"/>
        </w:rPr>
        <w:t xml:space="preserve"> įmokų apimtis per metus sumažėjo 0,9 proc. iki 361,37 mln. litų ir sudarė 37,1 pr</w:t>
      </w:r>
      <w:r w:rsidR="00286068">
        <w:rPr>
          <w:rFonts w:eastAsia="TrebuchetMS"/>
          <w:lang w:val="lt-LT"/>
        </w:rPr>
        <w:t xml:space="preserve">oc. ne gyvybės draudimo rinkos. </w:t>
      </w:r>
      <w:r w:rsidRPr="00303A5A">
        <w:rPr>
          <w:rFonts w:eastAsia="TrebuchetMS"/>
          <w:lang w:val="lt-LT"/>
        </w:rPr>
        <w:t>Palyginimui, 2009 metais ji užėmė 34, 4 proc. ne gyvybės draudimo rinkos, tačiau augimo tempo sumažėjimas buvo –žym</w:t>
      </w:r>
      <w:r w:rsidR="00286068">
        <w:rPr>
          <w:rFonts w:eastAsia="TrebuchetMS"/>
          <w:lang w:val="lt-LT"/>
        </w:rPr>
        <w:t>iai didesnis – net -17,37 proc.</w:t>
      </w:r>
      <w:r w:rsidR="00392602">
        <w:rPr>
          <w:rFonts w:eastAsia="TrebuchetMS"/>
          <w:lang w:val="lt-LT"/>
        </w:rPr>
        <w:t xml:space="preserve"> 2002 m.- 2010 m. tendencijos pateiktos 3.8. pav. </w:t>
      </w:r>
      <w:r w:rsidRPr="00303A5A">
        <w:rPr>
          <w:rFonts w:eastAsia="TrebuchetMS"/>
          <w:lang w:val="lt-LT"/>
        </w:rPr>
        <w:t>Už 2011 metų devynis mėnesius pasirašyta įmokų TPVCAPD yra 298,8 mln. litų ir palyginus su 2010 metų tuo pačiu laikotarpiu pasirašytos įmokos išaugo 5,96 proc. Šio draudimo paslaugas 2010 metais teikė 9 draudikai. Nuo 2011 m. balandžio 1 d. iš TPVCA privalomojo draudimo rinkos pasitraukė UADB „Industrijos garantas“.</w:t>
      </w:r>
    </w:p>
    <w:p w:rsidR="005A2023" w:rsidRPr="00303A5A" w:rsidRDefault="005A2023" w:rsidP="005A2023">
      <w:pPr>
        <w:spacing w:line="360" w:lineRule="auto"/>
        <w:jc w:val="both"/>
        <w:rPr>
          <w:lang w:val="lt-LT"/>
        </w:rPr>
      </w:pPr>
    </w:p>
    <w:p w:rsidR="005A2023" w:rsidRPr="00303A5A" w:rsidRDefault="00BC79D7" w:rsidP="00BC79D7">
      <w:pPr>
        <w:spacing w:line="360" w:lineRule="auto"/>
        <w:ind w:firstLine="284"/>
        <w:jc w:val="center"/>
        <w:rPr>
          <w:lang w:val="lt-LT"/>
        </w:rPr>
      </w:pPr>
      <w:r w:rsidRPr="00BC79D7">
        <w:rPr>
          <w:noProof/>
        </w:rPr>
        <w:drawing>
          <wp:inline distT="0" distB="0" distL="0" distR="0">
            <wp:extent cx="5940000" cy="2160000"/>
            <wp:effectExtent l="19050" t="0" r="226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A2023" w:rsidRPr="00303A5A" w:rsidRDefault="005A2023" w:rsidP="005A2023">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5A2023" w:rsidRDefault="00286068" w:rsidP="00392602">
      <w:pPr>
        <w:pStyle w:val="Paveikslai"/>
        <w:rPr>
          <w:rFonts w:eastAsia="TrebuchetMS"/>
        </w:rPr>
      </w:pPr>
      <w:bookmarkStart w:id="94" w:name="_Toc310014790"/>
      <w:bookmarkStart w:id="95" w:name="_Toc311971014"/>
      <w:bookmarkStart w:id="96" w:name="_Toc311971829"/>
      <w:bookmarkStart w:id="97" w:name="_Toc311972027"/>
      <w:r>
        <w:rPr>
          <w:rFonts w:eastAsia="TrebuchetMS"/>
        </w:rPr>
        <w:t>3.8.</w:t>
      </w:r>
      <w:r w:rsidR="005A2023" w:rsidRPr="00303A5A">
        <w:rPr>
          <w:rFonts w:eastAsia="TrebuchetMS"/>
        </w:rPr>
        <w:t xml:space="preserve"> pav. Pasirašytų draudimo įmokų TPVCA privalomajame draudime dinamika (mln. litų skalė kairėje) bei augim</w:t>
      </w:r>
      <w:r w:rsidR="00E12CFF">
        <w:rPr>
          <w:rFonts w:eastAsia="TrebuchetMS"/>
        </w:rPr>
        <w:t>o tempai (proc., skalė dešinėje</w:t>
      </w:r>
      <w:r w:rsidR="005A2023" w:rsidRPr="00303A5A">
        <w:rPr>
          <w:rFonts w:eastAsia="TrebuchetMS"/>
        </w:rPr>
        <w:t>)</w:t>
      </w:r>
      <w:bookmarkEnd w:id="94"/>
      <w:bookmarkEnd w:id="95"/>
      <w:bookmarkEnd w:id="96"/>
      <w:bookmarkEnd w:id="97"/>
      <w:r w:rsidR="005A2023" w:rsidRPr="00303A5A">
        <w:rPr>
          <w:rFonts w:eastAsia="TrebuchetMS"/>
        </w:rPr>
        <w:t xml:space="preserve"> </w:t>
      </w:r>
    </w:p>
    <w:p w:rsidR="00BC79D7" w:rsidRDefault="00BC79D7" w:rsidP="00392602">
      <w:pPr>
        <w:pStyle w:val="Paveikslai"/>
        <w:rPr>
          <w:rFonts w:eastAsia="TrebuchetMS"/>
        </w:rPr>
      </w:pPr>
    </w:p>
    <w:p w:rsidR="00701E02" w:rsidRPr="00303A5A" w:rsidRDefault="00701E02" w:rsidP="00BC79D7">
      <w:pPr>
        <w:spacing w:line="360" w:lineRule="auto"/>
        <w:ind w:firstLine="284"/>
        <w:jc w:val="center"/>
        <w:rPr>
          <w:lang w:val="lt-LT"/>
        </w:rPr>
      </w:pPr>
      <w:r w:rsidRPr="003911D5">
        <w:rPr>
          <w:noProof/>
        </w:rPr>
        <w:drawing>
          <wp:inline distT="0" distB="0" distL="0" distR="0">
            <wp:extent cx="5940000" cy="2162175"/>
            <wp:effectExtent l="19050" t="0" r="22650" b="0"/>
            <wp:docPr id="1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01E02" w:rsidRPr="00303A5A" w:rsidRDefault="00701E02" w:rsidP="00701E02">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701E02" w:rsidRDefault="00701E02" w:rsidP="00BC79D7">
      <w:pPr>
        <w:pStyle w:val="Paveikslai"/>
        <w:rPr>
          <w:rFonts w:eastAsia="TrebuchetMS"/>
        </w:rPr>
      </w:pPr>
      <w:bookmarkStart w:id="98" w:name="_Toc310014791"/>
      <w:bookmarkStart w:id="99" w:name="_Toc311971015"/>
      <w:bookmarkStart w:id="100" w:name="_Toc311971830"/>
      <w:bookmarkStart w:id="101" w:name="_Toc311972028"/>
      <w:r>
        <w:rPr>
          <w:rFonts w:eastAsia="TrebuchetMS"/>
        </w:rPr>
        <w:t xml:space="preserve">3.9. </w:t>
      </w:r>
      <w:r w:rsidRPr="00303A5A">
        <w:rPr>
          <w:rFonts w:eastAsia="TrebuchetMS"/>
        </w:rPr>
        <w:t>pav. Pasirašytų draudimo įmokų transporto priemonių draudime dinamika (mln. litų skalė dešinėje) bei sutarčių skaičiaus dinamika ( tūkst.. vnt., skalė kairėje)</w:t>
      </w:r>
      <w:bookmarkEnd w:id="98"/>
      <w:bookmarkEnd w:id="99"/>
      <w:bookmarkEnd w:id="100"/>
      <w:bookmarkEnd w:id="101"/>
      <w:r w:rsidRPr="00303A5A">
        <w:rPr>
          <w:rFonts w:eastAsia="TrebuchetMS"/>
        </w:rPr>
        <w:t xml:space="preserve"> </w:t>
      </w:r>
    </w:p>
    <w:p w:rsidR="00BC79D7" w:rsidRPr="00BC79D7" w:rsidRDefault="00BC79D7" w:rsidP="00BC79D7">
      <w:pPr>
        <w:pStyle w:val="Paveikslai"/>
        <w:rPr>
          <w:rFonts w:eastAsia="TrebuchetMS"/>
        </w:rPr>
      </w:pPr>
    </w:p>
    <w:p w:rsidR="003911D5" w:rsidRPr="00701E02" w:rsidRDefault="005A2023" w:rsidP="00670E82">
      <w:pPr>
        <w:spacing w:line="360" w:lineRule="auto"/>
        <w:ind w:firstLine="567"/>
        <w:jc w:val="both"/>
        <w:rPr>
          <w:lang w:val="lt-LT"/>
        </w:rPr>
      </w:pPr>
      <w:r w:rsidRPr="00303A5A">
        <w:rPr>
          <w:lang w:val="lt-LT"/>
        </w:rPr>
        <w:t xml:space="preserve">Antra pagal dydį grupė ne gyvybės draudime yra transporto priemonių draudimas, kitaip </w:t>
      </w:r>
      <w:r w:rsidR="00392602">
        <w:rPr>
          <w:lang w:val="lt-LT"/>
        </w:rPr>
        <w:t xml:space="preserve">vadinamas </w:t>
      </w:r>
      <w:r w:rsidRPr="00303A5A">
        <w:rPr>
          <w:lang w:val="lt-LT"/>
        </w:rPr>
        <w:t>kasko</w:t>
      </w:r>
      <w:r w:rsidR="00392602">
        <w:rPr>
          <w:lang w:val="lt-LT"/>
        </w:rPr>
        <w:t xml:space="preserve"> draudimu</w:t>
      </w:r>
      <w:r w:rsidRPr="00303A5A">
        <w:rPr>
          <w:lang w:val="lt-LT"/>
        </w:rPr>
        <w:t xml:space="preserve">. 2009 metais ši draudimo grupė pagal pasirašytas įmokas užėmė 23,3 proc. ne gyvybės draudimo portfelio, o 2010 metais ši dalis sumažėjo iki 22,1 proc. ne gyvybės draudimo portfelio. Ši draudimo rūšis labai stipriai nukentėjo krizės metu, kai 2009 metai šioje grupėje buvo fiksuotas didžiausias metinis </w:t>
      </w:r>
      <w:r w:rsidR="00392602">
        <w:rPr>
          <w:lang w:val="lt-LT"/>
        </w:rPr>
        <w:t xml:space="preserve">kritimas, net -38,9 proc., informacija pateikta 3.9. pav. </w:t>
      </w:r>
      <w:r w:rsidRPr="00303A5A">
        <w:rPr>
          <w:lang w:val="lt-LT"/>
        </w:rPr>
        <w:t xml:space="preserve">2010 metais transporto priemonių draudimo pasirašytos įmokos toliau mažėjo ir susitraukė iki 233,30 mln. litų per metus. (-9,3 proc. metinis augimas). Šios grupės įmokos mažėja tiek dėl naujų automobilių pardavimų apimties, tiek dėl sumažėjusios draudimo įmokos. Vidutinė draudimo įmoka 2007 – 2008 metais buvo apie 2300 Lt – 2100 </w:t>
      </w:r>
      <w:r w:rsidR="006D6A53" w:rsidRPr="00303A5A">
        <w:rPr>
          <w:lang w:val="lt-LT"/>
        </w:rPr>
        <w:t>Lt</w:t>
      </w:r>
      <w:r w:rsidRPr="00303A5A">
        <w:rPr>
          <w:lang w:val="lt-LT"/>
        </w:rPr>
        <w:t xml:space="preserve"> tuo tarpu 2009 – 2010 metais vidutinis įmokos dydis transporto priemonių dra</w:t>
      </w:r>
      <w:r w:rsidR="006D6A53">
        <w:rPr>
          <w:lang w:val="lt-LT"/>
        </w:rPr>
        <w:t>udime buvo apie 1400 Lt – 1300 L</w:t>
      </w:r>
      <w:r w:rsidRPr="00303A5A">
        <w:rPr>
          <w:lang w:val="lt-LT"/>
        </w:rPr>
        <w:t xml:space="preserve">t. Ypatingai įmokos sumažėjo komerciniame sektoriuje, kuriam </w:t>
      </w:r>
      <w:r w:rsidRPr="00303A5A">
        <w:rPr>
          <w:lang w:val="lt-LT"/>
        </w:rPr>
        <w:lastRenderedPageBreak/>
        <w:t>draudikai dirbdami didelės konkurencijos sąlygomis taikė ypatingas nuolaidas bei ieškojo kitų būdų kaip pritraukti klientus. Šis draudimo produktas yra patrauklesnis brangesnių ir naujesnių automobilių turėtojams ir krizės akivaizdoje klientai rinkosi pirmos būtinybės prekes.</w:t>
      </w:r>
    </w:p>
    <w:p w:rsidR="005A2023" w:rsidRPr="00303A5A" w:rsidRDefault="005A2023" w:rsidP="00670E82">
      <w:pPr>
        <w:spacing w:line="360" w:lineRule="auto"/>
        <w:ind w:firstLine="567"/>
        <w:jc w:val="both"/>
        <w:rPr>
          <w:lang w:val="lt-LT"/>
        </w:rPr>
      </w:pPr>
      <w:r w:rsidRPr="00303A5A">
        <w:rPr>
          <w:lang w:val="lt-LT"/>
        </w:rPr>
        <w:t xml:space="preserve">Per 2011 metų devynis mėnesius transporto priemonių draudimo pasirašytų įmokų suma yra 185,09 mln. litų, tai 14,57 proc. daugiau nei 2010 metais tą patį laikotarpį. </w:t>
      </w:r>
    </w:p>
    <w:p w:rsidR="00E9306F" w:rsidRDefault="005A2023" w:rsidP="00670E82">
      <w:pPr>
        <w:spacing w:line="360" w:lineRule="auto"/>
        <w:ind w:firstLine="567"/>
        <w:jc w:val="both"/>
        <w:rPr>
          <w:lang w:val="lt-LT"/>
        </w:rPr>
      </w:pPr>
      <w:r w:rsidRPr="00303A5A">
        <w:rPr>
          <w:lang w:val="lt-LT"/>
        </w:rPr>
        <w:t>Trečia didžiausia grupė ne gyvybės draudime – turto draudimas. Ši draudimo rūšis labai svarbi tiek fiziniams tiek juridiniams subjektams. Šios draudimo rūšies pasirašytos įmokos 2002 m. - 2008 m. laikotarpiu sparčiai augo, kad būdinga visai Lietuvos ne gyvybės draudimo rinkai</w:t>
      </w:r>
      <w:r w:rsidR="00392602">
        <w:rPr>
          <w:lang w:val="lt-LT"/>
        </w:rPr>
        <w:t xml:space="preserve"> (informacija pateikta 3.10. pav.)</w:t>
      </w:r>
      <w:r w:rsidRPr="00303A5A">
        <w:rPr>
          <w:lang w:val="lt-LT"/>
        </w:rPr>
        <w:t>. Labai aukšti augimo tempai turto draudime dominavo nuo 2006 metų ir aukščiausią piką pasiekė 2008 m. kai užfiksuotas rekordinis 58,44 proc. pasirašytų draudimo įmokų augimas ir pasirašytų turto draudimo įmokų suma pasiekė 342,16 mln. litų. Taip pat 2008 metais turto draudimo dalis bendrame ne gyvybės draudimo portfelyje padidėjo 6,3 proc. ir išaugo iki 23,0 proc. Tačiau reikia atkreipti dėmesį</w:t>
      </w:r>
      <w:r w:rsidR="00392602">
        <w:rPr>
          <w:lang w:val="lt-LT"/>
        </w:rPr>
        <w:t xml:space="preserve"> į 3.11. pav.</w:t>
      </w:r>
      <w:r w:rsidRPr="00303A5A">
        <w:rPr>
          <w:lang w:val="lt-LT"/>
        </w:rPr>
        <w:t>, kad draudimo sutarčių skaičius per 20</w:t>
      </w:r>
      <w:r w:rsidR="00392602">
        <w:rPr>
          <w:lang w:val="lt-LT"/>
        </w:rPr>
        <w:t xml:space="preserve">08 metus padidėjo tik 0,4 proc. </w:t>
      </w:r>
      <w:r w:rsidRPr="00303A5A">
        <w:rPr>
          <w:lang w:val="lt-LT"/>
        </w:rPr>
        <w:t>Draudimo įmokų augimą sąlygojo išaugusi draudžiamojo turto vertė bei lengvatos žemės ūkio subjektams bei augusi infliacija.</w:t>
      </w:r>
    </w:p>
    <w:p w:rsidR="00E9306F" w:rsidRPr="00303A5A" w:rsidRDefault="00FA2779" w:rsidP="00E9306F">
      <w:pPr>
        <w:spacing w:line="360" w:lineRule="auto"/>
        <w:ind w:firstLine="284"/>
        <w:jc w:val="both"/>
        <w:rPr>
          <w:lang w:val="lt-LT"/>
        </w:rPr>
      </w:pPr>
      <w:r w:rsidRPr="00FA2779">
        <w:rPr>
          <w:noProof/>
        </w:rPr>
        <w:drawing>
          <wp:inline distT="0" distB="0" distL="0" distR="0">
            <wp:extent cx="6120000" cy="2162175"/>
            <wp:effectExtent l="19050" t="0" r="14100"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C79D7" w:rsidRPr="00303A5A" w:rsidRDefault="00E9306F" w:rsidP="00BC79D7">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E9306F" w:rsidRDefault="00E9306F" w:rsidP="00E9306F">
      <w:pPr>
        <w:pStyle w:val="Paveikslai"/>
        <w:rPr>
          <w:rFonts w:eastAsia="TrebuchetMS"/>
        </w:rPr>
      </w:pPr>
      <w:bookmarkStart w:id="102" w:name="_Toc310014792"/>
      <w:bookmarkStart w:id="103" w:name="_Toc311971016"/>
      <w:bookmarkStart w:id="104" w:name="_Toc311971831"/>
      <w:bookmarkStart w:id="105" w:name="_Toc311972029"/>
      <w:r>
        <w:rPr>
          <w:rFonts w:eastAsia="TrebuchetMS"/>
        </w:rPr>
        <w:t>3.10</w:t>
      </w:r>
      <w:r w:rsidRPr="00303A5A">
        <w:rPr>
          <w:rFonts w:eastAsia="TrebuchetMS"/>
        </w:rPr>
        <w:t xml:space="preserve"> pav. Pasirašytų draudimo įmokų turto draudime dinamika (mln. litų skalė kairėje) bei augimo tempas ( proc., skalė dešinėje)</w:t>
      </w:r>
      <w:bookmarkEnd w:id="102"/>
      <w:bookmarkEnd w:id="103"/>
      <w:bookmarkEnd w:id="104"/>
      <w:bookmarkEnd w:id="105"/>
      <w:r w:rsidRPr="00303A5A">
        <w:rPr>
          <w:rFonts w:eastAsia="TrebuchetMS"/>
        </w:rPr>
        <w:t xml:space="preserve"> </w:t>
      </w:r>
    </w:p>
    <w:p w:rsidR="00BC79D7" w:rsidRPr="00303A5A" w:rsidRDefault="00BC79D7" w:rsidP="00BC79D7">
      <w:pPr>
        <w:spacing w:line="360" w:lineRule="auto"/>
        <w:jc w:val="both"/>
        <w:rPr>
          <w:lang w:val="lt-LT"/>
        </w:rPr>
      </w:pPr>
    </w:p>
    <w:p w:rsidR="00E9306F" w:rsidRPr="00303A5A" w:rsidRDefault="00BC79D7" w:rsidP="00670E82">
      <w:pPr>
        <w:spacing w:line="360" w:lineRule="auto"/>
        <w:ind w:firstLine="567"/>
        <w:jc w:val="both"/>
        <w:rPr>
          <w:lang w:val="lt-LT"/>
        </w:rPr>
      </w:pPr>
      <w:r>
        <w:rPr>
          <w:lang w:val="lt-LT"/>
        </w:rPr>
        <w:t>P</w:t>
      </w:r>
      <w:r w:rsidRPr="00303A5A">
        <w:rPr>
          <w:lang w:val="lt-LT"/>
        </w:rPr>
        <w:t xml:space="preserve">riešingai nuo kitų prieš tai nagrinėtų draudimo rūšių, turto draudimas krizės laikotarpiu nusileido tik į 2007 metų lygį (pasirašytomis įmokomis), kai pvz. transporto priemonių draudimo įmokos tiek sumažėjo, kad pasiekė 2005 metų lygį. Taip pat atkreiptinas dėmesys, kad nuosmukio laikotarpiu žymiai išaugo sudarytų turto draudimo sutarčių skaičius. Tam įtakos turėjo ir pasikeitusi turto draudimo sutarčių skaičiavimo metodika. 2010 metais dėl gamtos stichijų padarytų nuostolių turto draudimui buvo skiriamas ypatingas dėmesys, tai įtakojo sutarčių skaičiaus augimą. Tačiau pasirašytų draudimo įmokų metinis augimo tempas buvo neigiamas ir siekė -6,26 proc. Iš dalies įtakos </w:t>
      </w:r>
      <w:r w:rsidRPr="00303A5A">
        <w:rPr>
          <w:lang w:val="lt-LT"/>
        </w:rPr>
        <w:lastRenderedPageBreak/>
        <w:t>tam turėjo ta pati problema, kaip ir transporto priemonių draudime – beveik dvigubai mažesnės draudimo įmokos nei 2007 m. – 2008 metais.</w:t>
      </w:r>
    </w:p>
    <w:p w:rsidR="00E9306F" w:rsidRPr="00303A5A" w:rsidRDefault="00FA2779" w:rsidP="00E9306F">
      <w:pPr>
        <w:spacing w:line="360" w:lineRule="auto"/>
        <w:ind w:firstLine="284"/>
        <w:jc w:val="both"/>
        <w:rPr>
          <w:lang w:val="lt-LT"/>
        </w:rPr>
      </w:pPr>
      <w:r w:rsidRPr="00FA2779">
        <w:rPr>
          <w:noProof/>
        </w:rPr>
        <w:drawing>
          <wp:inline distT="0" distB="0" distL="0" distR="0">
            <wp:extent cx="6120000" cy="2160000"/>
            <wp:effectExtent l="19050" t="0" r="14100"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9306F" w:rsidRPr="00303A5A" w:rsidRDefault="00E9306F" w:rsidP="00E9306F">
      <w:pPr>
        <w:spacing w:line="360" w:lineRule="auto"/>
        <w:ind w:firstLine="284"/>
        <w:jc w:val="both"/>
        <w:rPr>
          <w:sz w:val="20"/>
          <w:szCs w:val="20"/>
          <w:lang w:val="lt-LT"/>
        </w:rPr>
      </w:pPr>
      <w:r w:rsidRPr="00303A5A">
        <w:rPr>
          <w:sz w:val="20"/>
          <w:szCs w:val="20"/>
          <w:lang w:val="lt-LT"/>
        </w:rPr>
        <w:t>Šaltinis. Sudaryta autorės remiantis draudimo priežiūros komisijos skelbiamais duomenimis</w:t>
      </w:r>
    </w:p>
    <w:p w:rsidR="00E9306F" w:rsidRDefault="00E9306F" w:rsidP="00E9306F">
      <w:pPr>
        <w:pStyle w:val="Paveikslai"/>
        <w:rPr>
          <w:rFonts w:eastAsia="TrebuchetMS"/>
        </w:rPr>
      </w:pPr>
      <w:bookmarkStart w:id="106" w:name="_Toc310014793"/>
      <w:bookmarkStart w:id="107" w:name="_Toc311971017"/>
      <w:bookmarkStart w:id="108" w:name="_Toc311971832"/>
      <w:bookmarkStart w:id="109" w:name="_Toc311972030"/>
      <w:r>
        <w:rPr>
          <w:rFonts w:eastAsia="TrebuchetMS"/>
        </w:rPr>
        <w:t>3.11.</w:t>
      </w:r>
      <w:r w:rsidRPr="00303A5A">
        <w:rPr>
          <w:rFonts w:eastAsia="TrebuchetMS"/>
        </w:rPr>
        <w:t xml:space="preserve"> pav. Pasirašytų draudimo sutarčių skaičiaus turto draudime dinamika (tūkst. vnt. skalė kairėje) bei augimo tempas ( proc., skalė dešinėje)</w:t>
      </w:r>
      <w:bookmarkEnd w:id="106"/>
      <w:bookmarkEnd w:id="107"/>
      <w:bookmarkEnd w:id="108"/>
      <w:bookmarkEnd w:id="109"/>
    </w:p>
    <w:p w:rsidR="00BC79D7" w:rsidRDefault="00BC79D7" w:rsidP="00E9306F">
      <w:pPr>
        <w:pStyle w:val="Paveikslai"/>
        <w:rPr>
          <w:rFonts w:eastAsia="TrebuchetMS"/>
        </w:rPr>
      </w:pPr>
    </w:p>
    <w:p w:rsidR="005A2023" w:rsidRPr="00303A5A" w:rsidRDefault="005A2023" w:rsidP="00670E82">
      <w:pPr>
        <w:spacing w:line="360" w:lineRule="auto"/>
        <w:ind w:firstLine="567"/>
        <w:jc w:val="both"/>
        <w:rPr>
          <w:lang w:val="lt-LT"/>
        </w:rPr>
      </w:pPr>
      <w:r w:rsidRPr="00303A5A">
        <w:rPr>
          <w:lang w:val="lt-LT"/>
        </w:rPr>
        <w:t xml:space="preserve">Per 2011 metų devynis mėnesius pasirašytų draudimo įmokų turto draudime suma yra 187,65 mln. litų ir tai 18,59 proc. daugiau nei 2010 metai tuo pačiu laikotarpiu. </w:t>
      </w:r>
    </w:p>
    <w:p w:rsidR="00392602" w:rsidRPr="00E9306F" w:rsidRDefault="00E9306F" w:rsidP="00670E82">
      <w:pPr>
        <w:spacing w:line="360" w:lineRule="auto"/>
        <w:ind w:firstLine="567"/>
        <w:jc w:val="both"/>
        <w:rPr>
          <w:lang w:val="lt-LT"/>
        </w:rPr>
      </w:pPr>
      <w:r w:rsidRPr="00303A5A">
        <w:rPr>
          <w:lang w:val="lt-LT"/>
        </w:rPr>
        <w:t>Apibendrinant, galima teigti, kad ne gyvybės draudimo rinka Lietuvoje lieka pirmaujančia draudimo šaka prieš gyvybės draudimo rinką. Ne gyvybės draudimo įmonių skaičius nuo 1998 metų mažėjęs daugmaž stabilizavosi, draudikai veikia didelės konkurencijos sąlygomis ir koncentracija ne gyvybės draudimo rinkoje labai didelė. Ne gyvybės draudimo rinka susideda iš trijų pagrindinių draudimo grupių rūšių</w:t>
      </w:r>
      <w:r>
        <w:rPr>
          <w:lang w:val="lt-LT"/>
        </w:rPr>
        <w:t>:</w:t>
      </w:r>
      <w:r w:rsidRPr="00303A5A">
        <w:rPr>
          <w:lang w:val="lt-LT"/>
        </w:rPr>
        <w:t xml:space="preserve"> TPVCA privalomojo draudimo, transporto priemonių draudimo bei turto draudimo. 2002m. – 2008 metais draudimo rinka sparčiai vystėsi turėjo didelį augimo potencialą. Tam įtakos turėjo daug įvairiausių priežasčių</w:t>
      </w:r>
      <w:r>
        <w:rPr>
          <w:lang w:val="lt-LT"/>
        </w:rPr>
        <w:t>:</w:t>
      </w:r>
      <w:r w:rsidRPr="00303A5A">
        <w:rPr>
          <w:lang w:val="lt-LT"/>
        </w:rPr>
        <w:t xml:space="preserve"> ekonominės padėties gerėjimas, TPVCA privalomojo draudimo įstatymo priėmimas, įstojimas į Europos Sąjungą bei kiti veiksniai. Visos šios grupės kaip ir pati ne gyvybės draudimo rinka krizės laikotarpiu išgyveno didelį nuosmukį, tačiau rodikliai už devynis 2011 metų mėnesius </w:t>
      </w:r>
      <w:r>
        <w:rPr>
          <w:lang w:val="lt-LT"/>
        </w:rPr>
        <w:t>rodo, kad rinka atsigauna</w:t>
      </w:r>
      <w:r w:rsidRPr="00303A5A">
        <w:rPr>
          <w:lang w:val="lt-LT"/>
        </w:rPr>
        <w:t>.</w:t>
      </w:r>
    </w:p>
    <w:p w:rsidR="005A2023" w:rsidRPr="00303A5A" w:rsidRDefault="005A2023" w:rsidP="00670E82">
      <w:pPr>
        <w:spacing w:line="360" w:lineRule="auto"/>
        <w:ind w:firstLine="567"/>
        <w:jc w:val="both"/>
        <w:rPr>
          <w:lang w:val="lt-LT"/>
        </w:rPr>
      </w:pPr>
      <w:r w:rsidRPr="00303A5A">
        <w:rPr>
          <w:lang w:val="lt-LT"/>
        </w:rPr>
        <w:t xml:space="preserve">Lietuvos ne gyvybės draudimo rinka turi didelį augimo potencialą lyginant su kitomis šalimis, nes rinką apibūdinantys rodikliai kol kas </w:t>
      </w:r>
      <w:r w:rsidR="00F44C61">
        <w:rPr>
          <w:lang w:val="lt-LT"/>
        </w:rPr>
        <w:t>yra žymiai mažesni nei Europos S</w:t>
      </w:r>
      <w:r w:rsidRPr="00303A5A">
        <w:rPr>
          <w:lang w:val="lt-LT"/>
        </w:rPr>
        <w:t xml:space="preserve">ąjungos vidurkis. </w:t>
      </w:r>
    </w:p>
    <w:p w:rsidR="005A2023" w:rsidRPr="00303A5A" w:rsidRDefault="005A2023" w:rsidP="00841B08">
      <w:pPr>
        <w:spacing w:line="360" w:lineRule="auto"/>
        <w:jc w:val="both"/>
        <w:outlineLvl w:val="0"/>
        <w:rPr>
          <w:lang w:val="lt-LT"/>
        </w:rPr>
      </w:pPr>
    </w:p>
    <w:p w:rsidR="005A2023" w:rsidRPr="00303A5A" w:rsidRDefault="00A60CE6" w:rsidP="004C0E5F">
      <w:pPr>
        <w:pStyle w:val="Style1-h2"/>
      </w:pPr>
      <w:bookmarkStart w:id="110" w:name="_Toc311971362"/>
      <w:bookmarkStart w:id="111" w:name="_Toc311971551"/>
      <w:bookmarkStart w:id="112" w:name="_Toc311971697"/>
      <w:r w:rsidRPr="00303A5A">
        <w:t>3.2. Koreliacinė – regresinė analizė</w:t>
      </w:r>
      <w:bookmarkEnd w:id="110"/>
      <w:bookmarkEnd w:id="111"/>
      <w:bookmarkEnd w:id="112"/>
    </w:p>
    <w:p w:rsidR="00A60CE6" w:rsidRPr="00303A5A" w:rsidRDefault="00A60CE6" w:rsidP="00A60CE6">
      <w:pPr>
        <w:rPr>
          <w:lang w:val="lt-LT"/>
        </w:rPr>
      </w:pPr>
    </w:p>
    <w:p w:rsidR="005A2023" w:rsidRPr="00303A5A" w:rsidRDefault="005A2023" w:rsidP="00670E82">
      <w:pPr>
        <w:spacing w:line="360" w:lineRule="auto"/>
        <w:ind w:firstLine="567"/>
        <w:jc w:val="both"/>
        <w:rPr>
          <w:lang w:val="lt-LT"/>
        </w:rPr>
      </w:pPr>
      <w:r w:rsidRPr="00303A5A">
        <w:rPr>
          <w:lang w:val="lt-LT"/>
        </w:rPr>
        <w:t>Magistro baigiamajame darbe atlikta koreliacinė</w:t>
      </w:r>
      <w:r w:rsidR="006D6A53">
        <w:rPr>
          <w:lang w:val="lt-LT"/>
        </w:rPr>
        <w:t xml:space="preserve"> </w:t>
      </w:r>
      <w:r w:rsidRPr="00303A5A">
        <w:rPr>
          <w:lang w:val="lt-LT"/>
        </w:rPr>
        <w:t xml:space="preserve">- regresinė Lietuvos ne gyvybės draudimo rinkos bei ją veikiančių veiksnių analizė. Taip pat atskirai analizuota kokie veiksniai </w:t>
      </w:r>
      <w:r w:rsidR="00603EE9">
        <w:rPr>
          <w:lang w:val="lt-LT"/>
        </w:rPr>
        <w:t>daro</w:t>
      </w:r>
      <w:r w:rsidRPr="00303A5A">
        <w:rPr>
          <w:lang w:val="lt-LT"/>
        </w:rPr>
        <w:t xml:space="preserve"> įtaką pasirašytoms draudimo įmokoms transporto priemonių draudime bei turto draudime. </w:t>
      </w:r>
    </w:p>
    <w:p w:rsidR="00E9306F" w:rsidRDefault="005A2023" w:rsidP="00670E82">
      <w:pPr>
        <w:spacing w:line="360" w:lineRule="auto"/>
        <w:ind w:firstLine="567"/>
        <w:jc w:val="both"/>
        <w:rPr>
          <w:lang w:val="lt-LT"/>
        </w:rPr>
      </w:pPr>
      <w:r w:rsidRPr="00303A5A">
        <w:rPr>
          <w:lang w:val="lt-LT"/>
        </w:rPr>
        <w:lastRenderedPageBreak/>
        <w:t>Statistiniai nepriklausomų kintamųjų duomenys paimti iš Lietuvos statistikos departamento rodiklių bazės bei iš Lietuvos banko duomenų bazės. Duomenys apie</w:t>
      </w:r>
      <w:r w:rsidR="0075071B">
        <w:rPr>
          <w:lang w:val="lt-LT"/>
        </w:rPr>
        <w:t xml:space="preserve"> pasirašytas </w:t>
      </w:r>
      <w:r w:rsidRPr="00303A5A">
        <w:rPr>
          <w:lang w:val="lt-LT"/>
        </w:rPr>
        <w:t xml:space="preserve">įmokas paimti iš Lietuvos draudimo priežiūros komisijos skelbiamų rodiklių bazės. </w:t>
      </w:r>
    </w:p>
    <w:p w:rsidR="000B1351" w:rsidRDefault="000B1351" w:rsidP="004C0E5F">
      <w:pPr>
        <w:pStyle w:val="Style1-h3"/>
      </w:pPr>
      <w:bookmarkStart w:id="113" w:name="_Toc309471438"/>
      <w:bookmarkStart w:id="114" w:name="_Toc309559975"/>
    </w:p>
    <w:p w:rsidR="005A2023" w:rsidRDefault="0075071B" w:rsidP="004C0E5F">
      <w:pPr>
        <w:pStyle w:val="Style1-h3"/>
      </w:pPr>
      <w:bookmarkStart w:id="115" w:name="_Toc311971363"/>
      <w:bookmarkStart w:id="116" w:name="_Toc311971552"/>
      <w:bookmarkStart w:id="117" w:name="_Toc311971698"/>
      <w:r>
        <w:t xml:space="preserve">3.2.1. </w:t>
      </w:r>
      <w:r w:rsidR="005A2023" w:rsidRPr="00303A5A">
        <w:t>Lietuvos ne gyvybės draudimo rink</w:t>
      </w:r>
      <w:bookmarkEnd w:id="113"/>
      <w:bookmarkEnd w:id="114"/>
      <w:r>
        <w:t>os modelis</w:t>
      </w:r>
      <w:bookmarkEnd w:id="115"/>
      <w:bookmarkEnd w:id="116"/>
      <w:bookmarkEnd w:id="117"/>
    </w:p>
    <w:p w:rsidR="001C2282" w:rsidRDefault="005A2023" w:rsidP="00670E82">
      <w:pPr>
        <w:spacing w:line="360" w:lineRule="auto"/>
        <w:ind w:firstLine="567"/>
        <w:jc w:val="both"/>
        <w:rPr>
          <w:lang w:val="lt-LT"/>
        </w:rPr>
      </w:pPr>
      <w:r w:rsidRPr="00303A5A">
        <w:rPr>
          <w:lang w:val="lt-LT"/>
        </w:rPr>
        <w:t xml:space="preserve">Analizėje naudojami ketvirtiniai ne gyvybės draudimo pasirašytų įmokų duomenys už laikotarpį nuo 2004 metų </w:t>
      </w:r>
      <w:r w:rsidR="00F87655">
        <w:rPr>
          <w:lang w:val="lt-LT"/>
        </w:rPr>
        <w:t>ketvirto</w:t>
      </w:r>
      <w:r w:rsidRPr="00303A5A">
        <w:rPr>
          <w:lang w:val="lt-LT"/>
        </w:rPr>
        <w:t xml:space="preserve"> ketvirčio</w:t>
      </w:r>
      <w:r w:rsidR="00392602">
        <w:rPr>
          <w:lang w:val="lt-LT"/>
        </w:rPr>
        <w:t xml:space="preserve"> iki 2011 metų antro ketvirčio, kurių grafikas pateiktas 3.12. pav. </w:t>
      </w:r>
      <w:r w:rsidR="0075071B">
        <w:rPr>
          <w:lang w:val="lt-LT"/>
        </w:rPr>
        <w:t>Grafike aiškiai matoma TVPCAD privalomojo draudimo vadinamojo „bumo“ įtaką – priėmus įstatymą, kuriu</w:t>
      </w:r>
      <w:r w:rsidR="00073E14">
        <w:rPr>
          <w:lang w:val="lt-LT"/>
        </w:rPr>
        <w:t xml:space="preserve">o šis draudimas tapo privalomas, pareiga draustis atsirado nuo 2002-04-01 dienos. Daugiausia klientų draudžiasi metinėmis sutartimis, todėl kiekvienų metų balandžio – gegužės mėnesiais (II metų ketvirtį) surenkama žymiai daugiau įmokų nei kitu laikotarpiu. Per </w:t>
      </w:r>
      <w:r w:rsidR="006D6A53">
        <w:rPr>
          <w:lang w:val="lt-LT"/>
        </w:rPr>
        <w:t xml:space="preserve">beveik 10 metų </w:t>
      </w:r>
      <w:r w:rsidR="00073E14">
        <w:rPr>
          <w:lang w:val="lt-LT"/>
        </w:rPr>
        <w:t xml:space="preserve">gyvavimo </w:t>
      </w:r>
      <w:r w:rsidR="006D6A53">
        <w:rPr>
          <w:lang w:val="lt-LT"/>
        </w:rPr>
        <w:t>šio draudimo</w:t>
      </w:r>
      <w:r w:rsidR="00073E14">
        <w:rPr>
          <w:lang w:val="lt-LT"/>
        </w:rPr>
        <w:t xml:space="preserve"> atotrūkis tarp II ir kitų ketvirčių sumažėjo, bet tendencijos išlieka. Kadangi, kaip minėta 3.1. skyriuje, TPVCA privalomasis draudimas yra svarbiausias draudimo produktas Lietuvos ne gyvybės draudimo rinkoje, tai jo įmokų tendencijos atsispindi visame ne gyvybės draudime.</w:t>
      </w:r>
      <w:r w:rsidR="006D5A04">
        <w:rPr>
          <w:lang w:val="lt-LT"/>
        </w:rPr>
        <w:t xml:space="preserve"> 2.1. skyriuje buvo aptarti veiksniai, kurie bus įtraukti į tyrimo modelį. </w:t>
      </w:r>
    </w:p>
    <w:p w:rsidR="000B1351" w:rsidRDefault="000B1351" w:rsidP="005A2023">
      <w:pPr>
        <w:spacing w:line="360" w:lineRule="auto"/>
        <w:ind w:firstLine="567"/>
        <w:jc w:val="both"/>
        <w:rPr>
          <w:lang w:val="lt-LT"/>
        </w:rPr>
      </w:pPr>
    </w:p>
    <w:p w:rsidR="001C2282" w:rsidRPr="00303A5A" w:rsidRDefault="001C2282" w:rsidP="00BC79D7">
      <w:pPr>
        <w:jc w:val="center"/>
        <w:rPr>
          <w:lang w:val="lt-LT"/>
        </w:rPr>
      </w:pPr>
      <w:r w:rsidRPr="00F87655">
        <w:rPr>
          <w:noProof/>
        </w:rPr>
        <w:drawing>
          <wp:inline distT="0" distB="0" distL="0" distR="0">
            <wp:extent cx="5940000" cy="2162175"/>
            <wp:effectExtent l="19050" t="0" r="226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1C2282" w:rsidRDefault="001C2282" w:rsidP="001C2282">
      <w:pPr>
        <w:pStyle w:val="Paveikslai"/>
      </w:pPr>
      <w:bookmarkStart w:id="118" w:name="_Toc310014794"/>
      <w:bookmarkStart w:id="119" w:name="_Toc311971018"/>
      <w:bookmarkStart w:id="120" w:name="_Toc311971833"/>
      <w:bookmarkStart w:id="121" w:name="_Toc311972031"/>
      <w:r>
        <w:t xml:space="preserve">3.12 </w:t>
      </w:r>
      <w:r w:rsidRPr="00303A5A">
        <w:t>pav. 2004</w:t>
      </w:r>
      <w:r>
        <w:t xml:space="preserve">m. IV ketvirčio </w:t>
      </w:r>
      <w:r w:rsidRPr="00303A5A">
        <w:t>- 2011 m. II ketvirčio ne gyvybės draudimo įmokų dinamika</w:t>
      </w:r>
      <w:bookmarkEnd w:id="118"/>
      <w:r w:rsidR="003F0AC6">
        <w:t>(mln. Lt)</w:t>
      </w:r>
      <w:bookmarkEnd w:id="119"/>
      <w:bookmarkEnd w:id="120"/>
      <w:bookmarkEnd w:id="121"/>
    </w:p>
    <w:p w:rsidR="001C2282" w:rsidRDefault="001C2282" w:rsidP="00670E82">
      <w:pPr>
        <w:spacing w:line="360" w:lineRule="auto"/>
        <w:ind w:firstLine="567"/>
        <w:jc w:val="both"/>
        <w:rPr>
          <w:lang w:val="lt-LT"/>
        </w:rPr>
      </w:pPr>
    </w:p>
    <w:p w:rsidR="005A2023" w:rsidRDefault="006D5A04" w:rsidP="00670E82">
      <w:pPr>
        <w:spacing w:line="360" w:lineRule="auto"/>
        <w:ind w:firstLine="567"/>
        <w:jc w:val="both"/>
        <w:rPr>
          <w:lang w:val="lt-LT"/>
        </w:rPr>
      </w:pPr>
      <w:r>
        <w:rPr>
          <w:lang w:val="lt-LT"/>
        </w:rPr>
        <w:t>Visi duomenys yra ketvirtiniai, surinkti už laikotarpį 2004 m. I</w:t>
      </w:r>
      <w:r w:rsidR="006D6A53">
        <w:rPr>
          <w:lang w:val="lt-LT"/>
        </w:rPr>
        <w:t>V</w:t>
      </w:r>
      <w:r>
        <w:rPr>
          <w:lang w:val="lt-LT"/>
        </w:rPr>
        <w:t xml:space="preserve"> ketv. – 2011m. II ketv. Tyrimas atliekamas pasitelkiant atviro kodo programą – R. Tolimesniame tyrime bus naudojami tokie sutrumpinimai</w:t>
      </w:r>
      <w:r w:rsidR="006756D6">
        <w:rPr>
          <w:lang w:val="lt-LT"/>
        </w:rPr>
        <w:t>:</w:t>
      </w:r>
    </w:p>
    <w:p w:rsidR="006D5A04" w:rsidRPr="00303A5A" w:rsidRDefault="006D5A04" w:rsidP="00670E82">
      <w:pPr>
        <w:spacing w:line="360" w:lineRule="auto"/>
        <w:ind w:firstLine="567"/>
        <w:jc w:val="both"/>
        <w:rPr>
          <w:lang w:val="lt-LT"/>
        </w:rPr>
      </w:pPr>
      <w:r w:rsidRPr="00303A5A">
        <w:rPr>
          <w:lang w:val="lt-LT"/>
        </w:rPr>
        <w:t>Y – pasirašytos ne gyvybės draudimo įmokos (mln. litų);</w:t>
      </w:r>
    </w:p>
    <w:p w:rsidR="00392602" w:rsidRPr="001C2282" w:rsidRDefault="006D5A04" w:rsidP="00670E82">
      <w:pPr>
        <w:spacing w:line="360" w:lineRule="auto"/>
        <w:ind w:firstLine="567"/>
        <w:jc w:val="both"/>
        <w:rPr>
          <w:lang w:val="lt-LT"/>
        </w:rPr>
      </w:pPr>
      <w:r w:rsidRPr="00303A5A">
        <w:rPr>
          <w:lang w:val="lt-LT"/>
        </w:rPr>
        <w:t>X1 – BVP vienam gyventojui;</w:t>
      </w:r>
    </w:p>
    <w:p w:rsidR="005A2023" w:rsidRPr="00303A5A" w:rsidRDefault="00896091" w:rsidP="00670E82">
      <w:pPr>
        <w:spacing w:line="360" w:lineRule="auto"/>
        <w:ind w:firstLine="567"/>
        <w:jc w:val="both"/>
        <w:rPr>
          <w:lang w:val="lt-LT"/>
        </w:rPr>
      </w:pPr>
      <w:r>
        <w:rPr>
          <w:lang w:val="lt-LT"/>
        </w:rPr>
        <w:t xml:space="preserve">X2 </w:t>
      </w:r>
      <w:r w:rsidRPr="00303A5A">
        <w:rPr>
          <w:lang w:val="lt-LT"/>
        </w:rPr>
        <w:t>–</w:t>
      </w:r>
      <w:r>
        <w:rPr>
          <w:lang w:val="lt-LT"/>
        </w:rPr>
        <w:t xml:space="preserve"> </w:t>
      </w:r>
      <w:r w:rsidR="005A2023" w:rsidRPr="00303A5A">
        <w:rPr>
          <w:lang w:val="lt-LT"/>
        </w:rPr>
        <w:t>kelių eismo įvykių skaičius;</w:t>
      </w:r>
    </w:p>
    <w:p w:rsidR="005A2023" w:rsidRPr="00303A5A" w:rsidRDefault="00896091" w:rsidP="00670E82">
      <w:pPr>
        <w:spacing w:line="360" w:lineRule="auto"/>
        <w:ind w:firstLine="567"/>
        <w:jc w:val="both"/>
        <w:rPr>
          <w:lang w:val="lt-LT"/>
        </w:rPr>
      </w:pPr>
      <w:r>
        <w:rPr>
          <w:lang w:val="lt-LT"/>
        </w:rPr>
        <w:t xml:space="preserve">X3 </w:t>
      </w:r>
      <w:r w:rsidRPr="00303A5A">
        <w:rPr>
          <w:lang w:val="lt-LT"/>
        </w:rPr>
        <w:t>–</w:t>
      </w:r>
      <w:r>
        <w:rPr>
          <w:lang w:val="lt-LT"/>
        </w:rPr>
        <w:t xml:space="preserve"> </w:t>
      </w:r>
      <w:r w:rsidR="005A2023" w:rsidRPr="00303A5A">
        <w:rPr>
          <w:lang w:val="lt-LT"/>
        </w:rPr>
        <w:t>nedarbo lygis šalyje;</w:t>
      </w:r>
    </w:p>
    <w:p w:rsidR="005A2023" w:rsidRPr="00303A5A" w:rsidRDefault="005A2023" w:rsidP="00670E82">
      <w:pPr>
        <w:spacing w:line="360" w:lineRule="auto"/>
        <w:ind w:firstLine="567"/>
        <w:jc w:val="both"/>
        <w:rPr>
          <w:lang w:val="lt-LT"/>
        </w:rPr>
      </w:pPr>
      <w:r w:rsidRPr="00303A5A">
        <w:rPr>
          <w:lang w:val="lt-LT"/>
        </w:rPr>
        <w:lastRenderedPageBreak/>
        <w:t>X4</w:t>
      </w:r>
      <w:r w:rsidR="004C3AD0">
        <w:rPr>
          <w:lang w:val="lt-LT"/>
        </w:rPr>
        <w:t xml:space="preserve"> </w:t>
      </w:r>
      <w:r w:rsidR="00896091" w:rsidRPr="00303A5A">
        <w:rPr>
          <w:lang w:val="lt-LT"/>
        </w:rPr>
        <w:t>–</w:t>
      </w:r>
      <w:r w:rsidR="004C3AD0">
        <w:rPr>
          <w:lang w:val="lt-LT"/>
        </w:rPr>
        <w:t xml:space="preserve"> </w:t>
      </w:r>
      <w:r w:rsidRPr="00303A5A">
        <w:rPr>
          <w:lang w:val="lt-LT"/>
        </w:rPr>
        <w:t>pirmą kartą užregistruotų transporto priemonių skaičius (išskyrus mopedus ir motociklus);</w:t>
      </w:r>
    </w:p>
    <w:p w:rsidR="005A2023" w:rsidRPr="00303A5A" w:rsidRDefault="006D5A04" w:rsidP="00670E82">
      <w:pPr>
        <w:spacing w:line="360" w:lineRule="auto"/>
        <w:ind w:firstLine="567"/>
        <w:jc w:val="both"/>
        <w:rPr>
          <w:lang w:val="lt-LT"/>
        </w:rPr>
      </w:pPr>
      <w:r>
        <w:rPr>
          <w:lang w:val="lt-LT"/>
        </w:rPr>
        <w:t>X5</w:t>
      </w:r>
      <w:r w:rsidR="005A2023" w:rsidRPr="00303A5A">
        <w:rPr>
          <w:lang w:val="lt-LT"/>
        </w:rPr>
        <w:t xml:space="preserve"> – vartotojų kainų indeksas (pokytis su ankstesnių metų tuo pačiu ketvirčiu);</w:t>
      </w:r>
    </w:p>
    <w:p w:rsidR="005A2023" w:rsidRPr="00303A5A" w:rsidRDefault="006D5A04" w:rsidP="00670E82">
      <w:pPr>
        <w:spacing w:line="360" w:lineRule="auto"/>
        <w:ind w:firstLine="567"/>
        <w:jc w:val="both"/>
        <w:rPr>
          <w:lang w:val="lt-LT"/>
        </w:rPr>
      </w:pPr>
      <w:r>
        <w:rPr>
          <w:lang w:val="lt-LT"/>
        </w:rPr>
        <w:t>X6</w:t>
      </w:r>
      <w:r w:rsidR="005A2023" w:rsidRPr="00303A5A">
        <w:rPr>
          <w:lang w:val="lt-LT"/>
        </w:rPr>
        <w:t xml:space="preserve"> </w:t>
      </w:r>
      <w:r w:rsidR="00896091" w:rsidRPr="00303A5A">
        <w:rPr>
          <w:lang w:val="lt-LT"/>
        </w:rPr>
        <w:t>–</w:t>
      </w:r>
      <w:r w:rsidR="005A2023" w:rsidRPr="00303A5A">
        <w:rPr>
          <w:lang w:val="lt-LT"/>
        </w:rPr>
        <w:t xml:space="preserve"> naujai pastatyti butai;</w:t>
      </w:r>
    </w:p>
    <w:p w:rsidR="005A2023" w:rsidRPr="00303A5A" w:rsidRDefault="006D5A04" w:rsidP="00670E82">
      <w:pPr>
        <w:spacing w:line="360" w:lineRule="auto"/>
        <w:ind w:firstLine="567"/>
        <w:jc w:val="both"/>
        <w:rPr>
          <w:lang w:val="lt-LT"/>
        </w:rPr>
      </w:pPr>
      <w:r>
        <w:rPr>
          <w:lang w:val="lt-LT"/>
        </w:rPr>
        <w:t>X7</w:t>
      </w:r>
      <w:r w:rsidR="005A2023" w:rsidRPr="00303A5A">
        <w:rPr>
          <w:lang w:val="lt-LT"/>
        </w:rPr>
        <w:t xml:space="preserve"> – išduotos </w:t>
      </w:r>
      <w:r w:rsidR="00F87655">
        <w:rPr>
          <w:lang w:val="lt-LT"/>
        </w:rPr>
        <w:t xml:space="preserve">būsto </w:t>
      </w:r>
      <w:r w:rsidR="005A2023" w:rsidRPr="00303A5A">
        <w:rPr>
          <w:lang w:val="lt-LT"/>
        </w:rPr>
        <w:t>paskolos</w:t>
      </w:r>
      <w:r w:rsidR="00603EE9">
        <w:rPr>
          <w:lang w:val="lt-LT"/>
        </w:rPr>
        <w:t xml:space="preserve"> namų ūkiams</w:t>
      </w:r>
      <w:r w:rsidR="005A2023" w:rsidRPr="00303A5A">
        <w:rPr>
          <w:lang w:val="lt-LT"/>
        </w:rPr>
        <w:t xml:space="preserve"> (mln. litų.);</w:t>
      </w:r>
    </w:p>
    <w:p w:rsidR="005A2023" w:rsidRPr="00303A5A" w:rsidRDefault="006D5A04" w:rsidP="00670E82">
      <w:pPr>
        <w:spacing w:line="360" w:lineRule="auto"/>
        <w:ind w:firstLine="567"/>
        <w:jc w:val="both"/>
        <w:rPr>
          <w:lang w:val="lt-LT"/>
        </w:rPr>
      </w:pPr>
      <w:r>
        <w:rPr>
          <w:lang w:val="lt-LT"/>
        </w:rPr>
        <w:t>X8</w:t>
      </w:r>
      <w:r w:rsidR="005A2023" w:rsidRPr="00303A5A">
        <w:rPr>
          <w:lang w:val="lt-LT"/>
        </w:rPr>
        <w:t xml:space="preserve"> – išsilavinimo lygis (Vidurinį ir aukštesnį išsilavinimą įgijusio jaunimo(20-24 metai) dalis);</w:t>
      </w:r>
    </w:p>
    <w:p w:rsidR="005A2023" w:rsidRPr="00303A5A" w:rsidRDefault="006D5A04" w:rsidP="00670E82">
      <w:pPr>
        <w:spacing w:line="360" w:lineRule="auto"/>
        <w:ind w:firstLine="567"/>
        <w:jc w:val="both"/>
        <w:rPr>
          <w:lang w:val="lt-LT"/>
        </w:rPr>
      </w:pPr>
      <w:r>
        <w:rPr>
          <w:lang w:val="lt-LT"/>
        </w:rPr>
        <w:t>3.2. l</w:t>
      </w:r>
      <w:r w:rsidR="005A2023" w:rsidRPr="00303A5A">
        <w:rPr>
          <w:lang w:val="lt-LT"/>
        </w:rPr>
        <w:t xml:space="preserve">entelėje pateikti duomenys, kurie bus naudojami tolimesnėje analizėje. </w:t>
      </w:r>
    </w:p>
    <w:p w:rsidR="005A2023" w:rsidRDefault="000E483C" w:rsidP="00CC4DA5">
      <w:pPr>
        <w:pStyle w:val="lentels"/>
      </w:pPr>
      <w:bookmarkStart w:id="122" w:name="_Toc309471439"/>
      <w:bookmarkStart w:id="123" w:name="_Toc309559976"/>
      <w:bookmarkStart w:id="124" w:name="_Toc310014795"/>
      <w:bookmarkStart w:id="125" w:name="_Toc311970992"/>
      <w:bookmarkStart w:id="126" w:name="_Toc311971834"/>
      <w:bookmarkStart w:id="127" w:name="_Toc311971878"/>
      <w:r w:rsidRPr="000E483C">
        <w:t>3.2.</w:t>
      </w:r>
      <w:r w:rsidR="005A2023" w:rsidRPr="000E483C">
        <w:t xml:space="preserve"> lentelė. Pradiniai duomenys</w:t>
      </w:r>
      <w:bookmarkEnd w:id="122"/>
      <w:bookmarkEnd w:id="123"/>
      <w:bookmarkEnd w:id="124"/>
      <w:bookmarkEnd w:id="125"/>
      <w:bookmarkEnd w:id="126"/>
      <w:bookmarkEnd w:id="127"/>
    </w:p>
    <w:tbl>
      <w:tblPr>
        <w:tblW w:w="8760" w:type="dxa"/>
        <w:jc w:val="center"/>
        <w:tblInd w:w="103" w:type="dxa"/>
        <w:tblLook w:val="04A0"/>
      </w:tblPr>
      <w:tblGrid>
        <w:gridCol w:w="1420"/>
        <w:gridCol w:w="766"/>
        <w:gridCol w:w="1020"/>
        <w:gridCol w:w="880"/>
        <w:gridCol w:w="666"/>
        <w:gridCol w:w="1000"/>
        <w:gridCol w:w="666"/>
        <w:gridCol w:w="880"/>
        <w:gridCol w:w="880"/>
        <w:gridCol w:w="666"/>
      </w:tblGrid>
      <w:tr w:rsidR="00F87655" w:rsidRPr="00F87655" w:rsidTr="00F87655">
        <w:trPr>
          <w:trHeight w:val="315"/>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Data</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color w:val="000000"/>
                <w:sz w:val="20"/>
                <w:szCs w:val="20"/>
              </w:rPr>
            </w:pPr>
            <w:r w:rsidRPr="00F87655">
              <w:rPr>
                <w:b/>
                <w:color w:val="000000"/>
                <w:sz w:val="20"/>
                <w:szCs w:val="20"/>
              </w:rPr>
              <w:t>Y</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X1</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X2</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X3</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X4</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X5</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X6</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X7</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X8</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2004 IV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135,96</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5044,28</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1820,00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10,60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37279,00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3,00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2734,00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1629,20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86,00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2005 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162,39</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4410,18</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1164,00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10,20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34387,00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3,20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1380,00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1659,20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87,80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2005 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247,02</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5194,63</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1646,00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8,50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50902,00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2,40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1077,00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1713,90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85,10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2005 III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161,03</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5607,48</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2025,00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7,20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40711,00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2,20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1279,00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1823,80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89,20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2005 IV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184,38</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5893,18</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1937,00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7,10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35771,00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2,90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2197,00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2039,50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89,00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2006 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195,68</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5107,48</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1130,00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6,40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33505,00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3,30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893,00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2389,00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86,50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2006 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303,72</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5966,44</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1665,00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5,60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46750,00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3,60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1823,00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2993,40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88,20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2006 III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241,50</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6542,51</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1936,00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5,70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57199,00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3,90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2040,00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3789,10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90,20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2006 IV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241,30</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6776,72</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1857,00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4,80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56084,00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4,20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2536,00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4727,30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87,80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2007 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267,83</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6063,75</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1329,00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5,00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55492,00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4,30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2279,00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5834,20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88,30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2007 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367,08</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7210,16</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1649,00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4,10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70141,00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4,80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1815,00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6954,40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89,50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2007 III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297,77</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7887,65</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1792,00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3,90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68924,00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5,90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2436,00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7315,40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89,50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2007 IV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317,58</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8068,53</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1678,00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4,20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60123,00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7,80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2756,00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6879,00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88,60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2008 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341,93</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7275,04</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1089,00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4,90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54924,00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10,60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3200,00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6177,60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89,40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2008 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432,70</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8586,29</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1223,00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4,50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59101,00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12,10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2653,00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6094,90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87,20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2008 III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356,91</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8891,83</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1281,00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5,90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49930,00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11,70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2457,00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6133,30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89,60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2008 IV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323,55</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8444,97</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1203,00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7,90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52031,00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9,30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3519,00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6024,40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90,00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2009 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296,60</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6354,76</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725,00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11,90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34630,00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8,70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2576,00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5694,90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86,90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2009 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286,19</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7184,53</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996,00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13,60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41266,00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5,20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2251,00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5206,40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84,90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2009 III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238,92</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7012,23</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1047,00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13,80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37882,00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2,80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1947,00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4735,90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88,00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2009 IV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236,49</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6856,38</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1037,00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15,60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39107,00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1,40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2626,00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4483,10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87,80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2010 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239,30</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6212,70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614,00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18,10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33081,00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-0,30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519,00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4379,70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85,30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2010 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278,39</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7266,86</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895,00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18,30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50884,00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0,70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717,00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4304,10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84,50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2010 III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245,51</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7575,74</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1057,00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17,80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49602,00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1,80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1073,00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4228,10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89,60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2010 IV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249,09</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7737,49</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964,00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17,10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52431,00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3,10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1358,00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4204,40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88,20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2011 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266,20</w:t>
            </w:r>
          </w:p>
        </w:tc>
        <w:tc>
          <w:tcPr>
            <w:tcW w:w="102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7085,29</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511,00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17,20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30138,00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sz w:val="20"/>
                <w:szCs w:val="20"/>
              </w:rPr>
            </w:pPr>
            <w:r w:rsidRPr="00F87655">
              <w:rPr>
                <w:sz w:val="20"/>
                <w:szCs w:val="20"/>
              </w:rPr>
              <w:t>3,30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1362,00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4192,30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87,60</w:t>
            </w:r>
          </w:p>
        </w:tc>
      </w:tr>
      <w:tr w:rsidR="00F87655" w:rsidRPr="00F87655" w:rsidTr="00F87655">
        <w:trPr>
          <w:trHeight w:val="315"/>
          <w:jc w:val="center"/>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F87655" w:rsidRPr="00F87655" w:rsidRDefault="00F87655" w:rsidP="00F87655">
            <w:pPr>
              <w:rPr>
                <w:b/>
                <w:sz w:val="20"/>
                <w:szCs w:val="20"/>
              </w:rPr>
            </w:pPr>
            <w:r w:rsidRPr="00F87655">
              <w:rPr>
                <w:b/>
                <w:sz w:val="20"/>
                <w:szCs w:val="20"/>
              </w:rPr>
              <w:t>2011 II ketv.</w:t>
            </w:r>
          </w:p>
        </w:tc>
        <w:tc>
          <w:tcPr>
            <w:tcW w:w="76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312,01</w:t>
            </w:r>
          </w:p>
        </w:tc>
        <w:tc>
          <w:tcPr>
            <w:tcW w:w="102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color w:val="000000"/>
                <w:sz w:val="20"/>
                <w:szCs w:val="20"/>
              </w:rPr>
            </w:pPr>
            <w:r w:rsidRPr="00F87655">
              <w:rPr>
                <w:color w:val="000000"/>
                <w:sz w:val="20"/>
                <w:szCs w:val="20"/>
              </w:rPr>
              <w:t>8384,75</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846,00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15,60</w:t>
            </w:r>
          </w:p>
        </w:tc>
        <w:tc>
          <w:tcPr>
            <w:tcW w:w="100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35570,00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4,80</w:t>
            </w:r>
          </w:p>
        </w:tc>
        <w:tc>
          <w:tcPr>
            <w:tcW w:w="88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1562,00</w:t>
            </w:r>
          </w:p>
        </w:tc>
        <w:tc>
          <w:tcPr>
            <w:tcW w:w="880" w:type="dxa"/>
            <w:tcBorders>
              <w:top w:val="nil"/>
              <w:left w:val="nil"/>
              <w:bottom w:val="single" w:sz="4" w:space="0" w:color="auto"/>
              <w:right w:val="single" w:sz="4" w:space="0" w:color="auto"/>
            </w:tcBorders>
            <w:shd w:val="clear" w:color="000000" w:fill="FFFFFF"/>
            <w:noWrap/>
            <w:vAlign w:val="bottom"/>
            <w:hideMark/>
          </w:tcPr>
          <w:p w:rsidR="00F87655" w:rsidRPr="00F87655" w:rsidRDefault="00F87655" w:rsidP="00F87655">
            <w:pPr>
              <w:jc w:val="right"/>
              <w:rPr>
                <w:sz w:val="20"/>
                <w:szCs w:val="20"/>
              </w:rPr>
            </w:pPr>
            <w:r w:rsidRPr="00F87655">
              <w:rPr>
                <w:sz w:val="20"/>
                <w:szCs w:val="20"/>
              </w:rPr>
              <w:t>4242,30</w:t>
            </w:r>
          </w:p>
        </w:tc>
        <w:tc>
          <w:tcPr>
            <w:tcW w:w="640" w:type="dxa"/>
            <w:tcBorders>
              <w:top w:val="nil"/>
              <w:left w:val="nil"/>
              <w:bottom w:val="single" w:sz="4" w:space="0" w:color="auto"/>
              <w:right w:val="single" w:sz="4" w:space="0" w:color="auto"/>
            </w:tcBorders>
            <w:shd w:val="clear" w:color="auto" w:fill="auto"/>
            <w:noWrap/>
            <w:vAlign w:val="bottom"/>
            <w:hideMark/>
          </w:tcPr>
          <w:p w:rsidR="00F87655" w:rsidRPr="00F87655" w:rsidRDefault="00F87655" w:rsidP="00F87655">
            <w:pPr>
              <w:jc w:val="right"/>
              <w:rPr>
                <w:color w:val="000000"/>
                <w:sz w:val="20"/>
                <w:szCs w:val="20"/>
              </w:rPr>
            </w:pPr>
            <w:r w:rsidRPr="00F87655">
              <w:rPr>
                <w:color w:val="000000"/>
                <w:sz w:val="20"/>
                <w:szCs w:val="20"/>
              </w:rPr>
              <w:t>86,30</w:t>
            </w:r>
          </w:p>
        </w:tc>
      </w:tr>
    </w:tbl>
    <w:p w:rsidR="005A2023" w:rsidRDefault="005A2023" w:rsidP="005A2023">
      <w:pPr>
        <w:spacing w:line="360" w:lineRule="auto"/>
        <w:ind w:firstLine="567"/>
        <w:jc w:val="both"/>
        <w:rPr>
          <w:sz w:val="20"/>
          <w:szCs w:val="20"/>
          <w:lang w:val="lt-LT"/>
        </w:rPr>
      </w:pPr>
      <w:r w:rsidRPr="00303A5A">
        <w:rPr>
          <w:sz w:val="20"/>
          <w:szCs w:val="20"/>
          <w:lang w:val="lt-LT"/>
        </w:rPr>
        <w:t>Šaltinis</w:t>
      </w:r>
      <w:r w:rsidR="006756D6">
        <w:rPr>
          <w:sz w:val="20"/>
          <w:szCs w:val="20"/>
          <w:lang w:val="lt-LT"/>
        </w:rPr>
        <w:t>:</w:t>
      </w:r>
      <w:r w:rsidRPr="00303A5A">
        <w:rPr>
          <w:sz w:val="20"/>
          <w:szCs w:val="20"/>
          <w:lang w:val="lt-LT"/>
        </w:rPr>
        <w:t xml:space="preserve"> sudaryta remiantis Lietuvos draudimo priežiūros tarnybos duomenų baze, Lietuvos Statistikos departamento duomenų baze, Lietuvos banko duomenų baze.</w:t>
      </w:r>
    </w:p>
    <w:p w:rsidR="006D5A04" w:rsidRPr="00303A5A" w:rsidRDefault="006D5A04" w:rsidP="00670E82">
      <w:pPr>
        <w:spacing w:line="360" w:lineRule="auto"/>
        <w:ind w:firstLine="567"/>
        <w:jc w:val="both"/>
        <w:rPr>
          <w:sz w:val="20"/>
          <w:szCs w:val="20"/>
          <w:lang w:val="lt-LT"/>
        </w:rPr>
      </w:pPr>
    </w:p>
    <w:p w:rsidR="005A2023" w:rsidRPr="00303A5A" w:rsidRDefault="005A2023" w:rsidP="00670E82">
      <w:pPr>
        <w:spacing w:line="360" w:lineRule="auto"/>
        <w:ind w:firstLine="567"/>
        <w:jc w:val="both"/>
        <w:rPr>
          <w:lang w:val="lt-LT"/>
        </w:rPr>
      </w:pPr>
      <w:r w:rsidRPr="00303A5A">
        <w:rPr>
          <w:lang w:val="lt-LT"/>
        </w:rPr>
        <w:t>Porinė koreliacija skirta nustatyti ryšio tarp tiriamojo (Y) ir kiekvieno iš nepriklausomų veiksnių (X) stiprumą. Koreliacijos koeficientas (r) apska</w:t>
      </w:r>
      <w:r w:rsidR="006D6A53">
        <w:rPr>
          <w:lang w:val="lt-LT"/>
        </w:rPr>
        <w:t>ičiuojamas pagal formulę (Čekanavičius, Murauskas, 2004):</w:t>
      </w:r>
    </w:p>
    <w:p w:rsidR="005A2023" w:rsidRDefault="005A2023" w:rsidP="00670E82">
      <w:pPr>
        <w:spacing w:line="360" w:lineRule="auto"/>
        <w:ind w:firstLine="567"/>
        <w:jc w:val="center"/>
        <w:rPr>
          <w:lang w:val="lt-LT"/>
        </w:rPr>
      </w:pPr>
      <m:oMathPara>
        <m:oMath>
          <m:r>
            <w:rPr>
              <w:rFonts w:ascii="Cambria Math" w:hAnsi="Cambria Math"/>
              <w:lang w:val="lt-LT"/>
            </w:rPr>
            <w:lastRenderedPageBreak/>
            <m:t>r=</m:t>
          </m:r>
          <m:f>
            <m:fPr>
              <m:ctrlPr>
                <w:rPr>
                  <w:rFonts w:ascii="Cambria Math" w:hAnsi="Cambria Math"/>
                  <w:i/>
                  <w:lang w:val="lt-LT"/>
                </w:rPr>
              </m:ctrlPr>
            </m:fPr>
            <m:num>
              <m:r>
                <w:rPr>
                  <w:rFonts w:ascii="Cambria Math" w:hAnsi="Cambria Math"/>
                  <w:lang w:val="lt-LT"/>
                </w:rPr>
                <m:t>n</m:t>
              </m:r>
              <m:nary>
                <m:naryPr>
                  <m:chr m:val="∑"/>
                  <m:limLoc m:val="undOvr"/>
                  <m:subHide m:val="on"/>
                  <m:supHide m:val="on"/>
                  <m:ctrlPr>
                    <w:rPr>
                      <w:rFonts w:ascii="Cambria Math" w:hAnsi="Cambria Math"/>
                      <w:i/>
                      <w:lang w:val="lt-LT"/>
                    </w:rPr>
                  </m:ctrlPr>
                </m:naryPr>
                <m:sub/>
                <m:sup/>
                <m:e>
                  <m:sSub>
                    <m:sSubPr>
                      <m:ctrlPr>
                        <w:rPr>
                          <w:rFonts w:ascii="Cambria Math" w:hAnsi="Cambria Math"/>
                          <w:i/>
                          <w:lang w:val="lt-LT"/>
                        </w:rPr>
                      </m:ctrlPr>
                    </m:sSubPr>
                    <m:e>
                      <m:r>
                        <w:rPr>
                          <w:rFonts w:ascii="Cambria Math" w:hAnsi="Cambria Math"/>
                          <w:lang w:val="lt-LT"/>
                        </w:rPr>
                        <m:t>x</m:t>
                      </m:r>
                    </m:e>
                    <m:sub>
                      <m:r>
                        <w:rPr>
                          <w:rFonts w:ascii="Cambria Math" w:hAnsi="Cambria Math"/>
                          <w:lang w:val="lt-LT"/>
                        </w:rPr>
                        <m:t>i</m:t>
                      </m:r>
                    </m:sub>
                  </m:sSub>
                  <m:sSub>
                    <m:sSubPr>
                      <m:ctrlPr>
                        <w:rPr>
                          <w:rFonts w:ascii="Cambria Math" w:hAnsi="Cambria Math"/>
                          <w:i/>
                          <w:lang w:val="lt-LT"/>
                        </w:rPr>
                      </m:ctrlPr>
                    </m:sSubPr>
                    <m:e>
                      <m:r>
                        <w:rPr>
                          <w:rFonts w:ascii="Cambria Math" w:hAnsi="Cambria Math"/>
                          <w:lang w:val="lt-LT"/>
                        </w:rPr>
                        <m:t>y</m:t>
                      </m:r>
                    </m:e>
                    <m:sub>
                      <m:r>
                        <w:rPr>
                          <w:rFonts w:ascii="Cambria Math" w:hAnsi="Cambria Math"/>
                          <w:lang w:val="lt-LT"/>
                        </w:rPr>
                        <m:t>i</m:t>
                      </m:r>
                    </m:sub>
                  </m:sSub>
                  <m:r>
                    <w:rPr>
                      <w:rFonts w:ascii="Cambria Math" w:hAnsi="Cambria Math"/>
                      <w:lang w:val="lt-LT"/>
                    </w:rPr>
                    <m:t>-</m:t>
                  </m:r>
                  <m:nary>
                    <m:naryPr>
                      <m:chr m:val="∑"/>
                      <m:limLoc m:val="undOvr"/>
                      <m:subHide m:val="on"/>
                      <m:supHide m:val="on"/>
                      <m:ctrlPr>
                        <w:rPr>
                          <w:rFonts w:ascii="Cambria Math" w:hAnsi="Cambria Math"/>
                          <w:i/>
                          <w:lang w:val="lt-LT"/>
                        </w:rPr>
                      </m:ctrlPr>
                    </m:naryPr>
                    <m:sub/>
                    <m:sup/>
                    <m:e>
                      <m:sSub>
                        <m:sSubPr>
                          <m:ctrlPr>
                            <w:rPr>
                              <w:rFonts w:ascii="Cambria Math" w:hAnsi="Cambria Math"/>
                              <w:i/>
                              <w:lang w:val="lt-LT"/>
                            </w:rPr>
                          </m:ctrlPr>
                        </m:sSubPr>
                        <m:e>
                          <m:r>
                            <w:rPr>
                              <w:rFonts w:ascii="Cambria Math" w:hAnsi="Cambria Math"/>
                              <w:lang w:val="lt-LT"/>
                            </w:rPr>
                            <m:t>x</m:t>
                          </m:r>
                        </m:e>
                        <m:sub>
                          <m:r>
                            <w:rPr>
                              <w:rFonts w:ascii="Cambria Math" w:hAnsi="Cambria Math"/>
                              <w:lang w:val="lt-LT"/>
                            </w:rPr>
                            <m:t>i</m:t>
                          </m:r>
                        </m:sub>
                      </m:sSub>
                      <m:nary>
                        <m:naryPr>
                          <m:chr m:val="∑"/>
                          <m:limLoc m:val="undOvr"/>
                          <m:subHide m:val="on"/>
                          <m:supHide m:val="on"/>
                          <m:ctrlPr>
                            <w:rPr>
                              <w:rFonts w:ascii="Cambria Math" w:hAnsi="Cambria Math"/>
                              <w:i/>
                              <w:lang w:val="lt-LT"/>
                            </w:rPr>
                          </m:ctrlPr>
                        </m:naryPr>
                        <m:sub/>
                        <m:sup/>
                        <m:e>
                          <m:sSub>
                            <m:sSubPr>
                              <m:ctrlPr>
                                <w:rPr>
                                  <w:rFonts w:ascii="Cambria Math" w:hAnsi="Cambria Math"/>
                                  <w:i/>
                                  <w:lang w:val="lt-LT"/>
                                </w:rPr>
                              </m:ctrlPr>
                            </m:sSubPr>
                            <m:e>
                              <m:r>
                                <w:rPr>
                                  <w:rFonts w:ascii="Cambria Math" w:hAnsi="Cambria Math"/>
                                  <w:lang w:val="lt-LT"/>
                                </w:rPr>
                                <m:t>y</m:t>
                              </m:r>
                            </m:e>
                            <m:sub>
                              <m:r>
                                <w:rPr>
                                  <w:rFonts w:ascii="Cambria Math" w:hAnsi="Cambria Math"/>
                                  <w:lang w:val="lt-LT"/>
                                </w:rPr>
                                <m:t>i</m:t>
                              </m:r>
                            </m:sub>
                          </m:sSub>
                        </m:e>
                      </m:nary>
                    </m:e>
                  </m:nary>
                </m:e>
              </m:nary>
            </m:num>
            <m:den>
              <m:rad>
                <m:radPr>
                  <m:degHide m:val="on"/>
                  <m:ctrlPr>
                    <w:rPr>
                      <w:rFonts w:ascii="Cambria Math" w:hAnsi="Cambria Math"/>
                      <w:i/>
                      <w:lang w:val="lt-LT"/>
                    </w:rPr>
                  </m:ctrlPr>
                </m:radPr>
                <m:deg/>
                <m:e>
                  <m:r>
                    <w:rPr>
                      <w:rFonts w:ascii="Cambria Math" w:hAnsi="Cambria Math"/>
                      <w:lang w:val="lt-LT"/>
                    </w:rPr>
                    <m:t>n</m:t>
                  </m:r>
                  <m:nary>
                    <m:naryPr>
                      <m:chr m:val="∑"/>
                      <m:limLoc m:val="undOvr"/>
                      <m:subHide m:val="on"/>
                      <m:supHide m:val="on"/>
                      <m:ctrlPr>
                        <w:rPr>
                          <w:rFonts w:ascii="Cambria Math" w:hAnsi="Cambria Math"/>
                          <w:i/>
                          <w:lang w:val="lt-LT"/>
                        </w:rPr>
                      </m:ctrlPr>
                    </m:naryPr>
                    <m:sub/>
                    <m:sup/>
                    <m:e>
                      <m:sSubSup>
                        <m:sSubSupPr>
                          <m:ctrlPr>
                            <w:rPr>
                              <w:rFonts w:ascii="Cambria Math" w:hAnsi="Cambria Math"/>
                              <w:i/>
                              <w:lang w:val="lt-LT"/>
                            </w:rPr>
                          </m:ctrlPr>
                        </m:sSubSupPr>
                        <m:e>
                          <m:r>
                            <w:rPr>
                              <w:rFonts w:ascii="Cambria Math" w:hAnsi="Cambria Math"/>
                              <w:lang w:val="lt-LT"/>
                            </w:rPr>
                            <m:t>x</m:t>
                          </m:r>
                        </m:e>
                        <m:sub>
                          <m:r>
                            <w:rPr>
                              <w:rFonts w:ascii="Cambria Math" w:hAnsi="Cambria Math"/>
                              <w:lang w:val="lt-LT"/>
                            </w:rPr>
                            <m:t>i</m:t>
                          </m:r>
                        </m:sub>
                        <m:sup>
                          <m:r>
                            <w:rPr>
                              <w:rFonts w:ascii="Cambria Math" w:hAnsi="Cambria Math"/>
                              <w:lang w:val="lt-LT"/>
                            </w:rPr>
                            <m:t>2</m:t>
                          </m:r>
                        </m:sup>
                      </m:sSubSup>
                      <m:r>
                        <w:rPr>
                          <w:rFonts w:ascii="Cambria Math" w:hAnsi="Cambria Math"/>
                          <w:lang w:val="lt-LT"/>
                        </w:rPr>
                        <m:t>-</m:t>
                      </m:r>
                      <m:sSup>
                        <m:sSupPr>
                          <m:ctrlPr>
                            <w:rPr>
                              <w:rFonts w:ascii="Cambria Math" w:hAnsi="Cambria Math"/>
                              <w:i/>
                              <w:lang w:val="lt-LT"/>
                            </w:rPr>
                          </m:ctrlPr>
                        </m:sSupPr>
                        <m:e>
                          <m:d>
                            <m:dPr>
                              <m:ctrlPr>
                                <w:rPr>
                                  <w:rFonts w:ascii="Cambria Math" w:hAnsi="Cambria Math"/>
                                  <w:i/>
                                  <w:lang w:val="lt-LT"/>
                                </w:rPr>
                              </m:ctrlPr>
                            </m:dPr>
                            <m:e>
                              <m:nary>
                                <m:naryPr>
                                  <m:chr m:val="∑"/>
                                  <m:limLoc m:val="undOvr"/>
                                  <m:subHide m:val="on"/>
                                  <m:supHide m:val="on"/>
                                  <m:ctrlPr>
                                    <w:rPr>
                                      <w:rFonts w:ascii="Cambria Math" w:hAnsi="Cambria Math"/>
                                      <w:i/>
                                      <w:lang w:val="lt-LT"/>
                                    </w:rPr>
                                  </m:ctrlPr>
                                </m:naryPr>
                                <m:sub/>
                                <m:sup/>
                                <m:e>
                                  <m:sSub>
                                    <m:sSubPr>
                                      <m:ctrlPr>
                                        <w:rPr>
                                          <w:rFonts w:ascii="Cambria Math" w:hAnsi="Cambria Math"/>
                                          <w:i/>
                                          <w:lang w:val="lt-LT"/>
                                        </w:rPr>
                                      </m:ctrlPr>
                                    </m:sSubPr>
                                    <m:e>
                                      <m:r>
                                        <w:rPr>
                                          <w:rFonts w:ascii="Cambria Math" w:hAnsi="Cambria Math"/>
                                          <w:lang w:val="lt-LT"/>
                                        </w:rPr>
                                        <m:t>x</m:t>
                                      </m:r>
                                    </m:e>
                                    <m:sub>
                                      <m:r>
                                        <w:rPr>
                                          <w:rFonts w:ascii="Cambria Math" w:hAnsi="Cambria Math"/>
                                          <w:lang w:val="lt-LT"/>
                                        </w:rPr>
                                        <m:t>i</m:t>
                                      </m:r>
                                    </m:sub>
                                  </m:sSub>
                                </m:e>
                              </m:nary>
                            </m:e>
                          </m:d>
                        </m:e>
                        <m:sup>
                          <m:r>
                            <w:rPr>
                              <w:rFonts w:ascii="Cambria Math" w:hAnsi="Cambria Math"/>
                              <w:lang w:val="lt-LT"/>
                            </w:rPr>
                            <m:t>2</m:t>
                          </m:r>
                        </m:sup>
                      </m:sSup>
                    </m:e>
                  </m:nary>
                </m:e>
              </m:rad>
              <m:rad>
                <m:radPr>
                  <m:degHide m:val="on"/>
                  <m:ctrlPr>
                    <w:rPr>
                      <w:rFonts w:ascii="Cambria Math" w:hAnsi="Cambria Math"/>
                      <w:i/>
                      <w:lang w:val="lt-LT"/>
                    </w:rPr>
                  </m:ctrlPr>
                </m:radPr>
                <m:deg/>
                <m:e>
                  <m:r>
                    <w:rPr>
                      <w:rFonts w:ascii="Cambria Math" w:hAnsi="Cambria Math"/>
                      <w:lang w:val="lt-LT"/>
                    </w:rPr>
                    <m:t>n</m:t>
                  </m:r>
                  <m:nary>
                    <m:naryPr>
                      <m:chr m:val="∑"/>
                      <m:limLoc m:val="undOvr"/>
                      <m:subHide m:val="on"/>
                      <m:supHide m:val="on"/>
                      <m:ctrlPr>
                        <w:rPr>
                          <w:rFonts w:ascii="Cambria Math" w:hAnsi="Cambria Math"/>
                          <w:i/>
                          <w:lang w:val="lt-LT"/>
                        </w:rPr>
                      </m:ctrlPr>
                    </m:naryPr>
                    <m:sub/>
                    <m:sup/>
                    <m:e>
                      <m:sSubSup>
                        <m:sSubSupPr>
                          <m:ctrlPr>
                            <w:rPr>
                              <w:rFonts w:ascii="Cambria Math" w:hAnsi="Cambria Math"/>
                              <w:i/>
                              <w:lang w:val="lt-LT"/>
                            </w:rPr>
                          </m:ctrlPr>
                        </m:sSubSupPr>
                        <m:e>
                          <m:r>
                            <w:rPr>
                              <w:rFonts w:ascii="Cambria Math" w:hAnsi="Cambria Math"/>
                              <w:lang w:val="lt-LT"/>
                            </w:rPr>
                            <m:t>y</m:t>
                          </m:r>
                        </m:e>
                        <m:sub>
                          <m:r>
                            <w:rPr>
                              <w:rFonts w:ascii="Cambria Math" w:hAnsi="Cambria Math"/>
                              <w:lang w:val="lt-LT"/>
                            </w:rPr>
                            <m:t>i</m:t>
                          </m:r>
                        </m:sub>
                        <m:sup>
                          <m:r>
                            <w:rPr>
                              <w:rFonts w:ascii="Cambria Math" w:hAnsi="Cambria Math"/>
                              <w:lang w:val="lt-LT"/>
                            </w:rPr>
                            <m:t>2</m:t>
                          </m:r>
                        </m:sup>
                      </m:sSubSup>
                      <m:r>
                        <w:rPr>
                          <w:rFonts w:ascii="Cambria Math" w:hAnsi="Cambria Math"/>
                          <w:lang w:val="lt-LT"/>
                        </w:rPr>
                        <m:t>-</m:t>
                      </m:r>
                      <m:sSup>
                        <m:sSupPr>
                          <m:ctrlPr>
                            <w:rPr>
                              <w:rFonts w:ascii="Cambria Math" w:hAnsi="Cambria Math"/>
                              <w:i/>
                              <w:lang w:val="lt-LT"/>
                            </w:rPr>
                          </m:ctrlPr>
                        </m:sSupPr>
                        <m:e>
                          <m:d>
                            <m:dPr>
                              <m:ctrlPr>
                                <w:rPr>
                                  <w:rFonts w:ascii="Cambria Math" w:hAnsi="Cambria Math"/>
                                  <w:i/>
                                  <w:lang w:val="lt-LT"/>
                                </w:rPr>
                              </m:ctrlPr>
                            </m:dPr>
                            <m:e>
                              <m:nary>
                                <m:naryPr>
                                  <m:chr m:val="∑"/>
                                  <m:limLoc m:val="undOvr"/>
                                  <m:subHide m:val="on"/>
                                  <m:supHide m:val="on"/>
                                  <m:ctrlPr>
                                    <w:rPr>
                                      <w:rFonts w:ascii="Cambria Math" w:hAnsi="Cambria Math"/>
                                      <w:i/>
                                      <w:lang w:val="lt-LT"/>
                                    </w:rPr>
                                  </m:ctrlPr>
                                </m:naryPr>
                                <m:sub/>
                                <m:sup/>
                                <m:e>
                                  <m:sSub>
                                    <m:sSubPr>
                                      <m:ctrlPr>
                                        <w:rPr>
                                          <w:rFonts w:ascii="Cambria Math" w:hAnsi="Cambria Math"/>
                                          <w:i/>
                                          <w:lang w:val="lt-LT"/>
                                        </w:rPr>
                                      </m:ctrlPr>
                                    </m:sSubPr>
                                    <m:e>
                                      <m:r>
                                        <w:rPr>
                                          <w:rFonts w:ascii="Cambria Math" w:hAnsi="Cambria Math"/>
                                          <w:lang w:val="lt-LT"/>
                                        </w:rPr>
                                        <m:t>y</m:t>
                                      </m:r>
                                    </m:e>
                                    <m:sub>
                                      <m:r>
                                        <w:rPr>
                                          <w:rFonts w:ascii="Cambria Math" w:hAnsi="Cambria Math"/>
                                          <w:lang w:val="lt-LT"/>
                                        </w:rPr>
                                        <m:t>i</m:t>
                                      </m:r>
                                    </m:sub>
                                  </m:sSub>
                                </m:e>
                              </m:nary>
                            </m:e>
                          </m:d>
                        </m:e>
                        <m:sup>
                          <m:r>
                            <w:rPr>
                              <w:rFonts w:ascii="Cambria Math" w:hAnsi="Cambria Math"/>
                              <w:lang w:val="lt-LT"/>
                            </w:rPr>
                            <m:t>2</m:t>
                          </m:r>
                        </m:sup>
                      </m:sSup>
                    </m:e>
                  </m:nary>
                </m:e>
              </m:rad>
            </m:den>
          </m:f>
          <m:r>
            <w:rPr>
              <w:rFonts w:ascii="Cambria Math" w:hAnsi="Cambria Math"/>
              <w:lang w:val="lt-LT"/>
            </w:rPr>
            <m:t xml:space="preserve">;                           (1)    </m:t>
          </m:r>
        </m:oMath>
      </m:oMathPara>
    </w:p>
    <w:p w:rsidR="00472A3C" w:rsidRPr="00303A5A" w:rsidRDefault="00472A3C" w:rsidP="00670E82">
      <w:pPr>
        <w:spacing w:line="360" w:lineRule="auto"/>
        <w:ind w:firstLine="567"/>
        <w:jc w:val="center"/>
        <w:rPr>
          <w:lang w:val="lt-LT"/>
        </w:rPr>
      </w:pPr>
    </w:p>
    <w:p w:rsidR="005A2023" w:rsidRPr="00303A5A" w:rsidRDefault="005A2023" w:rsidP="00670E82">
      <w:pPr>
        <w:spacing w:line="360" w:lineRule="auto"/>
        <w:ind w:firstLine="567"/>
        <w:jc w:val="both"/>
        <w:rPr>
          <w:lang w:val="lt-LT"/>
        </w:rPr>
      </w:pPr>
      <w:r w:rsidRPr="00303A5A">
        <w:rPr>
          <w:lang w:val="lt-LT"/>
        </w:rPr>
        <w:t>čia n – kintamųjų skaičius;</w:t>
      </w:r>
    </w:p>
    <w:p w:rsidR="005A2023" w:rsidRPr="00303A5A" w:rsidRDefault="005A2023" w:rsidP="00670E82">
      <w:pPr>
        <w:spacing w:line="360" w:lineRule="auto"/>
        <w:ind w:firstLine="567"/>
        <w:jc w:val="both"/>
        <w:rPr>
          <w:lang w:val="lt-LT"/>
        </w:rPr>
      </w:pPr>
      <w:r w:rsidRPr="00303A5A">
        <w:rPr>
          <w:lang w:val="lt-LT"/>
        </w:rPr>
        <w:t>Šis koeficientas padeda nustatyti kuris nepriklausomas kintamasis turi didžiausią įtaką ne gyvybės draudimo įmokoms, bei nustatyti ar ryšys teigiamas ar neigiamas. Koreliacijos koeficiento r reikšmės svyravimo intervalas nuo -1 iki 1. Koreliacijos koeficiento reikšmių interpretacija pateikiama lentelėje. Jei koreliacijos koeficientas teigiamas, tai ryšys tiesinis, o jei ryšys atvirkštinis, tai koreliacijos koeficientas bus su minuso ženklu.</w:t>
      </w:r>
    </w:p>
    <w:p w:rsidR="005A2023" w:rsidRPr="000E483C" w:rsidRDefault="000E483C" w:rsidP="00CC4DA5">
      <w:pPr>
        <w:pStyle w:val="lentels"/>
      </w:pPr>
      <w:bookmarkStart w:id="128" w:name="_Toc309471440"/>
      <w:bookmarkStart w:id="129" w:name="_Toc309559977"/>
      <w:bookmarkStart w:id="130" w:name="_Toc310014796"/>
      <w:bookmarkStart w:id="131" w:name="_Toc311970993"/>
      <w:bookmarkStart w:id="132" w:name="_Toc311971835"/>
      <w:bookmarkStart w:id="133" w:name="_Toc311971879"/>
      <w:r w:rsidRPr="000E483C">
        <w:t xml:space="preserve">3.3. </w:t>
      </w:r>
      <w:r w:rsidR="00A4245B">
        <w:t>l</w:t>
      </w:r>
      <w:r w:rsidR="00670E82">
        <w:t>entelė</w:t>
      </w:r>
      <w:r w:rsidR="005A2023" w:rsidRPr="000E483C">
        <w:t>. Koreliacijos koeficiento interpretacija</w:t>
      </w:r>
      <w:bookmarkEnd w:id="128"/>
      <w:bookmarkEnd w:id="129"/>
      <w:bookmarkEnd w:id="130"/>
      <w:bookmarkEnd w:id="131"/>
      <w:bookmarkEnd w:id="132"/>
      <w:bookmarkEnd w:id="133"/>
    </w:p>
    <w:tbl>
      <w:tblPr>
        <w:tblStyle w:val="TableGrid"/>
        <w:tblW w:w="0" w:type="auto"/>
        <w:jc w:val="center"/>
        <w:tblLook w:val="04A0"/>
      </w:tblPr>
      <w:tblGrid>
        <w:gridCol w:w="4428"/>
        <w:gridCol w:w="4894"/>
      </w:tblGrid>
      <w:tr w:rsidR="005A2023" w:rsidRPr="000E483C" w:rsidTr="00F87655">
        <w:trPr>
          <w:jc w:val="center"/>
        </w:trPr>
        <w:tc>
          <w:tcPr>
            <w:tcW w:w="4428" w:type="dxa"/>
          </w:tcPr>
          <w:p w:rsidR="005A2023" w:rsidRPr="00303A5A" w:rsidRDefault="005A2023" w:rsidP="004C3AD6">
            <w:pPr>
              <w:rPr>
                <w:lang w:val="lt-LT"/>
              </w:rPr>
            </w:pPr>
            <w:r w:rsidRPr="00303A5A">
              <w:rPr>
                <w:b/>
                <w:bCs/>
                <w:lang w:val="lt-LT"/>
              </w:rPr>
              <w:t xml:space="preserve">Koreliacijos koeficiento </w:t>
            </w:r>
            <w:r w:rsidRPr="00303A5A">
              <w:rPr>
                <w:b/>
                <w:bCs/>
                <w:i/>
                <w:lang w:val="lt-LT"/>
              </w:rPr>
              <w:t>r</w:t>
            </w:r>
            <w:r w:rsidRPr="00303A5A">
              <w:rPr>
                <w:b/>
                <w:bCs/>
                <w:lang w:val="lt-LT"/>
              </w:rPr>
              <w:t xml:space="preserve"> reikšmė</w:t>
            </w:r>
          </w:p>
        </w:tc>
        <w:tc>
          <w:tcPr>
            <w:tcW w:w="4894" w:type="dxa"/>
          </w:tcPr>
          <w:p w:rsidR="005A2023" w:rsidRPr="00303A5A" w:rsidRDefault="005A2023" w:rsidP="004C3AD6">
            <w:pPr>
              <w:rPr>
                <w:b/>
                <w:lang w:val="lt-LT"/>
              </w:rPr>
            </w:pPr>
            <w:r w:rsidRPr="00303A5A">
              <w:rPr>
                <w:b/>
                <w:lang w:val="lt-LT"/>
              </w:rPr>
              <w:t>Interpretacija</w:t>
            </w:r>
          </w:p>
        </w:tc>
      </w:tr>
      <w:tr w:rsidR="005A2023" w:rsidRPr="00303A5A" w:rsidTr="00F87655">
        <w:trPr>
          <w:jc w:val="center"/>
        </w:trPr>
        <w:tc>
          <w:tcPr>
            <w:tcW w:w="4428" w:type="dxa"/>
          </w:tcPr>
          <w:p w:rsidR="005A2023" w:rsidRPr="00303A5A" w:rsidRDefault="005A2023" w:rsidP="004C3AD6">
            <w:pPr>
              <w:rPr>
                <w:lang w:val="lt-LT"/>
              </w:rPr>
            </w:pPr>
            <w:r w:rsidRPr="00303A5A">
              <w:rPr>
                <w:lang w:val="lt-LT"/>
              </w:rPr>
              <w:t>Nuo 0,9 iki 1,0 arba nuo –0,9 iki -1,0</w:t>
            </w:r>
          </w:p>
        </w:tc>
        <w:tc>
          <w:tcPr>
            <w:tcW w:w="4894" w:type="dxa"/>
          </w:tcPr>
          <w:p w:rsidR="005A2023" w:rsidRPr="00303A5A" w:rsidRDefault="005A2023" w:rsidP="004C3AD6">
            <w:pPr>
              <w:rPr>
                <w:lang w:val="lt-LT"/>
              </w:rPr>
            </w:pPr>
            <w:r w:rsidRPr="00303A5A">
              <w:rPr>
                <w:lang w:val="lt-LT"/>
              </w:rPr>
              <w:t>Labai stipri koreliacija (teigiama, neigiama)</w:t>
            </w:r>
          </w:p>
        </w:tc>
      </w:tr>
      <w:tr w:rsidR="005A2023" w:rsidRPr="00303A5A" w:rsidTr="00F87655">
        <w:trPr>
          <w:jc w:val="center"/>
        </w:trPr>
        <w:tc>
          <w:tcPr>
            <w:tcW w:w="4428" w:type="dxa"/>
          </w:tcPr>
          <w:p w:rsidR="005A2023" w:rsidRPr="00303A5A" w:rsidRDefault="005A2023" w:rsidP="004C3AD6">
            <w:pPr>
              <w:rPr>
                <w:lang w:val="lt-LT"/>
              </w:rPr>
            </w:pPr>
            <w:r w:rsidRPr="00303A5A">
              <w:rPr>
                <w:lang w:val="lt-LT"/>
              </w:rPr>
              <w:t>Nuo 0,7 iki 0,9 arba nuo –0,7 iki –0,9</w:t>
            </w:r>
          </w:p>
        </w:tc>
        <w:tc>
          <w:tcPr>
            <w:tcW w:w="4894" w:type="dxa"/>
          </w:tcPr>
          <w:p w:rsidR="005A2023" w:rsidRPr="00303A5A" w:rsidRDefault="005A2023" w:rsidP="004C3AD6">
            <w:pPr>
              <w:rPr>
                <w:lang w:val="lt-LT"/>
              </w:rPr>
            </w:pPr>
            <w:r w:rsidRPr="00303A5A">
              <w:rPr>
                <w:lang w:val="lt-LT"/>
              </w:rPr>
              <w:t>Stipri koreliacija (teigiama, neigiama)</w:t>
            </w:r>
          </w:p>
        </w:tc>
      </w:tr>
      <w:tr w:rsidR="005A2023" w:rsidRPr="00303A5A" w:rsidTr="00F87655">
        <w:trPr>
          <w:jc w:val="center"/>
        </w:trPr>
        <w:tc>
          <w:tcPr>
            <w:tcW w:w="4428" w:type="dxa"/>
          </w:tcPr>
          <w:p w:rsidR="005A2023" w:rsidRPr="00303A5A" w:rsidRDefault="005A2023" w:rsidP="004C3AD6">
            <w:pPr>
              <w:rPr>
                <w:lang w:val="lt-LT"/>
              </w:rPr>
            </w:pPr>
            <w:r w:rsidRPr="00303A5A">
              <w:rPr>
                <w:lang w:val="lt-LT"/>
              </w:rPr>
              <w:t>Nuo 0,5 iki 0,7 arba nuo –0,5 iki –0,7</w:t>
            </w:r>
          </w:p>
        </w:tc>
        <w:tc>
          <w:tcPr>
            <w:tcW w:w="4894" w:type="dxa"/>
          </w:tcPr>
          <w:p w:rsidR="005A2023" w:rsidRPr="00303A5A" w:rsidRDefault="005A2023" w:rsidP="004C3AD6">
            <w:pPr>
              <w:rPr>
                <w:lang w:val="lt-LT"/>
              </w:rPr>
            </w:pPr>
            <w:r w:rsidRPr="00303A5A">
              <w:rPr>
                <w:lang w:val="lt-LT"/>
              </w:rPr>
              <w:t>Vidutin</w:t>
            </w:r>
            <w:r w:rsidRPr="00303A5A">
              <w:rPr>
                <w:rFonts w:eastAsia="TTE1799C40t00"/>
                <w:lang w:val="lt-LT"/>
              </w:rPr>
              <w:t xml:space="preserve">ė </w:t>
            </w:r>
            <w:r w:rsidRPr="00303A5A">
              <w:rPr>
                <w:lang w:val="lt-LT"/>
              </w:rPr>
              <w:t>koreliacija (teigiama, neigiama)</w:t>
            </w:r>
          </w:p>
        </w:tc>
      </w:tr>
      <w:tr w:rsidR="005A2023" w:rsidRPr="00303A5A" w:rsidTr="00F87655">
        <w:trPr>
          <w:jc w:val="center"/>
        </w:trPr>
        <w:tc>
          <w:tcPr>
            <w:tcW w:w="4428" w:type="dxa"/>
          </w:tcPr>
          <w:p w:rsidR="005A2023" w:rsidRPr="00303A5A" w:rsidRDefault="005A2023" w:rsidP="004C3AD6">
            <w:pPr>
              <w:rPr>
                <w:lang w:val="lt-LT"/>
              </w:rPr>
            </w:pPr>
            <w:r w:rsidRPr="00303A5A">
              <w:rPr>
                <w:lang w:val="lt-LT"/>
              </w:rPr>
              <w:t>Nuo 0,3 iki 0,5 arba nuo –0,3 iki –0,5</w:t>
            </w:r>
          </w:p>
        </w:tc>
        <w:tc>
          <w:tcPr>
            <w:tcW w:w="4894" w:type="dxa"/>
          </w:tcPr>
          <w:p w:rsidR="005A2023" w:rsidRPr="00303A5A" w:rsidRDefault="005A2023" w:rsidP="004C3AD6">
            <w:pPr>
              <w:rPr>
                <w:lang w:val="lt-LT"/>
              </w:rPr>
            </w:pPr>
            <w:r w:rsidRPr="00303A5A">
              <w:rPr>
                <w:lang w:val="lt-LT"/>
              </w:rPr>
              <w:t>Silpna koreliacija (teigiama, neigiama)</w:t>
            </w:r>
          </w:p>
        </w:tc>
      </w:tr>
      <w:tr w:rsidR="005A2023" w:rsidRPr="00303A5A" w:rsidTr="00F87655">
        <w:trPr>
          <w:jc w:val="center"/>
        </w:trPr>
        <w:tc>
          <w:tcPr>
            <w:tcW w:w="4428" w:type="dxa"/>
          </w:tcPr>
          <w:p w:rsidR="005A2023" w:rsidRPr="00303A5A" w:rsidRDefault="005A2023" w:rsidP="004C3AD6">
            <w:pPr>
              <w:rPr>
                <w:lang w:val="lt-LT"/>
              </w:rPr>
            </w:pPr>
            <w:r w:rsidRPr="00303A5A">
              <w:rPr>
                <w:lang w:val="lt-LT"/>
              </w:rPr>
              <w:t>Nuo 0,3 iki 0 arba nuo 0 iki –0,3</w:t>
            </w:r>
          </w:p>
        </w:tc>
        <w:tc>
          <w:tcPr>
            <w:tcW w:w="4894" w:type="dxa"/>
          </w:tcPr>
          <w:p w:rsidR="005A2023" w:rsidRPr="00303A5A" w:rsidRDefault="005A2023" w:rsidP="004C3AD6">
            <w:pPr>
              <w:rPr>
                <w:lang w:val="lt-LT"/>
              </w:rPr>
            </w:pPr>
            <w:r w:rsidRPr="00303A5A">
              <w:rPr>
                <w:lang w:val="lt-LT"/>
              </w:rPr>
              <w:t>Labai silpna koreliacija</w:t>
            </w:r>
          </w:p>
        </w:tc>
      </w:tr>
      <w:tr w:rsidR="005A2023" w:rsidRPr="00303A5A" w:rsidTr="00F87655">
        <w:trPr>
          <w:jc w:val="center"/>
        </w:trPr>
        <w:tc>
          <w:tcPr>
            <w:tcW w:w="4428" w:type="dxa"/>
          </w:tcPr>
          <w:p w:rsidR="005A2023" w:rsidRPr="00303A5A" w:rsidRDefault="005A2023" w:rsidP="004C3AD6">
            <w:pPr>
              <w:rPr>
                <w:lang w:val="lt-LT"/>
              </w:rPr>
            </w:pPr>
            <w:r w:rsidRPr="00303A5A">
              <w:rPr>
                <w:i/>
                <w:lang w:val="lt-LT"/>
              </w:rPr>
              <w:t>r</w:t>
            </w:r>
            <w:r w:rsidRPr="00303A5A">
              <w:rPr>
                <w:lang w:val="lt-LT"/>
              </w:rPr>
              <w:t>=0</w:t>
            </w:r>
          </w:p>
        </w:tc>
        <w:tc>
          <w:tcPr>
            <w:tcW w:w="4894" w:type="dxa"/>
          </w:tcPr>
          <w:p w:rsidR="005A2023" w:rsidRPr="00303A5A" w:rsidRDefault="005A2023" w:rsidP="004C3AD6">
            <w:pPr>
              <w:rPr>
                <w:lang w:val="lt-LT"/>
              </w:rPr>
            </w:pPr>
            <w:r w:rsidRPr="00303A5A">
              <w:rPr>
                <w:lang w:val="lt-LT"/>
              </w:rPr>
              <w:t>Atsitiktiniai dydžiai nėra koreliuoti</w:t>
            </w:r>
          </w:p>
        </w:tc>
      </w:tr>
    </w:tbl>
    <w:p w:rsidR="005A2023" w:rsidRPr="00303A5A" w:rsidRDefault="005A2023" w:rsidP="005A2023">
      <w:pPr>
        <w:spacing w:line="360" w:lineRule="auto"/>
        <w:ind w:firstLine="567"/>
        <w:jc w:val="both"/>
        <w:rPr>
          <w:sz w:val="19"/>
          <w:szCs w:val="19"/>
          <w:lang w:val="lt-LT"/>
        </w:rPr>
      </w:pPr>
      <w:r w:rsidRPr="00303A5A">
        <w:rPr>
          <w:b/>
          <w:bCs/>
          <w:sz w:val="19"/>
          <w:szCs w:val="19"/>
          <w:lang w:val="lt-LT"/>
        </w:rPr>
        <w:t xml:space="preserve">Šaltinis: </w:t>
      </w:r>
      <w:r w:rsidRPr="00303A5A">
        <w:rPr>
          <w:sz w:val="19"/>
          <w:szCs w:val="19"/>
          <w:lang w:val="lt-LT"/>
        </w:rPr>
        <w:t>sudaryta pagal: Bakštys A., 2006, p. 122</w:t>
      </w:r>
    </w:p>
    <w:p w:rsidR="005A2023" w:rsidRPr="00303A5A" w:rsidRDefault="005A2023" w:rsidP="005A2023">
      <w:pPr>
        <w:spacing w:line="360" w:lineRule="auto"/>
        <w:ind w:firstLine="567"/>
        <w:jc w:val="both"/>
        <w:rPr>
          <w:sz w:val="19"/>
          <w:szCs w:val="19"/>
          <w:lang w:val="lt-LT"/>
        </w:rPr>
      </w:pPr>
    </w:p>
    <w:p w:rsidR="005A2023" w:rsidRPr="00303A5A" w:rsidRDefault="005A2023" w:rsidP="00670E82">
      <w:pPr>
        <w:spacing w:line="360" w:lineRule="auto"/>
        <w:ind w:firstLine="567"/>
        <w:jc w:val="both"/>
        <w:rPr>
          <w:lang w:val="lt-LT"/>
        </w:rPr>
      </w:pPr>
      <w:r w:rsidRPr="00303A5A">
        <w:rPr>
          <w:lang w:val="lt-LT"/>
        </w:rPr>
        <w:t xml:space="preserve">Koreliacijos koeficientas yra naudingesnis būdas nustatyti ryšio mato stiprumą tarp kintamųjų nei grafinis kintamųjų kreivių lyginimas dėl to, kad skaičiuojant koreliacijos koeficientą veiksniai standartizuojami, todėl rezultatas nepriklauso nuo pasirinktų matavimo vienetų (Juchno, Tavrijonavčienė 2004). Remiantis pradiniais duomenimis pateiktais lentelėje nr. </w:t>
      </w:r>
      <w:r w:rsidR="008844D9">
        <w:rPr>
          <w:lang w:val="lt-LT"/>
        </w:rPr>
        <w:t>3.2.</w:t>
      </w:r>
      <w:r w:rsidRPr="00303A5A">
        <w:rPr>
          <w:lang w:val="lt-LT"/>
        </w:rPr>
        <w:t xml:space="preserve"> apskaičiuojame koreliacijos koeficientus tarp ne gyvybės draudimo įmokų ir kiekvieno iš nepriklausomų veiksnių. Rezultatai pateikti </w:t>
      </w:r>
      <w:r w:rsidR="008844D9">
        <w:rPr>
          <w:lang w:val="lt-LT"/>
        </w:rPr>
        <w:t xml:space="preserve">3.4. </w:t>
      </w:r>
      <w:r w:rsidRPr="00303A5A">
        <w:rPr>
          <w:lang w:val="lt-LT"/>
        </w:rPr>
        <w:t>lentelėje.</w:t>
      </w:r>
    </w:p>
    <w:p w:rsidR="005A2023" w:rsidRPr="000E483C" w:rsidRDefault="000E483C" w:rsidP="00CC4DA5">
      <w:pPr>
        <w:pStyle w:val="lentels"/>
      </w:pPr>
      <w:bookmarkStart w:id="134" w:name="_Toc309471441"/>
      <w:bookmarkStart w:id="135" w:name="_Toc309559978"/>
      <w:bookmarkStart w:id="136" w:name="_Toc310014797"/>
      <w:bookmarkStart w:id="137" w:name="_Toc311970994"/>
      <w:bookmarkStart w:id="138" w:name="_Toc311971836"/>
      <w:bookmarkStart w:id="139" w:name="_Toc311971880"/>
      <w:r w:rsidRPr="000E483C">
        <w:t xml:space="preserve">3.4. </w:t>
      </w:r>
      <w:r w:rsidR="00A4245B">
        <w:t>l</w:t>
      </w:r>
      <w:r w:rsidR="005A2023" w:rsidRPr="000E483C">
        <w:t xml:space="preserve">entelė. Koreliacijos koeficientai bei jų </w:t>
      </w:r>
      <w:r w:rsidR="005A2023" w:rsidRPr="000E483C">
        <w:rPr>
          <w:i/>
        </w:rPr>
        <w:t>t</w:t>
      </w:r>
      <w:r w:rsidR="005A2023" w:rsidRPr="000E483C">
        <w:t xml:space="preserve"> statistikos</w:t>
      </w:r>
      <w:bookmarkEnd w:id="134"/>
      <w:bookmarkEnd w:id="135"/>
      <w:bookmarkEnd w:id="136"/>
      <w:bookmarkEnd w:id="137"/>
      <w:bookmarkEnd w:id="138"/>
      <w:bookmarkEnd w:id="139"/>
    </w:p>
    <w:tbl>
      <w:tblPr>
        <w:tblStyle w:val="TableGrid"/>
        <w:tblW w:w="0" w:type="auto"/>
        <w:jc w:val="center"/>
        <w:tblLook w:val="04A0"/>
      </w:tblPr>
      <w:tblGrid>
        <w:gridCol w:w="1110"/>
        <w:gridCol w:w="2729"/>
        <w:gridCol w:w="1316"/>
      </w:tblGrid>
      <w:tr w:rsidR="005A2023" w:rsidRPr="00A4245B" w:rsidTr="004C3AD6">
        <w:trPr>
          <w:jc w:val="center"/>
        </w:trPr>
        <w:tc>
          <w:tcPr>
            <w:tcW w:w="1110" w:type="dxa"/>
          </w:tcPr>
          <w:p w:rsidR="005A2023" w:rsidRPr="00303A5A" w:rsidRDefault="005A2023" w:rsidP="004C3AD6">
            <w:pPr>
              <w:jc w:val="both"/>
              <w:rPr>
                <w:lang w:val="lt-LT"/>
              </w:rPr>
            </w:pPr>
            <w:r w:rsidRPr="00303A5A">
              <w:rPr>
                <w:lang w:val="lt-LT"/>
              </w:rPr>
              <w:t>Veiksnys</w:t>
            </w:r>
          </w:p>
        </w:tc>
        <w:tc>
          <w:tcPr>
            <w:tcW w:w="2729" w:type="dxa"/>
          </w:tcPr>
          <w:p w:rsidR="005A2023" w:rsidRPr="00303A5A" w:rsidRDefault="005A2023" w:rsidP="004C3AD6">
            <w:pPr>
              <w:jc w:val="both"/>
              <w:rPr>
                <w:lang w:val="lt-LT"/>
              </w:rPr>
            </w:pPr>
            <w:r w:rsidRPr="00303A5A">
              <w:rPr>
                <w:lang w:val="lt-LT"/>
              </w:rPr>
              <w:t>Koreliacijos koeficientas</w:t>
            </w:r>
          </w:p>
        </w:tc>
        <w:tc>
          <w:tcPr>
            <w:tcW w:w="1316" w:type="dxa"/>
          </w:tcPr>
          <w:p w:rsidR="005A2023" w:rsidRPr="00303A5A" w:rsidRDefault="005A2023" w:rsidP="004C3AD6">
            <w:pPr>
              <w:jc w:val="both"/>
              <w:rPr>
                <w:lang w:val="lt-LT"/>
              </w:rPr>
            </w:pPr>
            <w:r w:rsidRPr="00303A5A">
              <w:rPr>
                <w:lang w:val="lt-LT"/>
              </w:rPr>
              <w:t>t statistika</w:t>
            </w:r>
          </w:p>
        </w:tc>
      </w:tr>
      <w:tr w:rsidR="005A2023" w:rsidRPr="00A4245B" w:rsidTr="004C3AD6">
        <w:trPr>
          <w:jc w:val="center"/>
        </w:trPr>
        <w:tc>
          <w:tcPr>
            <w:tcW w:w="1110" w:type="dxa"/>
          </w:tcPr>
          <w:p w:rsidR="005A2023" w:rsidRPr="00303A5A" w:rsidRDefault="005A2023" w:rsidP="004C3AD6">
            <w:pPr>
              <w:rPr>
                <w:lang w:val="lt-LT"/>
              </w:rPr>
            </w:pPr>
            <w:r w:rsidRPr="00303A5A">
              <w:rPr>
                <w:lang w:val="lt-LT"/>
              </w:rPr>
              <w:t>X1</w:t>
            </w:r>
          </w:p>
        </w:tc>
        <w:tc>
          <w:tcPr>
            <w:tcW w:w="2729" w:type="dxa"/>
          </w:tcPr>
          <w:p w:rsidR="005A2023" w:rsidRPr="00303A5A" w:rsidRDefault="005A2023" w:rsidP="004C3AD6">
            <w:pPr>
              <w:ind w:firstLine="567"/>
              <w:jc w:val="center"/>
              <w:rPr>
                <w:b/>
                <w:lang w:val="lt-LT"/>
              </w:rPr>
            </w:pPr>
            <w:r w:rsidRPr="00303A5A">
              <w:rPr>
                <w:b/>
                <w:lang w:val="lt-LT"/>
              </w:rPr>
              <w:t>0,789</w:t>
            </w:r>
          </w:p>
        </w:tc>
        <w:tc>
          <w:tcPr>
            <w:tcW w:w="1316" w:type="dxa"/>
          </w:tcPr>
          <w:p w:rsidR="005A2023" w:rsidRPr="00303A5A" w:rsidRDefault="005A2023" w:rsidP="004C3AD6">
            <w:pPr>
              <w:jc w:val="center"/>
              <w:rPr>
                <w:b/>
                <w:lang w:val="lt-LT"/>
              </w:rPr>
            </w:pPr>
            <w:r w:rsidRPr="00303A5A">
              <w:rPr>
                <w:b/>
                <w:lang w:val="lt-LT"/>
              </w:rPr>
              <w:t>6,803</w:t>
            </w:r>
          </w:p>
        </w:tc>
      </w:tr>
      <w:tr w:rsidR="005A2023" w:rsidRPr="00A4245B" w:rsidTr="004C3AD6">
        <w:trPr>
          <w:jc w:val="center"/>
        </w:trPr>
        <w:tc>
          <w:tcPr>
            <w:tcW w:w="1110" w:type="dxa"/>
          </w:tcPr>
          <w:p w:rsidR="005A2023" w:rsidRPr="00303A5A" w:rsidRDefault="005A2023" w:rsidP="004C3AD6">
            <w:pPr>
              <w:rPr>
                <w:lang w:val="lt-LT"/>
              </w:rPr>
            </w:pPr>
            <w:r w:rsidRPr="00303A5A">
              <w:rPr>
                <w:lang w:val="lt-LT"/>
              </w:rPr>
              <w:t>X2</w:t>
            </w:r>
          </w:p>
        </w:tc>
        <w:tc>
          <w:tcPr>
            <w:tcW w:w="2729" w:type="dxa"/>
          </w:tcPr>
          <w:p w:rsidR="005A2023" w:rsidRPr="00303A5A" w:rsidRDefault="005A2023" w:rsidP="004C3AD6">
            <w:pPr>
              <w:ind w:firstLine="567"/>
              <w:jc w:val="center"/>
              <w:rPr>
                <w:lang w:val="lt-LT"/>
              </w:rPr>
            </w:pPr>
            <w:r w:rsidRPr="00303A5A">
              <w:rPr>
                <w:lang w:val="lt-LT"/>
              </w:rPr>
              <w:t>-0,239</w:t>
            </w:r>
          </w:p>
        </w:tc>
        <w:tc>
          <w:tcPr>
            <w:tcW w:w="1316" w:type="dxa"/>
          </w:tcPr>
          <w:p w:rsidR="005A2023" w:rsidRPr="00303A5A" w:rsidRDefault="005A2023" w:rsidP="004C3AD6">
            <w:pPr>
              <w:jc w:val="center"/>
              <w:rPr>
                <w:lang w:val="lt-LT"/>
              </w:rPr>
            </w:pPr>
            <w:r w:rsidRPr="00303A5A">
              <w:rPr>
                <w:lang w:val="lt-LT"/>
              </w:rPr>
              <w:t>-1,303</w:t>
            </w:r>
          </w:p>
        </w:tc>
      </w:tr>
      <w:tr w:rsidR="005A2023" w:rsidRPr="00A4245B" w:rsidTr="004C3AD6">
        <w:trPr>
          <w:jc w:val="center"/>
        </w:trPr>
        <w:tc>
          <w:tcPr>
            <w:tcW w:w="1110" w:type="dxa"/>
          </w:tcPr>
          <w:p w:rsidR="005A2023" w:rsidRPr="00303A5A" w:rsidRDefault="005A2023" w:rsidP="004C3AD6">
            <w:pPr>
              <w:rPr>
                <w:lang w:val="lt-LT"/>
              </w:rPr>
            </w:pPr>
            <w:r w:rsidRPr="00303A5A">
              <w:rPr>
                <w:lang w:val="lt-LT"/>
              </w:rPr>
              <w:t>X3</w:t>
            </w:r>
          </w:p>
        </w:tc>
        <w:tc>
          <w:tcPr>
            <w:tcW w:w="2729" w:type="dxa"/>
          </w:tcPr>
          <w:p w:rsidR="005A2023" w:rsidRPr="00303A5A" w:rsidRDefault="005A2023" w:rsidP="004C3AD6">
            <w:pPr>
              <w:ind w:firstLine="567"/>
              <w:jc w:val="center"/>
              <w:rPr>
                <w:lang w:val="lt-LT"/>
              </w:rPr>
            </w:pPr>
            <w:r w:rsidRPr="00303A5A">
              <w:rPr>
                <w:lang w:val="lt-LT"/>
              </w:rPr>
              <w:t>-0,278</w:t>
            </w:r>
          </w:p>
        </w:tc>
        <w:tc>
          <w:tcPr>
            <w:tcW w:w="1316" w:type="dxa"/>
          </w:tcPr>
          <w:p w:rsidR="005A2023" w:rsidRPr="00303A5A" w:rsidRDefault="005A2023" w:rsidP="004C3AD6">
            <w:pPr>
              <w:jc w:val="center"/>
              <w:rPr>
                <w:lang w:val="lt-LT"/>
              </w:rPr>
            </w:pPr>
            <w:r w:rsidRPr="00303A5A">
              <w:rPr>
                <w:lang w:val="lt-LT"/>
              </w:rPr>
              <w:t>-1,531</w:t>
            </w:r>
          </w:p>
        </w:tc>
      </w:tr>
      <w:tr w:rsidR="005A2023" w:rsidRPr="00A4245B" w:rsidTr="004C3AD6">
        <w:trPr>
          <w:jc w:val="center"/>
        </w:trPr>
        <w:tc>
          <w:tcPr>
            <w:tcW w:w="1110" w:type="dxa"/>
          </w:tcPr>
          <w:p w:rsidR="005A2023" w:rsidRPr="00303A5A" w:rsidRDefault="005A2023" w:rsidP="004C3AD6">
            <w:pPr>
              <w:rPr>
                <w:lang w:val="lt-LT"/>
              </w:rPr>
            </w:pPr>
            <w:r w:rsidRPr="00303A5A">
              <w:rPr>
                <w:lang w:val="lt-LT"/>
              </w:rPr>
              <w:t>X4</w:t>
            </w:r>
          </w:p>
        </w:tc>
        <w:tc>
          <w:tcPr>
            <w:tcW w:w="2729" w:type="dxa"/>
          </w:tcPr>
          <w:p w:rsidR="005A2023" w:rsidRPr="00303A5A" w:rsidRDefault="005A2023" w:rsidP="004C3AD6">
            <w:pPr>
              <w:ind w:firstLine="567"/>
              <w:jc w:val="center"/>
              <w:rPr>
                <w:b/>
                <w:lang w:val="lt-LT"/>
              </w:rPr>
            </w:pPr>
            <w:r w:rsidRPr="00303A5A">
              <w:rPr>
                <w:b/>
                <w:lang w:val="lt-LT"/>
              </w:rPr>
              <w:t>0,593</w:t>
            </w:r>
          </w:p>
        </w:tc>
        <w:tc>
          <w:tcPr>
            <w:tcW w:w="1316" w:type="dxa"/>
          </w:tcPr>
          <w:p w:rsidR="005A2023" w:rsidRPr="00303A5A" w:rsidRDefault="005A2023" w:rsidP="004C3AD6">
            <w:pPr>
              <w:jc w:val="center"/>
              <w:rPr>
                <w:b/>
                <w:lang w:val="lt-LT"/>
              </w:rPr>
            </w:pPr>
            <w:r w:rsidRPr="00303A5A">
              <w:rPr>
                <w:b/>
                <w:lang w:val="lt-LT"/>
              </w:rPr>
              <w:t>3,906</w:t>
            </w:r>
          </w:p>
        </w:tc>
      </w:tr>
      <w:tr w:rsidR="005A2023" w:rsidRPr="00303A5A" w:rsidTr="004C3AD6">
        <w:trPr>
          <w:jc w:val="center"/>
        </w:trPr>
        <w:tc>
          <w:tcPr>
            <w:tcW w:w="1110" w:type="dxa"/>
          </w:tcPr>
          <w:p w:rsidR="005A2023" w:rsidRPr="00303A5A" w:rsidRDefault="006D5A04" w:rsidP="004C3AD6">
            <w:pPr>
              <w:rPr>
                <w:lang w:val="lt-LT"/>
              </w:rPr>
            </w:pPr>
            <w:r>
              <w:rPr>
                <w:lang w:val="lt-LT"/>
              </w:rPr>
              <w:t>X5</w:t>
            </w:r>
          </w:p>
        </w:tc>
        <w:tc>
          <w:tcPr>
            <w:tcW w:w="2729" w:type="dxa"/>
          </w:tcPr>
          <w:p w:rsidR="005A2023" w:rsidRPr="00303A5A" w:rsidRDefault="005A2023" w:rsidP="004C3AD6">
            <w:pPr>
              <w:ind w:firstLine="567"/>
              <w:jc w:val="center"/>
              <w:rPr>
                <w:b/>
                <w:lang w:val="lt-LT"/>
              </w:rPr>
            </w:pPr>
            <w:r w:rsidRPr="00303A5A">
              <w:rPr>
                <w:b/>
                <w:lang w:val="lt-LT"/>
              </w:rPr>
              <w:t>0,735</w:t>
            </w:r>
          </w:p>
        </w:tc>
        <w:tc>
          <w:tcPr>
            <w:tcW w:w="1316" w:type="dxa"/>
          </w:tcPr>
          <w:p w:rsidR="005A2023" w:rsidRPr="00303A5A" w:rsidRDefault="005A2023" w:rsidP="004C3AD6">
            <w:pPr>
              <w:jc w:val="center"/>
              <w:rPr>
                <w:b/>
                <w:lang w:val="lt-LT"/>
              </w:rPr>
            </w:pPr>
            <w:r w:rsidRPr="00303A5A">
              <w:rPr>
                <w:b/>
                <w:lang w:val="lt-LT"/>
              </w:rPr>
              <w:t>5,736</w:t>
            </w:r>
          </w:p>
        </w:tc>
      </w:tr>
      <w:tr w:rsidR="005A2023" w:rsidRPr="00303A5A" w:rsidTr="004C3AD6">
        <w:trPr>
          <w:jc w:val="center"/>
        </w:trPr>
        <w:tc>
          <w:tcPr>
            <w:tcW w:w="1110" w:type="dxa"/>
          </w:tcPr>
          <w:p w:rsidR="005A2023" w:rsidRPr="00303A5A" w:rsidRDefault="006D5A04" w:rsidP="004C3AD6">
            <w:pPr>
              <w:rPr>
                <w:lang w:val="lt-LT"/>
              </w:rPr>
            </w:pPr>
            <w:r>
              <w:rPr>
                <w:lang w:val="lt-LT"/>
              </w:rPr>
              <w:t>X6</w:t>
            </w:r>
          </w:p>
        </w:tc>
        <w:tc>
          <w:tcPr>
            <w:tcW w:w="2729" w:type="dxa"/>
          </w:tcPr>
          <w:p w:rsidR="005A2023" w:rsidRPr="00303A5A" w:rsidRDefault="005A2023" w:rsidP="004C3AD6">
            <w:pPr>
              <w:ind w:firstLine="567"/>
              <w:jc w:val="center"/>
              <w:rPr>
                <w:b/>
                <w:lang w:val="lt-LT"/>
              </w:rPr>
            </w:pPr>
            <w:r w:rsidRPr="00303A5A">
              <w:rPr>
                <w:b/>
                <w:lang w:val="lt-LT"/>
              </w:rPr>
              <w:t>0,423</w:t>
            </w:r>
          </w:p>
        </w:tc>
        <w:tc>
          <w:tcPr>
            <w:tcW w:w="1316" w:type="dxa"/>
          </w:tcPr>
          <w:p w:rsidR="005A2023" w:rsidRPr="00303A5A" w:rsidRDefault="005A2023" w:rsidP="004C3AD6">
            <w:pPr>
              <w:jc w:val="center"/>
              <w:rPr>
                <w:b/>
                <w:lang w:val="lt-LT"/>
              </w:rPr>
            </w:pPr>
            <w:r w:rsidRPr="00303A5A">
              <w:rPr>
                <w:b/>
                <w:lang w:val="lt-LT"/>
              </w:rPr>
              <w:t>2,474</w:t>
            </w:r>
          </w:p>
        </w:tc>
      </w:tr>
      <w:tr w:rsidR="005A2023" w:rsidRPr="00303A5A" w:rsidTr="004C3AD6">
        <w:trPr>
          <w:jc w:val="center"/>
        </w:trPr>
        <w:tc>
          <w:tcPr>
            <w:tcW w:w="1110" w:type="dxa"/>
          </w:tcPr>
          <w:p w:rsidR="005A2023" w:rsidRPr="00303A5A" w:rsidRDefault="006D5A04" w:rsidP="004C3AD6">
            <w:pPr>
              <w:rPr>
                <w:lang w:val="lt-LT"/>
              </w:rPr>
            </w:pPr>
            <w:r>
              <w:rPr>
                <w:lang w:val="lt-LT"/>
              </w:rPr>
              <w:t>X7</w:t>
            </w:r>
          </w:p>
        </w:tc>
        <w:tc>
          <w:tcPr>
            <w:tcW w:w="2729" w:type="dxa"/>
          </w:tcPr>
          <w:p w:rsidR="005A2023" w:rsidRPr="00303A5A" w:rsidRDefault="00F87655" w:rsidP="004C3AD6">
            <w:pPr>
              <w:ind w:firstLine="567"/>
              <w:jc w:val="center"/>
              <w:rPr>
                <w:b/>
                <w:lang w:val="lt-LT"/>
              </w:rPr>
            </w:pPr>
            <w:r>
              <w:rPr>
                <w:b/>
                <w:lang w:val="lt-LT"/>
              </w:rPr>
              <w:t>0,800</w:t>
            </w:r>
          </w:p>
        </w:tc>
        <w:tc>
          <w:tcPr>
            <w:tcW w:w="1316" w:type="dxa"/>
          </w:tcPr>
          <w:p w:rsidR="005A2023" w:rsidRPr="00303A5A" w:rsidRDefault="00F87655" w:rsidP="004C3AD6">
            <w:pPr>
              <w:jc w:val="center"/>
              <w:rPr>
                <w:b/>
                <w:lang w:val="lt-LT"/>
              </w:rPr>
            </w:pPr>
            <w:r>
              <w:rPr>
                <w:b/>
                <w:lang w:val="lt-LT"/>
              </w:rPr>
              <w:t>6,669</w:t>
            </w:r>
          </w:p>
        </w:tc>
      </w:tr>
      <w:tr w:rsidR="005A2023" w:rsidRPr="00303A5A" w:rsidTr="004C3AD6">
        <w:trPr>
          <w:jc w:val="center"/>
        </w:trPr>
        <w:tc>
          <w:tcPr>
            <w:tcW w:w="1110" w:type="dxa"/>
          </w:tcPr>
          <w:p w:rsidR="005A2023" w:rsidRPr="00303A5A" w:rsidRDefault="006D5A04" w:rsidP="004C3AD6">
            <w:pPr>
              <w:rPr>
                <w:lang w:val="lt-LT"/>
              </w:rPr>
            </w:pPr>
            <w:r>
              <w:rPr>
                <w:lang w:val="lt-LT"/>
              </w:rPr>
              <w:t>X8</w:t>
            </w:r>
          </w:p>
        </w:tc>
        <w:tc>
          <w:tcPr>
            <w:tcW w:w="2729" w:type="dxa"/>
          </w:tcPr>
          <w:p w:rsidR="005A2023" w:rsidRPr="00303A5A" w:rsidRDefault="005A2023" w:rsidP="004C3AD6">
            <w:pPr>
              <w:ind w:firstLine="567"/>
              <w:jc w:val="center"/>
              <w:rPr>
                <w:lang w:val="lt-LT"/>
              </w:rPr>
            </w:pPr>
            <w:r w:rsidRPr="00303A5A">
              <w:rPr>
                <w:lang w:val="lt-LT"/>
              </w:rPr>
              <w:t>0,330</w:t>
            </w:r>
          </w:p>
        </w:tc>
        <w:tc>
          <w:tcPr>
            <w:tcW w:w="1316" w:type="dxa"/>
          </w:tcPr>
          <w:p w:rsidR="005A2023" w:rsidRPr="00303A5A" w:rsidRDefault="005A2023" w:rsidP="004C3AD6">
            <w:pPr>
              <w:jc w:val="center"/>
              <w:rPr>
                <w:lang w:val="lt-LT"/>
              </w:rPr>
            </w:pPr>
            <w:r w:rsidRPr="00303A5A">
              <w:rPr>
                <w:lang w:val="lt-LT"/>
              </w:rPr>
              <w:t>1,850</w:t>
            </w:r>
          </w:p>
        </w:tc>
      </w:tr>
    </w:tbl>
    <w:p w:rsidR="005A2023" w:rsidRPr="00670E82" w:rsidRDefault="005A2023" w:rsidP="00670E82">
      <w:pPr>
        <w:spacing w:line="360" w:lineRule="auto"/>
        <w:ind w:firstLine="567"/>
        <w:jc w:val="both"/>
        <w:rPr>
          <w:lang w:val="lt-LT"/>
        </w:rPr>
      </w:pPr>
    </w:p>
    <w:p w:rsidR="005A2023" w:rsidRPr="00670E82" w:rsidRDefault="000E483C" w:rsidP="00670E82">
      <w:pPr>
        <w:spacing w:line="360" w:lineRule="auto"/>
        <w:ind w:firstLine="567"/>
        <w:jc w:val="both"/>
        <w:rPr>
          <w:lang w:val="lt-LT"/>
        </w:rPr>
      </w:pPr>
      <w:r w:rsidRPr="00670E82">
        <w:rPr>
          <w:lang w:val="lt-LT"/>
        </w:rPr>
        <w:t>Kaip pateikt</w:t>
      </w:r>
      <w:r w:rsidR="008844D9" w:rsidRPr="00670E82">
        <w:rPr>
          <w:lang w:val="lt-LT"/>
        </w:rPr>
        <w:t>a 3.3</w:t>
      </w:r>
      <w:r w:rsidRPr="00670E82">
        <w:rPr>
          <w:lang w:val="lt-LT"/>
        </w:rPr>
        <w:t xml:space="preserve">. </w:t>
      </w:r>
      <w:r w:rsidR="005A2023" w:rsidRPr="00670E82">
        <w:rPr>
          <w:lang w:val="lt-LT"/>
        </w:rPr>
        <w:t>lentelėje statistiškai labai</w:t>
      </w:r>
      <w:r w:rsidR="00F87655" w:rsidRPr="00670E82">
        <w:rPr>
          <w:lang w:val="lt-LT"/>
        </w:rPr>
        <w:t xml:space="preserve"> stipri koreliacija yra laikoma kai</w:t>
      </w:r>
      <w:r w:rsidR="005A2023" w:rsidRPr="00670E82">
        <w:rPr>
          <w:lang w:val="lt-LT"/>
        </w:rPr>
        <w:t xml:space="preserve"> koreliacijos koeficiento modulis yra didesnis už 0,9, tačiau kituose literatūros šaltiniuose galima rasti informacijos, kad labai stipria koreliacija galima laikyti ir tada, kai koreliacijos koeficiento reikšmė moduliu didesnė </w:t>
      </w:r>
      <w:r w:rsidR="005A2023" w:rsidRPr="00670E82">
        <w:rPr>
          <w:lang w:val="lt-LT"/>
        </w:rPr>
        <w:lastRenderedPageBreak/>
        <w:t>už 0,8. Nagrinėjamu atveju tokios stiprumo koreliacijos</w:t>
      </w:r>
      <w:r w:rsidR="006D6A53" w:rsidRPr="00670E82">
        <w:rPr>
          <w:lang w:val="lt-LT"/>
        </w:rPr>
        <w:t xml:space="preserve"> neturime, tačiau galime teigti</w:t>
      </w:r>
      <w:r w:rsidR="005A2023" w:rsidRPr="00670E82">
        <w:rPr>
          <w:lang w:val="lt-LT"/>
        </w:rPr>
        <w:t>, kad veiksniai X1, X4,</w:t>
      </w:r>
      <w:r w:rsidR="006D5A04" w:rsidRPr="00670E82">
        <w:rPr>
          <w:lang w:val="lt-LT"/>
        </w:rPr>
        <w:t xml:space="preserve"> X5</w:t>
      </w:r>
      <w:r w:rsidR="00F87655" w:rsidRPr="00670E82">
        <w:rPr>
          <w:lang w:val="lt-LT"/>
        </w:rPr>
        <w:t>, X7</w:t>
      </w:r>
      <w:r w:rsidR="00536855" w:rsidRPr="00670E82">
        <w:rPr>
          <w:lang w:val="lt-LT"/>
        </w:rPr>
        <w:t xml:space="preserve"> </w:t>
      </w:r>
      <w:r w:rsidR="005A2023" w:rsidRPr="00670E82">
        <w:rPr>
          <w:lang w:val="lt-LT"/>
        </w:rPr>
        <w:t>turi stiprų ryšį su ne gyvybė</w:t>
      </w:r>
      <w:r w:rsidR="006D5A04" w:rsidRPr="00670E82">
        <w:rPr>
          <w:lang w:val="lt-LT"/>
        </w:rPr>
        <w:t>s</w:t>
      </w:r>
      <w:r w:rsidR="00F87655" w:rsidRPr="00670E82">
        <w:rPr>
          <w:lang w:val="lt-LT"/>
        </w:rPr>
        <w:t xml:space="preserve"> draudimo įmokomis. Veiksnio X6</w:t>
      </w:r>
      <w:r w:rsidR="006D5A04" w:rsidRPr="00670E82">
        <w:rPr>
          <w:lang w:val="lt-LT"/>
        </w:rPr>
        <w:t xml:space="preserve"> </w:t>
      </w:r>
      <w:r w:rsidR="005A2023" w:rsidRPr="00670E82">
        <w:rPr>
          <w:lang w:val="lt-LT"/>
        </w:rPr>
        <w:t>koreli</w:t>
      </w:r>
      <w:r w:rsidR="00F87655" w:rsidRPr="00670E82">
        <w:rPr>
          <w:lang w:val="lt-LT"/>
        </w:rPr>
        <w:t>acijos koeficiento reikšmė</w:t>
      </w:r>
      <w:r w:rsidR="005A2023" w:rsidRPr="00670E82">
        <w:rPr>
          <w:lang w:val="lt-LT"/>
        </w:rPr>
        <w:t xml:space="preserve"> rodo, kad ryšys </w:t>
      </w:r>
      <w:r w:rsidR="00F87655" w:rsidRPr="00670E82">
        <w:rPr>
          <w:lang w:val="lt-LT"/>
        </w:rPr>
        <w:t>naujai pastatytų butų skaičiaus bei pasirašytų įmokų ne gyvybės draudime silpnas</w:t>
      </w:r>
      <w:r w:rsidR="005A2023" w:rsidRPr="00670E82">
        <w:rPr>
          <w:lang w:val="lt-LT"/>
        </w:rPr>
        <w:t xml:space="preserve">. Tačiau tolimesniame nagrinėjime šie veiksniai bus įtraukti norint išsamesnio Y apibūdinimo. </w:t>
      </w:r>
    </w:p>
    <w:p w:rsidR="005A2023" w:rsidRPr="00670E82" w:rsidRDefault="000E483C" w:rsidP="00670E82">
      <w:pPr>
        <w:spacing w:line="360" w:lineRule="auto"/>
        <w:ind w:firstLine="567"/>
        <w:jc w:val="both"/>
        <w:rPr>
          <w:lang w:val="lt-LT"/>
        </w:rPr>
      </w:pPr>
      <w:r w:rsidRPr="00670E82">
        <w:rPr>
          <w:lang w:val="lt-LT"/>
        </w:rPr>
        <w:t>3.3.</w:t>
      </w:r>
      <w:r w:rsidR="005A2023" w:rsidRPr="00670E82">
        <w:rPr>
          <w:lang w:val="lt-LT"/>
        </w:rPr>
        <w:t xml:space="preserve"> lentelėje apibrėžtuose koreliacijos koeficiento interpretacijose nėra atsižvelgiama į imties dydį, todėl reikia įvertinti ar koreliacijos koeficientas statistiškai reikšmingai skiriasi nuo nulio. Statistinė hipotezė atrodo taip</w:t>
      </w:r>
      <w:r w:rsidR="006756D6" w:rsidRPr="00670E82">
        <w:rPr>
          <w:lang w:val="lt-LT"/>
        </w:rPr>
        <w:t>:</w:t>
      </w:r>
    </w:p>
    <w:p w:rsidR="005A2023" w:rsidRPr="00670E82" w:rsidRDefault="00C20A22" w:rsidP="00670E82">
      <w:pPr>
        <w:spacing w:line="360" w:lineRule="auto"/>
        <w:ind w:firstLine="567"/>
        <w:jc w:val="both"/>
        <w:rPr>
          <w:lang w:val="lt-LT"/>
        </w:rPr>
      </w:pPr>
      <m:oMathPara>
        <m:oMath>
          <m:d>
            <m:dPr>
              <m:begChr m:val="{"/>
              <m:endChr m:val=""/>
              <m:ctrlPr>
                <w:rPr>
                  <w:rFonts w:ascii="Cambria Math" w:hAnsi="Cambria Math"/>
                  <w:i/>
                  <w:lang w:val="lt-LT"/>
                </w:rPr>
              </m:ctrlPr>
            </m:dPr>
            <m:e>
              <m:m>
                <m:mPr>
                  <m:mcs>
                    <m:mc>
                      <m:mcPr>
                        <m:count m:val="1"/>
                        <m:mcJc m:val="center"/>
                      </m:mcPr>
                    </m:mc>
                  </m:mcs>
                  <m:ctrlPr>
                    <w:rPr>
                      <w:rFonts w:ascii="Cambria Math" w:hAnsi="Cambria Math"/>
                      <w:i/>
                      <w:lang w:val="lt-LT"/>
                    </w:rPr>
                  </m:ctrlPr>
                </m:mPr>
                <m:mr>
                  <m:e>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0</m:t>
                        </m:r>
                      </m:sub>
                    </m:sSub>
                    <m:r>
                      <w:rPr>
                        <w:rFonts w:ascii="Cambria Math" w:hAnsi="Cambria Math"/>
                        <w:lang w:val="lt-LT"/>
                      </w:rPr>
                      <m:t xml:space="preserve">:koreliacijos koeficientas lygus nuliui </m:t>
                    </m:r>
                    <m:d>
                      <m:dPr>
                        <m:ctrlPr>
                          <w:rPr>
                            <w:rFonts w:ascii="Cambria Math" w:hAnsi="Cambria Math"/>
                            <w:i/>
                            <w:lang w:val="lt-LT"/>
                          </w:rPr>
                        </m:ctrlPr>
                      </m:dPr>
                      <m:e>
                        <m:r>
                          <w:rPr>
                            <w:rFonts w:ascii="Cambria Math" w:hAnsi="Cambria Math"/>
                            <w:lang w:val="lt-LT"/>
                          </w:rPr>
                          <m:t>r=0</m:t>
                        </m:r>
                      </m:e>
                    </m:d>
                    <m:r>
                      <w:rPr>
                        <w:rFonts w:ascii="Cambria Math" w:hAnsi="Cambria Math"/>
                        <w:lang w:val="lt-LT"/>
                      </w:rPr>
                      <m:t xml:space="preserve">,    </m:t>
                    </m:r>
                  </m:e>
                </m:mr>
                <m:mr>
                  <m:e>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1</m:t>
                        </m:r>
                      </m:sub>
                    </m:sSub>
                    <m:r>
                      <w:rPr>
                        <w:rFonts w:ascii="Cambria Math" w:hAnsi="Cambria Math"/>
                        <w:lang w:val="lt-LT"/>
                      </w:rPr>
                      <m:t xml:space="preserve">:koreliacijos koeficientas nelygus nuliui </m:t>
                    </m:r>
                    <m:d>
                      <m:dPr>
                        <m:ctrlPr>
                          <w:rPr>
                            <w:rFonts w:ascii="Cambria Math" w:hAnsi="Cambria Math"/>
                            <w:i/>
                            <w:lang w:val="lt-LT"/>
                          </w:rPr>
                        </m:ctrlPr>
                      </m:dPr>
                      <m:e>
                        <m:r>
                          <w:rPr>
                            <w:rFonts w:ascii="Cambria Math" w:hAnsi="Cambria Math"/>
                            <w:lang w:val="lt-LT"/>
                          </w:rPr>
                          <m:t>r≠0</m:t>
                        </m:r>
                      </m:e>
                    </m:d>
                    <m:r>
                      <w:rPr>
                        <w:rFonts w:ascii="Cambria Math" w:hAnsi="Cambria Math"/>
                        <w:lang w:val="lt-LT"/>
                      </w:rPr>
                      <m:t>.</m:t>
                    </m:r>
                  </m:e>
                </m:mr>
              </m:m>
            </m:e>
          </m:d>
        </m:oMath>
      </m:oMathPara>
    </w:p>
    <w:p w:rsidR="005A2023" w:rsidRPr="00670E82" w:rsidRDefault="005A2023" w:rsidP="00670E82">
      <w:pPr>
        <w:spacing w:line="360" w:lineRule="auto"/>
        <w:ind w:firstLine="567"/>
        <w:jc w:val="both"/>
        <w:rPr>
          <w:lang w:val="lt-LT"/>
        </w:rPr>
      </w:pPr>
      <w:r w:rsidRPr="00670E82">
        <w:rPr>
          <w:lang w:val="lt-LT"/>
        </w:rPr>
        <w:t>Hipotezei patikrinti pasitelkiame statistinį testą, kurio kriterijaus statistika t apskaičiuojama pagal formulę</w:t>
      </w:r>
      <w:r w:rsidR="006756D6" w:rsidRPr="00670E82">
        <w:rPr>
          <w:lang w:val="lt-LT"/>
        </w:rPr>
        <w:t>:</w:t>
      </w:r>
    </w:p>
    <w:p w:rsidR="005A2023" w:rsidRPr="00670E82" w:rsidRDefault="005A2023" w:rsidP="00670E82">
      <w:pPr>
        <w:spacing w:line="360" w:lineRule="auto"/>
        <w:ind w:firstLine="567"/>
        <w:jc w:val="center"/>
        <w:rPr>
          <w:lang w:val="lt-LT"/>
        </w:rPr>
      </w:pPr>
      <m:oMathPara>
        <m:oMath>
          <m:r>
            <w:rPr>
              <w:rFonts w:ascii="Cambria Math" w:hAnsi="Cambria Math"/>
              <w:lang w:val="lt-LT"/>
            </w:rPr>
            <m:t>t=r</m:t>
          </m:r>
          <m:rad>
            <m:radPr>
              <m:degHide m:val="on"/>
              <m:ctrlPr>
                <w:rPr>
                  <w:rFonts w:ascii="Cambria Math" w:hAnsi="Cambria Math"/>
                  <w:i/>
                  <w:lang w:val="lt-LT"/>
                </w:rPr>
              </m:ctrlPr>
            </m:radPr>
            <m:deg/>
            <m:e>
              <m:f>
                <m:fPr>
                  <m:ctrlPr>
                    <w:rPr>
                      <w:rFonts w:ascii="Cambria Math" w:hAnsi="Cambria Math"/>
                      <w:i/>
                      <w:lang w:val="lt-LT"/>
                    </w:rPr>
                  </m:ctrlPr>
                </m:fPr>
                <m:num>
                  <m:r>
                    <w:rPr>
                      <w:rFonts w:ascii="Cambria Math" w:hAnsi="Cambria Math"/>
                      <w:lang w:val="lt-LT"/>
                    </w:rPr>
                    <m:t>n-2</m:t>
                  </m:r>
                </m:num>
                <m:den>
                  <m:r>
                    <w:rPr>
                      <w:rFonts w:ascii="Cambria Math" w:hAnsi="Cambria Math"/>
                      <w:lang w:val="lt-LT"/>
                    </w:rPr>
                    <m:t>1-</m:t>
                  </m:r>
                  <m:sSup>
                    <m:sSupPr>
                      <m:ctrlPr>
                        <w:rPr>
                          <w:rFonts w:ascii="Cambria Math" w:hAnsi="Cambria Math"/>
                          <w:i/>
                          <w:lang w:val="lt-LT"/>
                        </w:rPr>
                      </m:ctrlPr>
                    </m:sSupPr>
                    <m:e>
                      <m:r>
                        <w:rPr>
                          <w:rFonts w:ascii="Cambria Math" w:hAnsi="Cambria Math"/>
                          <w:lang w:val="lt-LT"/>
                        </w:rPr>
                        <m:t>r</m:t>
                      </m:r>
                    </m:e>
                    <m:sup>
                      <m:r>
                        <w:rPr>
                          <w:rFonts w:ascii="Cambria Math" w:hAnsi="Cambria Math"/>
                          <w:lang w:val="lt-LT"/>
                        </w:rPr>
                        <m:t>2</m:t>
                      </m:r>
                    </m:sup>
                  </m:sSup>
                </m:den>
              </m:f>
              <m:r>
                <w:rPr>
                  <w:rFonts w:ascii="Cambria Math" w:hAnsi="Cambria Math"/>
                  <w:lang w:val="lt-LT"/>
                </w:rPr>
                <m:t xml:space="preserve">    ;</m:t>
              </m:r>
            </m:e>
          </m:rad>
          <m:r>
            <w:rPr>
              <w:rFonts w:ascii="Cambria Math" w:hAnsi="Cambria Math"/>
              <w:lang w:val="lt-LT"/>
            </w:rPr>
            <m:t xml:space="preserve">                              (2) </m:t>
          </m:r>
        </m:oMath>
      </m:oMathPara>
      <w:r w:rsidR="00304E2D" w:rsidRPr="00670E82">
        <w:rPr>
          <w:lang w:val="lt-LT"/>
        </w:rPr>
        <w:br/>
      </w:r>
      <w:r w:rsidR="00304E2D" w:rsidRPr="00670E82">
        <w:rPr>
          <w:lang w:val="lt-LT"/>
        </w:rPr>
        <w:t xml:space="preserve">               </w:t>
      </w:r>
      <w:r w:rsidRPr="00670E82">
        <w:rPr>
          <w:lang w:val="lt-LT"/>
        </w:rPr>
        <w:t>Sprendimas priimamas remiantis tokia taisykle</w:t>
      </w:r>
      <w:r w:rsidR="006756D6" w:rsidRPr="00670E82">
        <w:rPr>
          <w:lang w:val="lt-LT"/>
        </w:rPr>
        <w:t>:</w:t>
      </w:r>
      <w:r w:rsidRPr="00670E82">
        <w:rPr>
          <w:lang w:val="lt-LT"/>
        </w:rPr>
        <w:t xml:space="preserve"> Tegu reikšmingumo lygmuo α. Hipotezė </w:t>
      </w:r>
      <w:r w:rsidRPr="00670E82">
        <w:rPr>
          <w:i/>
          <w:lang w:val="lt-LT"/>
        </w:rPr>
        <w:t>H</w:t>
      </w:r>
      <w:r w:rsidRPr="00670E82">
        <w:rPr>
          <w:i/>
          <w:vertAlign w:val="subscript"/>
          <w:lang w:val="lt-LT"/>
        </w:rPr>
        <w:t>0</w:t>
      </w:r>
      <w:r w:rsidRPr="00670E82">
        <w:rPr>
          <w:lang w:val="lt-LT"/>
        </w:rPr>
        <w:t xml:space="preserve"> atmetama (Y ir X statistiškai reikšmingai koreliuoja),  jeigu </w:t>
      </w:r>
      <m:oMath>
        <m:d>
          <m:dPr>
            <m:begChr m:val="|"/>
            <m:endChr m:val="|"/>
            <m:ctrlPr>
              <w:rPr>
                <w:rFonts w:ascii="Cambria Math" w:hAnsi="Cambria Math"/>
                <w:i/>
                <w:lang w:val="lt-LT"/>
              </w:rPr>
            </m:ctrlPr>
          </m:dPr>
          <m:e>
            <m:r>
              <w:rPr>
                <w:rFonts w:ascii="Cambria Math" w:hAnsi="Cambria Math"/>
                <w:lang w:val="lt-LT"/>
              </w:rPr>
              <m:t>t</m:t>
            </m:r>
          </m:e>
        </m:d>
        <m:r>
          <w:rPr>
            <w:rFonts w:ascii="Cambria Math" w:hAnsi="Cambria Math"/>
            <w:lang w:val="lt-LT"/>
          </w:rPr>
          <m:t>&gt;</m:t>
        </m:r>
        <m:sSub>
          <m:sSubPr>
            <m:ctrlPr>
              <w:rPr>
                <w:rFonts w:ascii="Cambria Math" w:hAnsi="Cambria Math"/>
                <w:i/>
                <w:lang w:val="lt-LT"/>
              </w:rPr>
            </m:ctrlPr>
          </m:sSubPr>
          <m:e>
            <m:r>
              <w:rPr>
                <w:rFonts w:ascii="Cambria Math" w:hAnsi="Cambria Math"/>
                <w:lang w:val="lt-LT"/>
              </w:rPr>
              <m:t>t</m:t>
            </m:r>
          </m:e>
          <m:sub>
            <m:f>
              <m:fPr>
                <m:ctrlPr>
                  <w:rPr>
                    <w:rFonts w:ascii="Cambria Math" w:hAnsi="Cambria Math"/>
                    <w:i/>
                    <w:lang w:val="lt-LT"/>
                  </w:rPr>
                </m:ctrlPr>
              </m:fPr>
              <m:num>
                <m:r>
                  <w:rPr>
                    <w:rFonts w:ascii="Cambria Math" w:hAnsi="Cambria Math"/>
                    <w:lang w:val="lt-LT"/>
                  </w:rPr>
                  <m:t>α</m:t>
                </m:r>
              </m:num>
              <m:den>
                <m:r>
                  <w:rPr>
                    <w:rFonts w:ascii="Cambria Math" w:hAnsi="Cambria Math"/>
                    <w:lang w:val="lt-LT"/>
                  </w:rPr>
                  <m:t>2</m:t>
                </m:r>
              </m:den>
            </m:f>
          </m:sub>
        </m:sSub>
        <m:r>
          <w:rPr>
            <w:rFonts w:ascii="Cambria Math" w:hAnsi="Cambria Math"/>
            <w:lang w:val="lt-LT"/>
          </w:rPr>
          <m:t>(n-2)</m:t>
        </m:r>
      </m:oMath>
      <w:r w:rsidRPr="00670E82">
        <w:rPr>
          <w:lang w:val="lt-LT"/>
        </w:rPr>
        <w:t xml:space="preserve">, čia </w:t>
      </w:r>
      <w:r w:rsidRPr="00670E82">
        <w:rPr>
          <w:i/>
          <w:lang w:val="lt-LT"/>
        </w:rPr>
        <w:t>n</w:t>
      </w:r>
      <w:r w:rsidRPr="00670E82">
        <w:rPr>
          <w:lang w:val="lt-LT"/>
        </w:rPr>
        <w:t xml:space="preserve"> – stabėjimų skaičius, </w:t>
      </w:r>
      <m:oMath>
        <m:sSub>
          <m:sSubPr>
            <m:ctrlPr>
              <w:rPr>
                <w:rFonts w:ascii="Cambria Math" w:hAnsi="Cambria Math"/>
                <w:i/>
                <w:lang w:val="lt-LT"/>
              </w:rPr>
            </m:ctrlPr>
          </m:sSubPr>
          <m:e>
            <m:r>
              <w:rPr>
                <w:rFonts w:ascii="Cambria Math" w:hAnsi="Cambria Math"/>
                <w:lang w:val="lt-LT"/>
              </w:rPr>
              <m:t>t</m:t>
            </m:r>
          </m:e>
          <m:sub>
            <m:f>
              <m:fPr>
                <m:ctrlPr>
                  <w:rPr>
                    <w:rFonts w:ascii="Cambria Math" w:hAnsi="Cambria Math"/>
                    <w:i/>
                    <w:lang w:val="lt-LT"/>
                  </w:rPr>
                </m:ctrlPr>
              </m:fPr>
              <m:num>
                <m:r>
                  <w:rPr>
                    <w:rFonts w:ascii="Cambria Math" w:hAnsi="Cambria Math"/>
                    <w:lang w:val="lt-LT"/>
                  </w:rPr>
                  <m:t>α</m:t>
                </m:r>
              </m:num>
              <m:den>
                <m:r>
                  <w:rPr>
                    <w:rFonts w:ascii="Cambria Math" w:hAnsi="Cambria Math"/>
                    <w:lang w:val="lt-LT"/>
                  </w:rPr>
                  <m:t>2</m:t>
                </m:r>
              </m:den>
            </m:f>
          </m:sub>
        </m:sSub>
        <m:r>
          <w:rPr>
            <w:rFonts w:ascii="Cambria Math" w:hAnsi="Cambria Math"/>
            <w:lang w:val="lt-LT"/>
          </w:rPr>
          <m:t>(n-2)</m:t>
        </m:r>
      </m:oMath>
      <w:r w:rsidRPr="00670E82">
        <w:rPr>
          <w:lang w:val="lt-LT"/>
        </w:rPr>
        <w:t xml:space="preserve"> yra Stjudento skirstinio su </w:t>
      </w:r>
      <w:r w:rsidRPr="00670E82">
        <w:rPr>
          <w:i/>
          <w:lang w:val="lt-LT"/>
        </w:rPr>
        <w:t>(n-2)</w:t>
      </w:r>
      <w:r w:rsidRPr="00670E82">
        <w:rPr>
          <w:lang w:val="lt-LT"/>
        </w:rPr>
        <w:t xml:space="preserve"> laisvės laipsnių </w:t>
      </w:r>
      <w:r w:rsidRPr="00670E82">
        <w:rPr>
          <w:i/>
          <w:lang w:val="lt-LT"/>
        </w:rPr>
        <w:t>α/2</w:t>
      </w:r>
      <w:r w:rsidRPr="00670E82">
        <w:rPr>
          <w:lang w:val="lt-LT"/>
        </w:rPr>
        <w:t xml:space="preserve"> lygmens kritinė reikšmė.</w:t>
      </w:r>
    </w:p>
    <w:p w:rsidR="005A2023" w:rsidRPr="00670E82" w:rsidRDefault="008844D9" w:rsidP="00670E82">
      <w:pPr>
        <w:spacing w:line="360" w:lineRule="auto"/>
        <w:ind w:firstLine="567"/>
        <w:jc w:val="both"/>
        <w:rPr>
          <w:lang w:val="lt-LT"/>
        </w:rPr>
      </w:pPr>
      <w:r w:rsidRPr="00670E82">
        <w:rPr>
          <w:lang w:val="lt-LT"/>
        </w:rPr>
        <w:t>3.4.</w:t>
      </w:r>
      <w:r w:rsidR="005A2023" w:rsidRPr="00670E82">
        <w:rPr>
          <w:lang w:val="lt-LT"/>
        </w:rPr>
        <w:t xml:space="preserve"> lentelėje pateiktos suskaičiuotos </w:t>
      </w:r>
      <w:r w:rsidR="005A2023" w:rsidRPr="00670E82">
        <w:rPr>
          <w:i/>
          <w:lang w:val="lt-LT"/>
        </w:rPr>
        <w:t>t</w:t>
      </w:r>
      <w:r w:rsidR="005A2023" w:rsidRPr="00670E82">
        <w:rPr>
          <w:lang w:val="lt-LT"/>
        </w:rPr>
        <w:t xml:space="preserve"> statistikos kiekvienos kintamųjų poros koreliacijos koeficiento reikšmingumui nustatyti. Pagal pasiskirstymo lentelę Stjudento skirstinio kritinė reikšmė su 28 laisvės laipsniais bei 0,025 reikšmingumo lygmeniu yra 2,04.  Lentelėje paryškintos tos </w:t>
      </w:r>
      <w:r w:rsidR="005A2023" w:rsidRPr="00670E82">
        <w:rPr>
          <w:i/>
          <w:lang w:val="lt-LT"/>
        </w:rPr>
        <w:t>t</w:t>
      </w:r>
      <w:r w:rsidR="005A2023" w:rsidRPr="00670E82">
        <w:rPr>
          <w:lang w:val="lt-LT"/>
        </w:rPr>
        <w:t xml:space="preserve"> statistikos reikšmės, kurios tenkina nelygybę ir </w:t>
      </w:r>
      <w:r w:rsidR="005A2023" w:rsidRPr="00670E82">
        <w:rPr>
          <w:i/>
          <w:lang w:val="lt-LT"/>
        </w:rPr>
        <w:t>H</w:t>
      </w:r>
      <w:r w:rsidR="005A2023" w:rsidRPr="00670E82">
        <w:rPr>
          <w:i/>
          <w:vertAlign w:val="subscript"/>
          <w:lang w:val="lt-LT"/>
        </w:rPr>
        <w:t>0</w:t>
      </w:r>
      <w:r w:rsidR="005A2023" w:rsidRPr="00670E82">
        <w:rPr>
          <w:lang w:val="lt-LT"/>
        </w:rPr>
        <w:t xml:space="preserve"> atmetama - koreliacijos tarp kintamųjų yra statistiškai reikšmingos.</w:t>
      </w:r>
    </w:p>
    <w:p w:rsidR="005A2023" w:rsidRPr="00670E82" w:rsidRDefault="005A2023" w:rsidP="00670E82">
      <w:pPr>
        <w:spacing w:line="360" w:lineRule="auto"/>
        <w:ind w:firstLine="567"/>
        <w:jc w:val="both"/>
        <w:rPr>
          <w:lang w:val="lt-LT"/>
        </w:rPr>
      </w:pPr>
      <w:r w:rsidRPr="00670E82">
        <w:rPr>
          <w:lang w:val="lt-LT"/>
        </w:rPr>
        <w:t xml:space="preserve">Taigi statistiškai reikšmingas ryšys egzistuoja tarp ne gyvybės draudimo įmokų  ir šių kintamųjų – BVP, </w:t>
      </w:r>
      <w:r w:rsidR="008A6C02" w:rsidRPr="00670E82">
        <w:rPr>
          <w:lang w:val="lt-LT"/>
        </w:rPr>
        <w:t xml:space="preserve">pirmą kartą registruotų </w:t>
      </w:r>
      <w:r w:rsidRPr="00670E82">
        <w:rPr>
          <w:lang w:val="lt-LT"/>
        </w:rPr>
        <w:t>transporto priemonių skaičiaus šalyje, vartotojų kainų indekso</w:t>
      </w:r>
      <w:r w:rsidR="00AB0896" w:rsidRPr="00670E82">
        <w:rPr>
          <w:lang w:val="lt-LT"/>
        </w:rPr>
        <w:t xml:space="preserve"> </w:t>
      </w:r>
      <w:r w:rsidR="00603EE9" w:rsidRPr="00670E82">
        <w:rPr>
          <w:lang w:val="lt-LT"/>
        </w:rPr>
        <w:t>ir</w:t>
      </w:r>
      <w:r w:rsidR="00AB0896" w:rsidRPr="00670E82">
        <w:rPr>
          <w:lang w:val="lt-LT"/>
        </w:rPr>
        <w:t xml:space="preserve"> išduotų būsto paskolų namų ūkiams likučių</w:t>
      </w:r>
      <w:r w:rsidRPr="00670E82">
        <w:rPr>
          <w:lang w:val="lt-LT"/>
        </w:rPr>
        <w:t>. Statistiškai reikšmingas ryšys, tačiau ne toks stiprus egzistuoja tarp ne gyvybės d</w:t>
      </w:r>
      <w:r w:rsidR="00AB0896" w:rsidRPr="00670E82">
        <w:rPr>
          <w:lang w:val="lt-LT"/>
        </w:rPr>
        <w:t>raudimo įmokų ir butų skaičiaus.</w:t>
      </w:r>
    </w:p>
    <w:p w:rsidR="005A2023" w:rsidRPr="00670E82" w:rsidRDefault="005A2023" w:rsidP="00670E82">
      <w:pPr>
        <w:spacing w:line="360" w:lineRule="auto"/>
        <w:ind w:firstLine="567"/>
        <w:jc w:val="both"/>
        <w:rPr>
          <w:lang w:val="lt-LT"/>
        </w:rPr>
      </w:pPr>
      <w:r w:rsidRPr="00670E82">
        <w:rPr>
          <w:lang w:val="lt-LT"/>
        </w:rPr>
        <w:t>Koreliacijos koeficientas parodo, kad ryšys tarp kintamųjų egzistuoja, tačiau jis nesuteikia visos informacijos. Kitas metodas naudojamas ryšiams tarp dviejų kintamųjų nustatyti naudojama porinė regresinė analizė. Turint duomenų laiko eilutes galima sudaryti tiesi</w:t>
      </w:r>
      <w:r w:rsidR="008A6C02" w:rsidRPr="00670E82">
        <w:rPr>
          <w:lang w:val="lt-LT"/>
        </w:rPr>
        <w:t>n</w:t>
      </w:r>
      <w:r w:rsidR="00603EE9" w:rsidRPr="00670E82">
        <w:rPr>
          <w:lang w:val="lt-LT"/>
        </w:rPr>
        <w:t>į</w:t>
      </w:r>
      <w:r w:rsidR="008A6C02" w:rsidRPr="00670E82">
        <w:rPr>
          <w:lang w:val="lt-LT"/>
        </w:rPr>
        <w:t xml:space="preserve"> porinės regresijos modelį :</w:t>
      </w:r>
      <w:r w:rsidRPr="00670E82">
        <w:rPr>
          <w:lang w:val="lt-LT"/>
        </w:rPr>
        <w:t xml:space="preserve"> </w:t>
      </w:r>
    </w:p>
    <w:p w:rsidR="005A2023" w:rsidRPr="00670E82" w:rsidRDefault="00C20A22" w:rsidP="00670E82">
      <w:pPr>
        <w:spacing w:line="360" w:lineRule="auto"/>
        <w:ind w:firstLine="567"/>
        <w:jc w:val="center"/>
        <w:rPr>
          <w:lang w:val="lt-LT"/>
        </w:rPr>
      </w:pPr>
      <m:oMath>
        <m:sSub>
          <m:sSubPr>
            <m:ctrlPr>
              <w:rPr>
                <w:rFonts w:ascii="Cambria Math" w:hAnsi="Cambria Math"/>
                <w:i/>
                <w:lang w:val="lt-LT"/>
              </w:rPr>
            </m:ctrlPr>
          </m:sSubPr>
          <m:e>
            <m:r>
              <w:rPr>
                <w:rFonts w:ascii="Cambria Math" w:hAnsi="Cambria Math"/>
                <w:lang w:val="lt-LT"/>
              </w:rPr>
              <m:t>Y</m:t>
            </m:r>
          </m:e>
          <m:sub>
            <m:r>
              <w:rPr>
                <w:rFonts w:ascii="Cambria Math" w:hAnsi="Cambria Math"/>
                <w:lang w:val="lt-LT"/>
              </w:rPr>
              <m:t>i</m:t>
            </m:r>
          </m:sub>
        </m:sSub>
        <m:r>
          <w:rPr>
            <w:rFonts w:ascii="Cambria Math" w:hAnsi="Cambria Math"/>
            <w:lang w:val="lt-LT"/>
          </w:rPr>
          <m:t>=</m:t>
        </m:r>
        <m:sSub>
          <m:sSubPr>
            <m:ctrlPr>
              <w:rPr>
                <w:rFonts w:ascii="Cambria Math" w:hAnsi="Cambria Math"/>
                <w:i/>
                <w:lang w:val="lt-LT"/>
              </w:rPr>
            </m:ctrlPr>
          </m:sSubPr>
          <m:e>
            <m:r>
              <w:rPr>
                <w:rFonts w:ascii="Cambria Math" w:hAnsi="Cambria Math"/>
                <w:lang w:val="lt-LT"/>
              </w:rPr>
              <m:t>β</m:t>
            </m:r>
          </m:e>
          <m:sub>
            <m:r>
              <w:rPr>
                <w:rFonts w:ascii="Cambria Math" w:hAnsi="Cambria Math"/>
                <w:lang w:val="lt-LT"/>
              </w:rPr>
              <m:t>1</m:t>
            </m:r>
          </m:sub>
        </m:sSub>
        <m:r>
          <w:rPr>
            <w:rFonts w:ascii="Cambria Math" w:hAnsi="Cambria Math"/>
            <w:lang w:val="lt-LT"/>
          </w:rPr>
          <m:t>+</m:t>
        </m:r>
        <m:sSub>
          <m:sSubPr>
            <m:ctrlPr>
              <w:rPr>
                <w:rFonts w:ascii="Cambria Math" w:hAnsi="Cambria Math"/>
                <w:i/>
                <w:lang w:val="lt-LT"/>
              </w:rPr>
            </m:ctrlPr>
          </m:sSubPr>
          <m:e>
            <m:r>
              <w:rPr>
                <w:rFonts w:ascii="Cambria Math" w:hAnsi="Cambria Math"/>
                <w:lang w:val="lt-LT"/>
              </w:rPr>
              <m:t>β</m:t>
            </m:r>
          </m:e>
          <m:sub>
            <m:r>
              <w:rPr>
                <w:rFonts w:ascii="Cambria Math" w:hAnsi="Cambria Math"/>
                <w:lang w:val="lt-LT"/>
              </w:rPr>
              <m:t>2</m:t>
            </m:r>
          </m:sub>
        </m:sSub>
        <m:sSub>
          <m:sSubPr>
            <m:ctrlPr>
              <w:rPr>
                <w:rFonts w:ascii="Cambria Math" w:hAnsi="Cambria Math"/>
                <w:i/>
                <w:lang w:val="lt-LT"/>
              </w:rPr>
            </m:ctrlPr>
          </m:sSubPr>
          <m:e>
            <m:r>
              <w:rPr>
                <w:rFonts w:ascii="Cambria Math" w:hAnsi="Cambria Math"/>
                <w:lang w:val="lt-LT"/>
              </w:rPr>
              <m:t>X</m:t>
            </m:r>
          </m:e>
          <m:sub>
            <m:r>
              <w:rPr>
                <w:rFonts w:ascii="Cambria Math" w:hAnsi="Cambria Math"/>
                <w:lang w:val="lt-LT"/>
              </w:rPr>
              <m:t>i</m:t>
            </m:r>
          </m:sub>
        </m:sSub>
        <m:r>
          <w:rPr>
            <w:rFonts w:ascii="Cambria Math" w:hAnsi="Cambria Math"/>
            <w:lang w:val="lt-LT"/>
          </w:rPr>
          <m:t>+</m:t>
        </m:r>
        <m:sSub>
          <m:sSubPr>
            <m:ctrlPr>
              <w:rPr>
                <w:rFonts w:ascii="Cambria Math" w:hAnsi="Cambria Math"/>
                <w:i/>
                <w:lang w:val="lt-LT"/>
              </w:rPr>
            </m:ctrlPr>
          </m:sSubPr>
          <m:e>
            <m:r>
              <w:rPr>
                <w:rFonts w:ascii="Cambria Math" w:hAnsi="Cambria Math"/>
                <w:lang w:val="lt-LT"/>
              </w:rPr>
              <m:t>u</m:t>
            </m:r>
          </m:e>
          <m:sub>
            <m:r>
              <w:rPr>
                <w:rFonts w:ascii="Cambria Math" w:hAnsi="Cambria Math"/>
                <w:lang w:val="lt-LT"/>
              </w:rPr>
              <m:t>i</m:t>
            </m:r>
          </m:sub>
        </m:sSub>
      </m:oMath>
      <w:r w:rsidR="00472A3C" w:rsidRPr="00670E82">
        <w:rPr>
          <w:i/>
          <w:lang w:val="lt-LT"/>
        </w:rPr>
        <w:t xml:space="preserve">                                     </w:t>
      </w:r>
      <w:r w:rsidR="00472A3C" w:rsidRPr="00670E82">
        <w:rPr>
          <w:lang w:val="lt-LT"/>
        </w:rPr>
        <w:t>(3)</w:t>
      </w:r>
    </w:p>
    <w:p w:rsidR="005A2023" w:rsidRPr="00670E82" w:rsidRDefault="005A2023" w:rsidP="00670E82">
      <w:pPr>
        <w:spacing w:line="360" w:lineRule="auto"/>
        <w:ind w:firstLine="567"/>
        <w:jc w:val="both"/>
        <w:rPr>
          <w:lang w:val="lt-LT"/>
        </w:rPr>
      </w:pPr>
      <w:r w:rsidRPr="00670E82">
        <w:rPr>
          <w:lang w:val="lt-LT"/>
        </w:rPr>
        <w:t xml:space="preserve">kur </w:t>
      </w:r>
      <w:r w:rsidRPr="00670E82">
        <w:rPr>
          <w:i/>
          <w:lang w:val="lt-LT"/>
        </w:rPr>
        <w:t>β</w:t>
      </w:r>
      <w:r w:rsidRPr="00670E82">
        <w:rPr>
          <w:i/>
          <w:vertAlign w:val="subscript"/>
          <w:lang w:val="lt-LT"/>
        </w:rPr>
        <w:t>1</w:t>
      </w:r>
      <w:r w:rsidRPr="00670E82">
        <w:rPr>
          <w:lang w:val="lt-LT"/>
        </w:rPr>
        <w:t xml:space="preserve"> ir </w:t>
      </w:r>
      <w:r w:rsidRPr="00670E82">
        <w:rPr>
          <w:i/>
          <w:lang w:val="lt-LT"/>
        </w:rPr>
        <w:t>β</w:t>
      </w:r>
      <w:r w:rsidRPr="00670E82">
        <w:rPr>
          <w:i/>
          <w:vertAlign w:val="subscript"/>
          <w:lang w:val="lt-LT"/>
        </w:rPr>
        <w:t>2</w:t>
      </w:r>
      <w:r w:rsidRPr="00670E82">
        <w:rPr>
          <w:lang w:val="lt-LT"/>
        </w:rPr>
        <w:t xml:space="preserve"> yra įverčiai apskaičiuoti mažiausių kvadratų metodu;</w:t>
      </w:r>
    </w:p>
    <w:p w:rsidR="005A2023" w:rsidRPr="00670E82" w:rsidRDefault="005A2023" w:rsidP="00670E82">
      <w:pPr>
        <w:spacing w:line="360" w:lineRule="auto"/>
        <w:ind w:firstLine="567"/>
        <w:jc w:val="both"/>
        <w:rPr>
          <w:lang w:val="lt-LT"/>
        </w:rPr>
      </w:pPr>
      <w:r w:rsidRPr="00670E82">
        <w:rPr>
          <w:i/>
          <w:lang w:val="lt-LT"/>
        </w:rPr>
        <w:t>u</w:t>
      </w:r>
      <w:r w:rsidRPr="00670E82">
        <w:rPr>
          <w:i/>
          <w:vertAlign w:val="subscript"/>
          <w:lang w:val="lt-LT"/>
        </w:rPr>
        <w:t>i</w:t>
      </w:r>
      <w:r w:rsidR="00603EE9" w:rsidRPr="00670E82">
        <w:rPr>
          <w:lang w:val="lt-LT"/>
        </w:rPr>
        <w:t xml:space="preserve"> yra „</w:t>
      </w:r>
      <w:r w:rsidRPr="00670E82">
        <w:rPr>
          <w:lang w:val="lt-LT"/>
        </w:rPr>
        <w:t>baltasis triukšmas</w:t>
      </w:r>
      <w:r w:rsidR="00603EE9" w:rsidRPr="00670E82">
        <w:rPr>
          <w:lang w:val="lt-LT"/>
        </w:rPr>
        <w:t>“</w:t>
      </w:r>
      <w:r w:rsidRPr="00670E82">
        <w:rPr>
          <w:lang w:val="lt-LT"/>
        </w:rPr>
        <w:t xml:space="preserve"> arba tiesiog liekanos. </w:t>
      </w:r>
    </w:p>
    <w:p w:rsidR="008A6C02" w:rsidRPr="00670E82" w:rsidRDefault="005A2023" w:rsidP="00670E82">
      <w:pPr>
        <w:spacing w:line="360" w:lineRule="auto"/>
        <w:ind w:firstLine="567"/>
        <w:jc w:val="both"/>
        <w:rPr>
          <w:lang w:val="lt-LT"/>
        </w:rPr>
      </w:pPr>
      <w:r w:rsidRPr="00670E82">
        <w:rPr>
          <w:lang w:val="lt-LT"/>
        </w:rPr>
        <w:t xml:space="preserve">Toks modelis aprašo tiesinę Y veiksnio priklausomybę nuo X. Nors prieš tai atliktoje koreliacinėje analizėje buvo nustatyta, kad ne visų nepriklausomų kintamųjų koreliacija su ne gyvybės </w:t>
      </w:r>
      <w:r w:rsidRPr="00670E82">
        <w:rPr>
          <w:lang w:val="lt-LT"/>
        </w:rPr>
        <w:lastRenderedPageBreak/>
        <w:t>draudimo įmokomis yra statistiškai reikšminga, sudar</w:t>
      </w:r>
      <w:r w:rsidR="00603EE9" w:rsidRPr="00670E82">
        <w:rPr>
          <w:lang w:val="lt-LT"/>
        </w:rPr>
        <w:t>omos porinės regresijos lygty</w:t>
      </w:r>
      <w:r w:rsidRPr="00670E82">
        <w:rPr>
          <w:lang w:val="lt-LT"/>
        </w:rPr>
        <w:t xml:space="preserve">s su visais nepriklausomais kintamaisiais. </w:t>
      </w:r>
    </w:p>
    <w:p w:rsidR="008A6C02" w:rsidRPr="00670E82" w:rsidRDefault="008A6C02" w:rsidP="00670E82">
      <w:pPr>
        <w:spacing w:line="360" w:lineRule="auto"/>
        <w:ind w:firstLine="567"/>
        <w:jc w:val="both"/>
        <w:rPr>
          <w:lang w:val="lt-LT"/>
        </w:rPr>
      </w:pPr>
      <w:r w:rsidRPr="00670E82">
        <w:rPr>
          <w:lang w:val="lt-LT"/>
        </w:rPr>
        <w:t>Prieš atliekant regresinę analizę reikia patikrinti ar duomenys naudojami analizei tenkina normalumo sąlygą, t.y. ar jie pasiskirstę pagal normalųjį skirstinį. Patikrinimui naudo</w:t>
      </w:r>
      <w:r w:rsidR="00603EE9" w:rsidRPr="00670E82">
        <w:rPr>
          <w:lang w:val="lt-LT"/>
        </w:rPr>
        <w:t>jamas Jarque Bera normal</w:t>
      </w:r>
      <w:r w:rsidRPr="00670E82">
        <w:rPr>
          <w:lang w:val="lt-LT"/>
        </w:rPr>
        <w:t>umo testas, kuris tikrina imties asimetrijos bei imties eksceso koeficientų lygybę nuliui. Pasinaudojus R programoje esančiu testu patikrinama minėta hipotezė ir gaunamas rezultatas, kad neturime pagrindo atmesti nulinės hipotezės, t.y. visi duomenys yra normalūs.</w:t>
      </w:r>
    </w:p>
    <w:p w:rsidR="005A2023" w:rsidRPr="00670E82" w:rsidRDefault="005A2023" w:rsidP="00670E82">
      <w:pPr>
        <w:spacing w:line="360" w:lineRule="auto"/>
        <w:ind w:firstLine="567"/>
        <w:jc w:val="both"/>
        <w:rPr>
          <w:lang w:val="lt-LT"/>
        </w:rPr>
      </w:pPr>
      <w:r w:rsidRPr="00670E82">
        <w:rPr>
          <w:lang w:val="lt-LT"/>
        </w:rPr>
        <w:t>Sudarydami porines regresijos lygtis turime du pasirinkimus – įtraukti laisvąjį narį į modelį arba jo neįtraukti (</w:t>
      </w:r>
      <w:r w:rsidRPr="00670E82">
        <w:rPr>
          <w:i/>
          <w:lang w:val="lt-LT"/>
        </w:rPr>
        <w:t>β</w:t>
      </w:r>
      <w:r w:rsidRPr="00670E82">
        <w:rPr>
          <w:i/>
          <w:vertAlign w:val="subscript"/>
          <w:lang w:val="lt-LT"/>
        </w:rPr>
        <w:t>1</w:t>
      </w:r>
      <w:r w:rsidRPr="00670E82">
        <w:rPr>
          <w:lang w:val="lt-LT"/>
        </w:rPr>
        <w:t>). Regresiniams modeliams įvertinti naudojama statistika</w:t>
      </w:r>
      <w:r w:rsidR="008A6C02" w:rsidRPr="00670E82">
        <w:rPr>
          <w:lang w:val="lt-LT"/>
        </w:rPr>
        <w:t xml:space="preserve"> – determinacijos koeficientas -</w:t>
      </w:r>
      <w:r w:rsidRPr="00670E82">
        <w:rPr>
          <w:lang w:val="lt-LT"/>
        </w:rPr>
        <w:t xml:space="preserve"> </w:t>
      </w:r>
      <w:r w:rsidRPr="00670E82">
        <w:rPr>
          <w:i/>
          <w:lang w:val="lt-LT"/>
        </w:rPr>
        <w:t>R</w:t>
      </w:r>
      <w:r w:rsidRPr="00670E82">
        <w:rPr>
          <w:i/>
          <w:vertAlign w:val="superscript"/>
          <w:lang w:val="lt-LT"/>
        </w:rPr>
        <w:t>2</w:t>
      </w:r>
      <w:r w:rsidRPr="00670E82">
        <w:rPr>
          <w:i/>
          <w:lang w:val="lt-LT"/>
        </w:rPr>
        <w:t>.</w:t>
      </w:r>
      <w:r w:rsidRPr="00670E82">
        <w:rPr>
          <w:lang w:val="lt-LT"/>
        </w:rPr>
        <w:t xml:space="preserve"> Ji</w:t>
      </w:r>
      <w:r w:rsidR="008A6C02" w:rsidRPr="00670E82">
        <w:rPr>
          <w:lang w:val="lt-LT"/>
        </w:rPr>
        <w:t>s</w:t>
      </w:r>
      <w:r w:rsidRPr="00670E82">
        <w:rPr>
          <w:lang w:val="lt-LT"/>
        </w:rPr>
        <w:t xml:space="preserve"> nurodo, kiek tiksliai priklausomas kintamasis yra paaiškinamas nepriklausomu kintamuoju. Statistikos reikšmė gali svyruoti intervale [0,1], kur 1 reiškia, kad sudaryta regresijos lygtis puikiai tinka ir 0 – lygtis visiškai netinkama. Apskaičiuojama pagal formulę: </w:t>
      </w:r>
    </w:p>
    <w:p w:rsidR="005A2023" w:rsidRPr="00670E82" w:rsidRDefault="00C20A22" w:rsidP="00670E82">
      <w:pPr>
        <w:spacing w:line="360" w:lineRule="auto"/>
        <w:ind w:firstLine="567"/>
        <w:jc w:val="center"/>
        <w:rPr>
          <w:lang w:val="lt-LT"/>
        </w:rPr>
      </w:pPr>
      <m:oMathPara>
        <m:oMath>
          <m:sSup>
            <m:sSupPr>
              <m:ctrlPr>
                <w:rPr>
                  <w:rFonts w:ascii="Cambria Math" w:hAnsi="Cambria Math"/>
                  <w:i/>
                  <w:lang w:val="lt-LT"/>
                </w:rPr>
              </m:ctrlPr>
            </m:sSupPr>
            <m:e>
              <m:r>
                <w:rPr>
                  <w:rFonts w:ascii="Cambria Math" w:hAnsi="Cambria Math"/>
                  <w:lang w:val="lt-LT"/>
                </w:rPr>
                <m:t>R</m:t>
              </m:r>
            </m:e>
            <m:sup>
              <m:r>
                <w:rPr>
                  <w:rFonts w:ascii="Cambria Math" w:hAnsi="Cambria Math"/>
                  <w:lang w:val="lt-LT"/>
                </w:rPr>
                <m:t>2</m:t>
              </m:r>
            </m:sup>
          </m:sSup>
          <m:r>
            <w:rPr>
              <w:rFonts w:ascii="Cambria Math" w:hAnsi="Cambria Math"/>
              <w:lang w:val="lt-LT"/>
            </w:rPr>
            <m:t>=1-</m:t>
          </m:r>
          <m:f>
            <m:fPr>
              <m:ctrlPr>
                <w:rPr>
                  <w:rFonts w:ascii="Cambria Math" w:hAnsi="Cambria Math"/>
                  <w:i/>
                  <w:lang w:val="lt-LT"/>
                </w:rPr>
              </m:ctrlPr>
            </m:fPr>
            <m:num>
              <m:sSup>
                <m:sSupPr>
                  <m:ctrlPr>
                    <w:rPr>
                      <w:rFonts w:ascii="Cambria Math" w:hAnsi="Cambria Math"/>
                      <w:i/>
                      <w:lang w:val="lt-LT"/>
                    </w:rPr>
                  </m:ctrlPr>
                </m:sSupPr>
                <m:e>
                  <m:r>
                    <w:rPr>
                      <w:rFonts w:ascii="Cambria Math" w:hAnsi="Cambria Math"/>
                      <w:lang w:val="lt-LT"/>
                    </w:rPr>
                    <m:t>û</m:t>
                  </m:r>
                </m:e>
                <m:sup>
                  <m:r>
                    <w:rPr>
                      <w:rFonts w:ascii="Cambria Math" w:hAnsi="Cambria Math"/>
                      <w:lang w:val="lt-LT"/>
                    </w:rPr>
                    <m:t>,</m:t>
                  </m:r>
                </m:sup>
              </m:sSup>
              <m:r>
                <w:rPr>
                  <w:rFonts w:ascii="Cambria Math" w:hAnsi="Cambria Math"/>
                  <w:lang w:val="lt-LT"/>
                </w:rPr>
                <m:t>û</m:t>
              </m:r>
            </m:num>
            <m:den>
              <m:sSup>
                <m:sSupPr>
                  <m:ctrlPr>
                    <w:rPr>
                      <w:rFonts w:ascii="Cambria Math" w:hAnsi="Cambria Math"/>
                      <w:i/>
                      <w:lang w:val="lt-LT"/>
                    </w:rPr>
                  </m:ctrlPr>
                </m:sSupPr>
                <m:e>
                  <m:d>
                    <m:dPr>
                      <m:ctrlPr>
                        <w:rPr>
                          <w:rFonts w:ascii="Cambria Math" w:hAnsi="Cambria Math"/>
                          <w:i/>
                          <w:lang w:val="lt-LT"/>
                        </w:rPr>
                      </m:ctrlPr>
                    </m:dPr>
                    <m:e>
                      <m:r>
                        <w:rPr>
                          <w:rFonts w:ascii="Cambria Math" w:hAnsi="Cambria Math"/>
                          <w:lang w:val="lt-LT"/>
                        </w:rPr>
                        <m:t>y-</m:t>
                      </m:r>
                      <m:acc>
                        <m:accPr>
                          <m:chr m:val="̅"/>
                          <m:ctrlPr>
                            <w:rPr>
                              <w:rFonts w:ascii="Cambria Math" w:hAnsi="Cambria Math"/>
                              <w:i/>
                              <w:lang w:val="lt-LT"/>
                            </w:rPr>
                          </m:ctrlPr>
                        </m:accPr>
                        <m:e>
                          <m:r>
                            <w:rPr>
                              <w:rFonts w:ascii="Cambria Math" w:hAnsi="Cambria Math"/>
                              <w:lang w:val="lt-LT"/>
                            </w:rPr>
                            <m:t>y</m:t>
                          </m:r>
                        </m:e>
                      </m:acc>
                    </m:e>
                  </m:d>
                </m:e>
                <m:sup>
                  <m:r>
                    <w:rPr>
                      <w:rFonts w:ascii="Cambria Math" w:hAnsi="Cambria Math"/>
                      <w:lang w:val="lt-LT"/>
                    </w:rPr>
                    <m:t>,</m:t>
                  </m:r>
                </m:sup>
              </m:sSup>
              <m:d>
                <m:dPr>
                  <m:ctrlPr>
                    <w:rPr>
                      <w:rFonts w:ascii="Cambria Math" w:hAnsi="Cambria Math"/>
                      <w:i/>
                      <w:lang w:val="lt-LT"/>
                    </w:rPr>
                  </m:ctrlPr>
                </m:dPr>
                <m:e>
                  <m:r>
                    <w:rPr>
                      <w:rFonts w:ascii="Cambria Math" w:hAnsi="Cambria Math"/>
                      <w:lang w:val="lt-LT"/>
                    </w:rPr>
                    <m:t>y-</m:t>
                  </m:r>
                  <m:acc>
                    <m:accPr>
                      <m:chr m:val="̅"/>
                      <m:ctrlPr>
                        <w:rPr>
                          <w:rFonts w:ascii="Cambria Math" w:hAnsi="Cambria Math"/>
                          <w:i/>
                          <w:lang w:val="lt-LT"/>
                        </w:rPr>
                      </m:ctrlPr>
                    </m:accPr>
                    <m:e>
                      <m:r>
                        <w:rPr>
                          <w:rFonts w:ascii="Cambria Math" w:hAnsi="Cambria Math"/>
                          <w:lang w:val="lt-LT"/>
                        </w:rPr>
                        <m:t>y</m:t>
                      </m:r>
                    </m:e>
                  </m:acc>
                </m:e>
              </m:d>
            </m:den>
          </m:f>
          <m:r>
            <w:rPr>
              <w:rFonts w:ascii="Cambria Math" w:hAnsi="Cambria Math"/>
              <w:lang w:val="lt-LT"/>
            </w:rPr>
            <m:t xml:space="preserve">; </m:t>
          </m:r>
          <m:acc>
            <m:accPr>
              <m:chr m:val="̅"/>
              <m:ctrlPr>
                <w:rPr>
                  <w:rFonts w:ascii="Cambria Math" w:hAnsi="Cambria Math"/>
                  <w:i/>
                  <w:lang w:val="lt-LT"/>
                </w:rPr>
              </m:ctrlPr>
            </m:accPr>
            <m:e>
              <m:r>
                <w:rPr>
                  <w:rFonts w:ascii="Cambria Math" w:hAnsi="Cambria Math"/>
                  <w:lang w:val="lt-LT"/>
                </w:rPr>
                <m:t>y</m:t>
              </m:r>
            </m:e>
          </m:acc>
          <m:r>
            <w:rPr>
              <w:rFonts w:ascii="Cambria Math" w:hAnsi="Cambria Math"/>
              <w:lang w:val="lt-LT"/>
            </w:rPr>
            <m:t>=</m:t>
          </m:r>
          <m:nary>
            <m:naryPr>
              <m:chr m:val="∑"/>
              <m:limLoc m:val="undOvr"/>
              <m:ctrlPr>
                <w:rPr>
                  <w:rFonts w:ascii="Cambria Math" w:hAnsi="Cambria Math"/>
                  <w:i/>
                  <w:lang w:val="lt-LT"/>
                </w:rPr>
              </m:ctrlPr>
            </m:naryPr>
            <m:sub>
              <m:r>
                <w:rPr>
                  <w:rFonts w:ascii="Cambria Math" w:hAnsi="Cambria Math"/>
                  <w:lang w:val="lt-LT"/>
                </w:rPr>
                <m:t>t=i</m:t>
              </m:r>
            </m:sub>
            <m:sup>
              <m:r>
                <w:rPr>
                  <w:rFonts w:ascii="Cambria Math" w:hAnsi="Cambria Math"/>
                  <w:lang w:val="lt-LT"/>
                </w:rPr>
                <m:t>n</m:t>
              </m:r>
            </m:sup>
            <m:e>
              <m:f>
                <m:fPr>
                  <m:ctrlPr>
                    <w:rPr>
                      <w:rFonts w:ascii="Cambria Math" w:hAnsi="Cambria Math"/>
                      <w:i/>
                      <w:lang w:val="lt-LT"/>
                    </w:rPr>
                  </m:ctrlPr>
                </m:fPr>
                <m:num>
                  <m:sSub>
                    <m:sSubPr>
                      <m:ctrlPr>
                        <w:rPr>
                          <w:rFonts w:ascii="Cambria Math" w:hAnsi="Cambria Math"/>
                          <w:i/>
                          <w:lang w:val="lt-LT"/>
                        </w:rPr>
                      </m:ctrlPr>
                    </m:sSubPr>
                    <m:e>
                      <m:r>
                        <w:rPr>
                          <w:rFonts w:ascii="Cambria Math" w:hAnsi="Cambria Math"/>
                          <w:lang w:val="lt-LT"/>
                        </w:rPr>
                        <m:t>y</m:t>
                      </m:r>
                    </m:e>
                    <m:sub>
                      <m:r>
                        <w:rPr>
                          <w:rFonts w:ascii="Cambria Math" w:hAnsi="Cambria Math"/>
                          <w:lang w:val="lt-LT"/>
                        </w:rPr>
                        <m:t>t</m:t>
                      </m:r>
                    </m:sub>
                  </m:sSub>
                </m:num>
                <m:den>
                  <m:r>
                    <w:rPr>
                      <w:rFonts w:ascii="Cambria Math" w:hAnsi="Cambria Math"/>
                      <w:lang w:val="lt-LT"/>
                    </w:rPr>
                    <m:t>n</m:t>
                  </m:r>
                </m:den>
              </m:f>
            </m:e>
          </m:nary>
          <m:r>
            <w:rPr>
              <w:rFonts w:ascii="Cambria Math" w:hAnsi="Cambria Math"/>
              <w:lang w:val="lt-LT"/>
            </w:rPr>
            <m:t xml:space="preserve"> ,                           (4)</m:t>
          </m:r>
        </m:oMath>
      </m:oMathPara>
      <w:r w:rsidR="00304E2D" w:rsidRPr="00670E82">
        <w:rPr>
          <w:lang w:val="lt-LT"/>
        </w:rPr>
        <w:br/>
      </w:r>
      <w:r w:rsidR="00304E2D" w:rsidRPr="00670E82">
        <w:rPr>
          <w:lang w:val="lt-LT"/>
        </w:rPr>
        <w:t xml:space="preserve">  </w:t>
      </w:r>
    </w:p>
    <w:p w:rsidR="005A2023" w:rsidRPr="00670E82" w:rsidRDefault="005A2023" w:rsidP="00670E82">
      <w:pPr>
        <w:spacing w:line="360" w:lineRule="auto"/>
        <w:ind w:firstLine="567"/>
        <w:jc w:val="both"/>
        <w:rPr>
          <w:lang w:val="lt-LT"/>
        </w:rPr>
      </w:pPr>
      <w:r w:rsidRPr="00670E82">
        <w:rPr>
          <w:lang w:val="lt-LT"/>
        </w:rPr>
        <w:t xml:space="preserve">Čia </w:t>
      </w:r>
      <w:r w:rsidRPr="00670E82">
        <w:rPr>
          <w:i/>
          <w:lang w:val="lt-LT"/>
        </w:rPr>
        <w:t>n</w:t>
      </w:r>
      <w:r w:rsidRPr="00670E82">
        <w:rPr>
          <w:lang w:val="lt-LT"/>
        </w:rPr>
        <w:t xml:space="preserve"> – duomenų eilučių dydis,</w:t>
      </w:r>
    </w:p>
    <w:p w:rsidR="005A2023" w:rsidRPr="00670E82" w:rsidRDefault="00E042E6" w:rsidP="00670E82">
      <w:pPr>
        <w:spacing w:line="360" w:lineRule="auto"/>
        <w:ind w:firstLine="567"/>
        <w:jc w:val="both"/>
        <w:rPr>
          <w:lang w:val="lt-LT"/>
        </w:rPr>
      </w:pPr>
      <w:r w:rsidRPr="00670E82">
        <w:rPr>
          <w:i/>
          <w:lang w:val="lt-LT"/>
        </w:rPr>
        <w:t xml:space="preserve">û </w:t>
      </w:r>
      <w:r w:rsidR="005A2023" w:rsidRPr="00670E82">
        <w:rPr>
          <w:lang w:val="lt-LT"/>
        </w:rPr>
        <w:t>-</w:t>
      </w:r>
      <w:r w:rsidRPr="00670E82">
        <w:rPr>
          <w:lang w:val="lt-LT"/>
        </w:rPr>
        <w:t xml:space="preserve"> </w:t>
      </w:r>
      <w:r w:rsidR="005A2023" w:rsidRPr="00670E82">
        <w:rPr>
          <w:lang w:val="lt-LT"/>
        </w:rPr>
        <w:t>įvertinto modelio liekanos.</w:t>
      </w:r>
    </w:p>
    <w:p w:rsidR="005A2023" w:rsidRPr="00670E82" w:rsidRDefault="005A2023" w:rsidP="00670E82">
      <w:pPr>
        <w:spacing w:line="360" w:lineRule="auto"/>
        <w:ind w:firstLine="567"/>
        <w:jc w:val="both"/>
        <w:rPr>
          <w:lang w:val="lt-LT"/>
        </w:rPr>
      </w:pPr>
      <w:r w:rsidRPr="00670E82">
        <w:rPr>
          <w:lang w:val="lt-LT"/>
        </w:rPr>
        <w:t xml:space="preserve">Buvo sudaryti porinės regresijos modeliai su laisvuoju nariu, tačiau daugelyje jų laisvasis narys buvo statistiškai nereikšmingas, todėl </w:t>
      </w:r>
      <w:r w:rsidR="008A6C02" w:rsidRPr="00670E82">
        <w:rPr>
          <w:lang w:val="lt-LT"/>
        </w:rPr>
        <w:t xml:space="preserve">antruoju žingsniu </w:t>
      </w:r>
      <w:r w:rsidRPr="00670E82">
        <w:rPr>
          <w:lang w:val="lt-LT"/>
        </w:rPr>
        <w:t>buvo sudaryti porinės regresijos modeliai, kuriuose laisvasis narys nebuv</w:t>
      </w:r>
      <w:r w:rsidR="008844D9" w:rsidRPr="00670E82">
        <w:rPr>
          <w:lang w:val="lt-LT"/>
        </w:rPr>
        <w:t>o įtrauktas.</w:t>
      </w:r>
      <w:r w:rsidR="008A6C02" w:rsidRPr="00670E82">
        <w:rPr>
          <w:lang w:val="lt-LT"/>
        </w:rPr>
        <w:t xml:space="preserve"> M</w:t>
      </w:r>
      <w:r w:rsidR="008844D9" w:rsidRPr="00670E82">
        <w:rPr>
          <w:lang w:val="lt-LT"/>
        </w:rPr>
        <w:t>odeliuose, kurie pateikti lentelėje nr. 3.5.,</w:t>
      </w:r>
      <w:r w:rsidRPr="00670E82">
        <w:rPr>
          <w:lang w:val="lt-LT"/>
        </w:rPr>
        <w:t xml:space="preserve"> koeficientai buvo statistiškai reikšmingi bei </w:t>
      </w:r>
      <w:r w:rsidR="008A6C02" w:rsidRPr="00670E82">
        <w:rPr>
          <w:lang w:val="lt-LT"/>
        </w:rPr>
        <w:t xml:space="preserve">determinacijos koeficientas </w:t>
      </w:r>
      <w:r w:rsidRPr="00670E82">
        <w:rPr>
          <w:i/>
          <w:lang w:val="lt-LT"/>
        </w:rPr>
        <w:t>R</w:t>
      </w:r>
      <w:r w:rsidRPr="00670E82">
        <w:rPr>
          <w:i/>
          <w:vertAlign w:val="superscript"/>
          <w:lang w:val="lt-LT"/>
        </w:rPr>
        <w:t>2</w:t>
      </w:r>
      <w:r w:rsidRPr="00670E82">
        <w:rPr>
          <w:i/>
          <w:lang w:val="lt-LT"/>
        </w:rPr>
        <w:t xml:space="preserve"> </w:t>
      </w:r>
      <w:r w:rsidR="00603EE9" w:rsidRPr="00670E82">
        <w:rPr>
          <w:lang w:val="lt-LT"/>
        </w:rPr>
        <w:t>žymiai geresni</w:t>
      </w:r>
      <w:r w:rsidRPr="00670E82">
        <w:rPr>
          <w:lang w:val="lt-LT"/>
        </w:rPr>
        <w:t>s nei prieš tai minėtu atveju.</w:t>
      </w:r>
    </w:p>
    <w:p w:rsidR="005A2023" w:rsidRPr="008844D9" w:rsidRDefault="008844D9" w:rsidP="00CC4DA5">
      <w:pPr>
        <w:pStyle w:val="lentels"/>
      </w:pPr>
      <w:bookmarkStart w:id="140" w:name="_Toc309559979"/>
      <w:bookmarkStart w:id="141" w:name="_Toc310014798"/>
      <w:bookmarkStart w:id="142" w:name="_Toc311970995"/>
      <w:bookmarkStart w:id="143" w:name="_Toc311971837"/>
      <w:bookmarkStart w:id="144" w:name="_Toc311971881"/>
      <w:r w:rsidRPr="008844D9">
        <w:t>3.5.</w:t>
      </w:r>
      <w:r w:rsidR="00A4245B">
        <w:t xml:space="preserve"> l</w:t>
      </w:r>
      <w:r w:rsidR="005A2023" w:rsidRPr="008844D9">
        <w:t>entelė. Porinės regresijos lygtys ir pagal jas paskaičiuotų R</w:t>
      </w:r>
      <w:r w:rsidR="005A2023" w:rsidRPr="008844D9">
        <w:rPr>
          <w:vertAlign w:val="superscript"/>
        </w:rPr>
        <w:t xml:space="preserve">2 </w:t>
      </w:r>
      <w:r w:rsidR="005A2023" w:rsidRPr="008844D9">
        <w:t>reikšmės</w:t>
      </w:r>
      <w:bookmarkEnd w:id="140"/>
      <w:bookmarkEnd w:id="141"/>
      <w:bookmarkEnd w:id="142"/>
      <w:bookmarkEnd w:id="143"/>
      <w:bookmarkEnd w:id="144"/>
    </w:p>
    <w:tbl>
      <w:tblPr>
        <w:tblStyle w:val="TableGrid"/>
        <w:tblW w:w="0" w:type="auto"/>
        <w:jc w:val="center"/>
        <w:tblLook w:val="04A0"/>
      </w:tblPr>
      <w:tblGrid>
        <w:gridCol w:w="2025"/>
        <w:gridCol w:w="876"/>
      </w:tblGrid>
      <w:tr w:rsidR="005A2023" w:rsidRPr="008844D9" w:rsidTr="004C3AD6">
        <w:trPr>
          <w:jc w:val="center"/>
        </w:trPr>
        <w:tc>
          <w:tcPr>
            <w:tcW w:w="2025" w:type="dxa"/>
          </w:tcPr>
          <w:p w:rsidR="005A2023" w:rsidRPr="00303A5A" w:rsidRDefault="005A2023" w:rsidP="004C3AD6">
            <w:pPr>
              <w:rPr>
                <w:lang w:val="lt-LT"/>
              </w:rPr>
            </w:pPr>
            <w:r w:rsidRPr="00303A5A">
              <w:rPr>
                <w:lang w:val="lt-LT"/>
              </w:rPr>
              <w:t>Regresijos lygtis</w:t>
            </w:r>
          </w:p>
        </w:tc>
        <w:tc>
          <w:tcPr>
            <w:tcW w:w="876" w:type="dxa"/>
          </w:tcPr>
          <w:p w:rsidR="005A2023" w:rsidRPr="00303A5A" w:rsidRDefault="005A2023" w:rsidP="004C3AD6">
            <w:pPr>
              <w:rPr>
                <w:lang w:val="lt-LT"/>
              </w:rPr>
            </w:pPr>
            <w:r w:rsidRPr="00303A5A">
              <w:rPr>
                <w:lang w:val="lt-LT"/>
              </w:rPr>
              <w:t>R</w:t>
            </w:r>
            <w:r w:rsidRPr="00303A5A">
              <w:rPr>
                <w:vertAlign w:val="superscript"/>
                <w:lang w:val="lt-LT"/>
              </w:rPr>
              <w:t>2</w:t>
            </w:r>
          </w:p>
        </w:tc>
      </w:tr>
      <w:tr w:rsidR="005A2023" w:rsidRPr="008844D9" w:rsidTr="004C3AD6">
        <w:trPr>
          <w:jc w:val="center"/>
        </w:trPr>
        <w:tc>
          <w:tcPr>
            <w:tcW w:w="2025" w:type="dxa"/>
          </w:tcPr>
          <w:p w:rsidR="005A2023" w:rsidRPr="00303A5A" w:rsidRDefault="005A2023" w:rsidP="004C3AD6">
            <w:pPr>
              <w:rPr>
                <w:lang w:val="lt-LT"/>
              </w:rPr>
            </w:pPr>
            <w:r w:rsidRPr="00303A5A">
              <w:rPr>
                <w:lang w:val="lt-LT"/>
              </w:rPr>
              <w:t>Y= 0,393*X1</w:t>
            </w:r>
          </w:p>
        </w:tc>
        <w:tc>
          <w:tcPr>
            <w:tcW w:w="876" w:type="dxa"/>
          </w:tcPr>
          <w:p w:rsidR="005A2023" w:rsidRPr="00303A5A" w:rsidRDefault="005A2023" w:rsidP="004C3AD6">
            <w:pPr>
              <w:rPr>
                <w:lang w:val="lt-LT"/>
              </w:rPr>
            </w:pPr>
            <w:r w:rsidRPr="00303A5A">
              <w:rPr>
                <w:lang w:val="lt-LT"/>
              </w:rPr>
              <w:t>0,973</w:t>
            </w:r>
          </w:p>
        </w:tc>
      </w:tr>
      <w:tr w:rsidR="005A2023" w:rsidRPr="00303A5A" w:rsidTr="004C3AD6">
        <w:trPr>
          <w:jc w:val="center"/>
        </w:trPr>
        <w:tc>
          <w:tcPr>
            <w:tcW w:w="2025" w:type="dxa"/>
          </w:tcPr>
          <w:p w:rsidR="005A2023" w:rsidRPr="00303A5A" w:rsidRDefault="005A2023" w:rsidP="004C3AD6">
            <w:pPr>
              <w:rPr>
                <w:lang w:val="lt-LT"/>
              </w:rPr>
            </w:pPr>
            <w:r w:rsidRPr="00303A5A">
              <w:rPr>
                <w:lang w:val="lt-LT"/>
              </w:rPr>
              <w:t>Y=0,173*X2</w:t>
            </w:r>
          </w:p>
        </w:tc>
        <w:tc>
          <w:tcPr>
            <w:tcW w:w="876" w:type="dxa"/>
          </w:tcPr>
          <w:p w:rsidR="005A2023" w:rsidRPr="00303A5A" w:rsidRDefault="005A2023" w:rsidP="004C3AD6">
            <w:pPr>
              <w:rPr>
                <w:lang w:val="lt-LT"/>
              </w:rPr>
            </w:pPr>
            <w:r w:rsidRPr="00303A5A">
              <w:rPr>
                <w:lang w:val="lt-LT"/>
              </w:rPr>
              <w:t>0,803</w:t>
            </w:r>
          </w:p>
        </w:tc>
      </w:tr>
      <w:tr w:rsidR="005A2023" w:rsidRPr="00303A5A" w:rsidTr="004C3AD6">
        <w:trPr>
          <w:jc w:val="center"/>
        </w:trPr>
        <w:tc>
          <w:tcPr>
            <w:tcW w:w="2025" w:type="dxa"/>
          </w:tcPr>
          <w:p w:rsidR="005A2023" w:rsidRPr="00303A5A" w:rsidRDefault="005A2023" w:rsidP="004C3AD6">
            <w:pPr>
              <w:rPr>
                <w:lang w:val="lt-LT"/>
              </w:rPr>
            </w:pPr>
            <w:r w:rsidRPr="00303A5A">
              <w:rPr>
                <w:lang w:val="lt-LT"/>
              </w:rPr>
              <w:t>Y=20,18*X3</w:t>
            </w:r>
          </w:p>
        </w:tc>
        <w:tc>
          <w:tcPr>
            <w:tcW w:w="876" w:type="dxa"/>
          </w:tcPr>
          <w:p w:rsidR="005A2023" w:rsidRPr="00303A5A" w:rsidRDefault="005A2023" w:rsidP="004C3AD6">
            <w:pPr>
              <w:rPr>
                <w:lang w:val="lt-LT"/>
              </w:rPr>
            </w:pPr>
            <w:r w:rsidRPr="00303A5A">
              <w:rPr>
                <w:lang w:val="lt-LT"/>
              </w:rPr>
              <w:t>0,691</w:t>
            </w:r>
          </w:p>
        </w:tc>
      </w:tr>
      <w:tr w:rsidR="005A2023" w:rsidRPr="00303A5A" w:rsidTr="004C3AD6">
        <w:trPr>
          <w:jc w:val="center"/>
        </w:trPr>
        <w:tc>
          <w:tcPr>
            <w:tcW w:w="2025" w:type="dxa"/>
          </w:tcPr>
          <w:p w:rsidR="005A2023" w:rsidRPr="00303A5A" w:rsidRDefault="005A2023" w:rsidP="004C3AD6">
            <w:pPr>
              <w:rPr>
                <w:lang w:val="lt-LT"/>
              </w:rPr>
            </w:pPr>
            <w:r w:rsidRPr="00303A5A">
              <w:rPr>
                <w:lang w:val="lt-LT"/>
              </w:rPr>
              <w:t>Y=0,0055*X4</w:t>
            </w:r>
          </w:p>
        </w:tc>
        <w:tc>
          <w:tcPr>
            <w:tcW w:w="876" w:type="dxa"/>
          </w:tcPr>
          <w:p w:rsidR="005A2023" w:rsidRPr="00303A5A" w:rsidRDefault="005A2023" w:rsidP="004C3AD6">
            <w:pPr>
              <w:rPr>
                <w:lang w:val="lt-LT"/>
              </w:rPr>
            </w:pPr>
            <w:r w:rsidRPr="00303A5A">
              <w:rPr>
                <w:lang w:val="lt-LT"/>
              </w:rPr>
              <w:t>0,949</w:t>
            </w:r>
          </w:p>
        </w:tc>
      </w:tr>
      <w:tr w:rsidR="005A2023" w:rsidRPr="00303A5A" w:rsidTr="004C3AD6">
        <w:trPr>
          <w:jc w:val="center"/>
        </w:trPr>
        <w:tc>
          <w:tcPr>
            <w:tcW w:w="2025" w:type="dxa"/>
          </w:tcPr>
          <w:p w:rsidR="005A2023" w:rsidRPr="00303A5A" w:rsidRDefault="00536855" w:rsidP="004C3AD6">
            <w:pPr>
              <w:rPr>
                <w:lang w:val="lt-LT"/>
              </w:rPr>
            </w:pPr>
            <w:r>
              <w:rPr>
                <w:lang w:val="lt-LT"/>
              </w:rPr>
              <w:t>Y=43,506*X5</w:t>
            </w:r>
          </w:p>
        </w:tc>
        <w:tc>
          <w:tcPr>
            <w:tcW w:w="876" w:type="dxa"/>
          </w:tcPr>
          <w:p w:rsidR="005A2023" w:rsidRPr="00303A5A" w:rsidRDefault="005A2023" w:rsidP="004C3AD6">
            <w:pPr>
              <w:rPr>
                <w:lang w:val="lt-LT"/>
              </w:rPr>
            </w:pPr>
            <w:r w:rsidRPr="00303A5A">
              <w:rPr>
                <w:lang w:val="lt-LT"/>
              </w:rPr>
              <w:t>0,765</w:t>
            </w:r>
          </w:p>
        </w:tc>
      </w:tr>
      <w:tr w:rsidR="005A2023" w:rsidRPr="00303A5A" w:rsidTr="004C3AD6">
        <w:trPr>
          <w:jc w:val="center"/>
        </w:trPr>
        <w:tc>
          <w:tcPr>
            <w:tcW w:w="2025" w:type="dxa"/>
          </w:tcPr>
          <w:p w:rsidR="005A2023" w:rsidRPr="00303A5A" w:rsidRDefault="00536855" w:rsidP="004C3AD6">
            <w:pPr>
              <w:rPr>
                <w:lang w:val="lt-LT"/>
              </w:rPr>
            </w:pPr>
            <w:r>
              <w:rPr>
                <w:lang w:val="lt-LT"/>
              </w:rPr>
              <w:t>Y=0,123*X6</w:t>
            </w:r>
          </w:p>
        </w:tc>
        <w:tc>
          <w:tcPr>
            <w:tcW w:w="876" w:type="dxa"/>
          </w:tcPr>
          <w:p w:rsidR="005A2023" w:rsidRPr="00303A5A" w:rsidRDefault="005A2023" w:rsidP="004C3AD6">
            <w:pPr>
              <w:rPr>
                <w:lang w:val="lt-LT"/>
              </w:rPr>
            </w:pPr>
            <w:r w:rsidRPr="00303A5A">
              <w:rPr>
                <w:lang w:val="lt-LT"/>
              </w:rPr>
              <w:t>0,878</w:t>
            </w:r>
          </w:p>
        </w:tc>
      </w:tr>
      <w:tr w:rsidR="005A2023" w:rsidRPr="00303A5A" w:rsidTr="004C3AD6">
        <w:trPr>
          <w:jc w:val="center"/>
        </w:trPr>
        <w:tc>
          <w:tcPr>
            <w:tcW w:w="2025" w:type="dxa"/>
          </w:tcPr>
          <w:p w:rsidR="005A2023" w:rsidRPr="00303A5A" w:rsidRDefault="00536855" w:rsidP="004C3AD6">
            <w:pPr>
              <w:rPr>
                <w:lang w:val="lt-LT"/>
              </w:rPr>
            </w:pPr>
            <w:r>
              <w:rPr>
                <w:lang w:val="lt-LT"/>
              </w:rPr>
              <w:t>Y=0</w:t>
            </w:r>
            <w:r w:rsidR="00AB0896">
              <w:rPr>
                <w:lang w:val="lt-LT"/>
              </w:rPr>
              <w:t>,056</w:t>
            </w:r>
            <w:r>
              <w:rPr>
                <w:lang w:val="lt-LT"/>
              </w:rPr>
              <w:t>*X7</w:t>
            </w:r>
          </w:p>
        </w:tc>
        <w:tc>
          <w:tcPr>
            <w:tcW w:w="876" w:type="dxa"/>
          </w:tcPr>
          <w:p w:rsidR="005A2023" w:rsidRPr="00303A5A" w:rsidRDefault="005A2023" w:rsidP="00AB0896">
            <w:pPr>
              <w:rPr>
                <w:lang w:val="lt-LT"/>
              </w:rPr>
            </w:pPr>
            <w:r w:rsidRPr="00303A5A">
              <w:rPr>
                <w:lang w:val="lt-LT"/>
              </w:rPr>
              <w:t>0,</w:t>
            </w:r>
            <w:r w:rsidR="00AB0896">
              <w:rPr>
                <w:lang w:val="lt-LT"/>
              </w:rPr>
              <w:t>950</w:t>
            </w:r>
          </w:p>
        </w:tc>
      </w:tr>
      <w:tr w:rsidR="005A2023" w:rsidRPr="00303A5A" w:rsidTr="004C3AD6">
        <w:trPr>
          <w:jc w:val="center"/>
        </w:trPr>
        <w:tc>
          <w:tcPr>
            <w:tcW w:w="2025" w:type="dxa"/>
          </w:tcPr>
          <w:p w:rsidR="005A2023" w:rsidRPr="00303A5A" w:rsidRDefault="00536855" w:rsidP="004C3AD6">
            <w:pPr>
              <w:rPr>
                <w:lang w:val="lt-LT"/>
              </w:rPr>
            </w:pPr>
            <w:r>
              <w:rPr>
                <w:lang w:val="lt-LT"/>
              </w:rPr>
              <w:t>Y=2,962*X8</w:t>
            </w:r>
          </w:p>
        </w:tc>
        <w:tc>
          <w:tcPr>
            <w:tcW w:w="876" w:type="dxa"/>
          </w:tcPr>
          <w:p w:rsidR="005A2023" w:rsidRPr="00303A5A" w:rsidRDefault="005A2023" w:rsidP="004C3AD6">
            <w:pPr>
              <w:rPr>
                <w:lang w:val="lt-LT"/>
              </w:rPr>
            </w:pPr>
            <w:r w:rsidRPr="00303A5A">
              <w:rPr>
                <w:lang w:val="lt-LT"/>
              </w:rPr>
              <w:t>0,933</w:t>
            </w:r>
          </w:p>
        </w:tc>
      </w:tr>
    </w:tbl>
    <w:p w:rsidR="005A2023" w:rsidRPr="00670E82" w:rsidRDefault="005A2023" w:rsidP="00670E82">
      <w:pPr>
        <w:spacing w:line="360" w:lineRule="auto"/>
        <w:ind w:firstLine="567"/>
        <w:jc w:val="both"/>
        <w:rPr>
          <w:lang w:val="lt-LT"/>
        </w:rPr>
      </w:pPr>
    </w:p>
    <w:p w:rsidR="005A2023" w:rsidRPr="00670E82" w:rsidRDefault="005A2023" w:rsidP="00670E82">
      <w:pPr>
        <w:spacing w:line="360" w:lineRule="auto"/>
        <w:ind w:firstLine="567"/>
        <w:jc w:val="both"/>
        <w:rPr>
          <w:lang w:val="lt-LT"/>
        </w:rPr>
      </w:pPr>
      <w:r w:rsidRPr="00670E82">
        <w:rPr>
          <w:lang w:val="lt-LT"/>
        </w:rPr>
        <w:t>Iš pirmuoju žingsniu sudarytų</w:t>
      </w:r>
      <w:r w:rsidR="008A6C02" w:rsidRPr="00670E82">
        <w:rPr>
          <w:lang w:val="lt-LT"/>
        </w:rPr>
        <w:t xml:space="preserve"> porinės regresijos lygčių vertos dėmesio</w:t>
      </w:r>
      <w:r w:rsidRPr="00670E82">
        <w:rPr>
          <w:lang w:val="lt-LT"/>
        </w:rPr>
        <w:t xml:space="preserve"> tik trys lygtys, kurių</w:t>
      </w:r>
      <w:r w:rsidR="008A6C02" w:rsidRPr="00670E82">
        <w:rPr>
          <w:lang w:val="lt-LT"/>
        </w:rPr>
        <w:t xml:space="preserve"> determinacijos koeficientas</w:t>
      </w:r>
      <w:r w:rsidRPr="00670E82">
        <w:rPr>
          <w:lang w:val="lt-LT"/>
        </w:rPr>
        <w:t xml:space="preserve"> </w:t>
      </w:r>
      <w:r w:rsidRPr="00670E82">
        <w:rPr>
          <w:i/>
          <w:lang w:val="lt-LT"/>
        </w:rPr>
        <w:t>R</w:t>
      </w:r>
      <w:r w:rsidRPr="00670E82">
        <w:rPr>
          <w:i/>
          <w:vertAlign w:val="superscript"/>
          <w:lang w:val="lt-LT"/>
        </w:rPr>
        <w:t>2</w:t>
      </w:r>
      <w:r w:rsidRPr="00670E82">
        <w:rPr>
          <w:lang w:val="lt-LT"/>
        </w:rPr>
        <w:t>&gt;0,4. Šios lygtys pateiktos</w:t>
      </w:r>
      <w:r w:rsidR="008844D9" w:rsidRPr="00670E82">
        <w:rPr>
          <w:lang w:val="lt-LT"/>
        </w:rPr>
        <w:t xml:space="preserve"> 3.6.</w:t>
      </w:r>
      <w:r w:rsidRPr="00670E82">
        <w:rPr>
          <w:lang w:val="lt-LT"/>
        </w:rPr>
        <w:t xml:space="preserve"> lentelėje.</w:t>
      </w:r>
    </w:p>
    <w:p w:rsidR="005A2023" w:rsidRPr="008844D9" w:rsidRDefault="008844D9" w:rsidP="00CC4DA5">
      <w:pPr>
        <w:pStyle w:val="lentels"/>
      </w:pPr>
      <w:bookmarkStart w:id="145" w:name="_Toc309559980"/>
      <w:bookmarkStart w:id="146" w:name="_Toc310014799"/>
      <w:bookmarkStart w:id="147" w:name="_Toc311970996"/>
      <w:bookmarkStart w:id="148" w:name="_Toc311971838"/>
      <w:bookmarkStart w:id="149" w:name="_Toc311971882"/>
      <w:r w:rsidRPr="008844D9">
        <w:lastRenderedPageBreak/>
        <w:t xml:space="preserve">3.6. </w:t>
      </w:r>
      <w:r w:rsidR="00A4245B">
        <w:t>l</w:t>
      </w:r>
      <w:r w:rsidR="005A2023" w:rsidRPr="008844D9">
        <w:t>entelė. Porinės regresijos lygtys su įtrauktais laisvaisiais nariais ir pagal jas paskaičiuotų R</w:t>
      </w:r>
      <w:r w:rsidR="005A2023" w:rsidRPr="008844D9">
        <w:rPr>
          <w:vertAlign w:val="superscript"/>
        </w:rPr>
        <w:t>2</w:t>
      </w:r>
      <w:r w:rsidR="005A2023" w:rsidRPr="008844D9">
        <w:t xml:space="preserve"> reikšmės</w:t>
      </w:r>
      <w:bookmarkEnd w:id="145"/>
      <w:bookmarkEnd w:id="146"/>
      <w:bookmarkEnd w:id="147"/>
      <w:bookmarkEnd w:id="148"/>
      <w:bookmarkEnd w:id="149"/>
    </w:p>
    <w:tbl>
      <w:tblPr>
        <w:tblStyle w:val="TableGrid"/>
        <w:tblW w:w="0" w:type="auto"/>
        <w:jc w:val="center"/>
        <w:tblLayout w:type="fixed"/>
        <w:tblLook w:val="04A0"/>
      </w:tblPr>
      <w:tblGrid>
        <w:gridCol w:w="2518"/>
        <w:gridCol w:w="992"/>
      </w:tblGrid>
      <w:tr w:rsidR="005A2023" w:rsidRPr="00A4245B" w:rsidTr="004C3AD6">
        <w:trPr>
          <w:jc w:val="center"/>
        </w:trPr>
        <w:tc>
          <w:tcPr>
            <w:tcW w:w="2518" w:type="dxa"/>
          </w:tcPr>
          <w:p w:rsidR="005A2023" w:rsidRPr="00303A5A" w:rsidRDefault="005A2023" w:rsidP="004C3AD6">
            <w:pPr>
              <w:rPr>
                <w:lang w:val="lt-LT"/>
              </w:rPr>
            </w:pPr>
            <w:r w:rsidRPr="00303A5A">
              <w:rPr>
                <w:lang w:val="lt-LT"/>
              </w:rPr>
              <w:t>Regresijos lygtis</w:t>
            </w:r>
          </w:p>
        </w:tc>
        <w:tc>
          <w:tcPr>
            <w:tcW w:w="992" w:type="dxa"/>
          </w:tcPr>
          <w:p w:rsidR="005A2023" w:rsidRPr="00303A5A" w:rsidRDefault="005A2023" w:rsidP="004C3AD6">
            <w:pPr>
              <w:rPr>
                <w:lang w:val="lt-LT"/>
              </w:rPr>
            </w:pPr>
            <w:r w:rsidRPr="00303A5A">
              <w:rPr>
                <w:lang w:val="lt-LT"/>
              </w:rPr>
              <w:t>R</w:t>
            </w:r>
            <w:r w:rsidRPr="00303A5A">
              <w:rPr>
                <w:vertAlign w:val="superscript"/>
                <w:lang w:val="lt-LT"/>
              </w:rPr>
              <w:t>2</w:t>
            </w:r>
          </w:p>
        </w:tc>
      </w:tr>
      <w:tr w:rsidR="005A2023" w:rsidRPr="00A4245B" w:rsidTr="004C3AD6">
        <w:trPr>
          <w:jc w:val="center"/>
        </w:trPr>
        <w:tc>
          <w:tcPr>
            <w:tcW w:w="2518" w:type="dxa"/>
          </w:tcPr>
          <w:p w:rsidR="005A2023" w:rsidRPr="00303A5A" w:rsidRDefault="005A2023" w:rsidP="004C3AD6">
            <w:pPr>
              <w:rPr>
                <w:lang w:val="lt-LT"/>
              </w:rPr>
            </w:pPr>
            <w:r w:rsidRPr="00303A5A">
              <w:rPr>
                <w:lang w:val="lt-LT"/>
              </w:rPr>
              <w:t>Y= 0,0414*X1-14,006</w:t>
            </w:r>
          </w:p>
        </w:tc>
        <w:tc>
          <w:tcPr>
            <w:tcW w:w="992" w:type="dxa"/>
          </w:tcPr>
          <w:p w:rsidR="005A2023" w:rsidRPr="00303A5A" w:rsidRDefault="005A2023" w:rsidP="004C3AD6">
            <w:pPr>
              <w:rPr>
                <w:lang w:val="lt-LT"/>
              </w:rPr>
            </w:pPr>
            <w:r w:rsidRPr="00303A5A">
              <w:rPr>
                <w:lang w:val="lt-LT"/>
              </w:rPr>
              <w:t>0,6231</w:t>
            </w:r>
          </w:p>
        </w:tc>
      </w:tr>
      <w:tr w:rsidR="005A2023" w:rsidRPr="00A4245B" w:rsidTr="004C3AD6">
        <w:trPr>
          <w:jc w:val="center"/>
        </w:trPr>
        <w:tc>
          <w:tcPr>
            <w:tcW w:w="2518" w:type="dxa"/>
          </w:tcPr>
          <w:p w:rsidR="005A2023" w:rsidRPr="00303A5A" w:rsidRDefault="00536855" w:rsidP="004C3AD6">
            <w:pPr>
              <w:rPr>
                <w:lang w:val="lt-LT"/>
              </w:rPr>
            </w:pPr>
            <w:r>
              <w:rPr>
                <w:lang w:val="lt-LT"/>
              </w:rPr>
              <w:t>Y= 15,34*X5</w:t>
            </w:r>
            <w:r w:rsidR="005A2023" w:rsidRPr="00303A5A">
              <w:rPr>
                <w:lang w:val="lt-LT"/>
              </w:rPr>
              <w:t>+ 193,34</w:t>
            </w:r>
          </w:p>
        </w:tc>
        <w:tc>
          <w:tcPr>
            <w:tcW w:w="992" w:type="dxa"/>
          </w:tcPr>
          <w:p w:rsidR="005A2023" w:rsidRPr="00303A5A" w:rsidRDefault="005A2023" w:rsidP="004C3AD6">
            <w:pPr>
              <w:rPr>
                <w:lang w:val="lt-LT"/>
              </w:rPr>
            </w:pPr>
            <w:r w:rsidRPr="00303A5A">
              <w:rPr>
                <w:lang w:val="lt-LT"/>
              </w:rPr>
              <w:t>0,5403</w:t>
            </w:r>
          </w:p>
        </w:tc>
      </w:tr>
      <w:tr w:rsidR="005A2023" w:rsidRPr="00A4245B" w:rsidTr="004C3AD6">
        <w:trPr>
          <w:jc w:val="center"/>
        </w:trPr>
        <w:tc>
          <w:tcPr>
            <w:tcW w:w="2518" w:type="dxa"/>
          </w:tcPr>
          <w:p w:rsidR="005A2023" w:rsidRPr="00303A5A" w:rsidRDefault="00AB0896" w:rsidP="00AB0896">
            <w:pPr>
              <w:rPr>
                <w:lang w:val="lt-LT"/>
              </w:rPr>
            </w:pPr>
            <w:r>
              <w:rPr>
                <w:lang w:val="lt-LT"/>
              </w:rPr>
              <w:t>Y= 0,031</w:t>
            </w:r>
            <w:r w:rsidR="00536855">
              <w:rPr>
                <w:lang w:val="lt-LT"/>
              </w:rPr>
              <w:t>*X7</w:t>
            </w:r>
            <w:r w:rsidR="005A2023" w:rsidRPr="00303A5A">
              <w:rPr>
                <w:lang w:val="lt-LT"/>
              </w:rPr>
              <w:t>+</w:t>
            </w:r>
            <w:r>
              <w:rPr>
                <w:lang w:val="lt-LT"/>
              </w:rPr>
              <w:t>129,50</w:t>
            </w:r>
          </w:p>
        </w:tc>
        <w:tc>
          <w:tcPr>
            <w:tcW w:w="992" w:type="dxa"/>
          </w:tcPr>
          <w:p w:rsidR="005A2023" w:rsidRPr="00303A5A" w:rsidRDefault="005A2023" w:rsidP="00AB0896">
            <w:pPr>
              <w:rPr>
                <w:lang w:val="lt-LT"/>
              </w:rPr>
            </w:pPr>
            <w:r w:rsidRPr="00303A5A">
              <w:rPr>
                <w:lang w:val="lt-LT"/>
              </w:rPr>
              <w:t>0,</w:t>
            </w:r>
            <w:r w:rsidR="00AB0896">
              <w:rPr>
                <w:lang w:val="lt-LT"/>
              </w:rPr>
              <w:t>6402</w:t>
            </w:r>
          </w:p>
        </w:tc>
      </w:tr>
    </w:tbl>
    <w:p w:rsidR="005A2023" w:rsidRPr="00303A5A" w:rsidRDefault="005A2023" w:rsidP="005A2023">
      <w:pPr>
        <w:spacing w:line="360" w:lineRule="auto"/>
        <w:ind w:firstLine="567"/>
        <w:jc w:val="both"/>
        <w:rPr>
          <w:sz w:val="23"/>
          <w:szCs w:val="23"/>
          <w:lang w:val="lt-LT"/>
        </w:rPr>
      </w:pPr>
    </w:p>
    <w:p w:rsidR="005A2023" w:rsidRPr="00BC79D7" w:rsidRDefault="005A2023" w:rsidP="00670E82">
      <w:pPr>
        <w:spacing w:line="360" w:lineRule="auto"/>
        <w:ind w:firstLine="567"/>
        <w:jc w:val="both"/>
        <w:rPr>
          <w:lang w:val="lt-LT"/>
        </w:rPr>
      </w:pPr>
      <w:r w:rsidRPr="00BC79D7">
        <w:rPr>
          <w:lang w:val="lt-LT"/>
        </w:rPr>
        <w:t>Gauti rezultatai sutampa su koreliacinės analizės rezultatais – stipriausi</w:t>
      </w:r>
      <w:r w:rsidR="00536855" w:rsidRPr="00BC79D7">
        <w:rPr>
          <w:lang w:val="lt-LT"/>
        </w:rPr>
        <w:t>ą ryšį turintys veiksniai X1, X5 ir X7</w:t>
      </w:r>
      <w:r w:rsidRPr="00BC79D7">
        <w:rPr>
          <w:lang w:val="lt-LT"/>
        </w:rPr>
        <w:t xml:space="preserve">. Porinės regresijos lygtys sudarytos tarp šių veiksnių ir ne gyvybės draudimo įmokų taip pat turi aukščiausias </w:t>
      </w:r>
      <w:r w:rsidRPr="00BC79D7">
        <w:rPr>
          <w:i/>
          <w:lang w:val="lt-LT"/>
        </w:rPr>
        <w:t>R</w:t>
      </w:r>
      <w:r w:rsidRPr="00BC79D7">
        <w:rPr>
          <w:i/>
          <w:vertAlign w:val="superscript"/>
          <w:lang w:val="lt-LT"/>
        </w:rPr>
        <w:t>2</w:t>
      </w:r>
      <w:r w:rsidRPr="00BC79D7">
        <w:rPr>
          <w:vertAlign w:val="superscript"/>
          <w:lang w:val="lt-LT"/>
        </w:rPr>
        <w:t xml:space="preserve"> </w:t>
      </w:r>
      <w:r w:rsidRPr="00BC79D7">
        <w:rPr>
          <w:lang w:val="lt-LT"/>
        </w:rPr>
        <w:t>statistikas – tai geriausi modeliai.</w:t>
      </w:r>
    </w:p>
    <w:p w:rsidR="005A2023" w:rsidRPr="00BC79D7" w:rsidRDefault="005A2023" w:rsidP="00670E82">
      <w:pPr>
        <w:spacing w:line="360" w:lineRule="auto"/>
        <w:ind w:firstLine="567"/>
        <w:jc w:val="both"/>
        <w:rPr>
          <w:lang w:val="lt-LT"/>
        </w:rPr>
      </w:pPr>
      <w:r w:rsidRPr="00BC79D7">
        <w:rPr>
          <w:lang w:val="lt-LT"/>
        </w:rPr>
        <w:t xml:space="preserve">Norint sudaryti pilną modelį aprašantį ne gyvybės draudimo rinką reiktų įtraukti daugiau kintamųjų. Daugianarė regresinė analizė apibrėžia keletą metodų, kaip atsirinkti veiksnius, kuriuos reikia įtraukti į regresijos lygtį. Vienas iš siūlomų metodų – įtraukti visus turimus nepriklausomus kintamuosius, o tada atmetinėti </w:t>
      </w:r>
      <w:r w:rsidR="008A6C02" w:rsidRPr="00BC79D7">
        <w:rPr>
          <w:lang w:val="lt-LT"/>
        </w:rPr>
        <w:t xml:space="preserve">statistiškai </w:t>
      </w:r>
      <w:r w:rsidRPr="00BC79D7">
        <w:rPr>
          <w:lang w:val="lt-LT"/>
        </w:rPr>
        <w:t>nereikšmingus. Taip pat siūloma pasiremti koreliacinės analizės rezultatais ir į daugianarės regresijos lygtį įtraukti tik tuos veiksnius, kurie turėjo didžiausius koreliacijos koeficientus. Remiantis koreliacinės analizės rezultatais į daugianarės regres</w:t>
      </w:r>
      <w:r w:rsidR="00536855" w:rsidRPr="00BC79D7">
        <w:rPr>
          <w:lang w:val="lt-LT"/>
        </w:rPr>
        <w:t>ijos lygtį įtraukiame X1, X4, X5 ir X7</w:t>
      </w:r>
      <w:r w:rsidRPr="00BC79D7">
        <w:rPr>
          <w:lang w:val="lt-LT"/>
        </w:rPr>
        <w:t xml:space="preserve">. Gautos regresinės lygties statistika labai aukšta, tačiau tiek laisvasis narys, tiek koeficientas </w:t>
      </w:r>
      <w:r w:rsidR="00536855" w:rsidRPr="00BC79D7">
        <w:rPr>
          <w:lang w:val="lt-LT"/>
        </w:rPr>
        <w:t>prie X7</w:t>
      </w:r>
      <w:r w:rsidRPr="00BC79D7">
        <w:rPr>
          <w:lang w:val="lt-LT"/>
        </w:rPr>
        <w:t xml:space="preserve"> veiksnio nėra statistiškai reikšmingi. Pašalinus iš lygties šiuos narius, gauname galutinę regresijos lygtį. </w:t>
      </w:r>
    </w:p>
    <w:p w:rsidR="005A2023" w:rsidRPr="00BC79D7" w:rsidRDefault="005A2023" w:rsidP="00670E82">
      <w:pPr>
        <w:spacing w:line="360" w:lineRule="auto"/>
        <w:ind w:firstLine="567"/>
        <w:jc w:val="center"/>
        <w:outlineLvl w:val="0"/>
        <w:rPr>
          <w:lang w:val="lt-LT"/>
        </w:rPr>
      </w:pPr>
      <w:bookmarkStart w:id="150" w:name="_Toc309471442"/>
      <w:bookmarkStart w:id="151" w:name="_Toc309559981"/>
      <w:bookmarkStart w:id="152" w:name="_Toc310014800"/>
      <w:bookmarkStart w:id="153" w:name="_Toc311971839"/>
      <w:r w:rsidRPr="00BC79D7">
        <w:rPr>
          <w:lang w:val="lt-LT"/>
        </w:rPr>
        <w:t xml:space="preserve">Y= </w:t>
      </w:r>
      <w:r w:rsidR="00CB0171" w:rsidRPr="00BC79D7">
        <w:rPr>
          <w:lang w:val="lt-LT"/>
        </w:rPr>
        <w:t>0,025</w:t>
      </w:r>
      <w:r w:rsidRPr="00BC79D7">
        <w:rPr>
          <w:lang w:val="lt-LT"/>
        </w:rPr>
        <w:t xml:space="preserve">*X1+ </w:t>
      </w:r>
      <w:r w:rsidR="00CB0171" w:rsidRPr="00BC79D7">
        <w:rPr>
          <w:lang w:val="lt-LT"/>
        </w:rPr>
        <w:t>0,0012</w:t>
      </w:r>
      <w:r w:rsidRPr="00BC79D7">
        <w:rPr>
          <w:lang w:val="lt-LT"/>
        </w:rPr>
        <w:t xml:space="preserve">*X4+ </w:t>
      </w:r>
      <w:r w:rsidR="00CB0171" w:rsidRPr="00BC79D7">
        <w:rPr>
          <w:lang w:val="lt-LT"/>
        </w:rPr>
        <w:t>8,042</w:t>
      </w:r>
      <w:r w:rsidR="00536855" w:rsidRPr="00BC79D7">
        <w:rPr>
          <w:lang w:val="lt-LT"/>
        </w:rPr>
        <w:t>*X5</w:t>
      </w:r>
      <w:r w:rsidRPr="00BC79D7">
        <w:rPr>
          <w:lang w:val="lt-LT"/>
        </w:rPr>
        <w:t xml:space="preserve"> ,     R</w:t>
      </w:r>
      <w:r w:rsidRPr="00BC79D7">
        <w:rPr>
          <w:vertAlign w:val="superscript"/>
          <w:lang w:val="lt-LT"/>
        </w:rPr>
        <w:t>2</w:t>
      </w:r>
      <w:r w:rsidR="00CB0171" w:rsidRPr="00BC79D7">
        <w:rPr>
          <w:lang w:val="lt-LT"/>
        </w:rPr>
        <w:t>= 0,985</w:t>
      </w:r>
      <w:r w:rsidRPr="00BC79D7">
        <w:rPr>
          <w:lang w:val="lt-LT"/>
        </w:rPr>
        <w:t>,</w:t>
      </w:r>
      <w:bookmarkEnd w:id="150"/>
      <w:bookmarkEnd w:id="151"/>
      <w:bookmarkEnd w:id="152"/>
      <w:bookmarkEnd w:id="153"/>
    </w:p>
    <w:p w:rsidR="00BB3704" w:rsidRPr="00BC79D7" w:rsidRDefault="005A2023" w:rsidP="00670E82">
      <w:pPr>
        <w:spacing w:line="360" w:lineRule="auto"/>
        <w:ind w:firstLine="567"/>
        <w:jc w:val="both"/>
        <w:rPr>
          <w:lang w:val="lt-LT"/>
        </w:rPr>
      </w:pPr>
      <w:r w:rsidRPr="00BC79D7">
        <w:rPr>
          <w:lang w:val="lt-LT"/>
        </w:rPr>
        <w:t>Šis ne gyvybės draudimo rinką apibūdinantis modelis geriausias determinacijos koeficiento prasme</w:t>
      </w:r>
      <w:r w:rsidR="00603EE9" w:rsidRPr="00BC79D7">
        <w:rPr>
          <w:lang w:val="lt-LT"/>
        </w:rPr>
        <w:t xml:space="preserve"> bei mo</w:t>
      </w:r>
      <w:r w:rsidRPr="00BC79D7">
        <w:rPr>
          <w:lang w:val="lt-LT"/>
        </w:rPr>
        <w:t>delio liekanos tenkina regresijos modelio prielaidas, todėl modelį galime laikyti tinkamu. Lietuvos ne gyvybės draudimo įmokas veikiantys veiksniai yra BVP vienam gyventojui, transporto priemonių skaičius šalyje ir vartotojų kainų indeksas.</w:t>
      </w:r>
    </w:p>
    <w:p w:rsidR="005A2023" w:rsidRPr="00BC79D7" w:rsidRDefault="00BB3704" w:rsidP="00670E82">
      <w:pPr>
        <w:spacing w:line="360" w:lineRule="auto"/>
        <w:ind w:firstLine="567"/>
        <w:jc w:val="both"/>
        <w:rPr>
          <w:lang w:val="lt-LT"/>
        </w:rPr>
      </w:pPr>
      <w:r w:rsidRPr="00BC79D7">
        <w:rPr>
          <w:lang w:val="lt-LT"/>
        </w:rPr>
        <w:t>Modelis buvo sudarytas naudojant ke</w:t>
      </w:r>
      <w:r w:rsidR="00603EE9" w:rsidRPr="00BC79D7">
        <w:rPr>
          <w:lang w:val="lt-LT"/>
        </w:rPr>
        <w:t>tvirtinius duomenis bei sudarytą</w:t>
      </w:r>
      <w:r w:rsidRPr="00BC79D7">
        <w:rPr>
          <w:lang w:val="lt-LT"/>
        </w:rPr>
        <w:t xml:space="preserve"> modelį galima naudoti ne gyvybės parsirašytų įmokų sumos prognozavimui. Lietuvos bankas bei kiti komerciniai bankai savo apžvalgose skelbia prognozuojamas ekonominių rodiklių </w:t>
      </w:r>
      <w:r w:rsidR="008A6C02" w:rsidRPr="00BC79D7">
        <w:rPr>
          <w:lang w:val="lt-LT"/>
        </w:rPr>
        <w:t>reikšmes. Kadangi tai</w:t>
      </w:r>
      <w:r w:rsidRPr="00BC79D7">
        <w:rPr>
          <w:lang w:val="lt-LT"/>
        </w:rPr>
        <w:t xml:space="preserve"> metinės reikšmės</w:t>
      </w:r>
      <w:r w:rsidR="008A6C02" w:rsidRPr="00BC79D7">
        <w:rPr>
          <w:lang w:val="lt-LT"/>
        </w:rPr>
        <w:t>, jų negalima naudoti modelyje, kuris sudarytas remiantis ketvirtiniais duomenimis</w:t>
      </w:r>
      <w:r w:rsidRPr="00BC79D7">
        <w:rPr>
          <w:lang w:val="lt-LT"/>
        </w:rPr>
        <w:t xml:space="preserve">. </w:t>
      </w:r>
      <w:r w:rsidR="008A6C02" w:rsidRPr="00BC79D7">
        <w:rPr>
          <w:lang w:val="lt-LT"/>
        </w:rPr>
        <w:t>B</w:t>
      </w:r>
      <w:r w:rsidR="001D1031" w:rsidRPr="00BC79D7">
        <w:rPr>
          <w:lang w:val="lt-LT"/>
        </w:rPr>
        <w:t xml:space="preserve">uvo nuspręsta modelį panaudoti apskaičiuojant 2011 metų III ketvirčio pasirašytų įmokų ne gyvybės draudime sumą į modelį įsistatant faktines 2011 metų III ketvirčio nepriklausomų kintamųjų reikšmes ir patikrinti modelio gerumą. </w:t>
      </w:r>
    </w:p>
    <w:p w:rsidR="00D84103" w:rsidRPr="00BC79D7" w:rsidRDefault="00D84103" w:rsidP="00670E82">
      <w:pPr>
        <w:spacing w:line="360" w:lineRule="auto"/>
        <w:ind w:firstLine="567"/>
        <w:jc w:val="both"/>
        <w:rPr>
          <w:lang w:val="lt-LT"/>
        </w:rPr>
      </w:pPr>
      <w:r w:rsidRPr="00BC79D7">
        <w:rPr>
          <w:lang w:val="lt-LT"/>
        </w:rPr>
        <w:t>Pagal Lietuvos statistikos departamento skelbiamus duomenis, 2011 III ketvirčio duomenys buvo tokie</w:t>
      </w:r>
      <w:r w:rsidR="006756D6" w:rsidRPr="00BC79D7">
        <w:rPr>
          <w:lang w:val="lt-LT"/>
        </w:rPr>
        <w:t>:</w:t>
      </w:r>
    </w:p>
    <w:p w:rsidR="00D84103" w:rsidRPr="00BC79D7" w:rsidRDefault="00D84103" w:rsidP="00670E82">
      <w:pPr>
        <w:pStyle w:val="ListParagraph"/>
        <w:numPr>
          <w:ilvl w:val="0"/>
          <w:numId w:val="9"/>
        </w:numPr>
        <w:spacing w:line="360" w:lineRule="auto"/>
        <w:ind w:firstLine="567"/>
        <w:jc w:val="both"/>
        <w:rPr>
          <w:lang w:val="lt-LT"/>
        </w:rPr>
      </w:pPr>
      <w:r w:rsidRPr="00BC79D7">
        <w:rPr>
          <w:lang w:val="lt-LT"/>
        </w:rPr>
        <w:t>BVP vienam gyventojui – 8656,51 lt;</w:t>
      </w:r>
    </w:p>
    <w:p w:rsidR="00D84103" w:rsidRPr="00BC79D7" w:rsidRDefault="00D84103" w:rsidP="00670E82">
      <w:pPr>
        <w:pStyle w:val="ListParagraph"/>
        <w:numPr>
          <w:ilvl w:val="0"/>
          <w:numId w:val="9"/>
        </w:numPr>
        <w:spacing w:line="360" w:lineRule="auto"/>
        <w:ind w:firstLine="567"/>
        <w:jc w:val="both"/>
        <w:rPr>
          <w:lang w:val="lt-LT"/>
        </w:rPr>
      </w:pPr>
      <w:r w:rsidRPr="00BC79D7">
        <w:rPr>
          <w:lang w:val="lt-LT"/>
        </w:rPr>
        <w:t>pirmą kartą užregistruotų transporto priemonių skaičius – 43615;</w:t>
      </w:r>
    </w:p>
    <w:p w:rsidR="00D84103" w:rsidRPr="00BC79D7" w:rsidRDefault="00D84103" w:rsidP="00670E82">
      <w:pPr>
        <w:pStyle w:val="ListParagraph"/>
        <w:numPr>
          <w:ilvl w:val="0"/>
          <w:numId w:val="9"/>
        </w:numPr>
        <w:spacing w:line="360" w:lineRule="auto"/>
        <w:ind w:firstLine="567"/>
        <w:jc w:val="both"/>
        <w:rPr>
          <w:lang w:val="lt-LT"/>
        </w:rPr>
      </w:pPr>
      <w:r w:rsidRPr="00BC79D7">
        <w:rPr>
          <w:lang w:val="lt-LT"/>
        </w:rPr>
        <w:t xml:space="preserve">vartotojų kainų indeksas – 4,5 </w:t>
      </w:r>
      <w:r w:rsidR="009A0ECE" w:rsidRPr="00BC79D7">
        <w:rPr>
          <w:lang w:val="lt-LT"/>
        </w:rPr>
        <w:t>proc.</w:t>
      </w:r>
      <w:r w:rsidRPr="00BC79D7">
        <w:rPr>
          <w:lang w:val="lt-LT"/>
        </w:rPr>
        <w:t>;</w:t>
      </w:r>
    </w:p>
    <w:p w:rsidR="00D84103" w:rsidRPr="00BC79D7" w:rsidRDefault="00D84103" w:rsidP="00670E82">
      <w:pPr>
        <w:spacing w:line="360" w:lineRule="auto"/>
        <w:ind w:firstLine="567"/>
        <w:jc w:val="both"/>
        <w:rPr>
          <w:lang w:val="lt-LT"/>
        </w:rPr>
      </w:pPr>
      <w:r w:rsidRPr="00BC79D7">
        <w:rPr>
          <w:lang w:val="lt-LT"/>
        </w:rPr>
        <w:lastRenderedPageBreak/>
        <w:t>Įstačius reikšmes į sudarytą ne gyvybės draudimo pasirašytas įmokas aprašantį modelį gauta</w:t>
      </w:r>
      <w:r w:rsidR="006756D6" w:rsidRPr="00BC79D7">
        <w:rPr>
          <w:lang w:val="lt-LT"/>
        </w:rPr>
        <w:t>:</w:t>
      </w:r>
    </w:p>
    <w:p w:rsidR="00D84103" w:rsidRPr="00BC79D7" w:rsidRDefault="00D84103" w:rsidP="00670E82">
      <w:pPr>
        <w:spacing w:line="360" w:lineRule="auto"/>
        <w:ind w:firstLine="567"/>
        <w:jc w:val="center"/>
        <w:rPr>
          <w:lang w:val="lt-LT"/>
        </w:rPr>
      </w:pPr>
      <w:r w:rsidRPr="00BC79D7">
        <w:rPr>
          <w:b/>
          <w:lang w:val="lt-LT"/>
        </w:rPr>
        <w:t>Y</w:t>
      </w:r>
      <w:r w:rsidRPr="00BC79D7">
        <w:rPr>
          <w:b/>
          <w:vertAlign w:val="subscript"/>
          <w:lang w:val="lt-LT"/>
        </w:rPr>
        <w:t>IIIketv</w:t>
      </w:r>
      <w:r w:rsidRPr="00BC79D7">
        <w:rPr>
          <w:lang w:val="lt-LT"/>
        </w:rPr>
        <w:t>.=0,025*8656,51+0,0012*43615+8,042*4,5=304,93 mln. lt.</w:t>
      </w:r>
    </w:p>
    <w:p w:rsidR="001C2282" w:rsidRPr="00670E82" w:rsidRDefault="00D84103" w:rsidP="00670E82">
      <w:pPr>
        <w:spacing w:line="360" w:lineRule="auto"/>
        <w:ind w:firstLine="567"/>
        <w:jc w:val="both"/>
        <w:rPr>
          <w:lang w:val="lt-LT"/>
        </w:rPr>
      </w:pPr>
      <w:r w:rsidRPr="00BC79D7">
        <w:rPr>
          <w:lang w:val="lt-LT"/>
        </w:rPr>
        <w:t xml:space="preserve">Lietuvos Respublikos draudimo priežiūros komisijos duomenimis faktinė 2011 metų III ketvirčio pasirašytų įmokų ne gyvybės draudime reikšmė – 274,029 mln. Lt. Tai </w:t>
      </w:r>
      <w:r w:rsidR="0034340D" w:rsidRPr="00BC79D7">
        <w:rPr>
          <w:lang w:val="lt-LT"/>
        </w:rPr>
        <w:t>11,28</w:t>
      </w:r>
      <w:r w:rsidRPr="00BC79D7">
        <w:rPr>
          <w:lang w:val="lt-LT"/>
        </w:rPr>
        <w:t xml:space="preserve"> proc. mažiau nei buvo paskaičiuota pasinaudojant sudarytu modeliu.</w:t>
      </w:r>
      <w:r w:rsidR="002655FC" w:rsidRPr="00BC79D7">
        <w:rPr>
          <w:lang w:val="lt-LT"/>
        </w:rPr>
        <w:t xml:space="preserve"> Gauta reikšmė, nors ir skiriasi nuo faktinės reikšmės, vis dėl to patenka į prognozės pasikliovimo intervalus. Dėl šios priežasties galima laikyti, kad modelio pro</w:t>
      </w:r>
      <w:r w:rsidR="002655FC" w:rsidRPr="00670E82">
        <w:rPr>
          <w:lang w:val="lt-LT"/>
        </w:rPr>
        <w:t xml:space="preserve">gnozė gera. </w:t>
      </w:r>
    </w:p>
    <w:p w:rsidR="001C2282" w:rsidRPr="00670E82" w:rsidRDefault="001C2282">
      <w:pPr>
        <w:rPr>
          <w:lang w:val="lt-LT"/>
        </w:rPr>
      </w:pPr>
    </w:p>
    <w:p w:rsidR="000B1351" w:rsidRDefault="000B1351">
      <w:pPr>
        <w:rPr>
          <w:sz w:val="23"/>
          <w:szCs w:val="23"/>
          <w:lang w:val="lt-LT"/>
        </w:rPr>
      </w:pPr>
    </w:p>
    <w:p w:rsidR="005A2023" w:rsidRDefault="00536855" w:rsidP="004C0E5F">
      <w:pPr>
        <w:pStyle w:val="Style1-h3"/>
      </w:pPr>
      <w:bookmarkStart w:id="154" w:name="_Toc309471443"/>
      <w:bookmarkStart w:id="155" w:name="_Toc309559982"/>
      <w:bookmarkStart w:id="156" w:name="_Toc311971364"/>
      <w:bookmarkStart w:id="157" w:name="_Toc311971553"/>
      <w:bookmarkStart w:id="158" w:name="_Toc311971699"/>
      <w:r>
        <w:t xml:space="preserve">3.2.2. </w:t>
      </w:r>
      <w:r w:rsidR="005A2023" w:rsidRPr="00303A5A">
        <w:t>Lietuvos transporto priemonių draudimo rink</w:t>
      </w:r>
      <w:bookmarkEnd w:id="154"/>
      <w:bookmarkEnd w:id="155"/>
      <w:r>
        <w:t>os modelis</w:t>
      </w:r>
      <w:bookmarkEnd w:id="156"/>
      <w:bookmarkEnd w:id="157"/>
      <w:bookmarkEnd w:id="158"/>
    </w:p>
    <w:p w:rsidR="005A2023" w:rsidRPr="00303A5A" w:rsidRDefault="005A2023" w:rsidP="005A2023">
      <w:pPr>
        <w:spacing w:line="360" w:lineRule="auto"/>
        <w:ind w:firstLine="567"/>
        <w:jc w:val="both"/>
        <w:rPr>
          <w:lang w:val="lt-LT"/>
        </w:rPr>
      </w:pPr>
      <w:r w:rsidRPr="00303A5A">
        <w:rPr>
          <w:lang w:val="lt-LT"/>
        </w:rPr>
        <w:t xml:space="preserve">Transporto priemonių draudimas yra antra pagal dydį draudimo grupė Lietuvos ne gyvybės draudimo rinkoje. Šios draudimo rūšies įmokų tendencijos skiriasi nuo bendro ne gyvybės draudimo rinkos, todėl buvo </w:t>
      </w:r>
      <w:r w:rsidR="00536855">
        <w:rPr>
          <w:lang w:val="lt-LT"/>
        </w:rPr>
        <w:t xml:space="preserve">pasirinkta atlikti atskirą tyrimą ir nustatyti </w:t>
      </w:r>
      <w:r w:rsidRPr="00303A5A">
        <w:rPr>
          <w:lang w:val="lt-LT"/>
        </w:rPr>
        <w:t xml:space="preserve">koks ryšys egzistuoja tarp transporto priemonių draudimo įmokų bei </w:t>
      </w:r>
      <w:r w:rsidR="00536855">
        <w:rPr>
          <w:lang w:val="lt-LT"/>
        </w:rPr>
        <w:t>pasirinktų veiksnių aprašytų 2.1. skyriuje</w:t>
      </w:r>
      <w:r w:rsidRPr="00303A5A">
        <w:rPr>
          <w:lang w:val="lt-LT"/>
        </w:rPr>
        <w:t xml:space="preserve">. </w:t>
      </w:r>
      <w:r w:rsidR="00536855">
        <w:rPr>
          <w:lang w:val="lt-LT"/>
        </w:rPr>
        <w:t>Iš bendro veiksnių sąr</w:t>
      </w:r>
      <w:r w:rsidR="0030341A">
        <w:rPr>
          <w:lang w:val="lt-LT"/>
        </w:rPr>
        <w:t>ašo buvo pašalinti du veiksniai</w:t>
      </w:r>
      <w:r w:rsidR="00536855">
        <w:rPr>
          <w:lang w:val="lt-LT"/>
        </w:rPr>
        <w:t xml:space="preserve">: pastatytų butų skaičius bei išduotų paskolų suma, kadangi tai veiksniai, magistrantės nuomone, turintys įtaką turto draudimo rinkai. </w:t>
      </w:r>
      <w:r w:rsidR="00392602">
        <w:rPr>
          <w:lang w:val="lt-LT"/>
        </w:rPr>
        <w:t>Transporto priemonių draudimo pasirašytų įmokų per ketvirtį duomenų grafikas pateiktas 3.13.pav.</w:t>
      </w:r>
      <w:r w:rsidR="0030341A">
        <w:rPr>
          <w:lang w:val="lt-LT"/>
        </w:rPr>
        <w:t xml:space="preserve"> </w:t>
      </w:r>
    </w:p>
    <w:p w:rsidR="005A2023" w:rsidRPr="00303A5A" w:rsidRDefault="005A2023" w:rsidP="00BC79D7">
      <w:pPr>
        <w:jc w:val="center"/>
        <w:rPr>
          <w:lang w:val="lt-LT"/>
        </w:rPr>
      </w:pPr>
      <w:r w:rsidRPr="00303A5A">
        <w:rPr>
          <w:noProof/>
        </w:rPr>
        <w:drawing>
          <wp:inline distT="0" distB="0" distL="0" distR="0">
            <wp:extent cx="5940000" cy="2162175"/>
            <wp:effectExtent l="19050" t="0" r="226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A2023" w:rsidRPr="00303A5A" w:rsidRDefault="00392602" w:rsidP="00392602">
      <w:pPr>
        <w:pStyle w:val="Paveikslai"/>
      </w:pPr>
      <w:bookmarkStart w:id="159" w:name="_Toc309471444"/>
      <w:bookmarkStart w:id="160" w:name="_Toc309559983"/>
      <w:bookmarkStart w:id="161" w:name="_Toc310014801"/>
      <w:bookmarkStart w:id="162" w:name="_Toc311971019"/>
      <w:bookmarkStart w:id="163" w:name="_Toc311971840"/>
      <w:bookmarkStart w:id="164" w:name="_Toc311972032"/>
      <w:r>
        <w:rPr>
          <w:sz w:val="22"/>
          <w:szCs w:val="22"/>
        </w:rPr>
        <w:t>3.13.</w:t>
      </w:r>
      <w:r w:rsidR="005A2023" w:rsidRPr="00303A5A">
        <w:rPr>
          <w:sz w:val="22"/>
          <w:szCs w:val="22"/>
        </w:rPr>
        <w:t xml:space="preserve"> pav. 2004m</w:t>
      </w:r>
      <w:r w:rsidR="005A2023" w:rsidRPr="00303A5A">
        <w:t>.</w:t>
      </w:r>
      <w:r w:rsidR="0030341A">
        <w:t xml:space="preserve"> I ketvirčio</w:t>
      </w:r>
      <w:r w:rsidR="005A2023" w:rsidRPr="00303A5A">
        <w:t>- 2011 m. II ketvirčio transporto priemonių draudimo įmokų dinamika</w:t>
      </w:r>
      <w:bookmarkEnd w:id="159"/>
      <w:bookmarkEnd w:id="160"/>
      <w:bookmarkEnd w:id="161"/>
      <w:r w:rsidR="001F1042">
        <w:t>(mln. Lt)</w:t>
      </w:r>
      <w:bookmarkEnd w:id="162"/>
      <w:bookmarkEnd w:id="163"/>
      <w:bookmarkEnd w:id="164"/>
    </w:p>
    <w:p w:rsidR="005A2023" w:rsidRPr="00303A5A" w:rsidRDefault="005A2023" w:rsidP="005A2023">
      <w:pPr>
        <w:spacing w:line="360" w:lineRule="auto"/>
        <w:ind w:firstLine="567"/>
        <w:jc w:val="both"/>
        <w:rPr>
          <w:b/>
          <w:sz w:val="20"/>
          <w:szCs w:val="20"/>
          <w:lang w:val="lt-LT"/>
        </w:rPr>
      </w:pPr>
    </w:p>
    <w:p w:rsidR="005A2023" w:rsidRPr="00BC79D7" w:rsidRDefault="0030341A" w:rsidP="00670E82">
      <w:pPr>
        <w:spacing w:line="360" w:lineRule="auto"/>
        <w:ind w:firstLine="567"/>
        <w:jc w:val="both"/>
        <w:rPr>
          <w:lang w:val="lt-LT"/>
        </w:rPr>
      </w:pPr>
      <w:r w:rsidRPr="00BC79D7">
        <w:rPr>
          <w:lang w:val="lt-LT"/>
        </w:rPr>
        <w:t>Tolimesnėje analizėje bei sudarant modelį</w:t>
      </w:r>
      <w:r w:rsidR="00536855" w:rsidRPr="00BC79D7">
        <w:rPr>
          <w:lang w:val="lt-LT"/>
        </w:rPr>
        <w:t xml:space="preserve"> bus naudojami tokie sutrumpinimai</w:t>
      </w:r>
      <w:r w:rsidR="006756D6" w:rsidRPr="00BC79D7">
        <w:rPr>
          <w:lang w:val="lt-LT"/>
        </w:rPr>
        <w:t>:</w:t>
      </w:r>
    </w:p>
    <w:p w:rsidR="005A2023" w:rsidRPr="00BC79D7" w:rsidRDefault="005A2023" w:rsidP="00670E82">
      <w:pPr>
        <w:spacing w:line="360" w:lineRule="auto"/>
        <w:ind w:firstLine="567"/>
        <w:jc w:val="both"/>
        <w:rPr>
          <w:lang w:val="lt-LT"/>
        </w:rPr>
      </w:pPr>
      <w:r w:rsidRPr="00BC79D7">
        <w:rPr>
          <w:lang w:val="lt-LT"/>
        </w:rPr>
        <w:t>K – pasirašytos transporto prie</w:t>
      </w:r>
      <w:r w:rsidR="00392602" w:rsidRPr="00BC79D7">
        <w:rPr>
          <w:lang w:val="lt-LT"/>
        </w:rPr>
        <w:t>monių draudimo įmokos (mln. litų);</w:t>
      </w:r>
    </w:p>
    <w:p w:rsidR="005A2023" w:rsidRPr="00BC79D7" w:rsidRDefault="005A2023" w:rsidP="00670E82">
      <w:pPr>
        <w:spacing w:line="360" w:lineRule="auto"/>
        <w:ind w:firstLine="567"/>
        <w:jc w:val="both"/>
        <w:rPr>
          <w:lang w:val="lt-LT"/>
        </w:rPr>
      </w:pPr>
      <w:r w:rsidRPr="00BC79D7">
        <w:rPr>
          <w:lang w:val="lt-LT"/>
        </w:rPr>
        <w:t>Xk1 – BVP vienam gyventojui;</w:t>
      </w:r>
    </w:p>
    <w:p w:rsidR="005A2023" w:rsidRPr="00BC79D7" w:rsidRDefault="005A2023" w:rsidP="00670E82">
      <w:pPr>
        <w:spacing w:line="360" w:lineRule="auto"/>
        <w:ind w:firstLine="567"/>
        <w:jc w:val="both"/>
        <w:rPr>
          <w:lang w:val="lt-LT"/>
        </w:rPr>
      </w:pPr>
      <w:r w:rsidRPr="00BC79D7">
        <w:rPr>
          <w:lang w:val="lt-LT"/>
        </w:rPr>
        <w:t xml:space="preserve">Xk2 </w:t>
      </w:r>
      <w:r w:rsidR="001F1042" w:rsidRPr="00BC79D7">
        <w:rPr>
          <w:lang w:val="lt-LT"/>
        </w:rPr>
        <w:t>–</w:t>
      </w:r>
      <w:r w:rsidRPr="00BC79D7">
        <w:rPr>
          <w:lang w:val="lt-LT"/>
        </w:rPr>
        <w:t xml:space="preserve"> kelių eismo įvykių skaičius;</w:t>
      </w:r>
    </w:p>
    <w:p w:rsidR="005A2023" w:rsidRPr="00BC79D7" w:rsidRDefault="005A2023" w:rsidP="00670E82">
      <w:pPr>
        <w:spacing w:line="360" w:lineRule="auto"/>
        <w:ind w:firstLine="567"/>
        <w:jc w:val="both"/>
        <w:rPr>
          <w:lang w:val="lt-LT"/>
        </w:rPr>
      </w:pPr>
      <w:r w:rsidRPr="00BC79D7">
        <w:rPr>
          <w:lang w:val="lt-LT"/>
        </w:rPr>
        <w:t xml:space="preserve">Xk3 </w:t>
      </w:r>
      <w:r w:rsidR="001F1042" w:rsidRPr="00BC79D7">
        <w:rPr>
          <w:lang w:val="lt-LT"/>
        </w:rPr>
        <w:t xml:space="preserve">– </w:t>
      </w:r>
      <w:r w:rsidRPr="00BC79D7">
        <w:rPr>
          <w:lang w:val="lt-LT"/>
        </w:rPr>
        <w:t>nedarbo lygis šalyje;</w:t>
      </w:r>
    </w:p>
    <w:p w:rsidR="005A2023" w:rsidRPr="00BC79D7" w:rsidRDefault="005A2023" w:rsidP="00670E82">
      <w:pPr>
        <w:spacing w:line="360" w:lineRule="auto"/>
        <w:ind w:firstLine="567"/>
        <w:jc w:val="both"/>
        <w:rPr>
          <w:lang w:val="lt-LT"/>
        </w:rPr>
      </w:pPr>
      <w:r w:rsidRPr="00BC79D7">
        <w:rPr>
          <w:lang w:val="lt-LT"/>
        </w:rPr>
        <w:t>Xk4</w:t>
      </w:r>
      <w:r w:rsidR="004C3AD0" w:rsidRPr="00BC79D7">
        <w:rPr>
          <w:lang w:val="lt-LT"/>
        </w:rPr>
        <w:t xml:space="preserve"> </w:t>
      </w:r>
      <w:r w:rsidR="001F1042" w:rsidRPr="00BC79D7">
        <w:rPr>
          <w:lang w:val="lt-LT"/>
        </w:rPr>
        <w:t>–</w:t>
      </w:r>
      <w:r w:rsidR="004C3AD0" w:rsidRPr="00BC79D7">
        <w:rPr>
          <w:lang w:val="lt-LT"/>
        </w:rPr>
        <w:t xml:space="preserve"> </w:t>
      </w:r>
      <w:r w:rsidRPr="00BC79D7">
        <w:rPr>
          <w:lang w:val="lt-LT"/>
        </w:rPr>
        <w:t>pirmą kartą registruotų transporto priemonių skaičius (išskyrus mopedus ir motociklus);</w:t>
      </w:r>
    </w:p>
    <w:p w:rsidR="005A2023" w:rsidRPr="00BC79D7" w:rsidRDefault="00D138E3" w:rsidP="00670E82">
      <w:pPr>
        <w:spacing w:line="360" w:lineRule="auto"/>
        <w:ind w:firstLine="567"/>
        <w:jc w:val="both"/>
        <w:rPr>
          <w:lang w:val="lt-LT"/>
        </w:rPr>
      </w:pPr>
      <w:r w:rsidRPr="00BC79D7">
        <w:rPr>
          <w:lang w:val="lt-LT"/>
        </w:rPr>
        <w:t>Xk5</w:t>
      </w:r>
      <w:r w:rsidR="005A2023" w:rsidRPr="00BC79D7">
        <w:rPr>
          <w:lang w:val="lt-LT"/>
        </w:rPr>
        <w:t xml:space="preserve"> – vartotojų kainų indeksas (pokytis su ankstesnių metų tuo pačiu ketvirčiu);</w:t>
      </w:r>
    </w:p>
    <w:p w:rsidR="005A2023" w:rsidRPr="00BC79D7" w:rsidRDefault="00D138E3" w:rsidP="00670E82">
      <w:pPr>
        <w:spacing w:line="360" w:lineRule="auto"/>
        <w:ind w:firstLine="567"/>
        <w:jc w:val="both"/>
        <w:rPr>
          <w:lang w:val="lt-LT"/>
        </w:rPr>
      </w:pPr>
      <w:r w:rsidRPr="00BC79D7">
        <w:rPr>
          <w:lang w:val="lt-LT"/>
        </w:rPr>
        <w:lastRenderedPageBreak/>
        <w:t>Xk6</w:t>
      </w:r>
      <w:r w:rsidR="005A2023" w:rsidRPr="00BC79D7">
        <w:rPr>
          <w:lang w:val="lt-LT"/>
        </w:rPr>
        <w:t xml:space="preserve"> </w:t>
      </w:r>
      <w:r w:rsidR="001F1042" w:rsidRPr="00BC79D7">
        <w:rPr>
          <w:lang w:val="lt-LT"/>
        </w:rPr>
        <w:t xml:space="preserve">– </w:t>
      </w:r>
      <w:r w:rsidR="005A2023" w:rsidRPr="00BC79D7">
        <w:rPr>
          <w:lang w:val="lt-LT"/>
        </w:rPr>
        <w:t>išsilavinimo lygis (Vidurinį ir aukštesnį išsilavinimą įgijusio jaunimo (20-24 metai) dalis);</w:t>
      </w:r>
    </w:p>
    <w:p w:rsidR="005A2023" w:rsidRPr="00BC79D7" w:rsidRDefault="008844D9" w:rsidP="00670E82">
      <w:pPr>
        <w:spacing w:line="360" w:lineRule="auto"/>
        <w:ind w:firstLine="567"/>
        <w:jc w:val="both"/>
        <w:rPr>
          <w:lang w:val="lt-LT"/>
        </w:rPr>
      </w:pPr>
      <w:r w:rsidRPr="00BC79D7">
        <w:rPr>
          <w:lang w:val="lt-LT"/>
        </w:rPr>
        <w:t>3.7. l</w:t>
      </w:r>
      <w:r w:rsidR="005A2023" w:rsidRPr="00BC79D7">
        <w:rPr>
          <w:lang w:val="lt-LT"/>
        </w:rPr>
        <w:t>entelėje pateikti duomenys, kurie bus naudojami tolimesnėje analizėje.</w:t>
      </w:r>
      <w:r w:rsidR="0030341A" w:rsidRPr="00BC79D7">
        <w:rPr>
          <w:lang w:val="lt-LT"/>
        </w:rPr>
        <w:t xml:space="preserve"> Atkreiptinas dėmesys, kad analizuojamos ilgesnės duomenų eilutės, t.y. jos apima laikotarpį 2004m. I ketv. – 2011 m. II ketv. </w:t>
      </w:r>
      <w:r w:rsidR="005A2023" w:rsidRPr="00BC79D7">
        <w:rPr>
          <w:lang w:val="lt-LT"/>
        </w:rPr>
        <w:t xml:space="preserve"> Kaip ir ne gyvybės draudimo atvej</w:t>
      </w:r>
      <w:r w:rsidR="00C94861" w:rsidRPr="00BC79D7">
        <w:rPr>
          <w:lang w:val="lt-LT"/>
        </w:rPr>
        <w:t>u, pirmu žingsniu apskaičiuojami koreliacijos koeficientai</w:t>
      </w:r>
      <w:r w:rsidR="005A2023" w:rsidRPr="00BC79D7">
        <w:rPr>
          <w:lang w:val="lt-LT"/>
        </w:rPr>
        <w:t xml:space="preserve"> (formulė nr.</w:t>
      </w:r>
      <w:r w:rsidR="001F1042" w:rsidRPr="00BC79D7">
        <w:rPr>
          <w:lang w:val="lt-LT"/>
        </w:rPr>
        <w:t xml:space="preserve"> 1</w:t>
      </w:r>
      <w:r w:rsidR="00C94861" w:rsidRPr="00BC79D7">
        <w:rPr>
          <w:lang w:val="lt-LT"/>
        </w:rPr>
        <w:t>) bei patikrinama</w:t>
      </w:r>
      <w:r w:rsidR="005A2023" w:rsidRPr="00BC79D7">
        <w:rPr>
          <w:lang w:val="lt-LT"/>
        </w:rPr>
        <w:t xml:space="preserve"> ar jie statis</w:t>
      </w:r>
      <w:r w:rsidR="00C94861" w:rsidRPr="00BC79D7">
        <w:rPr>
          <w:lang w:val="lt-LT"/>
        </w:rPr>
        <w:t>tiškai reikšmingi apskaičiuojant</w:t>
      </w:r>
      <w:r w:rsidR="005A2023" w:rsidRPr="00BC79D7">
        <w:rPr>
          <w:lang w:val="lt-LT"/>
        </w:rPr>
        <w:t xml:space="preserve"> </w:t>
      </w:r>
      <w:r w:rsidR="005A2023" w:rsidRPr="00BC79D7">
        <w:rPr>
          <w:i/>
          <w:lang w:val="lt-LT"/>
        </w:rPr>
        <w:t>t</w:t>
      </w:r>
      <w:r w:rsidR="004C3AD0" w:rsidRPr="00BC79D7">
        <w:rPr>
          <w:lang w:val="lt-LT"/>
        </w:rPr>
        <w:t xml:space="preserve"> statistikas </w:t>
      </w:r>
      <w:r w:rsidR="005A2023" w:rsidRPr="00BC79D7">
        <w:rPr>
          <w:lang w:val="lt-LT"/>
        </w:rPr>
        <w:t>(formulė nr.</w:t>
      </w:r>
      <w:r w:rsidR="004C3AD0" w:rsidRPr="00BC79D7">
        <w:rPr>
          <w:lang w:val="lt-LT"/>
        </w:rPr>
        <w:t xml:space="preserve"> 2</w:t>
      </w:r>
      <w:r w:rsidR="005A2023" w:rsidRPr="00BC79D7">
        <w:rPr>
          <w:lang w:val="lt-LT"/>
        </w:rPr>
        <w:t>). Ga</w:t>
      </w:r>
      <w:r w:rsidR="00C94861" w:rsidRPr="00BC79D7">
        <w:rPr>
          <w:lang w:val="lt-LT"/>
        </w:rPr>
        <w:t>uta</w:t>
      </w:r>
      <w:r w:rsidR="005A2023" w:rsidRPr="00BC79D7">
        <w:rPr>
          <w:lang w:val="lt-LT"/>
        </w:rPr>
        <w:t xml:space="preserve">, kad beveik visi veiksniai turi didesnę nei vidutinę koreliaciją su transporto priemonių įmokomis, išskyrus </w:t>
      </w:r>
      <w:r w:rsidR="00D138E3" w:rsidRPr="00BC79D7">
        <w:rPr>
          <w:lang w:val="lt-LT"/>
        </w:rPr>
        <w:t>veiksnį</w:t>
      </w:r>
      <w:r w:rsidR="005A2023" w:rsidRPr="00BC79D7">
        <w:rPr>
          <w:lang w:val="lt-LT"/>
        </w:rPr>
        <w:t xml:space="preserve"> Xk2. Eismo įvykių skaičius bei gyventojų skaičius turi labai silpną koreliacinį ryšį su transporto draudimo įmokomis. Transporto priemonių draudimas apsaugo ne tik nuo eismo įvykio metu patirtos žalos (nesvarbu kuri pusė kalta), bet ir nuo kitų</w:t>
      </w:r>
      <w:r w:rsidR="00C94861" w:rsidRPr="00BC79D7">
        <w:rPr>
          <w:lang w:val="lt-LT"/>
        </w:rPr>
        <w:t xml:space="preserve"> atsitikimų metu patirtos žalos</w:t>
      </w:r>
      <w:r w:rsidR="005A2023" w:rsidRPr="00BC79D7">
        <w:rPr>
          <w:lang w:val="lt-LT"/>
        </w:rPr>
        <w:t xml:space="preserve">, pvz. ant automobilio užvirtęs medis, išdaužtas stiklas ir panašiai. Todėl mažas koreliacijos koeficientas pateisinamas. </w:t>
      </w:r>
    </w:p>
    <w:p w:rsidR="005A2023" w:rsidRPr="00BC79D7" w:rsidRDefault="008844D9" w:rsidP="00670E82">
      <w:pPr>
        <w:spacing w:line="360" w:lineRule="auto"/>
        <w:ind w:firstLine="567"/>
        <w:jc w:val="both"/>
        <w:rPr>
          <w:lang w:val="lt-LT"/>
        </w:rPr>
      </w:pPr>
      <w:r w:rsidRPr="00BC79D7">
        <w:rPr>
          <w:lang w:val="lt-LT"/>
        </w:rPr>
        <w:t>3.8.</w:t>
      </w:r>
      <w:r w:rsidR="005A2023" w:rsidRPr="00BC79D7">
        <w:rPr>
          <w:lang w:val="lt-LT"/>
        </w:rPr>
        <w:t xml:space="preserve"> lentelėje pateiktos suskaičiuotos </w:t>
      </w:r>
      <w:r w:rsidR="005A2023" w:rsidRPr="00BC79D7">
        <w:rPr>
          <w:i/>
          <w:lang w:val="lt-LT"/>
        </w:rPr>
        <w:t>t</w:t>
      </w:r>
      <w:r w:rsidR="005A2023" w:rsidRPr="00BC79D7">
        <w:rPr>
          <w:lang w:val="lt-LT"/>
        </w:rPr>
        <w:t xml:space="preserve"> statistikos kiekvienos kintamųjų poros koreliacijos koeficiento reikšmingumui nustatyti. Pagal pasiskirstymo lentelę Stjudento skirstinio kritinė reikšmė su 28 laisvės laipsniais bei 0,025 reikšmingumo lygmeniu yra 2,04. Lentelėje paryškintos tos </w:t>
      </w:r>
      <w:r w:rsidR="005A2023" w:rsidRPr="00BC79D7">
        <w:rPr>
          <w:i/>
          <w:lang w:val="lt-LT"/>
        </w:rPr>
        <w:t>t</w:t>
      </w:r>
      <w:r w:rsidR="005A2023" w:rsidRPr="00BC79D7">
        <w:rPr>
          <w:lang w:val="lt-LT"/>
        </w:rPr>
        <w:t xml:space="preserve"> statistikos reikšmės, kurios tenkina nelygybę ir </w:t>
      </w:r>
      <w:r w:rsidR="005A2023" w:rsidRPr="00BC79D7">
        <w:rPr>
          <w:i/>
          <w:lang w:val="lt-LT"/>
        </w:rPr>
        <w:t>H</w:t>
      </w:r>
      <w:r w:rsidR="005A2023" w:rsidRPr="00BC79D7">
        <w:rPr>
          <w:i/>
          <w:vertAlign w:val="subscript"/>
          <w:lang w:val="lt-LT"/>
        </w:rPr>
        <w:t>0</w:t>
      </w:r>
      <w:r w:rsidR="00C94861" w:rsidRPr="00BC79D7">
        <w:rPr>
          <w:i/>
          <w:vertAlign w:val="subscript"/>
          <w:lang w:val="lt-LT"/>
        </w:rPr>
        <w:t>,</w:t>
      </w:r>
      <w:r w:rsidR="005A2023" w:rsidRPr="00BC79D7">
        <w:rPr>
          <w:lang w:val="lt-LT"/>
        </w:rPr>
        <w:t xml:space="preserve"> </w:t>
      </w:r>
      <w:r w:rsidR="00C94861" w:rsidRPr="00BC79D7">
        <w:rPr>
          <w:lang w:val="lt-LT"/>
        </w:rPr>
        <w:t xml:space="preserve">apibrėžta 3.1.1 skyriuje, </w:t>
      </w:r>
      <w:r w:rsidR="005A2023" w:rsidRPr="00BC79D7">
        <w:rPr>
          <w:lang w:val="lt-LT"/>
        </w:rPr>
        <w:t>atmetama - koreliacijos tarp kintamųjų yra statistiškai reikšmingos. Taigi visi koreliacijos koeficientai ne tik rodo stipresnį nei vidutinį  ryšį, bet ir yra statistiškai reikšmingi.</w:t>
      </w:r>
    </w:p>
    <w:p w:rsidR="005A2023" w:rsidRPr="00BC79D7" w:rsidRDefault="005A2023" w:rsidP="00670E82">
      <w:pPr>
        <w:spacing w:line="360" w:lineRule="auto"/>
        <w:ind w:firstLine="567"/>
        <w:jc w:val="both"/>
        <w:rPr>
          <w:lang w:val="lt-LT"/>
        </w:rPr>
      </w:pPr>
      <w:r w:rsidRPr="00BC79D7">
        <w:rPr>
          <w:lang w:val="lt-LT"/>
        </w:rPr>
        <w:t xml:space="preserve">Gauti rezultatai rodo, kad stipriausias ryšys yra tarp transporto priemonių draudimo įmokų bei transporto priemonių skaičiaus šalyje bei vartotojų kainų indekso. Stiprus atvirkštinis ryšys yra tarp nedarbo bei transporto draudimo įmokų, t.y. nedarbui didėjant pasirašytų įmokų suma transporto draudime mažėja. Stipri teigiama koreliacija egzistuoja ir tarp BVP bei pasirašytų įmokų transporto draudime, tai galima paaiškinti tuo, kad transporto priemonių draudimas labai priklauso nuo ekonominės situacijos šalyje. </w:t>
      </w:r>
    </w:p>
    <w:p w:rsidR="005A2023" w:rsidRPr="008844D9" w:rsidRDefault="008844D9" w:rsidP="00CC4DA5">
      <w:pPr>
        <w:pStyle w:val="lentels"/>
      </w:pPr>
      <w:bookmarkStart w:id="165" w:name="_Toc309559984"/>
      <w:bookmarkStart w:id="166" w:name="_Toc310014802"/>
      <w:bookmarkStart w:id="167" w:name="_Toc311970997"/>
      <w:bookmarkStart w:id="168" w:name="_Toc311971841"/>
      <w:bookmarkStart w:id="169" w:name="_Toc311971883"/>
      <w:r w:rsidRPr="008844D9">
        <w:t>3.7.</w:t>
      </w:r>
      <w:r w:rsidR="00841B08" w:rsidRPr="008844D9">
        <w:t xml:space="preserve"> lentelė. </w:t>
      </w:r>
      <w:r w:rsidR="005A2023" w:rsidRPr="008844D9">
        <w:t>Pradiniai duomenys naudojami transporto draudimo įmokas veikiančių veiksnių analizei</w:t>
      </w:r>
      <w:bookmarkEnd w:id="165"/>
      <w:bookmarkEnd w:id="166"/>
      <w:bookmarkEnd w:id="167"/>
      <w:bookmarkEnd w:id="168"/>
      <w:bookmarkEnd w:id="169"/>
    </w:p>
    <w:tbl>
      <w:tblPr>
        <w:tblW w:w="6573" w:type="dxa"/>
        <w:jc w:val="center"/>
        <w:tblInd w:w="93" w:type="dxa"/>
        <w:tblLook w:val="04A0"/>
      </w:tblPr>
      <w:tblGrid>
        <w:gridCol w:w="1575"/>
        <w:gridCol w:w="821"/>
        <w:gridCol w:w="931"/>
        <w:gridCol w:w="656"/>
        <w:gridCol w:w="608"/>
        <w:gridCol w:w="766"/>
        <w:gridCol w:w="608"/>
        <w:gridCol w:w="608"/>
      </w:tblGrid>
      <w:tr w:rsidR="00D138E3" w:rsidRPr="00E9306F" w:rsidTr="00D138E3">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Data</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K</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Xk1</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Xk2</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Xk3</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Xk4</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Xk5</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Xk6</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2004 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38,12</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3936,52</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1064</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13</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30213</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-1,2</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84,8</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2004 II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49,95</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4505,28</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1581</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11,3</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44137</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0,5</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86,3</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2004 III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45,87</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4763,37</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1892</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10,6</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41533</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2,4</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84,5</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2004 IV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52,73</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5044,28</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1820</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10,6</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37279</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86</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2005 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48,99</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4410,18</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1164</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10,2</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34387</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3,2</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87,8</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2005 II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59,41</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5194,63</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1646</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8,5</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50902</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2,4</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85,1</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2005 III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55,35</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5607,48</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2025</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7,2</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40711</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2,2</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89,2</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2005 IV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70,69</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5893,18</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1937</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7,1</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35771</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2,9</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89</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2006 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63,91</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5107,48</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1130</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6,4</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33505</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3,3</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86,5</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2006 II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76,58</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5966,44</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1665</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5,6</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46750</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3,6</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88,2</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2006 III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74,91</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6542,51</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1936</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5,7</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57199</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3,9</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90,2</w:t>
            </w:r>
          </w:p>
        </w:tc>
      </w:tr>
    </w:tbl>
    <w:p w:rsidR="00670E82" w:rsidRDefault="00670E82" w:rsidP="00670E82">
      <w:pPr>
        <w:jc w:val="right"/>
        <w:rPr>
          <w:lang w:val="lt-LT"/>
        </w:rPr>
      </w:pPr>
      <w:r>
        <w:t>3.7. lentel</w:t>
      </w:r>
      <w:r>
        <w:rPr>
          <w:lang w:val="lt-LT"/>
        </w:rPr>
        <w:t>ės tęsinys kitame puslapyje</w:t>
      </w:r>
    </w:p>
    <w:p w:rsidR="00670E82" w:rsidRDefault="00670E82" w:rsidP="00670E82">
      <w:pPr>
        <w:jc w:val="right"/>
        <w:rPr>
          <w:lang w:val="lt-LT"/>
        </w:rPr>
      </w:pPr>
      <w:r>
        <w:rPr>
          <w:lang w:val="lt-LT"/>
        </w:rPr>
        <w:lastRenderedPageBreak/>
        <w:t>3.7. lentelės tęsinys</w:t>
      </w:r>
    </w:p>
    <w:tbl>
      <w:tblPr>
        <w:tblW w:w="6573" w:type="dxa"/>
        <w:jc w:val="center"/>
        <w:tblInd w:w="93" w:type="dxa"/>
        <w:tblLook w:val="04A0"/>
      </w:tblPr>
      <w:tblGrid>
        <w:gridCol w:w="1575"/>
        <w:gridCol w:w="821"/>
        <w:gridCol w:w="931"/>
        <w:gridCol w:w="656"/>
        <w:gridCol w:w="608"/>
        <w:gridCol w:w="766"/>
        <w:gridCol w:w="608"/>
        <w:gridCol w:w="608"/>
      </w:tblGrid>
      <w:tr w:rsidR="00670E82" w:rsidRPr="00E9306F" w:rsidTr="002B603C">
        <w:trPr>
          <w:trHeight w:val="300"/>
          <w:jc w:val="center"/>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0E82" w:rsidRPr="00E9306F" w:rsidRDefault="00670E82" w:rsidP="002B603C">
            <w:pPr>
              <w:rPr>
                <w:b/>
                <w:sz w:val="20"/>
                <w:szCs w:val="20"/>
                <w:lang w:val="lt-LT"/>
              </w:rPr>
            </w:pPr>
            <w:r w:rsidRPr="00E9306F">
              <w:rPr>
                <w:b/>
                <w:sz w:val="20"/>
                <w:szCs w:val="20"/>
                <w:lang w:val="lt-LT"/>
              </w:rPr>
              <w:t>Data</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670E82" w:rsidRPr="00E9306F" w:rsidRDefault="00670E82" w:rsidP="002B603C">
            <w:pPr>
              <w:rPr>
                <w:b/>
                <w:sz w:val="20"/>
                <w:szCs w:val="20"/>
                <w:lang w:val="lt-LT"/>
              </w:rPr>
            </w:pPr>
            <w:r w:rsidRPr="00E9306F">
              <w:rPr>
                <w:b/>
                <w:sz w:val="20"/>
                <w:szCs w:val="20"/>
                <w:lang w:val="lt-LT"/>
              </w:rPr>
              <w:t>K</w:t>
            </w:r>
          </w:p>
        </w:tc>
        <w:tc>
          <w:tcPr>
            <w:tcW w:w="931" w:type="dxa"/>
            <w:tcBorders>
              <w:top w:val="single" w:sz="4" w:space="0" w:color="auto"/>
              <w:left w:val="nil"/>
              <w:bottom w:val="single" w:sz="4" w:space="0" w:color="auto"/>
              <w:right w:val="single" w:sz="4" w:space="0" w:color="auto"/>
            </w:tcBorders>
            <w:shd w:val="clear" w:color="auto" w:fill="auto"/>
            <w:noWrap/>
            <w:vAlign w:val="bottom"/>
            <w:hideMark/>
          </w:tcPr>
          <w:p w:rsidR="00670E82" w:rsidRPr="00E9306F" w:rsidRDefault="00670E82" w:rsidP="002B603C">
            <w:pPr>
              <w:rPr>
                <w:b/>
                <w:sz w:val="20"/>
                <w:szCs w:val="20"/>
                <w:lang w:val="lt-LT"/>
              </w:rPr>
            </w:pPr>
            <w:r w:rsidRPr="00E9306F">
              <w:rPr>
                <w:b/>
                <w:sz w:val="20"/>
                <w:szCs w:val="20"/>
                <w:lang w:val="lt-LT"/>
              </w:rPr>
              <w:t>Xk1</w:t>
            </w:r>
          </w:p>
        </w:tc>
        <w:tc>
          <w:tcPr>
            <w:tcW w:w="656" w:type="dxa"/>
            <w:tcBorders>
              <w:top w:val="single" w:sz="4" w:space="0" w:color="auto"/>
              <w:left w:val="nil"/>
              <w:bottom w:val="single" w:sz="4" w:space="0" w:color="auto"/>
              <w:right w:val="single" w:sz="4" w:space="0" w:color="auto"/>
            </w:tcBorders>
            <w:shd w:val="clear" w:color="auto" w:fill="auto"/>
            <w:noWrap/>
            <w:vAlign w:val="bottom"/>
            <w:hideMark/>
          </w:tcPr>
          <w:p w:rsidR="00670E82" w:rsidRPr="00E9306F" w:rsidRDefault="00670E82" w:rsidP="002B603C">
            <w:pPr>
              <w:rPr>
                <w:b/>
                <w:sz w:val="20"/>
                <w:szCs w:val="20"/>
                <w:lang w:val="lt-LT"/>
              </w:rPr>
            </w:pPr>
            <w:r w:rsidRPr="00E9306F">
              <w:rPr>
                <w:b/>
                <w:sz w:val="20"/>
                <w:szCs w:val="20"/>
                <w:lang w:val="lt-LT"/>
              </w:rPr>
              <w:t>Xk2</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670E82" w:rsidRPr="00E9306F" w:rsidRDefault="00670E82" w:rsidP="002B603C">
            <w:pPr>
              <w:rPr>
                <w:b/>
                <w:sz w:val="20"/>
                <w:szCs w:val="20"/>
                <w:lang w:val="lt-LT"/>
              </w:rPr>
            </w:pPr>
            <w:r w:rsidRPr="00E9306F">
              <w:rPr>
                <w:b/>
                <w:sz w:val="20"/>
                <w:szCs w:val="20"/>
                <w:lang w:val="lt-LT"/>
              </w:rPr>
              <w:t>Xk3</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rsidR="00670E82" w:rsidRPr="00E9306F" w:rsidRDefault="00670E82" w:rsidP="002B603C">
            <w:pPr>
              <w:rPr>
                <w:b/>
                <w:sz w:val="20"/>
                <w:szCs w:val="20"/>
                <w:lang w:val="lt-LT"/>
              </w:rPr>
            </w:pPr>
            <w:r w:rsidRPr="00E9306F">
              <w:rPr>
                <w:b/>
                <w:sz w:val="20"/>
                <w:szCs w:val="20"/>
                <w:lang w:val="lt-LT"/>
              </w:rPr>
              <w:t>Xk4</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670E82" w:rsidRPr="00E9306F" w:rsidRDefault="00670E82" w:rsidP="002B603C">
            <w:pPr>
              <w:rPr>
                <w:b/>
                <w:sz w:val="20"/>
                <w:szCs w:val="20"/>
                <w:lang w:val="lt-LT"/>
              </w:rPr>
            </w:pPr>
            <w:r w:rsidRPr="00E9306F">
              <w:rPr>
                <w:b/>
                <w:sz w:val="20"/>
                <w:szCs w:val="20"/>
                <w:lang w:val="lt-LT"/>
              </w:rPr>
              <w:t>Xk5</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rsidR="00670E82" w:rsidRPr="00E9306F" w:rsidRDefault="00670E82" w:rsidP="002B603C">
            <w:pPr>
              <w:rPr>
                <w:b/>
                <w:sz w:val="20"/>
                <w:szCs w:val="20"/>
                <w:lang w:val="lt-LT"/>
              </w:rPr>
            </w:pPr>
            <w:r w:rsidRPr="00E9306F">
              <w:rPr>
                <w:b/>
                <w:sz w:val="20"/>
                <w:szCs w:val="20"/>
                <w:lang w:val="lt-LT"/>
              </w:rPr>
              <w:t>Xk6</w:t>
            </w:r>
          </w:p>
        </w:tc>
      </w:tr>
      <w:tr w:rsidR="00D138E3"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D138E3" w:rsidRPr="00E9306F" w:rsidRDefault="00D138E3" w:rsidP="004C3AD6">
            <w:pPr>
              <w:rPr>
                <w:b/>
                <w:sz w:val="20"/>
                <w:szCs w:val="20"/>
                <w:lang w:val="lt-LT"/>
              </w:rPr>
            </w:pPr>
            <w:r w:rsidRPr="00E9306F">
              <w:rPr>
                <w:b/>
                <w:sz w:val="20"/>
                <w:szCs w:val="20"/>
                <w:lang w:val="lt-LT"/>
              </w:rPr>
              <w:t>2006 IV ketv,</w:t>
            </w:r>
          </w:p>
        </w:tc>
        <w:tc>
          <w:tcPr>
            <w:tcW w:w="82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85,33</w:t>
            </w:r>
          </w:p>
        </w:tc>
        <w:tc>
          <w:tcPr>
            <w:tcW w:w="931"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6776,72</w:t>
            </w:r>
          </w:p>
        </w:tc>
        <w:tc>
          <w:tcPr>
            <w:tcW w:w="65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1857</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4,8</w:t>
            </w:r>
          </w:p>
        </w:tc>
        <w:tc>
          <w:tcPr>
            <w:tcW w:w="766"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56084</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sz w:val="20"/>
                <w:szCs w:val="20"/>
                <w:lang w:val="lt-LT"/>
              </w:rPr>
            </w:pPr>
            <w:r w:rsidRPr="00E9306F">
              <w:rPr>
                <w:sz w:val="20"/>
                <w:szCs w:val="20"/>
                <w:lang w:val="lt-LT"/>
              </w:rPr>
              <w:t>4,2</w:t>
            </w:r>
          </w:p>
        </w:tc>
        <w:tc>
          <w:tcPr>
            <w:tcW w:w="608" w:type="dxa"/>
            <w:tcBorders>
              <w:top w:val="nil"/>
              <w:left w:val="nil"/>
              <w:bottom w:val="single" w:sz="4" w:space="0" w:color="auto"/>
              <w:right w:val="single" w:sz="4" w:space="0" w:color="auto"/>
            </w:tcBorders>
            <w:shd w:val="clear" w:color="auto" w:fill="auto"/>
            <w:noWrap/>
            <w:vAlign w:val="bottom"/>
            <w:hideMark/>
          </w:tcPr>
          <w:p w:rsidR="00D138E3" w:rsidRPr="00E9306F" w:rsidRDefault="00D138E3" w:rsidP="004C3AD6">
            <w:pPr>
              <w:jc w:val="right"/>
              <w:rPr>
                <w:color w:val="000000"/>
                <w:sz w:val="20"/>
                <w:szCs w:val="20"/>
                <w:lang w:val="lt-LT"/>
              </w:rPr>
            </w:pPr>
            <w:r w:rsidRPr="00E9306F">
              <w:rPr>
                <w:color w:val="000000"/>
                <w:sz w:val="20"/>
                <w:szCs w:val="20"/>
                <w:lang w:val="lt-LT"/>
              </w:rPr>
              <w:t>87,8</w:t>
            </w:r>
          </w:p>
        </w:tc>
      </w:tr>
      <w:tr w:rsidR="00E9306F"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E9306F" w:rsidRPr="00E9306F" w:rsidRDefault="00E9306F" w:rsidP="004C3AD6">
            <w:pPr>
              <w:rPr>
                <w:b/>
                <w:sz w:val="20"/>
                <w:szCs w:val="20"/>
                <w:lang w:val="lt-LT"/>
              </w:rPr>
            </w:pPr>
            <w:r w:rsidRPr="00E9306F">
              <w:rPr>
                <w:b/>
                <w:sz w:val="20"/>
                <w:szCs w:val="20"/>
                <w:lang w:val="lt-LT"/>
              </w:rPr>
              <w:t>2007 I ketv,</w:t>
            </w:r>
          </w:p>
        </w:tc>
        <w:tc>
          <w:tcPr>
            <w:tcW w:w="82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86,57</w:t>
            </w:r>
          </w:p>
        </w:tc>
        <w:tc>
          <w:tcPr>
            <w:tcW w:w="93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6063,75</w:t>
            </w:r>
          </w:p>
        </w:tc>
        <w:tc>
          <w:tcPr>
            <w:tcW w:w="65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1329</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5</w:t>
            </w:r>
          </w:p>
        </w:tc>
        <w:tc>
          <w:tcPr>
            <w:tcW w:w="76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55492</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4,3</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color w:val="000000"/>
                <w:sz w:val="20"/>
                <w:szCs w:val="20"/>
                <w:lang w:val="lt-LT"/>
              </w:rPr>
            </w:pPr>
            <w:r w:rsidRPr="00E9306F">
              <w:rPr>
                <w:color w:val="000000"/>
                <w:sz w:val="20"/>
                <w:szCs w:val="20"/>
                <w:lang w:val="lt-LT"/>
              </w:rPr>
              <w:t>88,3</w:t>
            </w:r>
          </w:p>
        </w:tc>
      </w:tr>
      <w:tr w:rsidR="00E9306F"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E9306F" w:rsidRPr="00E9306F" w:rsidRDefault="00E9306F" w:rsidP="004C3AD6">
            <w:pPr>
              <w:rPr>
                <w:b/>
                <w:sz w:val="20"/>
                <w:szCs w:val="20"/>
                <w:lang w:val="lt-LT"/>
              </w:rPr>
            </w:pPr>
            <w:r w:rsidRPr="00E9306F">
              <w:rPr>
                <w:b/>
                <w:sz w:val="20"/>
                <w:szCs w:val="20"/>
                <w:lang w:val="lt-LT"/>
              </w:rPr>
              <w:t>2007 II ketv,</w:t>
            </w:r>
          </w:p>
        </w:tc>
        <w:tc>
          <w:tcPr>
            <w:tcW w:w="82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104,19</w:t>
            </w:r>
          </w:p>
        </w:tc>
        <w:tc>
          <w:tcPr>
            <w:tcW w:w="93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7210,16</w:t>
            </w:r>
          </w:p>
        </w:tc>
        <w:tc>
          <w:tcPr>
            <w:tcW w:w="65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1649</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4,1</w:t>
            </w:r>
          </w:p>
        </w:tc>
        <w:tc>
          <w:tcPr>
            <w:tcW w:w="76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70141</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4,8</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color w:val="000000"/>
                <w:sz w:val="20"/>
                <w:szCs w:val="20"/>
                <w:lang w:val="lt-LT"/>
              </w:rPr>
            </w:pPr>
            <w:r w:rsidRPr="00E9306F">
              <w:rPr>
                <w:color w:val="000000"/>
                <w:sz w:val="20"/>
                <w:szCs w:val="20"/>
                <w:lang w:val="lt-LT"/>
              </w:rPr>
              <w:t>89,5</w:t>
            </w:r>
          </w:p>
        </w:tc>
      </w:tr>
      <w:tr w:rsidR="00E9306F"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E9306F" w:rsidRPr="00E9306F" w:rsidRDefault="00E9306F" w:rsidP="004C3AD6">
            <w:pPr>
              <w:rPr>
                <w:b/>
                <w:sz w:val="20"/>
                <w:szCs w:val="20"/>
                <w:lang w:val="lt-LT"/>
              </w:rPr>
            </w:pPr>
            <w:r w:rsidRPr="00E9306F">
              <w:rPr>
                <w:b/>
                <w:sz w:val="20"/>
                <w:szCs w:val="20"/>
                <w:lang w:val="lt-LT"/>
              </w:rPr>
              <w:t>2007 III ketv,</w:t>
            </w:r>
          </w:p>
        </w:tc>
        <w:tc>
          <w:tcPr>
            <w:tcW w:w="82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102,29</w:t>
            </w:r>
          </w:p>
        </w:tc>
        <w:tc>
          <w:tcPr>
            <w:tcW w:w="93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7887,65</w:t>
            </w:r>
          </w:p>
        </w:tc>
        <w:tc>
          <w:tcPr>
            <w:tcW w:w="65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1792</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3,9</w:t>
            </w:r>
          </w:p>
        </w:tc>
        <w:tc>
          <w:tcPr>
            <w:tcW w:w="76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68924</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5,9</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color w:val="000000"/>
                <w:sz w:val="20"/>
                <w:szCs w:val="20"/>
                <w:lang w:val="lt-LT"/>
              </w:rPr>
            </w:pPr>
            <w:r w:rsidRPr="00E9306F">
              <w:rPr>
                <w:color w:val="000000"/>
                <w:sz w:val="20"/>
                <w:szCs w:val="20"/>
                <w:lang w:val="lt-LT"/>
              </w:rPr>
              <w:t>89,5</w:t>
            </w:r>
          </w:p>
        </w:tc>
      </w:tr>
      <w:tr w:rsidR="00E9306F"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E9306F" w:rsidRPr="00E9306F" w:rsidRDefault="00E9306F" w:rsidP="004C3AD6">
            <w:pPr>
              <w:rPr>
                <w:b/>
                <w:sz w:val="20"/>
                <w:szCs w:val="20"/>
                <w:lang w:val="lt-LT"/>
              </w:rPr>
            </w:pPr>
            <w:r w:rsidRPr="00E9306F">
              <w:rPr>
                <w:b/>
                <w:sz w:val="20"/>
                <w:szCs w:val="20"/>
                <w:lang w:val="lt-LT"/>
              </w:rPr>
              <w:t>2007 IV ketv,</w:t>
            </w:r>
          </w:p>
        </w:tc>
        <w:tc>
          <w:tcPr>
            <w:tcW w:w="82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112,82</w:t>
            </w:r>
          </w:p>
        </w:tc>
        <w:tc>
          <w:tcPr>
            <w:tcW w:w="93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8068,53</w:t>
            </w:r>
          </w:p>
        </w:tc>
        <w:tc>
          <w:tcPr>
            <w:tcW w:w="65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1678</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4,2</w:t>
            </w:r>
          </w:p>
        </w:tc>
        <w:tc>
          <w:tcPr>
            <w:tcW w:w="76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60123</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7,8</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color w:val="000000"/>
                <w:sz w:val="20"/>
                <w:szCs w:val="20"/>
                <w:lang w:val="lt-LT"/>
              </w:rPr>
            </w:pPr>
            <w:r w:rsidRPr="00E9306F">
              <w:rPr>
                <w:color w:val="000000"/>
                <w:sz w:val="20"/>
                <w:szCs w:val="20"/>
                <w:lang w:val="lt-LT"/>
              </w:rPr>
              <w:t>88,6</w:t>
            </w:r>
          </w:p>
        </w:tc>
      </w:tr>
      <w:tr w:rsidR="00E9306F"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E9306F" w:rsidRPr="00E9306F" w:rsidRDefault="00E9306F" w:rsidP="004C3AD6">
            <w:pPr>
              <w:rPr>
                <w:b/>
                <w:sz w:val="20"/>
                <w:szCs w:val="20"/>
                <w:lang w:val="lt-LT"/>
              </w:rPr>
            </w:pPr>
            <w:r w:rsidRPr="00E9306F">
              <w:rPr>
                <w:b/>
                <w:sz w:val="20"/>
                <w:szCs w:val="20"/>
                <w:lang w:val="lt-LT"/>
              </w:rPr>
              <w:t>2008 I ketv,</w:t>
            </w:r>
          </w:p>
        </w:tc>
        <w:tc>
          <w:tcPr>
            <w:tcW w:w="82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105,41</w:t>
            </w:r>
          </w:p>
        </w:tc>
        <w:tc>
          <w:tcPr>
            <w:tcW w:w="93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7275,04</w:t>
            </w:r>
          </w:p>
        </w:tc>
        <w:tc>
          <w:tcPr>
            <w:tcW w:w="65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1089</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4,9</w:t>
            </w:r>
          </w:p>
        </w:tc>
        <w:tc>
          <w:tcPr>
            <w:tcW w:w="76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54924</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10,6</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color w:val="000000"/>
                <w:sz w:val="20"/>
                <w:szCs w:val="20"/>
                <w:lang w:val="lt-LT"/>
              </w:rPr>
            </w:pPr>
            <w:r w:rsidRPr="00E9306F">
              <w:rPr>
                <w:color w:val="000000"/>
                <w:sz w:val="20"/>
                <w:szCs w:val="20"/>
                <w:lang w:val="lt-LT"/>
              </w:rPr>
              <w:t>89,4</w:t>
            </w:r>
          </w:p>
        </w:tc>
      </w:tr>
      <w:tr w:rsidR="00E9306F"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E9306F" w:rsidRPr="00E9306F" w:rsidRDefault="00E9306F" w:rsidP="004C3AD6">
            <w:pPr>
              <w:rPr>
                <w:b/>
                <w:sz w:val="20"/>
                <w:szCs w:val="20"/>
                <w:lang w:val="lt-LT"/>
              </w:rPr>
            </w:pPr>
            <w:r w:rsidRPr="00E9306F">
              <w:rPr>
                <w:b/>
                <w:sz w:val="20"/>
                <w:szCs w:val="20"/>
                <w:lang w:val="lt-LT"/>
              </w:rPr>
              <w:t>2008 II ketv,</w:t>
            </w:r>
          </w:p>
        </w:tc>
        <w:tc>
          <w:tcPr>
            <w:tcW w:w="82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110,13</w:t>
            </w:r>
          </w:p>
        </w:tc>
        <w:tc>
          <w:tcPr>
            <w:tcW w:w="93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8586,29</w:t>
            </w:r>
          </w:p>
        </w:tc>
        <w:tc>
          <w:tcPr>
            <w:tcW w:w="65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1223</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4,5</w:t>
            </w:r>
          </w:p>
        </w:tc>
        <w:tc>
          <w:tcPr>
            <w:tcW w:w="76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59101</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12,1</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color w:val="000000"/>
                <w:sz w:val="20"/>
                <w:szCs w:val="20"/>
                <w:lang w:val="lt-LT"/>
              </w:rPr>
            </w:pPr>
            <w:r w:rsidRPr="00E9306F">
              <w:rPr>
                <w:color w:val="000000"/>
                <w:sz w:val="20"/>
                <w:szCs w:val="20"/>
                <w:lang w:val="lt-LT"/>
              </w:rPr>
              <w:t>87,2</w:t>
            </w:r>
          </w:p>
        </w:tc>
      </w:tr>
      <w:tr w:rsidR="00E9306F"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E9306F" w:rsidRPr="00E9306F" w:rsidRDefault="00E9306F" w:rsidP="004C3AD6">
            <w:pPr>
              <w:rPr>
                <w:b/>
                <w:sz w:val="20"/>
                <w:szCs w:val="20"/>
                <w:lang w:val="lt-LT"/>
              </w:rPr>
            </w:pPr>
            <w:r w:rsidRPr="00E9306F">
              <w:rPr>
                <w:b/>
                <w:sz w:val="20"/>
                <w:szCs w:val="20"/>
                <w:lang w:val="lt-LT"/>
              </w:rPr>
              <w:t>2008 III ketv,</w:t>
            </w:r>
          </w:p>
        </w:tc>
        <w:tc>
          <w:tcPr>
            <w:tcW w:w="82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95,39</w:t>
            </w:r>
          </w:p>
        </w:tc>
        <w:tc>
          <w:tcPr>
            <w:tcW w:w="931"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8891,83</w:t>
            </w:r>
          </w:p>
        </w:tc>
        <w:tc>
          <w:tcPr>
            <w:tcW w:w="65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1281</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5,9</w:t>
            </w:r>
          </w:p>
        </w:tc>
        <w:tc>
          <w:tcPr>
            <w:tcW w:w="766"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49930</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sz w:val="20"/>
                <w:szCs w:val="20"/>
                <w:lang w:val="lt-LT"/>
              </w:rPr>
            </w:pPr>
            <w:r w:rsidRPr="00E9306F">
              <w:rPr>
                <w:sz w:val="20"/>
                <w:szCs w:val="20"/>
                <w:lang w:val="lt-LT"/>
              </w:rPr>
              <w:t>11,7</w:t>
            </w:r>
          </w:p>
        </w:tc>
        <w:tc>
          <w:tcPr>
            <w:tcW w:w="608" w:type="dxa"/>
            <w:tcBorders>
              <w:top w:val="nil"/>
              <w:left w:val="nil"/>
              <w:bottom w:val="single" w:sz="4" w:space="0" w:color="auto"/>
              <w:right w:val="single" w:sz="4" w:space="0" w:color="auto"/>
            </w:tcBorders>
            <w:shd w:val="clear" w:color="auto" w:fill="auto"/>
            <w:noWrap/>
            <w:vAlign w:val="bottom"/>
            <w:hideMark/>
          </w:tcPr>
          <w:p w:rsidR="00E9306F" w:rsidRPr="00E9306F" w:rsidRDefault="00E9306F" w:rsidP="004C3AD6">
            <w:pPr>
              <w:jc w:val="right"/>
              <w:rPr>
                <w:color w:val="000000"/>
                <w:sz w:val="20"/>
                <w:szCs w:val="20"/>
                <w:lang w:val="lt-LT"/>
              </w:rPr>
            </w:pPr>
            <w:r w:rsidRPr="00E9306F">
              <w:rPr>
                <w:color w:val="000000"/>
                <w:sz w:val="20"/>
                <w:szCs w:val="20"/>
                <w:lang w:val="lt-LT"/>
              </w:rPr>
              <w:t>89,6</w:t>
            </w:r>
          </w:p>
        </w:tc>
      </w:tr>
      <w:tr w:rsidR="000B1351"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B1351" w:rsidRPr="00E9306F" w:rsidRDefault="000B1351" w:rsidP="004C3AD6">
            <w:pPr>
              <w:rPr>
                <w:b/>
                <w:sz w:val="20"/>
                <w:szCs w:val="20"/>
                <w:lang w:val="lt-LT"/>
              </w:rPr>
            </w:pPr>
            <w:r w:rsidRPr="00E9306F">
              <w:rPr>
                <w:b/>
                <w:sz w:val="20"/>
                <w:szCs w:val="20"/>
                <w:lang w:val="lt-LT"/>
              </w:rPr>
              <w:t>2008 IV ketv,</w:t>
            </w:r>
          </w:p>
        </w:tc>
        <w:tc>
          <w:tcPr>
            <w:tcW w:w="82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90,10</w:t>
            </w:r>
          </w:p>
        </w:tc>
        <w:tc>
          <w:tcPr>
            <w:tcW w:w="93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8444,97</w:t>
            </w:r>
          </w:p>
        </w:tc>
        <w:tc>
          <w:tcPr>
            <w:tcW w:w="65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1203</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7,9</w:t>
            </w:r>
          </w:p>
        </w:tc>
        <w:tc>
          <w:tcPr>
            <w:tcW w:w="76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52031</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9,3</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color w:val="000000"/>
                <w:sz w:val="20"/>
                <w:szCs w:val="20"/>
                <w:lang w:val="lt-LT"/>
              </w:rPr>
            </w:pPr>
            <w:r w:rsidRPr="00E9306F">
              <w:rPr>
                <w:color w:val="000000"/>
                <w:sz w:val="20"/>
                <w:szCs w:val="20"/>
                <w:lang w:val="lt-LT"/>
              </w:rPr>
              <w:t>90</w:t>
            </w:r>
          </w:p>
        </w:tc>
      </w:tr>
      <w:tr w:rsidR="000B1351"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B1351" w:rsidRPr="00E9306F" w:rsidRDefault="000B1351" w:rsidP="004C3AD6">
            <w:pPr>
              <w:rPr>
                <w:b/>
                <w:sz w:val="20"/>
                <w:szCs w:val="20"/>
                <w:lang w:val="lt-LT"/>
              </w:rPr>
            </w:pPr>
            <w:r w:rsidRPr="00E9306F">
              <w:rPr>
                <w:b/>
                <w:sz w:val="20"/>
                <w:szCs w:val="20"/>
                <w:lang w:val="lt-LT"/>
              </w:rPr>
              <w:t>2009 I ketv,</w:t>
            </w:r>
          </w:p>
        </w:tc>
        <w:tc>
          <w:tcPr>
            <w:tcW w:w="82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66,32</w:t>
            </w:r>
          </w:p>
        </w:tc>
        <w:tc>
          <w:tcPr>
            <w:tcW w:w="93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6354,76</w:t>
            </w:r>
          </w:p>
        </w:tc>
        <w:tc>
          <w:tcPr>
            <w:tcW w:w="65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725</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11,9</w:t>
            </w:r>
          </w:p>
        </w:tc>
        <w:tc>
          <w:tcPr>
            <w:tcW w:w="76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34630</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8,7</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color w:val="000000"/>
                <w:sz w:val="20"/>
                <w:szCs w:val="20"/>
                <w:lang w:val="lt-LT"/>
              </w:rPr>
            </w:pPr>
            <w:r w:rsidRPr="00E9306F">
              <w:rPr>
                <w:color w:val="000000"/>
                <w:sz w:val="20"/>
                <w:szCs w:val="20"/>
                <w:lang w:val="lt-LT"/>
              </w:rPr>
              <w:t>86,9</w:t>
            </w:r>
          </w:p>
        </w:tc>
      </w:tr>
      <w:tr w:rsidR="000B1351"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B1351" w:rsidRPr="00E9306F" w:rsidRDefault="000B1351" w:rsidP="004C3AD6">
            <w:pPr>
              <w:rPr>
                <w:b/>
                <w:sz w:val="20"/>
                <w:szCs w:val="20"/>
                <w:lang w:val="lt-LT"/>
              </w:rPr>
            </w:pPr>
            <w:r w:rsidRPr="00E9306F">
              <w:rPr>
                <w:b/>
                <w:sz w:val="20"/>
                <w:szCs w:val="20"/>
                <w:lang w:val="lt-LT"/>
              </w:rPr>
              <w:t>2009 II ketv,</w:t>
            </w:r>
          </w:p>
        </w:tc>
        <w:tc>
          <w:tcPr>
            <w:tcW w:w="82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64,31</w:t>
            </w:r>
          </w:p>
        </w:tc>
        <w:tc>
          <w:tcPr>
            <w:tcW w:w="93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7184,53</w:t>
            </w:r>
          </w:p>
        </w:tc>
        <w:tc>
          <w:tcPr>
            <w:tcW w:w="65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996</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13,6</w:t>
            </w:r>
          </w:p>
        </w:tc>
        <w:tc>
          <w:tcPr>
            <w:tcW w:w="76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41266</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5,2</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color w:val="000000"/>
                <w:sz w:val="20"/>
                <w:szCs w:val="20"/>
                <w:lang w:val="lt-LT"/>
              </w:rPr>
            </w:pPr>
            <w:r w:rsidRPr="00E9306F">
              <w:rPr>
                <w:color w:val="000000"/>
                <w:sz w:val="20"/>
                <w:szCs w:val="20"/>
                <w:lang w:val="lt-LT"/>
              </w:rPr>
              <w:t>84,9</w:t>
            </w:r>
          </w:p>
        </w:tc>
      </w:tr>
      <w:tr w:rsidR="000B1351"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B1351" w:rsidRPr="00E9306F" w:rsidRDefault="000B1351" w:rsidP="004C3AD6">
            <w:pPr>
              <w:rPr>
                <w:b/>
                <w:sz w:val="20"/>
                <w:szCs w:val="20"/>
                <w:lang w:val="lt-LT"/>
              </w:rPr>
            </w:pPr>
            <w:r w:rsidRPr="00E9306F">
              <w:rPr>
                <w:b/>
                <w:sz w:val="20"/>
                <w:szCs w:val="20"/>
                <w:lang w:val="lt-LT"/>
              </w:rPr>
              <w:t>2009 III ketv,</w:t>
            </w:r>
          </w:p>
        </w:tc>
        <w:tc>
          <w:tcPr>
            <w:tcW w:w="82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56,61</w:t>
            </w:r>
          </w:p>
        </w:tc>
        <w:tc>
          <w:tcPr>
            <w:tcW w:w="93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7012,23</w:t>
            </w:r>
          </w:p>
        </w:tc>
        <w:tc>
          <w:tcPr>
            <w:tcW w:w="65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1047</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13,8</w:t>
            </w:r>
          </w:p>
        </w:tc>
        <w:tc>
          <w:tcPr>
            <w:tcW w:w="76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37882</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2,8</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color w:val="000000"/>
                <w:sz w:val="20"/>
                <w:szCs w:val="20"/>
                <w:lang w:val="lt-LT"/>
              </w:rPr>
            </w:pPr>
            <w:r w:rsidRPr="00E9306F">
              <w:rPr>
                <w:color w:val="000000"/>
                <w:sz w:val="20"/>
                <w:szCs w:val="20"/>
                <w:lang w:val="lt-LT"/>
              </w:rPr>
              <w:t>88</w:t>
            </w:r>
          </w:p>
        </w:tc>
      </w:tr>
      <w:tr w:rsidR="000B1351"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0B1351" w:rsidRPr="00E9306F" w:rsidRDefault="000B1351" w:rsidP="004C3AD6">
            <w:pPr>
              <w:rPr>
                <w:b/>
                <w:sz w:val="20"/>
                <w:szCs w:val="20"/>
                <w:lang w:val="lt-LT"/>
              </w:rPr>
            </w:pPr>
            <w:r w:rsidRPr="00E9306F">
              <w:rPr>
                <w:b/>
                <w:sz w:val="20"/>
                <w:szCs w:val="20"/>
                <w:lang w:val="lt-LT"/>
              </w:rPr>
              <w:t>2009 IV ketv,</w:t>
            </w:r>
          </w:p>
        </w:tc>
        <w:tc>
          <w:tcPr>
            <w:tcW w:w="82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58,09</w:t>
            </w:r>
          </w:p>
        </w:tc>
        <w:tc>
          <w:tcPr>
            <w:tcW w:w="931"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6856,38</w:t>
            </w:r>
          </w:p>
        </w:tc>
        <w:tc>
          <w:tcPr>
            <w:tcW w:w="65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1037</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15,6</w:t>
            </w:r>
          </w:p>
        </w:tc>
        <w:tc>
          <w:tcPr>
            <w:tcW w:w="766"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39107</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sz w:val="20"/>
                <w:szCs w:val="20"/>
                <w:lang w:val="lt-LT"/>
              </w:rPr>
            </w:pPr>
            <w:r w:rsidRPr="00E9306F">
              <w:rPr>
                <w:sz w:val="20"/>
                <w:szCs w:val="20"/>
                <w:lang w:val="lt-LT"/>
              </w:rPr>
              <w:t>1,4</w:t>
            </w:r>
          </w:p>
        </w:tc>
        <w:tc>
          <w:tcPr>
            <w:tcW w:w="608" w:type="dxa"/>
            <w:tcBorders>
              <w:top w:val="nil"/>
              <w:left w:val="nil"/>
              <w:bottom w:val="single" w:sz="4" w:space="0" w:color="auto"/>
              <w:right w:val="single" w:sz="4" w:space="0" w:color="auto"/>
            </w:tcBorders>
            <w:shd w:val="clear" w:color="auto" w:fill="auto"/>
            <w:noWrap/>
            <w:vAlign w:val="bottom"/>
            <w:hideMark/>
          </w:tcPr>
          <w:p w:rsidR="000B1351" w:rsidRPr="00E9306F" w:rsidRDefault="000B1351" w:rsidP="004C3AD6">
            <w:pPr>
              <w:jc w:val="right"/>
              <w:rPr>
                <w:color w:val="000000"/>
                <w:sz w:val="20"/>
                <w:szCs w:val="20"/>
                <w:lang w:val="lt-LT"/>
              </w:rPr>
            </w:pPr>
            <w:r w:rsidRPr="00E9306F">
              <w:rPr>
                <w:color w:val="000000"/>
                <w:sz w:val="20"/>
                <w:szCs w:val="20"/>
                <w:lang w:val="lt-LT"/>
              </w:rPr>
              <w:t>87,8</w:t>
            </w:r>
          </w:p>
        </w:tc>
      </w:tr>
      <w:tr w:rsidR="00BC79D7"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BC79D7" w:rsidRPr="00E9306F" w:rsidRDefault="00BC79D7" w:rsidP="004C3AD6">
            <w:pPr>
              <w:rPr>
                <w:b/>
                <w:sz w:val="20"/>
                <w:szCs w:val="20"/>
                <w:lang w:val="lt-LT"/>
              </w:rPr>
            </w:pPr>
            <w:r w:rsidRPr="00E9306F">
              <w:rPr>
                <w:b/>
                <w:sz w:val="20"/>
                <w:szCs w:val="20"/>
                <w:lang w:val="lt-LT"/>
              </w:rPr>
              <w:t>2010 I ketv,</w:t>
            </w:r>
          </w:p>
        </w:tc>
        <w:tc>
          <w:tcPr>
            <w:tcW w:w="82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52,80</w:t>
            </w:r>
          </w:p>
        </w:tc>
        <w:tc>
          <w:tcPr>
            <w:tcW w:w="93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6212,70</w:t>
            </w:r>
          </w:p>
        </w:tc>
        <w:tc>
          <w:tcPr>
            <w:tcW w:w="65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614</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18,1</w:t>
            </w:r>
          </w:p>
        </w:tc>
        <w:tc>
          <w:tcPr>
            <w:tcW w:w="76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33081</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-0,3</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85,3</w:t>
            </w:r>
          </w:p>
        </w:tc>
      </w:tr>
      <w:tr w:rsidR="00BC79D7"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BC79D7" w:rsidRPr="00E9306F" w:rsidRDefault="00BC79D7" w:rsidP="004C3AD6">
            <w:pPr>
              <w:rPr>
                <w:b/>
                <w:sz w:val="20"/>
                <w:szCs w:val="20"/>
                <w:lang w:val="lt-LT"/>
              </w:rPr>
            </w:pPr>
            <w:r w:rsidRPr="00E9306F">
              <w:rPr>
                <w:b/>
                <w:sz w:val="20"/>
                <w:szCs w:val="20"/>
                <w:lang w:val="lt-LT"/>
              </w:rPr>
              <w:t>2010 II ketv,</w:t>
            </w:r>
          </w:p>
        </w:tc>
        <w:tc>
          <w:tcPr>
            <w:tcW w:w="82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55,64</w:t>
            </w:r>
          </w:p>
        </w:tc>
        <w:tc>
          <w:tcPr>
            <w:tcW w:w="93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7266,86</w:t>
            </w:r>
          </w:p>
        </w:tc>
        <w:tc>
          <w:tcPr>
            <w:tcW w:w="65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895</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18,3</w:t>
            </w:r>
          </w:p>
        </w:tc>
        <w:tc>
          <w:tcPr>
            <w:tcW w:w="76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50884</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0,7</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84,5</w:t>
            </w:r>
          </w:p>
        </w:tc>
      </w:tr>
      <w:tr w:rsidR="00BC79D7"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BC79D7" w:rsidRPr="00E9306F" w:rsidRDefault="00BC79D7" w:rsidP="004C3AD6">
            <w:pPr>
              <w:rPr>
                <w:b/>
                <w:sz w:val="20"/>
                <w:szCs w:val="20"/>
                <w:lang w:val="lt-LT"/>
              </w:rPr>
            </w:pPr>
            <w:r w:rsidRPr="00E9306F">
              <w:rPr>
                <w:b/>
                <w:sz w:val="20"/>
                <w:szCs w:val="20"/>
                <w:lang w:val="lt-LT"/>
              </w:rPr>
              <w:t>2010 III ketv,</w:t>
            </w:r>
          </w:p>
        </w:tc>
        <w:tc>
          <w:tcPr>
            <w:tcW w:w="82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53,11</w:t>
            </w:r>
          </w:p>
        </w:tc>
        <w:tc>
          <w:tcPr>
            <w:tcW w:w="93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7575,74</w:t>
            </w:r>
          </w:p>
        </w:tc>
        <w:tc>
          <w:tcPr>
            <w:tcW w:w="65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1057</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17,8</w:t>
            </w:r>
          </w:p>
        </w:tc>
        <w:tc>
          <w:tcPr>
            <w:tcW w:w="76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49602</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1,8</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89,6</w:t>
            </w:r>
          </w:p>
        </w:tc>
      </w:tr>
      <w:tr w:rsidR="00BC79D7"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BC79D7" w:rsidRPr="00E9306F" w:rsidRDefault="00BC79D7" w:rsidP="004C3AD6">
            <w:pPr>
              <w:rPr>
                <w:b/>
                <w:sz w:val="20"/>
                <w:szCs w:val="20"/>
                <w:lang w:val="lt-LT"/>
              </w:rPr>
            </w:pPr>
            <w:r w:rsidRPr="00E9306F">
              <w:rPr>
                <w:b/>
                <w:sz w:val="20"/>
                <w:szCs w:val="20"/>
                <w:lang w:val="lt-LT"/>
              </w:rPr>
              <w:t>2010 IV ketv,</w:t>
            </w:r>
          </w:p>
        </w:tc>
        <w:tc>
          <w:tcPr>
            <w:tcW w:w="82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61,74</w:t>
            </w:r>
          </w:p>
        </w:tc>
        <w:tc>
          <w:tcPr>
            <w:tcW w:w="93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7737,49</w:t>
            </w:r>
          </w:p>
        </w:tc>
        <w:tc>
          <w:tcPr>
            <w:tcW w:w="65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964</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17,1</w:t>
            </w:r>
          </w:p>
        </w:tc>
        <w:tc>
          <w:tcPr>
            <w:tcW w:w="76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52431</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3,1</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88,2</w:t>
            </w:r>
          </w:p>
        </w:tc>
      </w:tr>
      <w:tr w:rsidR="00BC79D7"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BC79D7" w:rsidRPr="00E9306F" w:rsidRDefault="00BC79D7" w:rsidP="004C3AD6">
            <w:pPr>
              <w:rPr>
                <w:b/>
                <w:sz w:val="20"/>
                <w:szCs w:val="20"/>
                <w:lang w:val="lt-LT"/>
              </w:rPr>
            </w:pPr>
            <w:r w:rsidRPr="00E9306F">
              <w:rPr>
                <w:b/>
                <w:sz w:val="20"/>
                <w:szCs w:val="20"/>
                <w:lang w:val="lt-LT"/>
              </w:rPr>
              <w:t>2011 I ketv,</w:t>
            </w:r>
          </w:p>
        </w:tc>
        <w:tc>
          <w:tcPr>
            <w:tcW w:w="82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55,82</w:t>
            </w:r>
          </w:p>
        </w:tc>
        <w:tc>
          <w:tcPr>
            <w:tcW w:w="93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7085,29</w:t>
            </w:r>
          </w:p>
        </w:tc>
        <w:tc>
          <w:tcPr>
            <w:tcW w:w="65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511</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17,2</w:t>
            </w:r>
          </w:p>
        </w:tc>
        <w:tc>
          <w:tcPr>
            <w:tcW w:w="76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30138</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sz w:val="20"/>
                <w:szCs w:val="20"/>
                <w:lang w:val="lt-LT"/>
              </w:rPr>
            </w:pPr>
            <w:r w:rsidRPr="00E9306F">
              <w:rPr>
                <w:sz w:val="20"/>
                <w:szCs w:val="20"/>
                <w:lang w:val="lt-LT"/>
              </w:rPr>
              <w:t>3,3</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87,6</w:t>
            </w:r>
          </w:p>
        </w:tc>
      </w:tr>
      <w:tr w:rsidR="00BC79D7" w:rsidRPr="00E9306F" w:rsidTr="00D138E3">
        <w:trPr>
          <w:trHeight w:val="300"/>
          <w:jc w:val="center"/>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BC79D7" w:rsidRPr="00E9306F" w:rsidRDefault="00BC79D7" w:rsidP="004C3AD6">
            <w:pPr>
              <w:rPr>
                <w:b/>
                <w:sz w:val="20"/>
                <w:szCs w:val="20"/>
                <w:lang w:val="lt-LT"/>
              </w:rPr>
            </w:pPr>
            <w:r w:rsidRPr="00E9306F">
              <w:rPr>
                <w:b/>
                <w:sz w:val="20"/>
                <w:szCs w:val="20"/>
                <w:lang w:val="lt-LT"/>
              </w:rPr>
              <w:t>2011 II ketv,</w:t>
            </w:r>
          </w:p>
        </w:tc>
        <w:tc>
          <w:tcPr>
            <w:tcW w:w="821"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64,84</w:t>
            </w:r>
          </w:p>
        </w:tc>
        <w:tc>
          <w:tcPr>
            <w:tcW w:w="931" w:type="dxa"/>
            <w:tcBorders>
              <w:top w:val="nil"/>
              <w:left w:val="nil"/>
              <w:bottom w:val="single" w:sz="4" w:space="0" w:color="auto"/>
              <w:right w:val="single" w:sz="4" w:space="0" w:color="auto"/>
            </w:tcBorders>
            <w:shd w:val="clear" w:color="000000" w:fill="FFFFFF"/>
            <w:noWrap/>
            <w:vAlign w:val="bottom"/>
            <w:hideMark/>
          </w:tcPr>
          <w:p w:rsidR="00BC79D7" w:rsidRPr="00E9306F" w:rsidRDefault="00BC79D7" w:rsidP="004C3AD6">
            <w:pPr>
              <w:rPr>
                <w:color w:val="000000"/>
                <w:sz w:val="20"/>
                <w:szCs w:val="20"/>
                <w:lang w:val="lt-LT"/>
              </w:rPr>
            </w:pPr>
            <w:r w:rsidRPr="00E9306F">
              <w:rPr>
                <w:color w:val="000000"/>
                <w:sz w:val="20"/>
                <w:szCs w:val="20"/>
                <w:lang w:val="lt-LT"/>
              </w:rPr>
              <w:t>8384,75</w:t>
            </w:r>
          </w:p>
        </w:tc>
        <w:tc>
          <w:tcPr>
            <w:tcW w:w="65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846</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15,6</w:t>
            </w:r>
          </w:p>
        </w:tc>
        <w:tc>
          <w:tcPr>
            <w:tcW w:w="766"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35570</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4,8</w:t>
            </w:r>
          </w:p>
        </w:tc>
        <w:tc>
          <w:tcPr>
            <w:tcW w:w="608" w:type="dxa"/>
            <w:tcBorders>
              <w:top w:val="nil"/>
              <w:left w:val="nil"/>
              <w:bottom w:val="single" w:sz="4" w:space="0" w:color="auto"/>
              <w:right w:val="single" w:sz="4" w:space="0" w:color="auto"/>
            </w:tcBorders>
            <w:shd w:val="clear" w:color="auto" w:fill="auto"/>
            <w:noWrap/>
            <w:vAlign w:val="bottom"/>
            <w:hideMark/>
          </w:tcPr>
          <w:p w:rsidR="00BC79D7" w:rsidRPr="00E9306F" w:rsidRDefault="00BC79D7" w:rsidP="004C3AD6">
            <w:pPr>
              <w:jc w:val="right"/>
              <w:rPr>
                <w:color w:val="000000"/>
                <w:sz w:val="20"/>
                <w:szCs w:val="20"/>
                <w:lang w:val="lt-LT"/>
              </w:rPr>
            </w:pPr>
            <w:r w:rsidRPr="00E9306F">
              <w:rPr>
                <w:color w:val="000000"/>
                <w:sz w:val="20"/>
                <w:szCs w:val="20"/>
                <w:lang w:val="lt-LT"/>
              </w:rPr>
              <w:t>86,3</w:t>
            </w:r>
          </w:p>
        </w:tc>
      </w:tr>
    </w:tbl>
    <w:p w:rsidR="005A2023" w:rsidRDefault="005A2023" w:rsidP="005A2023">
      <w:pPr>
        <w:spacing w:line="360" w:lineRule="auto"/>
        <w:ind w:firstLine="567"/>
        <w:jc w:val="both"/>
        <w:rPr>
          <w:sz w:val="20"/>
          <w:szCs w:val="20"/>
          <w:lang w:val="lt-LT"/>
        </w:rPr>
      </w:pPr>
      <w:r w:rsidRPr="00303A5A">
        <w:rPr>
          <w:sz w:val="20"/>
          <w:szCs w:val="20"/>
          <w:lang w:val="lt-LT"/>
        </w:rPr>
        <w:t>Šaltinis</w:t>
      </w:r>
      <w:r w:rsidR="006756D6">
        <w:rPr>
          <w:sz w:val="20"/>
          <w:szCs w:val="20"/>
          <w:lang w:val="lt-LT"/>
        </w:rPr>
        <w:t>:</w:t>
      </w:r>
      <w:r w:rsidRPr="00303A5A">
        <w:rPr>
          <w:sz w:val="20"/>
          <w:szCs w:val="20"/>
          <w:lang w:val="lt-LT"/>
        </w:rPr>
        <w:t xml:space="preserve"> sudaryta remiantis Lietuvos draudimo priežiūros tarnybos duomenų baze, Lietuvos Statistikos departamento duomenų baze, Lietuvos banko duomenų baze.</w:t>
      </w:r>
    </w:p>
    <w:p w:rsidR="00BC79D7" w:rsidRDefault="00BC79D7" w:rsidP="00670E82">
      <w:pPr>
        <w:spacing w:line="360" w:lineRule="auto"/>
        <w:ind w:firstLine="567"/>
        <w:jc w:val="both"/>
        <w:rPr>
          <w:sz w:val="20"/>
          <w:szCs w:val="20"/>
          <w:lang w:val="lt-LT"/>
        </w:rPr>
      </w:pPr>
    </w:p>
    <w:p w:rsidR="005A2023" w:rsidRPr="00BC79D7" w:rsidRDefault="005A2023" w:rsidP="00670E82">
      <w:pPr>
        <w:spacing w:line="360" w:lineRule="auto"/>
        <w:ind w:firstLine="567"/>
        <w:jc w:val="both"/>
        <w:rPr>
          <w:lang w:val="lt-LT"/>
        </w:rPr>
      </w:pPr>
      <w:r w:rsidRPr="00BC79D7">
        <w:rPr>
          <w:lang w:val="lt-LT"/>
        </w:rPr>
        <w:t>Sudarytos porinės regresijos lygtys, kurios apibrėžia ryšį tarp transporto priemonių draudimo pasirašytų įmokų bei kiekvieno iš nepriklausomų kintamųjų. Nors koreliacinė analizė parodė, kad su vienais kintamaisiais ryšys stipresnis su kitais visiškai nereikšmingas sudarytos porinės regresijos lygtys visiems kintamiesiems. Kaip ir ne gyvybės draudimo pasirašytų įmokų analizės atveju buvo sudarytos dviejų tipų porinės regresijos lygtys. Nustatyta, kad į lygtis įtraukus laisvuosius narius jie daugelyje lygčių statistiškai nereikšmingi arba jų determinacijos koeficientas R</w:t>
      </w:r>
      <w:r w:rsidRPr="00BC79D7">
        <w:rPr>
          <w:vertAlign w:val="superscript"/>
          <w:lang w:val="lt-LT"/>
        </w:rPr>
        <w:t xml:space="preserve">2 </w:t>
      </w:r>
      <w:r w:rsidRPr="00BC79D7">
        <w:rPr>
          <w:lang w:val="lt-LT"/>
        </w:rPr>
        <w:t>labai mažas, tai reiškia, kad nepriklausomas kintamasis prastai paaiškina priklausomojo kintamojo reikšmes.</w:t>
      </w:r>
    </w:p>
    <w:p w:rsidR="005A2023" w:rsidRPr="008844D9" w:rsidRDefault="008844D9" w:rsidP="000C403A">
      <w:pPr>
        <w:pStyle w:val="lentels"/>
      </w:pPr>
      <w:bookmarkStart w:id="170" w:name="_Toc309559985"/>
      <w:bookmarkStart w:id="171" w:name="_Toc310014803"/>
      <w:bookmarkStart w:id="172" w:name="_Toc311970998"/>
      <w:bookmarkStart w:id="173" w:name="_Toc311971842"/>
      <w:bookmarkStart w:id="174" w:name="_Toc311971884"/>
      <w:r w:rsidRPr="008844D9">
        <w:t>3.8.</w:t>
      </w:r>
      <w:r w:rsidR="00A4245B">
        <w:t xml:space="preserve"> l</w:t>
      </w:r>
      <w:r w:rsidR="005A2023" w:rsidRPr="008844D9">
        <w:t xml:space="preserve">entelė. Koreliacijos koeficientai tarp transporto priemonių draudimo įmokų bei atitinkamų veiksnių bei jų </w:t>
      </w:r>
      <w:r w:rsidR="005A2023" w:rsidRPr="002E2F72">
        <w:rPr>
          <w:i/>
        </w:rPr>
        <w:t>t</w:t>
      </w:r>
      <w:r w:rsidR="005A2023" w:rsidRPr="008844D9">
        <w:t xml:space="preserve"> statistikos</w:t>
      </w:r>
      <w:bookmarkEnd w:id="170"/>
      <w:bookmarkEnd w:id="171"/>
      <w:bookmarkEnd w:id="172"/>
      <w:bookmarkEnd w:id="173"/>
      <w:bookmarkEnd w:id="174"/>
    </w:p>
    <w:tbl>
      <w:tblPr>
        <w:tblStyle w:val="TableGrid"/>
        <w:tblW w:w="0" w:type="auto"/>
        <w:jc w:val="center"/>
        <w:tblLook w:val="04A0"/>
      </w:tblPr>
      <w:tblGrid>
        <w:gridCol w:w="1110"/>
        <w:gridCol w:w="2729"/>
        <w:gridCol w:w="1316"/>
      </w:tblGrid>
      <w:tr w:rsidR="005A2023" w:rsidRPr="00303A5A" w:rsidTr="004C3AD6">
        <w:trPr>
          <w:jc w:val="center"/>
        </w:trPr>
        <w:tc>
          <w:tcPr>
            <w:tcW w:w="1110" w:type="dxa"/>
          </w:tcPr>
          <w:p w:rsidR="005A2023" w:rsidRPr="00303A5A" w:rsidRDefault="005A2023" w:rsidP="004C3AD6">
            <w:pPr>
              <w:jc w:val="both"/>
              <w:rPr>
                <w:lang w:val="lt-LT"/>
              </w:rPr>
            </w:pPr>
            <w:r w:rsidRPr="00303A5A">
              <w:rPr>
                <w:lang w:val="lt-LT"/>
              </w:rPr>
              <w:t>Veiksnys</w:t>
            </w:r>
          </w:p>
        </w:tc>
        <w:tc>
          <w:tcPr>
            <w:tcW w:w="2729" w:type="dxa"/>
          </w:tcPr>
          <w:p w:rsidR="005A2023" w:rsidRPr="00303A5A" w:rsidRDefault="005A2023" w:rsidP="004C3AD6">
            <w:pPr>
              <w:jc w:val="both"/>
              <w:rPr>
                <w:lang w:val="lt-LT"/>
              </w:rPr>
            </w:pPr>
            <w:r w:rsidRPr="00303A5A">
              <w:rPr>
                <w:lang w:val="lt-LT"/>
              </w:rPr>
              <w:t>Koreliacijos koeficientas</w:t>
            </w:r>
          </w:p>
        </w:tc>
        <w:tc>
          <w:tcPr>
            <w:tcW w:w="1316" w:type="dxa"/>
          </w:tcPr>
          <w:p w:rsidR="005A2023" w:rsidRPr="00303A5A" w:rsidRDefault="005A2023" w:rsidP="004C3AD6">
            <w:pPr>
              <w:jc w:val="both"/>
              <w:rPr>
                <w:lang w:val="lt-LT"/>
              </w:rPr>
            </w:pPr>
            <w:r w:rsidRPr="00303A5A">
              <w:rPr>
                <w:lang w:val="lt-LT"/>
              </w:rPr>
              <w:t>t statistika</w:t>
            </w:r>
          </w:p>
        </w:tc>
      </w:tr>
      <w:tr w:rsidR="005A2023" w:rsidRPr="00303A5A" w:rsidTr="004C3AD6">
        <w:trPr>
          <w:jc w:val="center"/>
        </w:trPr>
        <w:tc>
          <w:tcPr>
            <w:tcW w:w="1110" w:type="dxa"/>
          </w:tcPr>
          <w:p w:rsidR="005A2023" w:rsidRPr="00303A5A" w:rsidRDefault="005A2023" w:rsidP="004C3AD6">
            <w:pPr>
              <w:rPr>
                <w:lang w:val="lt-LT"/>
              </w:rPr>
            </w:pPr>
            <w:r w:rsidRPr="00303A5A">
              <w:rPr>
                <w:lang w:val="lt-LT"/>
              </w:rPr>
              <w:t>Xk1</w:t>
            </w:r>
          </w:p>
        </w:tc>
        <w:tc>
          <w:tcPr>
            <w:tcW w:w="2729" w:type="dxa"/>
          </w:tcPr>
          <w:p w:rsidR="005A2023" w:rsidRPr="00303A5A" w:rsidRDefault="005A2023" w:rsidP="004C3AD6">
            <w:pPr>
              <w:ind w:firstLine="567"/>
              <w:jc w:val="center"/>
              <w:rPr>
                <w:b/>
                <w:lang w:val="lt-LT"/>
              </w:rPr>
            </w:pPr>
            <w:r w:rsidRPr="00303A5A">
              <w:rPr>
                <w:b/>
                <w:lang w:val="lt-LT"/>
              </w:rPr>
              <w:t>0,650</w:t>
            </w:r>
          </w:p>
        </w:tc>
        <w:tc>
          <w:tcPr>
            <w:tcW w:w="1316" w:type="dxa"/>
          </w:tcPr>
          <w:p w:rsidR="005A2023" w:rsidRPr="00303A5A" w:rsidRDefault="005A2023" w:rsidP="004C3AD6">
            <w:pPr>
              <w:jc w:val="center"/>
              <w:rPr>
                <w:b/>
                <w:lang w:val="lt-LT"/>
              </w:rPr>
            </w:pPr>
            <w:r w:rsidRPr="00303A5A">
              <w:rPr>
                <w:b/>
                <w:lang w:val="lt-LT"/>
              </w:rPr>
              <w:t>4,535</w:t>
            </w:r>
          </w:p>
        </w:tc>
      </w:tr>
      <w:tr w:rsidR="005A2023" w:rsidRPr="00303A5A" w:rsidTr="004C3AD6">
        <w:trPr>
          <w:jc w:val="center"/>
        </w:trPr>
        <w:tc>
          <w:tcPr>
            <w:tcW w:w="1110" w:type="dxa"/>
          </w:tcPr>
          <w:p w:rsidR="005A2023" w:rsidRPr="00303A5A" w:rsidRDefault="005A2023" w:rsidP="004C3AD6">
            <w:pPr>
              <w:rPr>
                <w:lang w:val="lt-LT"/>
              </w:rPr>
            </w:pPr>
            <w:r w:rsidRPr="00303A5A">
              <w:rPr>
                <w:lang w:val="lt-LT"/>
              </w:rPr>
              <w:t>Xk2</w:t>
            </w:r>
          </w:p>
        </w:tc>
        <w:tc>
          <w:tcPr>
            <w:tcW w:w="2729" w:type="dxa"/>
          </w:tcPr>
          <w:p w:rsidR="005A2023" w:rsidRPr="00303A5A" w:rsidRDefault="005A2023" w:rsidP="004C3AD6">
            <w:pPr>
              <w:ind w:firstLine="567"/>
              <w:jc w:val="center"/>
              <w:rPr>
                <w:lang w:val="lt-LT"/>
              </w:rPr>
            </w:pPr>
            <w:r w:rsidRPr="00303A5A">
              <w:rPr>
                <w:lang w:val="lt-LT"/>
              </w:rPr>
              <w:t>0,233</w:t>
            </w:r>
          </w:p>
        </w:tc>
        <w:tc>
          <w:tcPr>
            <w:tcW w:w="1316" w:type="dxa"/>
          </w:tcPr>
          <w:p w:rsidR="005A2023" w:rsidRPr="00303A5A" w:rsidRDefault="005A2023" w:rsidP="004C3AD6">
            <w:pPr>
              <w:jc w:val="center"/>
              <w:rPr>
                <w:lang w:val="lt-LT"/>
              </w:rPr>
            </w:pPr>
            <w:r w:rsidRPr="00303A5A">
              <w:rPr>
                <w:lang w:val="lt-LT"/>
              </w:rPr>
              <w:t>1,268</w:t>
            </w:r>
          </w:p>
        </w:tc>
      </w:tr>
      <w:tr w:rsidR="005A2023" w:rsidRPr="00303A5A" w:rsidTr="004C3AD6">
        <w:trPr>
          <w:jc w:val="center"/>
        </w:trPr>
        <w:tc>
          <w:tcPr>
            <w:tcW w:w="1110" w:type="dxa"/>
          </w:tcPr>
          <w:p w:rsidR="005A2023" w:rsidRPr="00303A5A" w:rsidRDefault="005A2023" w:rsidP="004C3AD6">
            <w:pPr>
              <w:rPr>
                <w:lang w:val="lt-LT"/>
              </w:rPr>
            </w:pPr>
            <w:r w:rsidRPr="00303A5A">
              <w:rPr>
                <w:lang w:val="lt-LT"/>
              </w:rPr>
              <w:t>Xk3</w:t>
            </w:r>
          </w:p>
        </w:tc>
        <w:tc>
          <w:tcPr>
            <w:tcW w:w="2729" w:type="dxa"/>
          </w:tcPr>
          <w:p w:rsidR="005A2023" w:rsidRPr="00303A5A" w:rsidRDefault="005A2023" w:rsidP="004C3AD6">
            <w:pPr>
              <w:ind w:firstLine="567"/>
              <w:jc w:val="center"/>
              <w:rPr>
                <w:b/>
                <w:lang w:val="lt-LT"/>
              </w:rPr>
            </w:pPr>
            <w:r w:rsidRPr="00303A5A">
              <w:rPr>
                <w:b/>
                <w:lang w:val="lt-LT"/>
              </w:rPr>
              <w:t>-0,725</w:t>
            </w:r>
          </w:p>
        </w:tc>
        <w:tc>
          <w:tcPr>
            <w:tcW w:w="1316" w:type="dxa"/>
          </w:tcPr>
          <w:p w:rsidR="005A2023" w:rsidRPr="00303A5A" w:rsidRDefault="005A2023" w:rsidP="004C3AD6">
            <w:pPr>
              <w:jc w:val="center"/>
              <w:rPr>
                <w:b/>
                <w:lang w:val="lt-LT"/>
              </w:rPr>
            </w:pPr>
            <w:r w:rsidRPr="00303A5A">
              <w:rPr>
                <w:b/>
                <w:lang w:val="lt-LT"/>
              </w:rPr>
              <w:t>-5,577</w:t>
            </w:r>
          </w:p>
        </w:tc>
      </w:tr>
      <w:tr w:rsidR="005A2023" w:rsidRPr="00303A5A" w:rsidTr="004C3AD6">
        <w:trPr>
          <w:jc w:val="center"/>
        </w:trPr>
        <w:tc>
          <w:tcPr>
            <w:tcW w:w="1110" w:type="dxa"/>
          </w:tcPr>
          <w:p w:rsidR="005A2023" w:rsidRPr="00303A5A" w:rsidRDefault="005A2023" w:rsidP="004C3AD6">
            <w:pPr>
              <w:rPr>
                <w:lang w:val="lt-LT"/>
              </w:rPr>
            </w:pPr>
            <w:r w:rsidRPr="00303A5A">
              <w:rPr>
                <w:lang w:val="lt-LT"/>
              </w:rPr>
              <w:t>Xk4</w:t>
            </w:r>
          </w:p>
        </w:tc>
        <w:tc>
          <w:tcPr>
            <w:tcW w:w="2729" w:type="dxa"/>
          </w:tcPr>
          <w:p w:rsidR="005A2023" w:rsidRPr="00303A5A" w:rsidRDefault="005A2023" w:rsidP="004C3AD6">
            <w:pPr>
              <w:ind w:firstLine="567"/>
              <w:jc w:val="center"/>
              <w:rPr>
                <w:b/>
                <w:lang w:val="lt-LT"/>
              </w:rPr>
            </w:pPr>
            <w:r w:rsidRPr="00303A5A">
              <w:rPr>
                <w:b/>
                <w:lang w:val="lt-LT"/>
              </w:rPr>
              <w:t>0,775</w:t>
            </w:r>
          </w:p>
        </w:tc>
        <w:tc>
          <w:tcPr>
            <w:tcW w:w="1316" w:type="dxa"/>
          </w:tcPr>
          <w:p w:rsidR="005A2023" w:rsidRPr="00303A5A" w:rsidRDefault="005A2023" w:rsidP="004C3AD6">
            <w:pPr>
              <w:jc w:val="center"/>
              <w:rPr>
                <w:b/>
                <w:lang w:val="lt-LT"/>
              </w:rPr>
            </w:pPr>
            <w:r w:rsidRPr="00303A5A">
              <w:rPr>
                <w:b/>
                <w:lang w:val="lt-LT"/>
              </w:rPr>
              <w:t>6,496</w:t>
            </w:r>
          </w:p>
        </w:tc>
      </w:tr>
      <w:tr w:rsidR="005A2023" w:rsidRPr="00303A5A" w:rsidTr="004C3AD6">
        <w:trPr>
          <w:jc w:val="center"/>
        </w:trPr>
        <w:tc>
          <w:tcPr>
            <w:tcW w:w="1110" w:type="dxa"/>
          </w:tcPr>
          <w:p w:rsidR="005A2023" w:rsidRPr="00303A5A" w:rsidRDefault="00D138E3" w:rsidP="004C3AD6">
            <w:pPr>
              <w:rPr>
                <w:lang w:val="lt-LT"/>
              </w:rPr>
            </w:pPr>
            <w:r>
              <w:rPr>
                <w:lang w:val="lt-LT"/>
              </w:rPr>
              <w:t>Xk5</w:t>
            </w:r>
          </w:p>
        </w:tc>
        <w:tc>
          <w:tcPr>
            <w:tcW w:w="2729" w:type="dxa"/>
          </w:tcPr>
          <w:p w:rsidR="005A2023" w:rsidRPr="00303A5A" w:rsidRDefault="005A2023" w:rsidP="004C3AD6">
            <w:pPr>
              <w:ind w:firstLine="567"/>
              <w:jc w:val="center"/>
              <w:rPr>
                <w:b/>
                <w:lang w:val="lt-LT"/>
              </w:rPr>
            </w:pPr>
            <w:r w:rsidRPr="00303A5A">
              <w:rPr>
                <w:b/>
                <w:lang w:val="lt-LT"/>
              </w:rPr>
              <w:t>0,797</w:t>
            </w:r>
          </w:p>
        </w:tc>
        <w:tc>
          <w:tcPr>
            <w:tcW w:w="1316" w:type="dxa"/>
          </w:tcPr>
          <w:p w:rsidR="005A2023" w:rsidRPr="00303A5A" w:rsidRDefault="005A2023" w:rsidP="004C3AD6">
            <w:pPr>
              <w:jc w:val="center"/>
              <w:rPr>
                <w:b/>
                <w:lang w:val="lt-LT"/>
              </w:rPr>
            </w:pPr>
            <w:r w:rsidRPr="00303A5A">
              <w:rPr>
                <w:b/>
                <w:lang w:val="lt-LT"/>
              </w:rPr>
              <w:t>6,996</w:t>
            </w:r>
          </w:p>
        </w:tc>
      </w:tr>
      <w:tr w:rsidR="005A2023" w:rsidRPr="00303A5A" w:rsidTr="004C3AD6">
        <w:trPr>
          <w:jc w:val="center"/>
        </w:trPr>
        <w:tc>
          <w:tcPr>
            <w:tcW w:w="1110" w:type="dxa"/>
          </w:tcPr>
          <w:p w:rsidR="005A2023" w:rsidRPr="00303A5A" w:rsidRDefault="00D138E3" w:rsidP="004C3AD6">
            <w:pPr>
              <w:rPr>
                <w:lang w:val="lt-LT"/>
              </w:rPr>
            </w:pPr>
            <w:r>
              <w:rPr>
                <w:lang w:val="lt-LT"/>
              </w:rPr>
              <w:t>Xk6</w:t>
            </w:r>
          </w:p>
        </w:tc>
        <w:tc>
          <w:tcPr>
            <w:tcW w:w="2729" w:type="dxa"/>
          </w:tcPr>
          <w:p w:rsidR="005A2023" w:rsidRPr="00303A5A" w:rsidRDefault="005A2023" w:rsidP="004C3AD6">
            <w:pPr>
              <w:ind w:firstLine="567"/>
              <w:jc w:val="center"/>
              <w:rPr>
                <w:b/>
                <w:lang w:val="lt-LT"/>
              </w:rPr>
            </w:pPr>
            <w:r w:rsidRPr="00303A5A">
              <w:rPr>
                <w:b/>
                <w:lang w:val="lt-LT"/>
              </w:rPr>
              <w:t>0,579</w:t>
            </w:r>
          </w:p>
        </w:tc>
        <w:tc>
          <w:tcPr>
            <w:tcW w:w="1316" w:type="dxa"/>
          </w:tcPr>
          <w:p w:rsidR="005A2023" w:rsidRPr="00303A5A" w:rsidRDefault="005A2023" w:rsidP="004C3AD6">
            <w:pPr>
              <w:jc w:val="center"/>
              <w:rPr>
                <w:b/>
                <w:lang w:val="lt-LT"/>
              </w:rPr>
            </w:pPr>
            <w:r w:rsidRPr="00303A5A">
              <w:rPr>
                <w:b/>
                <w:lang w:val="lt-LT"/>
              </w:rPr>
              <w:t>3,764</w:t>
            </w:r>
          </w:p>
        </w:tc>
      </w:tr>
    </w:tbl>
    <w:p w:rsidR="005A2023" w:rsidRPr="00303A5A" w:rsidRDefault="005A2023" w:rsidP="005A2023">
      <w:pPr>
        <w:spacing w:line="360" w:lineRule="auto"/>
        <w:ind w:firstLine="567"/>
        <w:jc w:val="both"/>
        <w:rPr>
          <w:lang w:val="lt-LT"/>
        </w:rPr>
      </w:pPr>
    </w:p>
    <w:p w:rsidR="005A2023" w:rsidRPr="00303A5A" w:rsidRDefault="005A2023" w:rsidP="00670E82">
      <w:pPr>
        <w:spacing w:line="360" w:lineRule="auto"/>
        <w:ind w:firstLine="567"/>
        <w:jc w:val="both"/>
        <w:rPr>
          <w:lang w:val="lt-LT"/>
        </w:rPr>
      </w:pPr>
      <w:r w:rsidRPr="00303A5A">
        <w:rPr>
          <w:lang w:val="lt-LT"/>
        </w:rPr>
        <w:t>Vienintelė porinės regresijos lygtis, kurioje įtrauktas laisvasis narys bei jis yra statistiškai re</w:t>
      </w:r>
      <w:r w:rsidR="00D138E3">
        <w:rPr>
          <w:lang w:val="lt-LT"/>
        </w:rPr>
        <w:t>ikšmingas yra K = 49,176 + 5*Xk5</w:t>
      </w:r>
      <w:r w:rsidRPr="00303A5A">
        <w:rPr>
          <w:lang w:val="lt-LT"/>
        </w:rPr>
        <w:t xml:space="preserve">, šios lygties determinacijos koeficiento statistika </w:t>
      </w:r>
      <w:r w:rsidR="0072006A" w:rsidRPr="00303A5A">
        <w:rPr>
          <w:sz w:val="23"/>
          <w:szCs w:val="23"/>
          <w:lang w:val="lt-LT"/>
        </w:rPr>
        <w:t>R</w:t>
      </w:r>
      <w:r w:rsidR="0072006A" w:rsidRPr="00303A5A">
        <w:rPr>
          <w:sz w:val="23"/>
          <w:szCs w:val="23"/>
          <w:vertAlign w:val="superscript"/>
          <w:lang w:val="lt-LT"/>
        </w:rPr>
        <w:t>2</w:t>
      </w:r>
      <w:r w:rsidRPr="00303A5A">
        <w:rPr>
          <w:lang w:val="lt-LT"/>
        </w:rPr>
        <w:t xml:space="preserve"> = 0,63. </w:t>
      </w:r>
      <w:r w:rsidRPr="00303A5A">
        <w:rPr>
          <w:lang w:val="lt-LT"/>
        </w:rPr>
        <w:lastRenderedPageBreak/>
        <w:t>Visose kitose porinėse lygtyse su laisvaisiais nariais jie nereikšmingi, todėl sudarytos porinės regresijos lygtys, kuriose laisvojo nario nėra</w:t>
      </w:r>
      <w:r w:rsidR="008844D9">
        <w:rPr>
          <w:lang w:val="lt-LT"/>
        </w:rPr>
        <w:t>, jos pateiktos 3.9. lentelėje</w:t>
      </w:r>
      <w:r w:rsidRPr="00303A5A">
        <w:rPr>
          <w:lang w:val="lt-LT"/>
        </w:rPr>
        <w:t xml:space="preserve">. Geriausiai transporto draudimo pasirašytas </w:t>
      </w:r>
      <w:r w:rsidR="00D138E3">
        <w:rPr>
          <w:lang w:val="lt-LT"/>
        </w:rPr>
        <w:t>draudimo įmokas aprašo Xk5</w:t>
      </w:r>
      <w:r w:rsidRPr="00303A5A">
        <w:rPr>
          <w:lang w:val="lt-LT"/>
        </w:rPr>
        <w:t xml:space="preserve"> nepriklausomas kintamasis, t.y. vartotojų kainų indekso dinamika labiausiai sutampa su priklausomojo kintamojo dinamika. Gerai transporto priemonių draudimo pasirašytas įmokas paaiškina ir Xk1 bei Xk2 – BVP vienam gyventojui bei eismo įvykių skaičius.</w:t>
      </w:r>
    </w:p>
    <w:p w:rsidR="005A2023" w:rsidRPr="008844D9" w:rsidRDefault="008844D9" w:rsidP="000C403A">
      <w:pPr>
        <w:pStyle w:val="lentels"/>
      </w:pPr>
      <w:bookmarkStart w:id="175" w:name="_Toc309559986"/>
      <w:bookmarkStart w:id="176" w:name="_Toc310014804"/>
      <w:bookmarkStart w:id="177" w:name="_Toc311970999"/>
      <w:bookmarkStart w:id="178" w:name="_Toc311971843"/>
      <w:bookmarkStart w:id="179" w:name="_Toc311971885"/>
      <w:r w:rsidRPr="008844D9">
        <w:t xml:space="preserve">3.9. </w:t>
      </w:r>
      <w:r w:rsidR="00A4245B">
        <w:t>l</w:t>
      </w:r>
      <w:r w:rsidR="005A2023" w:rsidRPr="008844D9">
        <w:t>entelė. Porinės regresijos lygtys tarp transporto priemonių draudime pasirašytų įmokų bei atitinkamo veiksnio ir pagal jas paskaičiuotų R</w:t>
      </w:r>
      <w:r w:rsidR="005A2023" w:rsidRPr="00D428D9">
        <w:rPr>
          <w:vertAlign w:val="superscript"/>
        </w:rPr>
        <w:t>2</w:t>
      </w:r>
      <w:r w:rsidR="005A2023" w:rsidRPr="008844D9">
        <w:t xml:space="preserve"> statistikų reikšmės</w:t>
      </w:r>
      <w:bookmarkEnd w:id="175"/>
      <w:bookmarkEnd w:id="176"/>
      <w:bookmarkEnd w:id="177"/>
      <w:bookmarkEnd w:id="178"/>
      <w:bookmarkEnd w:id="179"/>
    </w:p>
    <w:tbl>
      <w:tblPr>
        <w:tblStyle w:val="TableGrid"/>
        <w:tblW w:w="0" w:type="auto"/>
        <w:jc w:val="center"/>
        <w:tblLook w:val="04A0"/>
      </w:tblPr>
      <w:tblGrid>
        <w:gridCol w:w="2277"/>
        <w:gridCol w:w="756"/>
      </w:tblGrid>
      <w:tr w:rsidR="005A2023" w:rsidRPr="00303A5A" w:rsidTr="00D138E3">
        <w:trPr>
          <w:jc w:val="center"/>
        </w:trPr>
        <w:tc>
          <w:tcPr>
            <w:tcW w:w="2277" w:type="dxa"/>
          </w:tcPr>
          <w:p w:rsidR="005A2023" w:rsidRPr="00303A5A" w:rsidRDefault="005A2023" w:rsidP="004C3AD6">
            <w:pPr>
              <w:rPr>
                <w:lang w:val="lt-LT"/>
              </w:rPr>
            </w:pPr>
            <w:r w:rsidRPr="00303A5A">
              <w:rPr>
                <w:sz w:val="23"/>
                <w:szCs w:val="23"/>
                <w:lang w:val="lt-LT"/>
              </w:rPr>
              <w:br w:type="page"/>
            </w:r>
            <w:r w:rsidRPr="00303A5A">
              <w:rPr>
                <w:lang w:val="lt-LT"/>
              </w:rPr>
              <w:t>Regresijos lygtis</w:t>
            </w:r>
          </w:p>
        </w:tc>
        <w:tc>
          <w:tcPr>
            <w:tcW w:w="756" w:type="dxa"/>
          </w:tcPr>
          <w:p w:rsidR="005A2023" w:rsidRPr="00303A5A" w:rsidRDefault="005A2023" w:rsidP="004C3AD6">
            <w:pPr>
              <w:rPr>
                <w:lang w:val="lt-LT"/>
              </w:rPr>
            </w:pPr>
            <w:r w:rsidRPr="00303A5A">
              <w:rPr>
                <w:lang w:val="lt-LT"/>
              </w:rPr>
              <w:t>R</w:t>
            </w:r>
            <w:r w:rsidRPr="00303A5A">
              <w:rPr>
                <w:vertAlign w:val="superscript"/>
                <w:lang w:val="lt-LT"/>
              </w:rPr>
              <w:t>2</w:t>
            </w:r>
          </w:p>
        </w:tc>
      </w:tr>
      <w:tr w:rsidR="005A2023" w:rsidRPr="00303A5A" w:rsidTr="00D138E3">
        <w:trPr>
          <w:jc w:val="center"/>
        </w:trPr>
        <w:tc>
          <w:tcPr>
            <w:tcW w:w="2277" w:type="dxa"/>
          </w:tcPr>
          <w:p w:rsidR="005A2023" w:rsidRPr="00303A5A" w:rsidRDefault="005A2023" w:rsidP="004C3AD6">
            <w:pPr>
              <w:rPr>
                <w:lang w:val="lt-LT"/>
              </w:rPr>
            </w:pPr>
            <w:r w:rsidRPr="00303A5A">
              <w:rPr>
                <w:lang w:val="lt-LT"/>
              </w:rPr>
              <w:t>K= 0,01068 *Xk1</w:t>
            </w:r>
          </w:p>
        </w:tc>
        <w:tc>
          <w:tcPr>
            <w:tcW w:w="756" w:type="dxa"/>
          </w:tcPr>
          <w:p w:rsidR="005A2023" w:rsidRPr="00303A5A" w:rsidRDefault="005A2023" w:rsidP="004C3AD6">
            <w:pPr>
              <w:rPr>
                <w:lang w:val="lt-LT"/>
              </w:rPr>
            </w:pPr>
            <w:r w:rsidRPr="00303A5A">
              <w:rPr>
                <w:lang w:val="lt-LT"/>
              </w:rPr>
              <w:t>0,951</w:t>
            </w:r>
          </w:p>
        </w:tc>
      </w:tr>
      <w:tr w:rsidR="005A2023" w:rsidRPr="00303A5A" w:rsidTr="00D138E3">
        <w:trPr>
          <w:jc w:val="center"/>
        </w:trPr>
        <w:tc>
          <w:tcPr>
            <w:tcW w:w="2277" w:type="dxa"/>
          </w:tcPr>
          <w:p w:rsidR="005A2023" w:rsidRPr="00303A5A" w:rsidRDefault="005A2023" w:rsidP="004C3AD6">
            <w:pPr>
              <w:rPr>
                <w:lang w:val="lt-LT"/>
              </w:rPr>
            </w:pPr>
            <w:r w:rsidRPr="00303A5A">
              <w:rPr>
                <w:lang w:val="lt-LT"/>
              </w:rPr>
              <w:t>K = 0,04946 *Xk2</w:t>
            </w:r>
          </w:p>
        </w:tc>
        <w:tc>
          <w:tcPr>
            <w:tcW w:w="756" w:type="dxa"/>
          </w:tcPr>
          <w:p w:rsidR="005A2023" w:rsidRPr="00303A5A" w:rsidRDefault="005A2023" w:rsidP="004C3AD6">
            <w:pPr>
              <w:rPr>
                <w:lang w:val="lt-LT"/>
              </w:rPr>
            </w:pPr>
            <w:r w:rsidRPr="00303A5A">
              <w:rPr>
                <w:lang w:val="lt-LT"/>
              </w:rPr>
              <w:t>0,865</w:t>
            </w:r>
          </w:p>
        </w:tc>
      </w:tr>
      <w:tr w:rsidR="005A2023" w:rsidRPr="00303A5A" w:rsidTr="00D138E3">
        <w:trPr>
          <w:jc w:val="center"/>
        </w:trPr>
        <w:tc>
          <w:tcPr>
            <w:tcW w:w="2277" w:type="dxa"/>
          </w:tcPr>
          <w:p w:rsidR="005A2023" w:rsidRPr="00303A5A" w:rsidRDefault="005A2023" w:rsidP="004C3AD6">
            <w:pPr>
              <w:rPr>
                <w:lang w:val="lt-LT"/>
              </w:rPr>
            </w:pPr>
            <w:r w:rsidRPr="00303A5A">
              <w:rPr>
                <w:lang w:val="lt-LT"/>
              </w:rPr>
              <w:t>K = 5,1145 *Xk3</w:t>
            </w:r>
          </w:p>
        </w:tc>
        <w:tc>
          <w:tcPr>
            <w:tcW w:w="756" w:type="dxa"/>
          </w:tcPr>
          <w:p w:rsidR="005A2023" w:rsidRPr="00303A5A" w:rsidRDefault="005A2023" w:rsidP="004C3AD6">
            <w:pPr>
              <w:rPr>
                <w:lang w:val="lt-LT"/>
              </w:rPr>
            </w:pPr>
            <w:r w:rsidRPr="00303A5A">
              <w:rPr>
                <w:lang w:val="lt-LT"/>
              </w:rPr>
              <w:t>0,583</w:t>
            </w:r>
          </w:p>
        </w:tc>
      </w:tr>
      <w:tr w:rsidR="005A2023" w:rsidRPr="00303A5A" w:rsidTr="00D138E3">
        <w:trPr>
          <w:jc w:val="center"/>
        </w:trPr>
        <w:tc>
          <w:tcPr>
            <w:tcW w:w="2277" w:type="dxa"/>
          </w:tcPr>
          <w:p w:rsidR="005A2023" w:rsidRPr="00303A5A" w:rsidRDefault="005A2023" w:rsidP="004C3AD6">
            <w:pPr>
              <w:rPr>
                <w:lang w:val="lt-LT"/>
              </w:rPr>
            </w:pPr>
            <w:r w:rsidRPr="00303A5A">
              <w:rPr>
                <w:lang w:val="lt-LT"/>
              </w:rPr>
              <w:t>K = 0,0015 *Xk4</w:t>
            </w:r>
          </w:p>
        </w:tc>
        <w:tc>
          <w:tcPr>
            <w:tcW w:w="756" w:type="dxa"/>
          </w:tcPr>
          <w:p w:rsidR="005A2023" w:rsidRPr="00303A5A" w:rsidRDefault="005A2023" w:rsidP="004C3AD6">
            <w:pPr>
              <w:rPr>
                <w:lang w:val="lt-LT"/>
              </w:rPr>
            </w:pPr>
            <w:r w:rsidRPr="00303A5A">
              <w:rPr>
                <w:lang w:val="lt-LT"/>
              </w:rPr>
              <w:t>0,966</w:t>
            </w:r>
          </w:p>
        </w:tc>
      </w:tr>
      <w:tr w:rsidR="005A2023" w:rsidRPr="00303A5A" w:rsidTr="00D138E3">
        <w:trPr>
          <w:jc w:val="center"/>
        </w:trPr>
        <w:tc>
          <w:tcPr>
            <w:tcW w:w="2277" w:type="dxa"/>
          </w:tcPr>
          <w:p w:rsidR="005A2023" w:rsidRPr="00303A5A" w:rsidRDefault="00D138E3" w:rsidP="004C3AD6">
            <w:pPr>
              <w:rPr>
                <w:lang w:val="lt-LT"/>
              </w:rPr>
            </w:pPr>
            <w:r>
              <w:rPr>
                <w:lang w:val="lt-LT"/>
              </w:rPr>
              <w:t>K = 12,167 *Xk5</w:t>
            </w:r>
          </w:p>
        </w:tc>
        <w:tc>
          <w:tcPr>
            <w:tcW w:w="756" w:type="dxa"/>
          </w:tcPr>
          <w:p w:rsidR="005A2023" w:rsidRPr="00303A5A" w:rsidRDefault="005A2023" w:rsidP="004C3AD6">
            <w:pPr>
              <w:rPr>
                <w:lang w:val="lt-LT"/>
              </w:rPr>
            </w:pPr>
            <w:r w:rsidRPr="00303A5A">
              <w:rPr>
                <w:lang w:val="lt-LT"/>
              </w:rPr>
              <w:t>0,795</w:t>
            </w:r>
          </w:p>
        </w:tc>
      </w:tr>
      <w:tr w:rsidR="005A2023" w:rsidRPr="00303A5A" w:rsidTr="00D138E3">
        <w:trPr>
          <w:jc w:val="center"/>
        </w:trPr>
        <w:tc>
          <w:tcPr>
            <w:tcW w:w="2277" w:type="dxa"/>
          </w:tcPr>
          <w:p w:rsidR="005A2023" w:rsidRPr="00303A5A" w:rsidRDefault="00D138E3" w:rsidP="004C3AD6">
            <w:pPr>
              <w:rPr>
                <w:lang w:val="lt-LT"/>
              </w:rPr>
            </w:pPr>
            <w:r>
              <w:rPr>
                <w:lang w:val="lt-LT"/>
              </w:rPr>
              <w:t>K = 0,808 *Xk6</w:t>
            </w:r>
          </w:p>
        </w:tc>
        <w:tc>
          <w:tcPr>
            <w:tcW w:w="756" w:type="dxa"/>
          </w:tcPr>
          <w:p w:rsidR="005A2023" w:rsidRPr="00303A5A" w:rsidRDefault="005A2023" w:rsidP="004C3AD6">
            <w:pPr>
              <w:rPr>
                <w:lang w:val="lt-LT"/>
              </w:rPr>
            </w:pPr>
            <w:r w:rsidRPr="00303A5A">
              <w:rPr>
                <w:lang w:val="lt-LT"/>
              </w:rPr>
              <w:t>0,922</w:t>
            </w:r>
          </w:p>
        </w:tc>
      </w:tr>
    </w:tbl>
    <w:p w:rsidR="005A2023" w:rsidRPr="00670E82" w:rsidRDefault="005A2023" w:rsidP="00670E82">
      <w:pPr>
        <w:spacing w:line="360" w:lineRule="auto"/>
        <w:ind w:firstLine="567"/>
        <w:rPr>
          <w:lang w:val="lt-LT"/>
        </w:rPr>
      </w:pPr>
    </w:p>
    <w:p w:rsidR="005A2023" w:rsidRPr="00670E82" w:rsidRDefault="005A2023" w:rsidP="00670E82">
      <w:pPr>
        <w:spacing w:line="360" w:lineRule="auto"/>
        <w:ind w:firstLine="567"/>
        <w:jc w:val="both"/>
        <w:rPr>
          <w:lang w:val="lt-LT"/>
        </w:rPr>
      </w:pPr>
      <w:r w:rsidRPr="00670E82">
        <w:rPr>
          <w:lang w:val="lt-LT"/>
        </w:rPr>
        <w:t>Atlikta analizė parodė, kad kiekvienas nepriklausomas kintamasis turi didesnį ar mažesnį ryšį su pasirašytomis draudimo įmokomis transporto draudime. Tačiau visi šia veiksniai veikia vienu metu ir daro at</w:t>
      </w:r>
      <w:r w:rsidR="00537EB0" w:rsidRPr="00670E82">
        <w:rPr>
          <w:lang w:val="lt-LT"/>
        </w:rPr>
        <w:t>itinkamą įtaką draudimo įmokoms. Norint nustatyti, kurie veiksniai ir kaip daro įtaką</w:t>
      </w:r>
      <w:r w:rsidRPr="00670E82">
        <w:rPr>
          <w:lang w:val="lt-LT"/>
        </w:rPr>
        <w:t xml:space="preserve"> buvo sudarytas daugianarės regresijos modelis į kurį buvo įtraukti keli nepriklausomi kintamieji</w:t>
      </w:r>
      <w:r w:rsidR="00537EB0" w:rsidRPr="00670E82">
        <w:rPr>
          <w:lang w:val="lt-LT"/>
        </w:rPr>
        <w:t xml:space="preserve">. </w:t>
      </w:r>
      <w:r w:rsidRPr="00670E82">
        <w:rPr>
          <w:lang w:val="lt-LT"/>
        </w:rPr>
        <w:t>Modelio sudarymui naudotasi metodik</w:t>
      </w:r>
      <w:r w:rsidR="00537EB0" w:rsidRPr="00670E82">
        <w:rPr>
          <w:lang w:val="lt-LT"/>
        </w:rPr>
        <w:t>a „nuo sudėtingo prie paprasto“</w:t>
      </w:r>
      <w:r w:rsidRPr="00670E82">
        <w:rPr>
          <w:lang w:val="lt-LT"/>
        </w:rPr>
        <w:t xml:space="preserve">, t.y. į modelį buvo įtraukti visi statistiškai reikšmingas koreliacijas su transporto draudimo pasirašytomis įmokomis turėję nepriklausomi kintamieji. Tada remiantis </w:t>
      </w:r>
      <w:r w:rsidRPr="00670E82">
        <w:rPr>
          <w:i/>
          <w:lang w:val="lt-LT"/>
        </w:rPr>
        <w:t>t</w:t>
      </w:r>
      <w:r w:rsidRPr="00670E82">
        <w:rPr>
          <w:lang w:val="lt-LT"/>
        </w:rPr>
        <w:t xml:space="preserve"> statistika ar koeficientas prie nepriklausomojo kintamojo yra statistiškai reikšmingas iš modelio buvo pašalinti tie nepriklausomi kintamieji, kurių koeficientai buvo statistiškai nereikšmingi, t.y. lygus nuliui.</w:t>
      </w:r>
    </w:p>
    <w:p w:rsidR="005A2023" w:rsidRPr="00670E82" w:rsidRDefault="005A2023" w:rsidP="00670E82">
      <w:pPr>
        <w:spacing w:line="360" w:lineRule="auto"/>
        <w:ind w:firstLine="567"/>
        <w:jc w:val="both"/>
        <w:outlineLvl w:val="0"/>
        <w:rPr>
          <w:lang w:val="lt-LT"/>
        </w:rPr>
      </w:pPr>
      <w:bookmarkStart w:id="180" w:name="_Toc309471445"/>
      <w:bookmarkStart w:id="181" w:name="_Toc309559987"/>
      <w:bookmarkStart w:id="182" w:name="_Toc310014805"/>
      <w:bookmarkStart w:id="183" w:name="_Toc311971844"/>
      <w:r w:rsidRPr="00670E82">
        <w:rPr>
          <w:lang w:val="lt-LT"/>
        </w:rPr>
        <w:t>Gautas modelis</w:t>
      </w:r>
      <w:bookmarkEnd w:id="180"/>
      <w:bookmarkEnd w:id="181"/>
      <w:bookmarkEnd w:id="182"/>
      <w:bookmarkEnd w:id="183"/>
      <w:r w:rsidRPr="00670E82">
        <w:rPr>
          <w:lang w:val="lt-LT"/>
        </w:rPr>
        <w:t xml:space="preserve"> </w:t>
      </w:r>
    </w:p>
    <w:p w:rsidR="005A2023" w:rsidRPr="00670E82" w:rsidRDefault="005A2023" w:rsidP="00670E82">
      <w:pPr>
        <w:spacing w:line="360" w:lineRule="auto"/>
        <w:ind w:firstLine="567"/>
        <w:jc w:val="center"/>
        <w:rPr>
          <w:lang w:val="lt-LT"/>
        </w:rPr>
      </w:pPr>
      <w:r w:rsidRPr="00670E82">
        <w:rPr>
          <w:lang w:val="lt-LT"/>
        </w:rPr>
        <w:t xml:space="preserve">K= 0,0086 *Xk1 - 2,6021 *Xk3 + 0,0002*Xk4 + </w:t>
      </w:r>
      <w:r w:rsidR="00D138E3" w:rsidRPr="00670E82">
        <w:rPr>
          <w:lang w:val="lt-LT"/>
        </w:rPr>
        <w:t>0,305*Xk6</w:t>
      </w:r>
      <w:r w:rsidRPr="00670E82">
        <w:rPr>
          <w:lang w:val="lt-LT"/>
        </w:rPr>
        <w:t>,   R</w:t>
      </w:r>
      <w:r w:rsidRPr="00670E82">
        <w:rPr>
          <w:vertAlign w:val="superscript"/>
          <w:lang w:val="lt-LT"/>
        </w:rPr>
        <w:t>2</w:t>
      </w:r>
      <w:r w:rsidRPr="00670E82">
        <w:rPr>
          <w:lang w:val="lt-LT"/>
        </w:rPr>
        <w:t xml:space="preserve"> = 0,9936;</w:t>
      </w:r>
    </w:p>
    <w:p w:rsidR="005A2023" w:rsidRPr="00670E82" w:rsidRDefault="005A2023" w:rsidP="00670E82">
      <w:pPr>
        <w:spacing w:line="360" w:lineRule="auto"/>
        <w:ind w:firstLine="567"/>
        <w:jc w:val="both"/>
        <w:rPr>
          <w:lang w:val="lt-LT"/>
        </w:rPr>
      </w:pPr>
      <w:r w:rsidRPr="00670E82">
        <w:rPr>
          <w:lang w:val="lt-LT"/>
        </w:rPr>
        <w:t>Transporto priemonių draudimo pasirašytas įmokas geriausiai aprašo modelis, kurio nepriklausomi kintamieji yra BVP vienam gyventojui, pirmą kartą registruotų transporto priemonių skaičius šalyje, nedarbas, ir išsilavinimo lygis šalyje. Šis modelis geriausias tiek determinacijos koeficiento, tiek modelio paklaidų prasme. Neigiamas koeficientas prie nedarbo kintamojo parodo, kad didėjantis nedarbas turi neigiamą įtaką transporto priemonių draudimui.</w:t>
      </w:r>
    </w:p>
    <w:p w:rsidR="0034340D" w:rsidRPr="00670E82" w:rsidRDefault="0034340D" w:rsidP="00670E82">
      <w:pPr>
        <w:spacing w:line="360" w:lineRule="auto"/>
        <w:ind w:firstLine="567"/>
        <w:jc w:val="both"/>
        <w:rPr>
          <w:lang w:val="lt-LT"/>
        </w:rPr>
      </w:pPr>
      <w:r w:rsidRPr="00670E82">
        <w:rPr>
          <w:lang w:val="lt-LT"/>
        </w:rPr>
        <w:t>Lietuvos ne gyvybės pasirašytų įmokų modelis buvo pritaikytas apskaičiuojant 2011</w:t>
      </w:r>
      <w:r w:rsidR="001F1042" w:rsidRPr="00670E82">
        <w:rPr>
          <w:lang w:val="lt-LT"/>
        </w:rPr>
        <w:t xml:space="preserve"> metų </w:t>
      </w:r>
      <w:r w:rsidRPr="00670E82">
        <w:rPr>
          <w:lang w:val="lt-LT"/>
        </w:rPr>
        <w:t xml:space="preserve"> III ketvirčio reikšmę. Sudarytas pasirašytų transporto priemonių draudimo įmokų modelis taip pat pritaikytas 2011 metų III ketvirčio reikšmei apskaičiuoti. Lietuvos statistikos departamentas paskelbė tokius 2011 metų III ketvirčio duomenis</w:t>
      </w:r>
      <w:r w:rsidR="006756D6" w:rsidRPr="00670E82">
        <w:rPr>
          <w:lang w:val="lt-LT"/>
        </w:rPr>
        <w:t>:</w:t>
      </w:r>
    </w:p>
    <w:p w:rsidR="0034340D" w:rsidRPr="00670E82" w:rsidRDefault="0034340D" w:rsidP="00670E82">
      <w:pPr>
        <w:pStyle w:val="ListParagraph"/>
        <w:numPr>
          <w:ilvl w:val="0"/>
          <w:numId w:val="10"/>
        </w:numPr>
        <w:spacing w:line="360" w:lineRule="auto"/>
        <w:ind w:firstLine="567"/>
        <w:jc w:val="both"/>
        <w:rPr>
          <w:lang w:val="lt-LT"/>
        </w:rPr>
      </w:pPr>
      <w:r w:rsidRPr="00670E82">
        <w:rPr>
          <w:lang w:val="lt-LT"/>
        </w:rPr>
        <w:t>BVP vienam gyventojui – 8656,51 lt;</w:t>
      </w:r>
    </w:p>
    <w:p w:rsidR="0034340D" w:rsidRPr="00670E82" w:rsidRDefault="0034340D" w:rsidP="00670E82">
      <w:pPr>
        <w:pStyle w:val="ListParagraph"/>
        <w:numPr>
          <w:ilvl w:val="0"/>
          <w:numId w:val="10"/>
        </w:numPr>
        <w:spacing w:line="360" w:lineRule="auto"/>
        <w:ind w:firstLine="567"/>
        <w:jc w:val="both"/>
        <w:rPr>
          <w:lang w:val="lt-LT"/>
        </w:rPr>
      </w:pPr>
      <w:r w:rsidRPr="00670E82">
        <w:rPr>
          <w:lang w:val="lt-LT"/>
        </w:rPr>
        <w:lastRenderedPageBreak/>
        <w:t xml:space="preserve">nedarbo lygis šalyje -14,8 </w:t>
      </w:r>
      <w:r w:rsidR="009A0ECE" w:rsidRPr="00670E82">
        <w:rPr>
          <w:lang w:val="lt-LT"/>
        </w:rPr>
        <w:t>proc.</w:t>
      </w:r>
      <w:r w:rsidRPr="00670E82">
        <w:rPr>
          <w:lang w:val="lt-LT"/>
        </w:rPr>
        <w:t>;</w:t>
      </w:r>
    </w:p>
    <w:p w:rsidR="0034340D" w:rsidRPr="00670E82" w:rsidRDefault="0034340D" w:rsidP="00670E82">
      <w:pPr>
        <w:pStyle w:val="ListParagraph"/>
        <w:numPr>
          <w:ilvl w:val="0"/>
          <w:numId w:val="10"/>
        </w:numPr>
        <w:spacing w:line="360" w:lineRule="auto"/>
        <w:ind w:firstLine="567"/>
        <w:jc w:val="both"/>
        <w:rPr>
          <w:lang w:val="lt-LT"/>
        </w:rPr>
      </w:pPr>
      <w:r w:rsidRPr="00670E82">
        <w:rPr>
          <w:lang w:val="lt-LT"/>
        </w:rPr>
        <w:t>pirmą kartą užregistruotų transporto priemonių skaičius – 43615;</w:t>
      </w:r>
    </w:p>
    <w:p w:rsidR="0034340D" w:rsidRPr="00670E82" w:rsidRDefault="0034340D" w:rsidP="00670E82">
      <w:pPr>
        <w:pStyle w:val="ListParagraph"/>
        <w:numPr>
          <w:ilvl w:val="0"/>
          <w:numId w:val="10"/>
        </w:numPr>
        <w:spacing w:line="360" w:lineRule="auto"/>
        <w:ind w:firstLine="567"/>
        <w:jc w:val="both"/>
        <w:rPr>
          <w:lang w:val="lt-LT"/>
        </w:rPr>
      </w:pPr>
      <w:r w:rsidRPr="00670E82">
        <w:rPr>
          <w:lang w:val="lt-LT"/>
        </w:rPr>
        <w:t>vidurinį ar aukštesnį išsilavinimą įgijusio jaunimo (20-24 metų) dalis –</w:t>
      </w:r>
      <w:r w:rsidR="00537EB0" w:rsidRPr="00670E82">
        <w:rPr>
          <w:lang w:val="lt-LT"/>
        </w:rPr>
        <w:t xml:space="preserve"> 87,0;</w:t>
      </w:r>
    </w:p>
    <w:p w:rsidR="0034340D" w:rsidRPr="00670E82" w:rsidRDefault="00CE0852" w:rsidP="00670E82">
      <w:pPr>
        <w:spacing w:line="360" w:lineRule="auto"/>
        <w:ind w:firstLine="567"/>
        <w:jc w:val="both"/>
        <w:rPr>
          <w:lang w:val="lt-LT"/>
        </w:rPr>
      </w:pPr>
      <w:r w:rsidRPr="00670E82">
        <w:rPr>
          <w:lang w:val="lt-LT"/>
        </w:rPr>
        <w:t>Įstačius į sudarytą transporto priemonių pasirašytų įmokų modelį turimas reikšmes gauta</w:t>
      </w:r>
      <w:r w:rsidR="006756D6" w:rsidRPr="00670E82">
        <w:rPr>
          <w:lang w:val="lt-LT"/>
        </w:rPr>
        <w:t>:</w:t>
      </w:r>
    </w:p>
    <w:p w:rsidR="00CE0852" w:rsidRPr="00670E82" w:rsidRDefault="00CE0852" w:rsidP="00670E82">
      <w:pPr>
        <w:spacing w:line="360" w:lineRule="auto"/>
        <w:ind w:firstLine="567"/>
        <w:jc w:val="both"/>
        <w:rPr>
          <w:lang w:val="lt-LT"/>
        </w:rPr>
      </w:pPr>
      <w:r w:rsidRPr="00670E82">
        <w:rPr>
          <w:b/>
          <w:lang w:val="lt-LT"/>
        </w:rPr>
        <w:t>K</w:t>
      </w:r>
      <w:r w:rsidRPr="00670E82">
        <w:rPr>
          <w:b/>
          <w:vertAlign w:val="subscript"/>
          <w:lang w:val="lt-LT"/>
        </w:rPr>
        <w:t>IIIketv</w:t>
      </w:r>
      <w:r w:rsidRPr="00670E82">
        <w:rPr>
          <w:b/>
          <w:lang w:val="lt-LT"/>
        </w:rPr>
        <w:t>.=</w:t>
      </w:r>
      <w:r w:rsidR="00537EB0" w:rsidRPr="00670E82">
        <w:rPr>
          <w:lang w:val="lt-LT"/>
        </w:rPr>
        <w:t xml:space="preserve"> </w:t>
      </w:r>
      <w:r w:rsidRPr="00670E82">
        <w:rPr>
          <w:lang w:val="lt-LT"/>
        </w:rPr>
        <w:t>0,0086*8656,51-2,6021*14,8+0,0001*43615+0,305*</w:t>
      </w:r>
      <w:r w:rsidR="00537EB0" w:rsidRPr="00670E82">
        <w:rPr>
          <w:lang w:val="lt-LT"/>
        </w:rPr>
        <w:t>87</w:t>
      </w:r>
      <w:r w:rsidRPr="00670E82">
        <w:rPr>
          <w:lang w:val="lt-LT"/>
        </w:rPr>
        <w:t xml:space="preserve"> =</w:t>
      </w:r>
      <w:r w:rsidR="00537EB0" w:rsidRPr="00670E82">
        <w:rPr>
          <w:lang w:val="lt-LT"/>
        </w:rPr>
        <w:t xml:space="preserve"> 66,83 mln. Lt</w:t>
      </w:r>
    </w:p>
    <w:p w:rsidR="00CE0852" w:rsidRPr="00670E82" w:rsidRDefault="00537EB0" w:rsidP="00670E82">
      <w:pPr>
        <w:spacing w:line="360" w:lineRule="auto"/>
        <w:ind w:firstLine="567"/>
        <w:jc w:val="both"/>
        <w:rPr>
          <w:lang w:val="lt-LT"/>
        </w:rPr>
      </w:pPr>
      <w:r w:rsidRPr="00670E82">
        <w:rPr>
          <w:lang w:val="lt-LT"/>
        </w:rPr>
        <w:t xml:space="preserve">Lietuvos Respublikos </w:t>
      </w:r>
      <w:r w:rsidR="00CE0852" w:rsidRPr="00670E82">
        <w:rPr>
          <w:lang w:val="lt-LT"/>
        </w:rPr>
        <w:t>draudimo priežiūros komisijos skelbiama 2011 III ketvirčio faktinė pasirašytų draudimo įmokų transporto priemonių dra</w:t>
      </w:r>
      <w:r w:rsidRPr="00670E82">
        <w:rPr>
          <w:lang w:val="lt-LT"/>
        </w:rPr>
        <w:t>udime reikšmė yra 64,43 mln. Lt, tai 3,73 proc. mažiau nei modeliu apskaičiuota reikšmė.</w:t>
      </w:r>
      <w:r w:rsidR="002655FC" w:rsidRPr="00670E82">
        <w:rPr>
          <w:lang w:val="lt-LT"/>
        </w:rPr>
        <w:t xml:space="preserve"> Gautas rezultatas yra puikus – modelis beveik idealiai aprašo transporto priemonių draudimo įmokas ir jį galima naudoti ateities prognozavimui. </w:t>
      </w:r>
    </w:p>
    <w:p w:rsidR="00E9306F" w:rsidRPr="00CE0852" w:rsidRDefault="00E9306F" w:rsidP="005A2023">
      <w:pPr>
        <w:spacing w:line="360" w:lineRule="auto"/>
        <w:ind w:firstLine="567"/>
        <w:jc w:val="both"/>
        <w:rPr>
          <w:sz w:val="23"/>
          <w:szCs w:val="23"/>
          <w:lang w:val="lt-LT"/>
        </w:rPr>
      </w:pPr>
    </w:p>
    <w:p w:rsidR="005A2023" w:rsidRDefault="00D138E3" w:rsidP="004C0E5F">
      <w:pPr>
        <w:pStyle w:val="Style1-h3"/>
      </w:pPr>
      <w:bookmarkStart w:id="184" w:name="_Toc309471446"/>
      <w:bookmarkStart w:id="185" w:name="_Toc309559988"/>
      <w:bookmarkStart w:id="186" w:name="_Toc311971365"/>
      <w:bookmarkStart w:id="187" w:name="_Toc311971554"/>
      <w:bookmarkStart w:id="188" w:name="_Toc311971700"/>
      <w:r>
        <w:t xml:space="preserve">3.2.3. </w:t>
      </w:r>
      <w:r w:rsidR="005A2023" w:rsidRPr="00303A5A">
        <w:t>Lietuvos turto draudimo rink</w:t>
      </w:r>
      <w:bookmarkEnd w:id="184"/>
      <w:bookmarkEnd w:id="185"/>
      <w:r>
        <w:t>os modelis</w:t>
      </w:r>
      <w:bookmarkEnd w:id="186"/>
      <w:bookmarkEnd w:id="187"/>
      <w:bookmarkEnd w:id="188"/>
    </w:p>
    <w:p w:rsidR="00A86DD0" w:rsidRDefault="005A2023" w:rsidP="00670E82">
      <w:pPr>
        <w:spacing w:line="360" w:lineRule="auto"/>
        <w:ind w:firstLine="567"/>
        <w:jc w:val="both"/>
        <w:rPr>
          <w:lang w:val="lt-LT"/>
        </w:rPr>
      </w:pPr>
      <w:r w:rsidRPr="00303A5A">
        <w:rPr>
          <w:lang w:val="lt-LT"/>
        </w:rPr>
        <w:t>Turto draudimas – dar viena labai svarbi draudimo grupė Lietuvos ne gyvybės draudimo rinkoje.</w:t>
      </w:r>
      <w:r w:rsidR="00B12AEB">
        <w:rPr>
          <w:lang w:val="lt-LT"/>
        </w:rPr>
        <w:t xml:space="preserve"> Ketvirtinių pasirašytų draudimo įmokų duomenų grafikas už laikotarpį 2004 I</w:t>
      </w:r>
      <w:r w:rsidR="0030341A">
        <w:rPr>
          <w:lang w:val="lt-LT"/>
        </w:rPr>
        <w:t>V</w:t>
      </w:r>
      <w:r w:rsidR="00B12AEB">
        <w:rPr>
          <w:lang w:val="lt-LT"/>
        </w:rPr>
        <w:t xml:space="preserve"> ketv. – 2011 II ketv. pateiktas 3.14. pav. Lietuvos ne gyvybės draudimo rinkos analizėje, 3.1. skyriuje buvo aptartas 2008 metų turto įmokų augimas įtakotas lengvatų žemės ūkio objektams. Ketvirtiniame duomenų grafike galime pastebėti, kad 2009 I ketvirtį </w:t>
      </w:r>
      <w:r w:rsidR="00A86DD0">
        <w:rPr>
          <w:lang w:val="lt-LT"/>
        </w:rPr>
        <w:t>pasirašytų įmokų suma buvo didesnė nei 2008 m. IV ketvirtį.</w:t>
      </w:r>
      <w:r w:rsidR="00B12AEB">
        <w:rPr>
          <w:lang w:val="lt-LT"/>
        </w:rPr>
        <w:t xml:space="preserve"> </w:t>
      </w:r>
      <w:r w:rsidR="00A86DD0">
        <w:rPr>
          <w:lang w:val="lt-LT"/>
        </w:rPr>
        <w:t>Tam įtakos turėjo ta pati priežastis – lengvatos žemės ūkio objektams.</w:t>
      </w:r>
    </w:p>
    <w:p w:rsidR="00E9306F" w:rsidRDefault="00A86DD0" w:rsidP="00670E82">
      <w:pPr>
        <w:spacing w:line="360" w:lineRule="auto"/>
        <w:ind w:firstLine="567"/>
        <w:jc w:val="both"/>
        <w:rPr>
          <w:lang w:val="lt-LT"/>
        </w:rPr>
      </w:pPr>
      <w:r>
        <w:rPr>
          <w:lang w:val="lt-LT"/>
        </w:rPr>
        <w:t xml:space="preserve">Sudarant turto draudimo pasirašytų draudimo įmokas aprašantį modelį bus naudojami veiksniai apžvelgti </w:t>
      </w:r>
      <w:r w:rsidR="00B12AEB">
        <w:rPr>
          <w:lang w:val="lt-LT"/>
        </w:rPr>
        <w:t>2.1. skyriuje, tik pašalinti du veiksniai, kurie, magistrantės nuomone, turi įtaką transporto priemonių draudimo rūšims, t.y. eismo įvykių skaičius kelyje bei pirmą užregistruotų transporto priemonių skaičius.</w:t>
      </w:r>
    </w:p>
    <w:p w:rsidR="000B1351" w:rsidRPr="00303A5A" w:rsidRDefault="000B1351" w:rsidP="00670E82">
      <w:pPr>
        <w:jc w:val="center"/>
        <w:rPr>
          <w:lang w:val="lt-LT"/>
        </w:rPr>
      </w:pPr>
      <w:r w:rsidRPr="0030341A">
        <w:rPr>
          <w:noProof/>
        </w:rPr>
        <w:drawing>
          <wp:inline distT="0" distB="0" distL="0" distR="0">
            <wp:extent cx="5940000" cy="2162175"/>
            <wp:effectExtent l="19050" t="0" r="2265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B1351" w:rsidRDefault="000B1351" w:rsidP="000B1351">
      <w:pPr>
        <w:pStyle w:val="Paveikslai"/>
      </w:pPr>
      <w:bookmarkStart w:id="189" w:name="_Toc309471447"/>
      <w:bookmarkStart w:id="190" w:name="_Toc309559989"/>
      <w:bookmarkStart w:id="191" w:name="_Toc310014806"/>
      <w:bookmarkStart w:id="192" w:name="_Toc311971020"/>
      <w:bookmarkStart w:id="193" w:name="_Toc311971845"/>
      <w:bookmarkStart w:id="194" w:name="_Toc311972033"/>
      <w:r>
        <w:rPr>
          <w:sz w:val="22"/>
          <w:szCs w:val="22"/>
        </w:rPr>
        <w:t>3.14.</w:t>
      </w:r>
      <w:r w:rsidRPr="00303A5A">
        <w:rPr>
          <w:sz w:val="22"/>
          <w:szCs w:val="22"/>
        </w:rPr>
        <w:t xml:space="preserve"> pav. 2004m</w:t>
      </w:r>
      <w:r>
        <w:rPr>
          <w:sz w:val="22"/>
          <w:szCs w:val="22"/>
        </w:rPr>
        <w:t>. IV ketvirčio</w:t>
      </w:r>
      <w:r>
        <w:t xml:space="preserve"> </w:t>
      </w:r>
      <w:r w:rsidRPr="00303A5A">
        <w:t>- 2011 m. II ketvirčio turto draudimo įmokų dinamika</w:t>
      </w:r>
      <w:bookmarkEnd w:id="189"/>
      <w:bookmarkEnd w:id="190"/>
      <w:bookmarkEnd w:id="191"/>
      <w:r>
        <w:t xml:space="preserve"> (mln. Lt)</w:t>
      </w:r>
      <w:bookmarkEnd w:id="192"/>
      <w:bookmarkEnd w:id="193"/>
      <w:bookmarkEnd w:id="194"/>
    </w:p>
    <w:p w:rsidR="000B1351" w:rsidRDefault="000B1351" w:rsidP="000B1351">
      <w:pPr>
        <w:pStyle w:val="Paveikslai"/>
      </w:pPr>
    </w:p>
    <w:p w:rsidR="00E9306F" w:rsidRPr="00A86DD0" w:rsidRDefault="00E9306F" w:rsidP="00670E82">
      <w:pPr>
        <w:spacing w:line="360" w:lineRule="auto"/>
        <w:ind w:firstLine="567"/>
        <w:jc w:val="both"/>
        <w:rPr>
          <w:lang w:val="lt-LT"/>
        </w:rPr>
      </w:pPr>
      <w:r w:rsidRPr="00A86DD0">
        <w:rPr>
          <w:lang w:val="lt-LT"/>
        </w:rPr>
        <w:t>Toliau tekste bus naudojami šie sutrumpinimai.</w:t>
      </w:r>
    </w:p>
    <w:p w:rsidR="00E9306F" w:rsidRPr="00303A5A" w:rsidRDefault="00E9306F" w:rsidP="00670E82">
      <w:pPr>
        <w:spacing w:line="360" w:lineRule="auto"/>
        <w:ind w:firstLine="567"/>
        <w:jc w:val="both"/>
        <w:rPr>
          <w:lang w:val="lt-LT"/>
        </w:rPr>
      </w:pPr>
      <w:r w:rsidRPr="00303A5A">
        <w:rPr>
          <w:lang w:val="lt-LT"/>
        </w:rPr>
        <w:t>T – pasirašytos turto draudimo įmokos (mln. litų</w:t>
      </w:r>
      <w:r>
        <w:rPr>
          <w:lang w:val="lt-LT"/>
        </w:rPr>
        <w:t>);</w:t>
      </w:r>
    </w:p>
    <w:p w:rsidR="00E9306F" w:rsidRPr="00303A5A" w:rsidRDefault="00E9306F" w:rsidP="00670E82">
      <w:pPr>
        <w:spacing w:line="360" w:lineRule="auto"/>
        <w:ind w:firstLine="567"/>
        <w:jc w:val="both"/>
        <w:rPr>
          <w:lang w:val="lt-LT"/>
        </w:rPr>
      </w:pPr>
      <w:r w:rsidRPr="00303A5A">
        <w:rPr>
          <w:lang w:val="lt-LT"/>
        </w:rPr>
        <w:t>Xt1 – BVP vienam gyventojui;</w:t>
      </w:r>
    </w:p>
    <w:p w:rsidR="00E9306F" w:rsidRPr="00303A5A" w:rsidRDefault="00E9306F" w:rsidP="00670E82">
      <w:pPr>
        <w:spacing w:line="360" w:lineRule="auto"/>
        <w:ind w:firstLine="567"/>
        <w:jc w:val="both"/>
        <w:rPr>
          <w:lang w:val="lt-LT"/>
        </w:rPr>
      </w:pPr>
      <w:r w:rsidRPr="00303A5A">
        <w:rPr>
          <w:lang w:val="lt-LT"/>
        </w:rPr>
        <w:lastRenderedPageBreak/>
        <w:t xml:space="preserve">Xt2 </w:t>
      </w:r>
      <w:r w:rsidR="001F1042" w:rsidRPr="00303A5A">
        <w:rPr>
          <w:lang w:val="lt-LT"/>
        </w:rPr>
        <w:t>–</w:t>
      </w:r>
      <w:r w:rsidRPr="00303A5A">
        <w:rPr>
          <w:lang w:val="lt-LT"/>
        </w:rPr>
        <w:t xml:space="preserve"> nedarbo lygis šalyje;</w:t>
      </w:r>
    </w:p>
    <w:p w:rsidR="00E9306F" w:rsidRPr="00303A5A" w:rsidRDefault="00E9306F" w:rsidP="00670E82">
      <w:pPr>
        <w:spacing w:line="360" w:lineRule="auto"/>
        <w:ind w:firstLine="567"/>
        <w:jc w:val="both"/>
        <w:rPr>
          <w:lang w:val="lt-LT"/>
        </w:rPr>
      </w:pPr>
      <w:r>
        <w:rPr>
          <w:lang w:val="lt-LT"/>
        </w:rPr>
        <w:t>Xt3</w:t>
      </w:r>
      <w:r w:rsidRPr="00303A5A">
        <w:rPr>
          <w:lang w:val="lt-LT"/>
        </w:rPr>
        <w:t xml:space="preserve"> </w:t>
      </w:r>
      <w:r w:rsidR="001F1042" w:rsidRPr="00303A5A">
        <w:rPr>
          <w:lang w:val="lt-LT"/>
        </w:rPr>
        <w:t>–</w:t>
      </w:r>
      <w:r w:rsidR="001F1042">
        <w:rPr>
          <w:lang w:val="lt-LT"/>
        </w:rPr>
        <w:t xml:space="preserve"> </w:t>
      </w:r>
      <w:r w:rsidRPr="00303A5A">
        <w:rPr>
          <w:lang w:val="lt-LT"/>
        </w:rPr>
        <w:t>vartotojų kainų indeksas (pokytis su ankstesnių metų tuo pačiu ketvirčiu);</w:t>
      </w:r>
    </w:p>
    <w:p w:rsidR="00E9306F" w:rsidRPr="00303A5A" w:rsidRDefault="00E9306F" w:rsidP="00670E82">
      <w:pPr>
        <w:spacing w:line="360" w:lineRule="auto"/>
        <w:ind w:firstLine="567"/>
        <w:jc w:val="both"/>
        <w:rPr>
          <w:lang w:val="lt-LT"/>
        </w:rPr>
      </w:pPr>
      <w:r>
        <w:rPr>
          <w:lang w:val="lt-LT"/>
        </w:rPr>
        <w:t>Xt4</w:t>
      </w:r>
      <w:r w:rsidRPr="00303A5A">
        <w:rPr>
          <w:lang w:val="lt-LT"/>
        </w:rPr>
        <w:t xml:space="preserve"> – naujai pastatytų butų skaičius;</w:t>
      </w:r>
    </w:p>
    <w:p w:rsidR="00E9306F" w:rsidRPr="00303A5A" w:rsidRDefault="00E9306F" w:rsidP="00670E82">
      <w:pPr>
        <w:spacing w:line="360" w:lineRule="auto"/>
        <w:ind w:firstLine="567"/>
        <w:jc w:val="both"/>
        <w:rPr>
          <w:lang w:val="lt-LT"/>
        </w:rPr>
      </w:pPr>
      <w:r>
        <w:rPr>
          <w:lang w:val="lt-LT"/>
        </w:rPr>
        <w:t xml:space="preserve">Xt5 </w:t>
      </w:r>
      <w:r w:rsidR="001F1042" w:rsidRPr="00303A5A">
        <w:rPr>
          <w:lang w:val="lt-LT"/>
        </w:rPr>
        <w:t>–</w:t>
      </w:r>
      <w:r w:rsidR="001F1042">
        <w:rPr>
          <w:lang w:val="lt-LT"/>
        </w:rPr>
        <w:t xml:space="preserve"> </w:t>
      </w:r>
      <w:r w:rsidRPr="00303A5A">
        <w:rPr>
          <w:lang w:val="lt-LT"/>
        </w:rPr>
        <w:t>išduotų</w:t>
      </w:r>
      <w:r>
        <w:rPr>
          <w:lang w:val="lt-LT"/>
        </w:rPr>
        <w:t xml:space="preserve"> būsto paskolų</w:t>
      </w:r>
      <w:r w:rsidRPr="00303A5A">
        <w:rPr>
          <w:lang w:val="lt-LT"/>
        </w:rPr>
        <w:t xml:space="preserve"> </w:t>
      </w:r>
      <w:r>
        <w:rPr>
          <w:lang w:val="lt-LT"/>
        </w:rPr>
        <w:t>namų ūkiams likutis (mln. Lt.)</w:t>
      </w:r>
      <w:r w:rsidRPr="00303A5A">
        <w:rPr>
          <w:lang w:val="lt-LT"/>
        </w:rPr>
        <w:t>;</w:t>
      </w:r>
    </w:p>
    <w:p w:rsidR="00E9306F" w:rsidRPr="00303A5A" w:rsidRDefault="00E9306F" w:rsidP="00670E82">
      <w:pPr>
        <w:spacing w:line="360" w:lineRule="auto"/>
        <w:ind w:firstLine="567"/>
        <w:jc w:val="both"/>
        <w:rPr>
          <w:lang w:val="lt-LT"/>
        </w:rPr>
      </w:pPr>
      <w:r>
        <w:rPr>
          <w:lang w:val="lt-LT"/>
        </w:rPr>
        <w:t>Xk6</w:t>
      </w:r>
      <w:r w:rsidRPr="00303A5A">
        <w:rPr>
          <w:lang w:val="lt-LT"/>
        </w:rPr>
        <w:t xml:space="preserve"> </w:t>
      </w:r>
      <w:r w:rsidR="001F1042" w:rsidRPr="00303A5A">
        <w:rPr>
          <w:lang w:val="lt-LT"/>
        </w:rPr>
        <w:t>–</w:t>
      </w:r>
      <w:r w:rsidR="001F1042">
        <w:rPr>
          <w:lang w:val="lt-LT"/>
        </w:rPr>
        <w:t xml:space="preserve"> </w:t>
      </w:r>
      <w:r w:rsidRPr="00303A5A">
        <w:rPr>
          <w:lang w:val="lt-LT"/>
        </w:rPr>
        <w:t>išsilavinimo lygis (Vidurinį ir aukštesnį išsilavinimą įgijusio jaunimo (20-24 metai) dalis);</w:t>
      </w:r>
    </w:p>
    <w:p w:rsidR="005A2023" w:rsidRPr="00303A5A" w:rsidRDefault="008844D9" w:rsidP="00670E82">
      <w:pPr>
        <w:spacing w:line="360" w:lineRule="auto"/>
        <w:ind w:firstLine="567"/>
        <w:jc w:val="both"/>
        <w:rPr>
          <w:lang w:val="lt-LT"/>
        </w:rPr>
      </w:pPr>
      <w:r>
        <w:rPr>
          <w:lang w:val="lt-LT"/>
        </w:rPr>
        <w:t xml:space="preserve">3.10. </w:t>
      </w:r>
      <w:r w:rsidR="005A2023" w:rsidRPr="00303A5A">
        <w:rPr>
          <w:lang w:val="lt-LT"/>
        </w:rPr>
        <w:t>lentelėje pateikti pradiniai duomenys</w:t>
      </w:r>
      <w:r w:rsidR="00392602">
        <w:rPr>
          <w:lang w:val="lt-LT"/>
        </w:rPr>
        <w:t>.</w:t>
      </w:r>
      <w:r w:rsidR="005A2023" w:rsidRPr="00303A5A">
        <w:rPr>
          <w:lang w:val="lt-LT"/>
        </w:rPr>
        <w:t xml:space="preserve"> Nepriklausomų kintamųjų duomenų normalumo patikrinimas buvo atliktas sudarant ne gyvybės draudimo įmokas aprašantį modelį, todėl buvo patikrinta ar turto draudimo įmokų ketvirtiniai duomenys tenkina hipotezę, kad jų asimetrijos bei eksceso koeficientai atitinka sąly</w:t>
      </w:r>
      <w:r w:rsidR="00537EB0">
        <w:rPr>
          <w:lang w:val="lt-LT"/>
        </w:rPr>
        <w:t>gas. R programos apskaičiuota p</w:t>
      </w:r>
      <w:r w:rsidR="00603EE9">
        <w:rPr>
          <w:lang w:val="lt-LT"/>
        </w:rPr>
        <w:t xml:space="preserve">–value = 0,4 &gt; 0,05, </w:t>
      </w:r>
      <w:r w:rsidR="005A2023" w:rsidRPr="00303A5A">
        <w:rPr>
          <w:lang w:val="lt-LT"/>
        </w:rPr>
        <w:t xml:space="preserve">todėl nulinės hipotezės atmesti neturime pagrindo, vadinasi duomenys tenkina normalumo kriterijų.  </w:t>
      </w:r>
    </w:p>
    <w:p w:rsidR="005A2023" w:rsidRPr="008844D9" w:rsidRDefault="008844D9" w:rsidP="000C403A">
      <w:pPr>
        <w:pStyle w:val="lentels"/>
      </w:pPr>
      <w:bookmarkStart w:id="195" w:name="_Toc309559990"/>
      <w:bookmarkStart w:id="196" w:name="_Toc310014807"/>
      <w:bookmarkStart w:id="197" w:name="_Toc311971000"/>
      <w:bookmarkStart w:id="198" w:name="_Toc311971846"/>
      <w:bookmarkStart w:id="199" w:name="_Toc311971886"/>
      <w:r w:rsidRPr="008844D9">
        <w:t>3.10.</w:t>
      </w:r>
      <w:r>
        <w:t xml:space="preserve"> lentelė. </w:t>
      </w:r>
      <w:r w:rsidR="005A2023" w:rsidRPr="008844D9">
        <w:t>Pradiniai duomenys naudojami turto draudimo įmokas veikiančių veiksnių analizei</w:t>
      </w:r>
      <w:bookmarkEnd w:id="195"/>
      <w:bookmarkEnd w:id="196"/>
      <w:bookmarkEnd w:id="197"/>
      <w:bookmarkEnd w:id="198"/>
      <w:bookmarkEnd w:id="199"/>
    </w:p>
    <w:tbl>
      <w:tblPr>
        <w:tblW w:w="6893" w:type="dxa"/>
        <w:jc w:val="center"/>
        <w:tblInd w:w="-340" w:type="dxa"/>
        <w:tblLook w:val="04A0"/>
      </w:tblPr>
      <w:tblGrid>
        <w:gridCol w:w="1563"/>
        <w:gridCol w:w="666"/>
        <w:gridCol w:w="920"/>
        <w:gridCol w:w="666"/>
        <w:gridCol w:w="666"/>
        <w:gridCol w:w="866"/>
        <w:gridCol w:w="880"/>
        <w:gridCol w:w="666"/>
      </w:tblGrid>
      <w:tr w:rsidR="00C7231E" w:rsidRPr="00C7231E" w:rsidTr="00C7231E">
        <w:trPr>
          <w:trHeight w:val="300"/>
          <w:jc w:val="center"/>
        </w:trPr>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Data</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C7231E" w:rsidRPr="00C7231E" w:rsidRDefault="00C7231E" w:rsidP="00C7231E">
            <w:pPr>
              <w:rPr>
                <w:b/>
                <w:color w:val="000000"/>
                <w:sz w:val="20"/>
                <w:szCs w:val="20"/>
              </w:rPr>
            </w:pPr>
            <w:r w:rsidRPr="00C7231E">
              <w:rPr>
                <w:b/>
                <w:color w:val="000000"/>
                <w:sz w:val="20"/>
                <w:szCs w:val="20"/>
              </w:rPr>
              <w:t>T</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Xt1</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Xt2</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Xt3</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Xt4</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Xt5</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Xt6</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2004 IV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27,99</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5044,28</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10,60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3,00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2734,00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1629,20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86,00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2005 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29,91</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4410,18</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10,20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3,20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1380,00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1659,20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87,80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2005 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29,27</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5194,63</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8,50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2,40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1077,00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1713,90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85,10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2005 III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30,26</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5607,48</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7,20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2,20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1279,00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1823,80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89,20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2005 IV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34,01</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5893,18</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7,10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2,90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2197,00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2039,50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89,00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2006 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39,06</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5107,48</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6,40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3,30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893,00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2389,00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86,50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2006 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39,31</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5966,44</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5,60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3,60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1823,00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2993,40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88,20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2006 III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40,36</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6542,51</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5,70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3,90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2040,00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3789,10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90,20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2006 IV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44,23</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6776,72</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4,80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4,20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2536,00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4727,30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87,80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2007 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51,26</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6063,75</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5,00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4,30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2279,00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5834,20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88,30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2007 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52,29</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7210,16</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4,10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4,80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1815,00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6954,40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89,50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2007 III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51,77</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7887,65</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3,90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5,90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2436,00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7315,40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89,50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2007 IV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60,63</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8068,53</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4,20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7,80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2756,00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6879,00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88,60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2008 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72,54</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7275,04</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4,90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10,60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3200,00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6177,60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89,40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2008 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99,16</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8586,29</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4,50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12,10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2653,00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6094,90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87,20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2008 III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91,89</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8891,83</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5,90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11,70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2457,00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6133,30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89,60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2008 IV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78,57</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8444,97</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7,90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9,30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3519,00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6024,40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90,00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2009 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83,69</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6354,76</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11,90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8,70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2576,00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5694,90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86,90</w:t>
            </w:r>
          </w:p>
        </w:tc>
      </w:tr>
      <w:tr w:rsidR="00C7231E"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C7231E" w:rsidRPr="00C7231E" w:rsidRDefault="00C7231E" w:rsidP="00C7231E">
            <w:pPr>
              <w:rPr>
                <w:b/>
                <w:sz w:val="20"/>
                <w:szCs w:val="20"/>
              </w:rPr>
            </w:pPr>
            <w:r w:rsidRPr="00C7231E">
              <w:rPr>
                <w:b/>
                <w:sz w:val="20"/>
                <w:szCs w:val="20"/>
              </w:rPr>
              <w:t>2009 II ketv.</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45,43</w:t>
            </w:r>
          </w:p>
        </w:tc>
        <w:tc>
          <w:tcPr>
            <w:tcW w:w="92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7184,53</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13,60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sz w:val="20"/>
                <w:szCs w:val="20"/>
              </w:rPr>
            </w:pPr>
            <w:r w:rsidRPr="00C7231E">
              <w:rPr>
                <w:sz w:val="20"/>
                <w:szCs w:val="20"/>
              </w:rPr>
              <w:t>5,20</w:t>
            </w:r>
          </w:p>
        </w:tc>
        <w:tc>
          <w:tcPr>
            <w:tcW w:w="8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2251,00</w:t>
            </w:r>
          </w:p>
        </w:tc>
        <w:tc>
          <w:tcPr>
            <w:tcW w:w="880"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5206,40</w:t>
            </w:r>
          </w:p>
        </w:tc>
        <w:tc>
          <w:tcPr>
            <w:tcW w:w="666" w:type="dxa"/>
            <w:tcBorders>
              <w:top w:val="nil"/>
              <w:left w:val="nil"/>
              <w:bottom w:val="single" w:sz="4" w:space="0" w:color="auto"/>
              <w:right w:val="single" w:sz="4" w:space="0" w:color="auto"/>
            </w:tcBorders>
            <w:shd w:val="clear" w:color="auto" w:fill="auto"/>
            <w:noWrap/>
            <w:vAlign w:val="bottom"/>
            <w:hideMark/>
          </w:tcPr>
          <w:p w:rsidR="00C7231E" w:rsidRPr="00C7231E" w:rsidRDefault="00C7231E" w:rsidP="00C7231E">
            <w:pPr>
              <w:jc w:val="right"/>
              <w:rPr>
                <w:color w:val="000000"/>
                <w:sz w:val="20"/>
                <w:szCs w:val="20"/>
              </w:rPr>
            </w:pPr>
            <w:r w:rsidRPr="00C7231E">
              <w:rPr>
                <w:color w:val="000000"/>
                <w:sz w:val="20"/>
                <w:szCs w:val="20"/>
              </w:rPr>
              <w:t>84,90</w:t>
            </w:r>
          </w:p>
        </w:tc>
      </w:tr>
      <w:tr w:rsidR="00FB132C" w:rsidRPr="00C7231E" w:rsidTr="00FB132C">
        <w:trPr>
          <w:trHeight w:val="300"/>
          <w:jc w:val="center"/>
        </w:trPr>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132C" w:rsidRPr="00C7231E" w:rsidRDefault="00FB132C" w:rsidP="00C7231E">
            <w:pPr>
              <w:rPr>
                <w:b/>
                <w:sz w:val="20"/>
                <w:szCs w:val="20"/>
              </w:rPr>
            </w:pPr>
            <w:r w:rsidRPr="00C7231E">
              <w:rPr>
                <w:b/>
                <w:sz w:val="20"/>
                <w:szCs w:val="20"/>
              </w:rPr>
              <w:t>2009 III ketv.</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47,79</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7012,23</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13,80</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2,80</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1947,00</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4735,90</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88,00</w:t>
            </w:r>
          </w:p>
        </w:tc>
      </w:tr>
      <w:tr w:rsidR="00FB132C"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FB132C" w:rsidRPr="00C7231E" w:rsidRDefault="00FB132C" w:rsidP="00C7231E">
            <w:pPr>
              <w:rPr>
                <w:b/>
                <w:sz w:val="20"/>
                <w:szCs w:val="20"/>
              </w:rPr>
            </w:pPr>
            <w:r w:rsidRPr="00C7231E">
              <w:rPr>
                <w:b/>
                <w:sz w:val="20"/>
                <w:szCs w:val="20"/>
              </w:rPr>
              <w:t>2009 IV ketv.</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45,69</w:t>
            </w:r>
          </w:p>
        </w:tc>
        <w:tc>
          <w:tcPr>
            <w:tcW w:w="92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6856,38</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15,60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1,40</w:t>
            </w:r>
          </w:p>
        </w:tc>
        <w:tc>
          <w:tcPr>
            <w:tcW w:w="8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2626,00</w:t>
            </w:r>
          </w:p>
        </w:tc>
        <w:tc>
          <w:tcPr>
            <w:tcW w:w="88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4483,10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87,80</w:t>
            </w:r>
          </w:p>
        </w:tc>
      </w:tr>
      <w:tr w:rsidR="00FB132C"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FB132C" w:rsidRPr="00C7231E" w:rsidRDefault="00FB132C" w:rsidP="00C7231E">
            <w:pPr>
              <w:rPr>
                <w:b/>
                <w:sz w:val="20"/>
                <w:szCs w:val="20"/>
              </w:rPr>
            </w:pPr>
            <w:r w:rsidRPr="00C7231E">
              <w:rPr>
                <w:b/>
                <w:sz w:val="20"/>
                <w:szCs w:val="20"/>
              </w:rPr>
              <w:t>2010 I ketv.</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54,77</w:t>
            </w:r>
          </w:p>
        </w:tc>
        <w:tc>
          <w:tcPr>
            <w:tcW w:w="92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6212,70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18,10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-0,30</w:t>
            </w:r>
          </w:p>
        </w:tc>
        <w:tc>
          <w:tcPr>
            <w:tcW w:w="8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519,00</w:t>
            </w:r>
          </w:p>
        </w:tc>
        <w:tc>
          <w:tcPr>
            <w:tcW w:w="88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4379,70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85,30</w:t>
            </w:r>
          </w:p>
        </w:tc>
      </w:tr>
      <w:tr w:rsidR="00FB132C"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FB132C" w:rsidRPr="00C7231E" w:rsidRDefault="00FB132C" w:rsidP="00C7231E">
            <w:pPr>
              <w:rPr>
                <w:b/>
                <w:sz w:val="20"/>
                <w:szCs w:val="20"/>
              </w:rPr>
            </w:pPr>
            <w:r w:rsidRPr="00C7231E">
              <w:rPr>
                <w:b/>
                <w:sz w:val="20"/>
                <w:szCs w:val="20"/>
              </w:rPr>
              <w:t>2010 II ketv.</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53,16</w:t>
            </w:r>
          </w:p>
        </w:tc>
        <w:tc>
          <w:tcPr>
            <w:tcW w:w="92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7266,86</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18,30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0,70</w:t>
            </w:r>
          </w:p>
        </w:tc>
        <w:tc>
          <w:tcPr>
            <w:tcW w:w="8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717,00</w:t>
            </w:r>
          </w:p>
        </w:tc>
        <w:tc>
          <w:tcPr>
            <w:tcW w:w="88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4304,10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84,50</w:t>
            </w:r>
          </w:p>
        </w:tc>
      </w:tr>
      <w:tr w:rsidR="00FB132C"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FB132C" w:rsidRPr="00C7231E" w:rsidRDefault="00FB132C" w:rsidP="00C7231E">
            <w:pPr>
              <w:rPr>
                <w:b/>
                <w:sz w:val="20"/>
                <w:szCs w:val="20"/>
              </w:rPr>
            </w:pPr>
            <w:r w:rsidRPr="00C7231E">
              <w:rPr>
                <w:b/>
                <w:sz w:val="20"/>
                <w:szCs w:val="20"/>
              </w:rPr>
              <w:t>2010 III ketv.</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50,31</w:t>
            </w:r>
          </w:p>
        </w:tc>
        <w:tc>
          <w:tcPr>
            <w:tcW w:w="92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7575,74</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17,80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1,80</w:t>
            </w:r>
          </w:p>
        </w:tc>
        <w:tc>
          <w:tcPr>
            <w:tcW w:w="8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1073,00</w:t>
            </w:r>
          </w:p>
        </w:tc>
        <w:tc>
          <w:tcPr>
            <w:tcW w:w="88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4228,10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89,60</w:t>
            </w:r>
          </w:p>
        </w:tc>
      </w:tr>
      <w:tr w:rsidR="00FB132C"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FB132C" w:rsidRPr="00C7231E" w:rsidRDefault="00FB132C" w:rsidP="00C7231E">
            <w:pPr>
              <w:rPr>
                <w:b/>
                <w:sz w:val="20"/>
                <w:szCs w:val="20"/>
              </w:rPr>
            </w:pPr>
            <w:r w:rsidRPr="00C7231E">
              <w:rPr>
                <w:b/>
                <w:sz w:val="20"/>
                <w:szCs w:val="20"/>
              </w:rPr>
              <w:t>2010 IV ketv.</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50,45</w:t>
            </w:r>
          </w:p>
        </w:tc>
        <w:tc>
          <w:tcPr>
            <w:tcW w:w="92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7737,49</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17,10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3,10</w:t>
            </w:r>
          </w:p>
        </w:tc>
        <w:tc>
          <w:tcPr>
            <w:tcW w:w="8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1358,00</w:t>
            </w:r>
          </w:p>
        </w:tc>
        <w:tc>
          <w:tcPr>
            <w:tcW w:w="88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4204,40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88,20</w:t>
            </w:r>
          </w:p>
        </w:tc>
      </w:tr>
      <w:tr w:rsidR="00FB132C"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FB132C" w:rsidRPr="00C7231E" w:rsidRDefault="00FB132C" w:rsidP="00C7231E">
            <w:pPr>
              <w:rPr>
                <w:b/>
                <w:sz w:val="20"/>
                <w:szCs w:val="20"/>
              </w:rPr>
            </w:pPr>
            <w:r w:rsidRPr="00C7231E">
              <w:rPr>
                <w:b/>
                <w:sz w:val="20"/>
                <w:szCs w:val="20"/>
              </w:rPr>
              <w:t>2011 I ketv.</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66,55</w:t>
            </w:r>
          </w:p>
        </w:tc>
        <w:tc>
          <w:tcPr>
            <w:tcW w:w="92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7085,29</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17,20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sz w:val="20"/>
                <w:szCs w:val="20"/>
              </w:rPr>
            </w:pPr>
            <w:r w:rsidRPr="00C7231E">
              <w:rPr>
                <w:sz w:val="20"/>
                <w:szCs w:val="20"/>
              </w:rPr>
              <w:t>3,30</w:t>
            </w:r>
          </w:p>
        </w:tc>
        <w:tc>
          <w:tcPr>
            <w:tcW w:w="8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1362,00</w:t>
            </w:r>
          </w:p>
        </w:tc>
        <w:tc>
          <w:tcPr>
            <w:tcW w:w="88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4192,30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87,60</w:t>
            </w:r>
          </w:p>
        </w:tc>
      </w:tr>
      <w:tr w:rsidR="00FB132C" w:rsidRPr="00C7231E" w:rsidTr="00C7231E">
        <w:trPr>
          <w:trHeight w:val="300"/>
          <w:jc w:val="center"/>
        </w:trPr>
        <w:tc>
          <w:tcPr>
            <w:tcW w:w="1563" w:type="dxa"/>
            <w:tcBorders>
              <w:top w:val="nil"/>
              <w:left w:val="single" w:sz="4" w:space="0" w:color="auto"/>
              <w:bottom w:val="single" w:sz="4" w:space="0" w:color="auto"/>
              <w:right w:val="single" w:sz="4" w:space="0" w:color="auto"/>
            </w:tcBorders>
            <w:shd w:val="clear" w:color="auto" w:fill="auto"/>
            <w:noWrap/>
            <w:vAlign w:val="bottom"/>
            <w:hideMark/>
          </w:tcPr>
          <w:p w:rsidR="00FB132C" w:rsidRPr="00C7231E" w:rsidRDefault="00FB132C" w:rsidP="00C7231E">
            <w:pPr>
              <w:rPr>
                <w:b/>
                <w:sz w:val="20"/>
                <w:szCs w:val="20"/>
              </w:rPr>
            </w:pPr>
            <w:r w:rsidRPr="00C7231E">
              <w:rPr>
                <w:b/>
                <w:sz w:val="20"/>
                <w:szCs w:val="20"/>
              </w:rPr>
              <w:t>2011 II ketv.</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69,79</w:t>
            </w:r>
          </w:p>
        </w:tc>
        <w:tc>
          <w:tcPr>
            <w:tcW w:w="920" w:type="dxa"/>
            <w:tcBorders>
              <w:top w:val="nil"/>
              <w:left w:val="nil"/>
              <w:bottom w:val="single" w:sz="4" w:space="0" w:color="auto"/>
              <w:right w:val="single" w:sz="4" w:space="0" w:color="auto"/>
            </w:tcBorders>
            <w:shd w:val="clear" w:color="000000" w:fill="FFFFFF"/>
            <w:noWrap/>
            <w:vAlign w:val="bottom"/>
            <w:hideMark/>
          </w:tcPr>
          <w:p w:rsidR="00FB132C" w:rsidRPr="00C7231E" w:rsidRDefault="00FB132C" w:rsidP="00C7231E">
            <w:pPr>
              <w:rPr>
                <w:color w:val="000000"/>
                <w:sz w:val="20"/>
                <w:szCs w:val="20"/>
              </w:rPr>
            </w:pPr>
            <w:r w:rsidRPr="00C7231E">
              <w:rPr>
                <w:color w:val="000000"/>
                <w:sz w:val="20"/>
                <w:szCs w:val="20"/>
              </w:rPr>
              <w:t>8384,75</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15,60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4,80</w:t>
            </w:r>
          </w:p>
        </w:tc>
        <w:tc>
          <w:tcPr>
            <w:tcW w:w="8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1562,00</w:t>
            </w:r>
          </w:p>
        </w:tc>
        <w:tc>
          <w:tcPr>
            <w:tcW w:w="880"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4242,30</w:t>
            </w:r>
          </w:p>
        </w:tc>
        <w:tc>
          <w:tcPr>
            <w:tcW w:w="666" w:type="dxa"/>
            <w:tcBorders>
              <w:top w:val="nil"/>
              <w:left w:val="nil"/>
              <w:bottom w:val="single" w:sz="4" w:space="0" w:color="auto"/>
              <w:right w:val="single" w:sz="4" w:space="0" w:color="auto"/>
            </w:tcBorders>
            <w:shd w:val="clear" w:color="auto" w:fill="auto"/>
            <w:noWrap/>
            <w:vAlign w:val="bottom"/>
            <w:hideMark/>
          </w:tcPr>
          <w:p w:rsidR="00FB132C" w:rsidRPr="00C7231E" w:rsidRDefault="00FB132C" w:rsidP="00C7231E">
            <w:pPr>
              <w:jc w:val="right"/>
              <w:rPr>
                <w:color w:val="000000"/>
                <w:sz w:val="20"/>
                <w:szCs w:val="20"/>
              </w:rPr>
            </w:pPr>
            <w:r w:rsidRPr="00C7231E">
              <w:rPr>
                <w:color w:val="000000"/>
                <w:sz w:val="20"/>
                <w:szCs w:val="20"/>
              </w:rPr>
              <w:t>86,30</w:t>
            </w:r>
          </w:p>
        </w:tc>
      </w:tr>
    </w:tbl>
    <w:p w:rsidR="00A86DD0" w:rsidRDefault="005A2023" w:rsidP="00C7231E">
      <w:pPr>
        <w:spacing w:line="360" w:lineRule="auto"/>
        <w:ind w:firstLine="567"/>
        <w:jc w:val="both"/>
        <w:rPr>
          <w:sz w:val="20"/>
          <w:szCs w:val="20"/>
          <w:lang w:val="lt-LT"/>
        </w:rPr>
      </w:pPr>
      <w:r w:rsidRPr="00303A5A">
        <w:rPr>
          <w:sz w:val="20"/>
          <w:szCs w:val="20"/>
          <w:lang w:val="lt-LT"/>
        </w:rPr>
        <w:t>Šaltinis</w:t>
      </w:r>
      <w:r w:rsidR="006756D6">
        <w:rPr>
          <w:sz w:val="20"/>
          <w:szCs w:val="20"/>
          <w:lang w:val="lt-LT"/>
        </w:rPr>
        <w:t>:</w:t>
      </w:r>
      <w:r w:rsidRPr="00303A5A">
        <w:rPr>
          <w:sz w:val="20"/>
          <w:szCs w:val="20"/>
          <w:lang w:val="lt-LT"/>
        </w:rPr>
        <w:t xml:space="preserve"> sudaryta remiantis Lietuvos draudimo priežiūros tarnybos duomenų baze, Lietuvos Statistikos departamento duomenų baze, Lietuvos banko duomenų baze.</w:t>
      </w:r>
    </w:p>
    <w:p w:rsidR="00FB132C" w:rsidRPr="00670E82" w:rsidRDefault="00FB132C" w:rsidP="00670E82">
      <w:pPr>
        <w:spacing w:line="360" w:lineRule="auto"/>
        <w:ind w:firstLine="567"/>
        <w:jc w:val="both"/>
        <w:rPr>
          <w:lang w:val="lt-LT"/>
        </w:rPr>
      </w:pPr>
    </w:p>
    <w:p w:rsidR="005A2023" w:rsidRPr="00670E82" w:rsidRDefault="005A2023" w:rsidP="00670E82">
      <w:pPr>
        <w:spacing w:line="360" w:lineRule="auto"/>
        <w:ind w:firstLine="567"/>
        <w:jc w:val="both"/>
        <w:rPr>
          <w:lang w:val="lt-LT"/>
        </w:rPr>
      </w:pPr>
      <w:r w:rsidRPr="00670E82">
        <w:rPr>
          <w:lang w:val="lt-LT"/>
        </w:rPr>
        <w:lastRenderedPageBreak/>
        <w:t>Apskaičiuoti koreliacijos koeficientai (</w:t>
      </w:r>
      <w:r w:rsidR="004C3AD0" w:rsidRPr="00670E82">
        <w:rPr>
          <w:lang w:val="lt-LT"/>
        </w:rPr>
        <w:t>formulė</w:t>
      </w:r>
      <w:r w:rsidRPr="00670E82">
        <w:rPr>
          <w:lang w:val="lt-LT"/>
        </w:rPr>
        <w:t xml:space="preserve"> nr. </w:t>
      </w:r>
      <w:r w:rsidR="004C3AD0" w:rsidRPr="00670E82">
        <w:rPr>
          <w:lang w:val="lt-LT"/>
        </w:rPr>
        <w:t>1</w:t>
      </w:r>
      <w:r w:rsidRPr="00670E82">
        <w:rPr>
          <w:lang w:val="lt-LT"/>
        </w:rPr>
        <w:t xml:space="preserve">) bei jų reikšmingumui nustatyti naudojamų </w:t>
      </w:r>
      <w:r w:rsidRPr="00670E82">
        <w:rPr>
          <w:i/>
          <w:lang w:val="lt-LT"/>
        </w:rPr>
        <w:t>t</w:t>
      </w:r>
      <w:r w:rsidRPr="00670E82">
        <w:rPr>
          <w:lang w:val="lt-LT"/>
        </w:rPr>
        <w:t xml:space="preserve"> statistikų (</w:t>
      </w:r>
      <w:r w:rsidR="004C3AD0" w:rsidRPr="00670E82">
        <w:rPr>
          <w:lang w:val="lt-LT"/>
        </w:rPr>
        <w:t>formulė</w:t>
      </w:r>
      <w:r w:rsidRPr="00670E82">
        <w:rPr>
          <w:lang w:val="lt-LT"/>
        </w:rPr>
        <w:t xml:space="preserve"> nr. </w:t>
      </w:r>
      <w:r w:rsidR="004C3AD0" w:rsidRPr="00670E82">
        <w:rPr>
          <w:lang w:val="lt-LT"/>
        </w:rPr>
        <w:t>2</w:t>
      </w:r>
      <w:r w:rsidRPr="00670E82">
        <w:rPr>
          <w:lang w:val="lt-LT"/>
        </w:rPr>
        <w:t xml:space="preserve">) reikšmės pateiktos </w:t>
      </w:r>
      <w:r w:rsidR="008844D9" w:rsidRPr="00670E82">
        <w:rPr>
          <w:lang w:val="lt-LT"/>
        </w:rPr>
        <w:t>3.11.</w:t>
      </w:r>
      <w:r w:rsidRPr="00670E82">
        <w:rPr>
          <w:lang w:val="lt-LT"/>
        </w:rPr>
        <w:t xml:space="preserve"> lentelėje. Gautą </w:t>
      </w:r>
      <w:r w:rsidRPr="00670E82">
        <w:rPr>
          <w:i/>
          <w:lang w:val="lt-LT"/>
        </w:rPr>
        <w:t>t</w:t>
      </w:r>
      <w:r w:rsidRPr="00670E82">
        <w:rPr>
          <w:lang w:val="lt-LT"/>
        </w:rPr>
        <w:t xml:space="preserve"> statistikos reikšmę lyginama su Stjudento skirstinio kritine reikšme su 28 laisvės laipsniais bei 0,025 reikšmingumo lygmeniu, kuri pagal pasiskirstymo lentelę 2,04. Statistiškai reikšmingi koreliacijos koeficientai yra tarp</w:t>
      </w:r>
      <w:r w:rsidR="00A86DD0" w:rsidRPr="00670E82">
        <w:rPr>
          <w:lang w:val="lt-LT"/>
        </w:rPr>
        <w:t xml:space="preserve"> turto draudimo įmokų ir Xt1,</w:t>
      </w:r>
      <w:r w:rsidR="00CE6830" w:rsidRPr="00670E82">
        <w:rPr>
          <w:lang w:val="lt-LT"/>
        </w:rPr>
        <w:t xml:space="preserve"> </w:t>
      </w:r>
      <w:r w:rsidR="00A86DD0" w:rsidRPr="00670E82">
        <w:rPr>
          <w:lang w:val="lt-LT"/>
        </w:rPr>
        <w:t>Xt3,</w:t>
      </w:r>
      <w:r w:rsidR="00CE6830" w:rsidRPr="00670E82">
        <w:rPr>
          <w:lang w:val="lt-LT"/>
        </w:rPr>
        <w:t xml:space="preserve"> </w:t>
      </w:r>
      <w:r w:rsidR="00A86DD0" w:rsidRPr="00670E82">
        <w:rPr>
          <w:lang w:val="lt-LT"/>
        </w:rPr>
        <w:t>Xt4, Xt5</w:t>
      </w:r>
      <w:r w:rsidRPr="00670E82">
        <w:rPr>
          <w:lang w:val="lt-LT"/>
        </w:rPr>
        <w:t xml:space="preserve">. </w:t>
      </w:r>
      <w:r w:rsidR="00A86DD0" w:rsidRPr="00670E82">
        <w:rPr>
          <w:lang w:val="lt-LT"/>
        </w:rPr>
        <w:t>Koreliacijos koeficientai</w:t>
      </w:r>
      <w:r w:rsidRPr="00670E82">
        <w:rPr>
          <w:lang w:val="lt-LT"/>
        </w:rPr>
        <w:t xml:space="preserve"> tarp turto draudimo pasirašytų įmokų ir BVP vienam gyventojui bei vartotojų kainų indekso bei i</w:t>
      </w:r>
      <w:r w:rsidR="00A86DD0" w:rsidRPr="00670E82">
        <w:rPr>
          <w:lang w:val="lt-LT"/>
        </w:rPr>
        <w:t xml:space="preserve">šduotų paskolų </w:t>
      </w:r>
      <w:r w:rsidR="00C7231E" w:rsidRPr="00670E82">
        <w:rPr>
          <w:lang w:val="lt-LT"/>
        </w:rPr>
        <w:t>yra labai stiprūs bei teigiami.</w:t>
      </w:r>
    </w:p>
    <w:p w:rsidR="005A2023" w:rsidRPr="001C2282" w:rsidRDefault="008844D9" w:rsidP="001C2282">
      <w:pPr>
        <w:pStyle w:val="lentels"/>
      </w:pPr>
      <w:bookmarkStart w:id="200" w:name="_Toc309559991"/>
      <w:bookmarkStart w:id="201" w:name="_Toc310014808"/>
      <w:bookmarkStart w:id="202" w:name="_Toc311971001"/>
      <w:bookmarkStart w:id="203" w:name="_Toc311971847"/>
      <w:bookmarkStart w:id="204" w:name="_Toc311971887"/>
      <w:r w:rsidRPr="008844D9">
        <w:t>3.11.</w:t>
      </w:r>
      <w:r w:rsidR="005A2023" w:rsidRPr="008844D9">
        <w:t xml:space="preserve"> </w:t>
      </w:r>
      <w:r w:rsidR="00A4245B">
        <w:t>l</w:t>
      </w:r>
      <w:r w:rsidR="005A2023" w:rsidRPr="008844D9">
        <w:t xml:space="preserve">entelė. Koreliacijos koeficientai tarp turto draudimo įmokų bei atitinkamų veiksnių bei jų </w:t>
      </w:r>
      <w:r w:rsidR="005A2023" w:rsidRPr="008844D9">
        <w:rPr>
          <w:i/>
        </w:rPr>
        <w:t>t</w:t>
      </w:r>
      <w:r w:rsidR="005A2023" w:rsidRPr="008844D9">
        <w:t xml:space="preserve"> statistikos</w:t>
      </w:r>
      <w:bookmarkEnd w:id="200"/>
      <w:bookmarkEnd w:id="201"/>
      <w:bookmarkEnd w:id="202"/>
      <w:bookmarkEnd w:id="203"/>
      <w:bookmarkEnd w:id="204"/>
    </w:p>
    <w:tbl>
      <w:tblPr>
        <w:tblStyle w:val="TableGrid"/>
        <w:tblW w:w="0" w:type="auto"/>
        <w:jc w:val="center"/>
        <w:tblLook w:val="04A0"/>
      </w:tblPr>
      <w:tblGrid>
        <w:gridCol w:w="1110"/>
        <w:gridCol w:w="2729"/>
        <w:gridCol w:w="1316"/>
      </w:tblGrid>
      <w:tr w:rsidR="005A2023" w:rsidRPr="008844D9" w:rsidTr="004C3AD6">
        <w:trPr>
          <w:trHeight w:val="349"/>
          <w:jc w:val="center"/>
        </w:trPr>
        <w:tc>
          <w:tcPr>
            <w:tcW w:w="1110" w:type="dxa"/>
          </w:tcPr>
          <w:p w:rsidR="005A2023" w:rsidRPr="00303A5A" w:rsidRDefault="005A2023" w:rsidP="004C3AD6">
            <w:pPr>
              <w:jc w:val="both"/>
              <w:rPr>
                <w:lang w:val="lt-LT"/>
              </w:rPr>
            </w:pPr>
            <w:r w:rsidRPr="00303A5A">
              <w:rPr>
                <w:lang w:val="lt-LT"/>
              </w:rPr>
              <w:t>Veiksnys</w:t>
            </w:r>
          </w:p>
        </w:tc>
        <w:tc>
          <w:tcPr>
            <w:tcW w:w="2729" w:type="dxa"/>
          </w:tcPr>
          <w:p w:rsidR="005A2023" w:rsidRPr="00303A5A" w:rsidRDefault="005A2023" w:rsidP="004C3AD6">
            <w:pPr>
              <w:jc w:val="both"/>
              <w:rPr>
                <w:lang w:val="lt-LT"/>
              </w:rPr>
            </w:pPr>
            <w:r w:rsidRPr="00303A5A">
              <w:rPr>
                <w:lang w:val="lt-LT"/>
              </w:rPr>
              <w:t>Koreliacijos koeficientas</w:t>
            </w:r>
          </w:p>
        </w:tc>
        <w:tc>
          <w:tcPr>
            <w:tcW w:w="1316" w:type="dxa"/>
          </w:tcPr>
          <w:p w:rsidR="005A2023" w:rsidRPr="00303A5A" w:rsidRDefault="005A2023" w:rsidP="004C3AD6">
            <w:pPr>
              <w:jc w:val="both"/>
              <w:rPr>
                <w:lang w:val="lt-LT"/>
              </w:rPr>
            </w:pPr>
            <w:r w:rsidRPr="00303A5A">
              <w:rPr>
                <w:lang w:val="lt-LT"/>
              </w:rPr>
              <w:t>t statistika</w:t>
            </w:r>
          </w:p>
        </w:tc>
      </w:tr>
      <w:tr w:rsidR="005A2023" w:rsidRPr="008844D9" w:rsidTr="004C3AD6">
        <w:trPr>
          <w:jc w:val="center"/>
        </w:trPr>
        <w:tc>
          <w:tcPr>
            <w:tcW w:w="1110" w:type="dxa"/>
          </w:tcPr>
          <w:p w:rsidR="005A2023" w:rsidRPr="00303A5A" w:rsidRDefault="005A2023" w:rsidP="004C3AD6">
            <w:pPr>
              <w:rPr>
                <w:lang w:val="lt-LT"/>
              </w:rPr>
            </w:pPr>
            <w:r w:rsidRPr="00303A5A">
              <w:rPr>
                <w:lang w:val="lt-LT"/>
              </w:rPr>
              <w:t>Xt1</w:t>
            </w:r>
          </w:p>
        </w:tc>
        <w:tc>
          <w:tcPr>
            <w:tcW w:w="2729" w:type="dxa"/>
          </w:tcPr>
          <w:p w:rsidR="005A2023" w:rsidRPr="00303A5A" w:rsidRDefault="005A2023" w:rsidP="004C3AD6">
            <w:pPr>
              <w:ind w:firstLine="567"/>
              <w:jc w:val="center"/>
              <w:rPr>
                <w:b/>
                <w:lang w:val="lt-LT"/>
              </w:rPr>
            </w:pPr>
            <w:r w:rsidRPr="00303A5A">
              <w:rPr>
                <w:b/>
                <w:lang w:val="lt-LT"/>
              </w:rPr>
              <w:t>0,812</w:t>
            </w:r>
          </w:p>
        </w:tc>
        <w:tc>
          <w:tcPr>
            <w:tcW w:w="1316" w:type="dxa"/>
          </w:tcPr>
          <w:p w:rsidR="005A2023" w:rsidRPr="00303A5A" w:rsidRDefault="005A2023" w:rsidP="004C3AD6">
            <w:pPr>
              <w:jc w:val="center"/>
              <w:rPr>
                <w:b/>
                <w:lang w:val="lt-LT"/>
              </w:rPr>
            </w:pPr>
            <w:r w:rsidRPr="00303A5A">
              <w:rPr>
                <w:b/>
                <w:lang w:val="lt-LT"/>
              </w:rPr>
              <w:t>7,378</w:t>
            </w:r>
          </w:p>
        </w:tc>
      </w:tr>
      <w:tr w:rsidR="005A2023" w:rsidRPr="008844D9" w:rsidTr="004C3AD6">
        <w:trPr>
          <w:jc w:val="center"/>
        </w:trPr>
        <w:tc>
          <w:tcPr>
            <w:tcW w:w="1110" w:type="dxa"/>
          </w:tcPr>
          <w:p w:rsidR="005A2023" w:rsidRPr="00303A5A" w:rsidRDefault="005A2023" w:rsidP="004C3AD6">
            <w:pPr>
              <w:rPr>
                <w:lang w:val="lt-LT"/>
              </w:rPr>
            </w:pPr>
            <w:r w:rsidRPr="00303A5A">
              <w:rPr>
                <w:lang w:val="lt-LT"/>
              </w:rPr>
              <w:t>Xt2</w:t>
            </w:r>
          </w:p>
        </w:tc>
        <w:tc>
          <w:tcPr>
            <w:tcW w:w="2729" w:type="dxa"/>
          </w:tcPr>
          <w:p w:rsidR="005A2023" w:rsidRPr="00303A5A" w:rsidRDefault="005A2023" w:rsidP="004C3AD6">
            <w:pPr>
              <w:ind w:firstLine="567"/>
              <w:jc w:val="center"/>
              <w:rPr>
                <w:lang w:val="lt-LT"/>
              </w:rPr>
            </w:pPr>
            <w:r w:rsidRPr="00303A5A">
              <w:rPr>
                <w:lang w:val="lt-LT"/>
              </w:rPr>
              <w:t xml:space="preserve">-0,084  </w:t>
            </w:r>
          </w:p>
        </w:tc>
        <w:tc>
          <w:tcPr>
            <w:tcW w:w="1316" w:type="dxa"/>
          </w:tcPr>
          <w:p w:rsidR="005A2023" w:rsidRPr="00303A5A" w:rsidRDefault="005A2023" w:rsidP="004C3AD6">
            <w:pPr>
              <w:jc w:val="center"/>
              <w:rPr>
                <w:lang w:val="lt-LT"/>
              </w:rPr>
            </w:pPr>
            <w:r w:rsidRPr="00303A5A">
              <w:rPr>
                <w:lang w:val="lt-LT"/>
              </w:rPr>
              <w:t>-0,448</w:t>
            </w:r>
          </w:p>
        </w:tc>
      </w:tr>
      <w:tr w:rsidR="005A2023" w:rsidRPr="008844D9" w:rsidTr="004C3AD6">
        <w:trPr>
          <w:jc w:val="center"/>
        </w:trPr>
        <w:tc>
          <w:tcPr>
            <w:tcW w:w="1110" w:type="dxa"/>
          </w:tcPr>
          <w:p w:rsidR="005A2023" w:rsidRPr="00303A5A" w:rsidRDefault="00A86DD0" w:rsidP="004C3AD6">
            <w:pPr>
              <w:rPr>
                <w:lang w:val="lt-LT"/>
              </w:rPr>
            </w:pPr>
            <w:r>
              <w:rPr>
                <w:lang w:val="lt-LT"/>
              </w:rPr>
              <w:t>Xt3</w:t>
            </w:r>
          </w:p>
        </w:tc>
        <w:tc>
          <w:tcPr>
            <w:tcW w:w="2729" w:type="dxa"/>
          </w:tcPr>
          <w:p w:rsidR="005A2023" w:rsidRPr="00303A5A" w:rsidRDefault="005A2023" w:rsidP="004C3AD6">
            <w:pPr>
              <w:ind w:firstLine="567"/>
              <w:jc w:val="center"/>
              <w:rPr>
                <w:b/>
                <w:lang w:val="lt-LT"/>
              </w:rPr>
            </w:pPr>
            <w:r w:rsidRPr="00303A5A">
              <w:rPr>
                <w:b/>
                <w:lang w:val="lt-LT"/>
              </w:rPr>
              <w:t>0,809</w:t>
            </w:r>
          </w:p>
        </w:tc>
        <w:tc>
          <w:tcPr>
            <w:tcW w:w="1316" w:type="dxa"/>
          </w:tcPr>
          <w:p w:rsidR="005A2023" w:rsidRPr="00303A5A" w:rsidRDefault="005A2023" w:rsidP="004C3AD6">
            <w:pPr>
              <w:jc w:val="center"/>
              <w:rPr>
                <w:b/>
                <w:lang w:val="lt-LT"/>
              </w:rPr>
            </w:pPr>
            <w:r w:rsidRPr="00303A5A">
              <w:rPr>
                <w:lang w:val="lt-LT"/>
              </w:rPr>
              <w:t xml:space="preserve"> </w:t>
            </w:r>
            <w:r w:rsidRPr="00303A5A">
              <w:rPr>
                <w:b/>
                <w:lang w:val="lt-LT"/>
              </w:rPr>
              <w:t>7,307</w:t>
            </w:r>
          </w:p>
        </w:tc>
      </w:tr>
      <w:tr w:rsidR="005A2023" w:rsidRPr="00303A5A" w:rsidTr="004C3AD6">
        <w:trPr>
          <w:jc w:val="center"/>
        </w:trPr>
        <w:tc>
          <w:tcPr>
            <w:tcW w:w="1110" w:type="dxa"/>
          </w:tcPr>
          <w:p w:rsidR="005A2023" w:rsidRPr="00303A5A" w:rsidRDefault="00A86DD0" w:rsidP="004C3AD6">
            <w:pPr>
              <w:rPr>
                <w:lang w:val="lt-LT"/>
              </w:rPr>
            </w:pPr>
            <w:r>
              <w:rPr>
                <w:lang w:val="lt-LT"/>
              </w:rPr>
              <w:t>Xt4</w:t>
            </w:r>
          </w:p>
        </w:tc>
        <w:tc>
          <w:tcPr>
            <w:tcW w:w="2729" w:type="dxa"/>
          </w:tcPr>
          <w:p w:rsidR="005A2023" w:rsidRPr="00303A5A" w:rsidRDefault="005A2023" w:rsidP="004C3AD6">
            <w:pPr>
              <w:ind w:firstLine="567"/>
              <w:jc w:val="center"/>
              <w:rPr>
                <w:b/>
                <w:lang w:val="lt-LT"/>
              </w:rPr>
            </w:pPr>
            <w:r w:rsidRPr="00303A5A">
              <w:rPr>
                <w:b/>
                <w:lang w:val="lt-LT"/>
              </w:rPr>
              <w:t>0,456</w:t>
            </w:r>
          </w:p>
        </w:tc>
        <w:tc>
          <w:tcPr>
            <w:tcW w:w="1316" w:type="dxa"/>
          </w:tcPr>
          <w:p w:rsidR="005A2023" w:rsidRPr="00303A5A" w:rsidRDefault="005A2023" w:rsidP="004C3AD6">
            <w:pPr>
              <w:jc w:val="center"/>
              <w:rPr>
                <w:b/>
                <w:lang w:val="lt-LT"/>
              </w:rPr>
            </w:pPr>
            <w:r w:rsidRPr="00303A5A">
              <w:rPr>
                <w:b/>
                <w:lang w:val="lt-LT"/>
              </w:rPr>
              <w:t>2,718</w:t>
            </w:r>
          </w:p>
        </w:tc>
      </w:tr>
      <w:tr w:rsidR="005A2023" w:rsidRPr="00303A5A" w:rsidTr="004C3AD6">
        <w:trPr>
          <w:jc w:val="center"/>
        </w:trPr>
        <w:tc>
          <w:tcPr>
            <w:tcW w:w="1110" w:type="dxa"/>
          </w:tcPr>
          <w:p w:rsidR="005A2023" w:rsidRPr="00303A5A" w:rsidRDefault="00A86DD0" w:rsidP="004C3AD6">
            <w:pPr>
              <w:rPr>
                <w:lang w:val="lt-LT"/>
              </w:rPr>
            </w:pPr>
            <w:r>
              <w:rPr>
                <w:lang w:val="lt-LT"/>
              </w:rPr>
              <w:t>Xt5</w:t>
            </w:r>
          </w:p>
        </w:tc>
        <w:tc>
          <w:tcPr>
            <w:tcW w:w="2729" w:type="dxa"/>
          </w:tcPr>
          <w:p w:rsidR="005A2023" w:rsidRPr="00303A5A" w:rsidRDefault="005A2023" w:rsidP="00C7231E">
            <w:pPr>
              <w:ind w:firstLine="567"/>
              <w:jc w:val="center"/>
              <w:rPr>
                <w:b/>
                <w:lang w:val="lt-LT"/>
              </w:rPr>
            </w:pPr>
            <w:r w:rsidRPr="00303A5A">
              <w:rPr>
                <w:b/>
                <w:lang w:val="lt-LT"/>
              </w:rPr>
              <w:t>0,</w:t>
            </w:r>
            <w:r w:rsidR="00C7231E">
              <w:rPr>
                <w:b/>
                <w:lang w:val="lt-LT"/>
              </w:rPr>
              <w:t>706</w:t>
            </w:r>
          </w:p>
        </w:tc>
        <w:tc>
          <w:tcPr>
            <w:tcW w:w="1316" w:type="dxa"/>
          </w:tcPr>
          <w:p w:rsidR="005A2023" w:rsidRPr="00303A5A" w:rsidRDefault="00C7231E" w:rsidP="004C3AD6">
            <w:pPr>
              <w:jc w:val="center"/>
              <w:rPr>
                <w:b/>
                <w:lang w:val="lt-LT"/>
              </w:rPr>
            </w:pPr>
            <w:r>
              <w:rPr>
                <w:b/>
                <w:lang w:val="lt-LT"/>
              </w:rPr>
              <w:t>4,99</w:t>
            </w:r>
          </w:p>
        </w:tc>
      </w:tr>
      <w:tr w:rsidR="005A2023" w:rsidRPr="00303A5A" w:rsidTr="004C3AD6">
        <w:trPr>
          <w:jc w:val="center"/>
        </w:trPr>
        <w:tc>
          <w:tcPr>
            <w:tcW w:w="1110" w:type="dxa"/>
          </w:tcPr>
          <w:p w:rsidR="005A2023" w:rsidRPr="00303A5A" w:rsidRDefault="00A86DD0" w:rsidP="004C3AD6">
            <w:pPr>
              <w:rPr>
                <w:lang w:val="lt-LT"/>
              </w:rPr>
            </w:pPr>
            <w:r>
              <w:rPr>
                <w:lang w:val="lt-LT"/>
              </w:rPr>
              <w:t>Xt6</w:t>
            </w:r>
          </w:p>
        </w:tc>
        <w:tc>
          <w:tcPr>
            <w:tcW w:w="2729" w:type="dxa"/>
          </w:tcPr>
          <w:p w:rsidR="005A2023" w:rsidRPr="00303A5A" w:rsidRDefault="005A2023" w:rsidP="004C3AD6">
            <w:pPr>
              <w:ind w:firstLine="567"/>
              <w:jc w:val="center"/>
              <w:rPr>
                <w:lang w:val="lt-LT"/>
              </w:rPr>
            </w:pPr>
            <w:r w:rsidRPr="00303A5A">
              <w:rPr>
                <w:lang w:val="lt-LT"/>
              </w:rPr>
              <w:t>0,311</w:t>
            </w:r>
          </w:p>
        </w:tc>
        <w:tc>
          <w:tcPr>
            <w:tcW w:w="1316" w:type="dxa"/>
          </w:tcPr>
          <w:p w:rsidR="005A2023" w:rsidRPr="00303A5A" w:rsidRDefault="005A2023" w:rsidP="004C3AD6">
            <w:pPr>
              <w:jc w:val="center"/>
              <w:rPr>
                <w:lang w:val="lt-LT"/>
              </w:rPr>
            </w:pPr>
            <w:r w:rsidRPr="00303A5A">
              <w:rPr>
                <w:lang w:val="lt-LT"/>
              </w:rPr>
              <w:t>1,733</w:t>
            </w:r>
          </w:p>
        </w:tc>
      </w:tr>
    </w:tbl>
    <w:p w:rsidR="005A2023" w:rsidRPr="00303A5A" w:rsidRDefault="005A2023" w:rsidP="005A2023">
      <w:pPr>
        <w:spacing w:line="360" w:lineRule="auto"/>
        <w:ind w:firstLine="567"/>
        <w:jc w:val="both"/>
        <w:rPr>
          <w:sz w:val="23"/>
          <w:szCs w:val="23"/>
          <w:lang w:val="lt-LT"/>
        </w:rPr>
      </w:pPr>
    </w:p>
    <w:p w:rsidR="005A2023" w:rsidRPr="00670E82" w:rsidRDefault="005A2023" w:rsidP="00670E82">
      <w:pPr>
        <w:spacing w:line="360" w:lineRule="auto"/>
        <w:ind w:firstLine="567"/>
        <w:jc w:val="both"/>
        <w:rPr>
          <w:lang w:val="lt-LT"/>
        </w:rPr>
      </w:pPr>
      <w:r w:rsidRPr="00670E82">
        <w:rPr>
          <w:lang w:val="lt-LT"/>
        </w:rPr>
        <w:t xml:space="preserve">Sudarytos porinės regresijos lygtys įtraukiant laisvąjį narį. Gautos regresinės lygtys su reikšmingais koeficientais pateiktos </w:t>
      </w:r>
      <w:r w:rsidR="008844D9" w:rsidRPr="00670E82">
        <w:rPr>
          <w:lang w:val="lt-LT"/>
        </w:rPr>
        <w:t>3.12.</w:t>
      </w:r>
      <w:r w:rsidRPr="00670E82">
        <w:rPr>
          <w:lang w:val="lt-LT"/>
        </w:rPr>
        <w:t xml:space="preserve"> lentelėje. Nors modeliuose koeficientai reikšmingi, determinacijos koeficiento reikšmės rodo, kad lygtys nepakankamai gerai aprašo priklausomąjį kintamąjį – turto draudimo įmokas. Kitu žingsniu buvo sudarytos porinės tiesinės regresijos lygtis be laisvųjų narių. Gauti determinacijos koeficientai žymiai arčiau vieneto, vadinasi tiesinė priklausomybė tarp turto draudimo įmokų bei atitinkamo veiksnio porinėmis lygtimis be laisvojo nario aprašyta geriau.</w:t>
      </w:r>
    </w:p>
    <w:p w:rsidR="005A2023" w:rsidRPr="008844D9" w:rsidRDefault="008844D9" w:rsidP="000C403A">
      <w:pPr>
        <w:pStyle w:val="lentels"/>
      </w:pPr>
      <w:bookmarkStart w:id="205" w:name="_Toc309559992"/>
      <w:bookmarkStart w:id="206" w:name="_Toc310014809"/>
      <w:bookmarkStart w:id="207" w:name="_Toc311971002"/>
      <w:bookmarkStart w:id="208" w:name="_Toc311971848"/>
      <w:bookmarkStart w:id="209" w:name="_Toc311971888"/>
      <w:r w:rsidRPr="008844D9">
        <w:t>3.12.</w:t>
      </w:r>
      <w:r w:rsidR="00A4245B">
        <w:t xml:space="preserve"> l</w:t>
      </w:r>
      <w:r w:rsidR="005A2023" w:rsidRPr="008844D9">
        <w:t>entelė. Porinės regresijos lygtys tarp turto draudime pasirašytų įmokų bei atitinkamo veiksnio ir pagal jas paskaičiuoti determinacijos koeficientai R</w:t>
      </w:r>
      <w:r w:rsidR="005A2023" w:rsidRPr="00D428D9">
        <w:rPr>
          <w:vertAlign w:val="superscript"/>
        </w:rPr>
        <w:t>2</w:t>
      </w:r>
      <w:bookmarkEnd w:id="205"/>
      <w:bookmarkEnd w:id="206"/>
      <w:bookmarkEnd w:id="207"/>
      <w:bookmarkEnd w:id="208"/>
      <w:bookmarkEnd w:id="209"/>
    </w:p>
    <w:tbl>
      <w:tblPr>
        <w:tblStyle w:val="TableGrid"/>
        <w:tblW w:w="0" w:type="auto"/>
        <w:jc w:val="center"/>
        <w:tblInd w:w="-540" w:type="dxa"/>
        <w:tblLook w:val="04A0"/>
      </w:tblPr>
      <w:tblGrid>
        <w:gridCol w:w="2817"/>
        <w:gridCol w:w="1719"/>
        <w:gridCol w:w="2778"/>
        <w:gridCol w:w="985"/>
      </w:tblGrid>
      <w:tr w:rsidR="005A2023" w:rsidRPr="00303A5A" w:rsidTr="004C3AD6">
        <w:trPr>
          <w:jc w:val="center"/>
        </w:trPr>
        <w:tc>
          <w:tcPr>
            <w:tcW w:w="4536" w:type="dxa"/>
            <w:gridSpan w:val="2"/>
          </w:tcPr>
          <w:p w:rsidR="005A2023" w:rsidRPr="00303A5A" w:rsidRDefault="005A2023" w:rsidP="004C3AD6">
            <w:pPr>
              <w:rPr>
                <w:b/>
                <w:sz w:val="23"/>
                <w:szCs w:val="23"/>
                <w:lang w:val="lt-LT"/>
              </w:rPr>
            </w:pPr>
            <w:r w:rsidRPr="00303A5A">
              <w:rPr>
                <w:b/>
                <w:sz w:val="23"/>
                <w:szCs w:val="23"/>
                <w:lang w:val="lt-LT"/>
              </w:rPr>
              <w:t>Regresijos lygtis su įtrauktu laisvuoju nariu</w:t>
            </w:r>
          </w:p>
        </w:tc>
        <w:tc>
          <w:tcPr>
            <w:tcW w:w="3763" w:type="dxa"/>
            <w:gridSpan w:val="2"/>
          </w:tcPr>
          <w:p w:rsidR="005A2023" w:rsidRPr="00303A5A" w:rsidRDefault="005A2023" w:rsidP="004C3AD6">
            <w:pPr>
              <w:rPr>
                <w:b/>
                <w:lang w:val="lt-LT"/>
              </w:rPr>
            </w:pPr>
            <w:r w:rsidRPr="00303A5A">
              <w:rPr>
                <w:b/>
                <w:lang w:val="lt-LT"/>
              </w:rPr>
              <w:t>Regresijos lygtis be laisvojo nario</w:t>
            </w:r>
          </w:p>
        </w:tc>
      </w:tr>
      <w:tr w:rsidR="005A2023" w:rsidRPr="00303A5A" w:rsidTr="004C3AD6">
        <w:trPr>
          <w:jc w:val="center"/>
        </w:trPr>
        <w:tc>
          <w:tcPr>
            <w:tcW w:w="2817" w:type="dxa"/>
          </w:tcPr>
          <w:p w:rsidR="005A2023" w:rsidRPr="00303A5A" w:rsidRDefault="005A2023" w:rsidP="004C3AD6">
            <w:pPr>
              <w:rPr>
                <w:lang w:val="lt-LT"/>
              </w:rPr>
            </w:pPr>
            <w:r w:rsidRPr="00303A5A">
              <w:rPr>
                <w:sz w:val="23"/>
                <w:szCs w:val="23"/>
                <w:lang w:val="lt-LT"/>
              </w:rPr>
              <w:br w:type="page"/>
              <w:t>Lygtis</w:t>
            </w:r>
          </w:p>
        </w:tc>
        <w:tc>
          <w:tcPr>
            <w:tcW w:w="1719" w:type="dxa"/>
          </w:tcPr>
          <w:p w:rsidR="005A2023" w:rsidRPr="00303A5A" w:rsidRDefault="005A2023" w:rsidP="004C3AD6">
            <w:pPr>
              <w:rPr>
                <w:lang w:val="lt-LT"/>
              </w:rPr>
            </w:pPr>
            <w:r w:rsidRPr="00303A5A">
              <w:rPr>
                <w:lang w:val="lt-LT"/>
              </w:rPr>
              <w:t>R</w:t>
            </w:r>
            <w:r w:rsidRPr="00303A5A">
              <w:rPr>
                <w:vertAlign w:val="superscript"/>
                <w:lang w:val="lt-LT"/>
              </w:rPr>
              <w:t>2</w:t>
            </w:r>
          </w:p>
        </w:tc>
        <w:tc>
          <w:tcPr>
            <w:tcW w:w="2778" w:type="dxa"/>
          </w:tcPr>
          <w:p w:rsidR="005A2023" w:rsidRPr="00303A5A" w:rsidRDefault="005A2023" w:rsidP="004C3AD6">
            <w:pPr>
              <w:rPr>
                <w:lang w:val="lt-LT"/>
              </w:rPr>
            </w:pPr>
            <w:r w:rsidRPr="00303A5A">
              <w:rPr>
                <w:sz w:val="23"/>
                <w:szCs w:val="23"/>
                <w:lang w:val="lt-LT"/>
              </w:rPr>
              <w:br w:type="page"/>
              <w:t>Lygtis</w:t>
            </w:r>
          </w:p>
        </w:tc>
        <w:tc>
          <w:tcPr>
            <w:tcW w:w="985" w:type="dxa"/>
          </w:tcPr>
          <w:p w:rsidR="005A2023" w:rsidRPr="00303A5A" w:rsidRDefault="005A2023" w:rsidP="004C3AD6">
            <w:pPr>
              <w:rPr>
                <w:lang w:val="lt-LT"/>
              </w:rPr>
            </w:pPr>
            <w:r w:rsidRPr="00303A5A">
              <w:rPr>
                <w:lang w:val="lt-LT"/>
              </w:rPr>
              <w:t>R</w:t>
            </w:r>
            <w:r w:rsidRPr="00303A5A">
              <w:rPr>
                <w:vertAlign w:val="superscript"/>
                <w:lang w:val="lt-LT"/>
              </w:rPr>
              <w:t>2</w:t>
            </w:r>
          </w:p>
        </w:tc>
      </w:tr>
      <w:tr w:rsidR="005A2023" w:rsidRPr="00303A5A" w:rsidTr="004C3AD6">
        <w:trPr>
          <w:jc w:val="center"/>
        </w:trPr>
        <w:tc>
          <w:tcPr>
            <w:tcW w:w="2817" w:type="dxa"/>
          </w:tcPr>
          <w:p w:rsidR="005A2023" w:rsidRPr="00303A5A" w:rsidRDefault="005A2023" w:rsidP="004C3AD6">
            <w:pPr>
              <w:rPr>
                <w:lang w:val="lt-LT"/>
              </w:rPr>
            </w:pPr>
            <w:r w:rsidRPr="00303A5A">
              <w:rPr>
                <w:lang w:val="lt-LT"/>
              </w:rPr>
              <w:t>T=0,121*Xt1 - 29,28</w:t>
            </w:r>
          </w:p>
        </w:tc>
        <w:tc>
          <w:tcPr>
            <w:tcW w:w="1719" w:type="dxa"/>
          </w:tcPr>
          <w:p w:rsidR="005A2023" w:rsidRPr="00303A5A" w:rsidRDefault="005A2023" w:rsidP="004C3AD6">
            <w:pPr>
              <w:rPr>
                <w:lang w:val="lt-LT"/>
              </w:rPr>
            </w:pPr>
            <w:r w:rsidRPr="00303A5A">
              <w:rPr>
                <w:lang w:val="lt-LT"/>
              </w:rPr>
              <w:t>0,66</w:t>
            </w:r>
          </w:p>
        </w:tc>
        <w:tc>
          <w:tcPr>
            <w:tcW w:w="2778" w:type="dxa"/>
          </w:tcPr>
          <w:p w:rsidR="005A2023" w:rsidRPr="00303A5A" w:rsidRDefault="005A2023" w:rsidP="004C3AD6">
            <w:pPr>
              <w:rPr>
                <w:lang w:val="lt-LT"/>
              </w:rPr>
            </w:pPr>
            <w:r w:rsidRPr="00303A5A">
              <w:rPr>
                <w:lang w:val="lt-LT"/>
              </w:rPr>
              <w:t>T= 0,0078*Xt1</w:t>
            </w:r>
          </w:p>
        </w:tc>
        <w:tc>
          <w:tcPr>
            <w:tcW w:w="985" w:type="dxa"/>
          </w:tcPr>
          <w:p w:rsidR="005A2023" w:rsidRPr="00303A5A" w:rsidRDefault="005A2023" w:rsidP="004C3AD6">
            <w:pPr>
              <w:rPr>
                <w:lang w:val="lt-LT"/>
              </w:rPr>
            </w:pPr>
            <w:r w:rsidRPr="00303A5A">
              <w:rPr>
                <w:lang w:val="lt-LT"/>
              </w:rPr>
              <w:t>0,94</w:t>
            </w:r>
          </w:p>
        </w:tc>
      </w:tr>
      <w:tr w:rsidR="005A2023" w:rsidRPr="00303A5A" w:rsidTr="004C3AD6">
        <w:trPr>
          <w:jc w:val="center"/>
        </w:trPr>
        <w:tc>
          <w:tcPr>
            <w:tcW w:w="2817" w:type="dxa"/>
          </w:tcPr>
          <w:p w:rsidR="005A2023" w:rsidRPr="00303A5A" w:rsidRDefault="005A2023" w:rsidP="004C3AD6">
            <w:pPr>
              <w:rPr>
                <w:lang w:val="lt-LT"/>
              </w:rPr>
            </w:pPr>
            <w:r w:rsidRPr="00303A5A">
              <w:rPr>
                <w:lang w:val="lt-LT"/>
              </w:rPr>
              <w:t>Nereikšminga</w:t>
            </w:r>
          </w:p>
        </w:tc>
        <w:tc>
          <w:tcPr>
            <w:tcW w:w="1719" w:type="dxa"/>
          </w:tcPr>
          <w:p w:rsidR="005A2023" w:rsidRPr="00303A5A" w:rsidRDefault="005A2023" w:rsidP="004C3AD6">
            <w:pPr>
              <w:rPr>
                <w:lang w:val="lt-LT"/>
              </w:rPr>
            </w:pPr>
            <w:r w:rsidRPr="00303A5A">
              <w:rPr>
                <w:lang w:val="lt-LT"/>
              </w:rPr>
              <w:t>-</w:t>
            </w:r>
          </w:p>
        </w:tc>
        <w:tc>
          <w:tcPr>
            <w:tcW w:w="2778" w:type="dxa"/>
          </w:tcPr>
          <w:p w:rsidR="005A2023" w:rsidRPr="00303A5A" w:rsidRDefault="005A2023" w:rsidP="004C3AD6">
            <w:pPr>
              <w:rPr>
                <w:lang w:val="lt-LT"/>
              </w:rPr>
            </w:pPr>
            <w:r w:rsidRPr="00303A5A">
              <w:rPr>
                <w:lang w:val="lt-LT"/>
              </w:rPr>
              <w:t>T = 4,0193*Xt2</w:t>
            </w:r>
          </w:p>
        </w:tc>
        <w:tc>
          <w:tcPr>
            <w:tcW w:w="985" w:type="dxa"/>
          </w:tcPr>
          <w:p w:rsidR="005A2023" w:rsidRPr="00303A5A" w:rsidRDefault="005A2023" w:rsidP="004C3AD6">
            <w:pPr>
              <w:rPr>
                <w:lang w:val="lt-LT"/>
              </w:rPr>
            </w:pPr>
            <w:r w:rsidRPr="00303A5A">
              <w:rPr>
                <w:lang w:val="lt-LT"/>
              </w:rPr>
              <w:t>0,68</w:t>
            </w:r>
          </w:p>
        </w:tc>
      </w:tr>
      <w:tr w:rsidR="005A2023" w:rsidRPr="00303A5A" w:rsidTr="004C3AD6">
        <w:trPr>
          <w:jc w:val="center"/>
        </w:trPr>
        <w:tc>
          <w:tcPr>
            <w:tcW w:w="2817" w:type="dxa"/>
          </w:tcPr>
          <w:p w:rsidR="005A2023" w:rsidRPr="00303A5A" w:rsidRDefault="00A86DD0" w:rsidP="004C3AD6">
            <w:pPr>
              <w:rPr>
                <w:lang w:val="lt-LT"/>
              </w:rPr>
            </w:pPr>
            <w:r>
              <w:rPr>
                <w:lang w:val="lt-LT"/>
              </w:rPr>
              <w:t>T=4,801*Xt3</w:t>
            </w:r>
            <w:r w:rsidR="005A2023" w:rsidRPr="00303A5A">
              <w:rPr>
                <w:lang w:val="lt-LT"/>
              </w:rPr>
              <w:t xml:space="preserve"> + 29,96</w:t>
            </w:r>
          </w:p>
        </w:tc>
        <w:tc>
          <w:tcPr>
            <w:tcW w:w="1719" w:type="dxa"/>
          </w:tcPr>
          <w:p w:rsidR="005A2023" w:rsidRPr="00303A5A" w:rsidRDefault="005A2023" w:rsidP="004C3AD6">
            <w:pPr>
              <w:rPr>
                <w:lang w:val="lt-LT"/>
              </w:rPr>
            </w:pPr>
            <w:r w:rsidRPr="00303A5A">
              <w:rPr>
                <w:lang w:val="lt-LT"/>
              </w:rPr>
              <w:t>0,656</w:t>
            </w:r>
          </w:p>
        </w:tc>
        <w:tc>
          <w:tcPr>
            <w:tcW w:w="2778" w:type="dxa"/>
          </w:tcPr>
          <w:p w:rsidR="005A2023" w:rsidRPr="00303A5A" w:rsidRDefault="00A86DD0" w:rsidP="004C3AD6">
            <w:pPr>
              <w:rPr>
                <w:lang w:val="lt-LT"/>
              </w:rPr>
            </w:pPr>
            <w:r>
              <w:rPr>
                <w:lang w:val="lt-LT"/>
              </w:rPr>
              <w:t>T = 9,165 *Xt3</w:t>
            </w:r>
          </w:p>
        </w:tc>
        <w:tc>
          <w:tcPr>
            <w:tcW w:w="985" w:type="dxa"/>
          </w:tcPr>
          <w:p w:rsidR="005A2023" w:rsidRPr="00303A5A" w:rsidRDefault="005A2023" w:rsidP="004C3AD6">
            <w:pPr>
              <w:rPr>
                <w:lang w:val="lt-LT"/>
              </w:rPr>
            </w:pPr>
            <w:r w:rsidRPr="00303A5A">
              <w:rPr>
                <w:lang w:val="lt-LT"/>
              </w:rPr>
              <w:t>0,83</w:t>
            </w:r>
          </w:p>
        </w:tc>
      </w:tr>
      <w:tr w:rsidR="005A2023" w:rsidRPr="00303A5A" w:rsidTr="004C3AD6">
        <w:trPr>
          <w:jc w:val="center"/>
        </w:trPr>
        <w:tc>
          <w:tcPr>
            <w:tcW w:w="2817" w:type="dxa"/>
          </w:tcPr>
          <w:p w:rsidR="005A2023" w:rsidRPr="00303A5A" w:rsidRDefault="005A2023" w:rsidP="004C3AD6">
            <w:pPr>
              <w:rPr>
                <w:lang w:val="lt-LT"/>
              </w:rPr>
            </w:pPr>
            <w:r w:rsidRPr="00303A5A">
              <w:rPr>
                <w:lang w:val="lt-LT"/>
              </w:rPr>
              <w:t>Nereikšminga</w:t>
            </w:r>
          </w:p>
        </w:tc>
        <w:tc>
          <w:tcPr>
            <w:tcW w:w="1719" w:type="dxa"/>
          </w:tcPr>
          <w:p w:rsidR="005A2023" w:rsidRPr="00303A5A" w:rsidRDefault="005A2023" w:rsidP="004C3AD6">
            <w:pPr>
              <w:rPr>
                <w:lang w:val="lt-LT"/>
              </w:rPr>
            </w:pPr>
            <w:r w:rsidRPr="00303A5A">
              <w:rPr>
                <w:lang w:val="lt-LT"/>
              </w:rPr>
              <w:t>-</w:t>
            </w:r>
          </w:p>
        </w:tc>
        <w:tc>
          <w:tcPr>
            <w:tcW w:w="2778" w:type="dxa"/>
          </w:tcPr>
          <w:p w:rsidR="005A2023" w:rsidRPr="00303A5A" w:rsidRDefault="00A86DD0" w:rsidP="004C3AD6">
            <w:pPr>
              <w:rPr>
                <w:lang w:val="lt-LT"/>
              </w:rPr>
            </w:pPr>
            <w:r>
              <w:rPr>
                <w:lang w:val="lt-LT"/>
              </w:rPr>
              <w:t>T = 0,0246 *Xt4</w:t>
            </w:r>
          </w:p>
        </w:tc>
        <w:tc>
          <w:tcPr>
            <w:tcW w:w="985" w:type="dxa"/>
          </w:tcPr>
          <w:p w:rsidR="005A2023" w:rsidRPr="00303A5A" w:rsidRDefault="005A2023" w:rsidP="004C3AD6">
            <w:pPr>
              <w:rPr>
                <w:lang w:val="lt-LT"/>
              </w:rPr>
            </w:pPr>
            <w:r w:rsidRPr="00303A5A">
              <w:rPr>
                <w:lang w:val="lt-LT"/>
              </w:rPr>
              <w:t>0,86</w:t>
            </w:r>
          </w:p>
        </w:tc>
      </w:tr>
      <w:tr w:rsidR="005A2023" w:rsidRPr="00303A5A" w:rsidTr="004C3AD6">
        <w:trPr>
          <w:jc w:val="center"/>
        </w:trPr>
        <w:tc>
          <w:tcPr>
            <w:tcW w:w="2817" w:type="dxa"/>
          </w:tcPr>
          <w:p w:rsidR="005A2023" w:rsidRPr="00303A5A" w:rsidRDefault="00C7231E" w:rsidP="004C3AD6">
            <w:pPr>
              <w:rPr>
                <w:lang w:val="lt-LT"/>
              </w:rPr>
            </w:pPr>
            <w:r>
              <w:rPr>
                <w:lang w:val="lt-LT"/>
              </w:rPr>
              <w:t>T=18,809 + 0,00777</w:t>
            </w:r>
            <w:r w:rsidR="00A86DD0">
              <w:rPr>
                <w:lang w:val="lt-LT"/>
              </w:rPr>
              <w:t>*Xt5</w:t>
            </w:r>
          </w:p>
        </w:tc>
        <w:tc>
          <w:tcPr>
            <w:tcW w:w="1719" w:type="dxa"/>
          </w:tcPr>
          <w:p w:rsidR="005A2023" w:rsidRPr="00303A5A" w:rsidRDefault="00C7231E" w:rsidP="004C3AD6">
            <w:pPr>
              <w:rPr>
                <w:lang w:val="lt-LT"/>
              </w:rPr>
            </w:pPr>
            <w:r>
              <w:rPr>
                <w:lang w:val="lt-LT"/>
              </w:rPr>
              <w:t>0,499</w:t>
            </w:r>
          </w:p>
        </w:tc>
        <w:tc>
          <w:tcPr>
            <w:tcW w:w="2778" w:type="dxa"/>
          </w:tcPr>
          <w:p w:rsidR="005A2023" w:rsidRPr="00303A5A" w:rsidRDefault="00C7231E" w:rsidP="004C3AD6">
            <w:pPr>
              <w:rPr>
                <w:lang w:val="lt-LT"/>
              </w:rPr>
            </w:pPr>
            <w:r>
              <w:rPr>
                <w:lang w:val="lt-LT"/>
              </w:rPr>
              <w:t>T = 0,011</w:t>
            </w:r>
            <w:r w:rsidR="00A80F4A">
              <w:rPr>
                <w:lang w:val="lt-LT"/>
              </w:rPr>
              <w:t>4</w:t>
            </w:r>
            <w:r w:rsidR="00A86DD0">
              <w:rPr>
                <w:lang w:val="lt-LT"/>
              </w:rPr>
              <w:t>*Xt5</w:t>
            </w:r>
          </w:p>
        </w:tc>
        <w:tc>
          <w:tcPr>
            <w:tcW w:w="985" w:type="dxa"/>
          </w:tcPr>
          <w:p w:rsidR="005A2023" w:rsidRPr="00303A5A" w:rsidRDefault="005A2023" w:rsidP="004C3AD6">
            <w:pPr>
              <w:rPr>
                <w:lang w:val="lt-LT"/>
              </w:rPr>
            </w:pPr>
            <w:r w:rsidRPr="00303A5A">
              <w:rPr>
                <w:lang w:val="lt-LT"/>
              </w:rPr>
              <w:t>0,93</w:t>
            </w:r>
          </w:p>
        </w:tc>
      </w:tr>
      <w:tr w:rsidR="005A2023" w:rsidRPr="00303A5A" w:rsidTr="004C3AD6">
        <w:trPr>
          <w:jc w:val="center"/>
        </w:trPr>
        <w:tc>
          <w:tcPr>
            <w:tcW w:w="2817" w:type="dxa"/>
          </w:tcPr>
          <w:p w:rsidR="005A2023" w:rsidRPr="00303A5A" w:rsidRDefault="005A2023" w:rsidP="004C3AD6">
            <w:pPr>
              <w:rPr>
                <w:lang w:val="lt-LT"/>
              </w:rPr>
            </w:pPr>
            <w:r w:rsidRPr="00303A5A">
              <w:rPr>
                <w:lang w:val="lt-LT"/>
              </w:rPr>
              <w:t>Nereikšminga</w:t>
            </w:r>
          </w:p>
        </w:tc>
        <w:tc>
          <w:tcPr>
            <w:tcW w:w="1719" w:type="dxa"/>
          </w:tcPr>
          <w:p w:rsidR="005A2023" w:rsidRPr="00303A5A" w:rsidRDefault="005A2023" w:rsidP="004C3AD6">
            <w:pPr>
              <w:rPr>
                <w:lang w:val="lt-LT"/>
              </w:rPr>
            </w:pPr>
            <w:r w:rsidRPr="00303A5A">
              <w:rPr>
                <w:lang w:val="lt-LT"/>
              </w:rPr>
              <w:t>-</w:t>
            </w:r>
          </w:p>
        </w:tc>
        <w:tc>
          <w:tcPr>
            <w:tcW w:w="2778" w:type="dxa"/>
          </w:tcPr>
          <w:p w:rsidR="005A2023" w:rsidRPr="00303A5A" w:rsidRDefault="00A86DD0" w:rsidP="004C3AD6">
            <w:pPr>
              <w:rPr>
                <w:lang w:val="lt-LT"/>
              </w:rPr>
            </w:pPr>
            <w:r>
              <w:rPr>
                <w:lang w:val="lt-LT"/>
              </w:rPr>
              <w:t>T = 0,578 *Xt6</w:t>
            </w:r>
          </w:p>
        </w:tc>
        <w:tc>
          <w:tcPr>
            <w:tcW w:w="985" w:type="dxa"/>
          </w:tcPr>
          <w:p w:rsidR="005A2023" w:rsidRPr="00303A5A" w:rsidRDefault="005A2023" w:rsidP="004C3AD6">
            <w:pPr>
              <w:rPr>
                <w:lang w:val="lt-LT"/>
              </w:rPr>
            </w:pPr>
            <w:r w:rsidRPr="00303A5A">
              <w:rPr>
                <w:lang w:val="lt-LT"/>
              </w:rPr>
              <w:t>0,87</w:t>
            </w:r>
          </w:p>
        </w:tc>
      </w:tr>
    </w:tbl>
    <w:p w:rsidR="005A2023" w:rsidRPr="00303A5A" w:rsidRDefault="005A2023" w:rsidP="005A2023">
      <w:pPr>
        <w:spacing w:line="360" w:lineRule="auto"/>
        <w:ind w:firstLine="567"/>
        <w:jc w:val="both"/>
        <w:rPr>
          <w:sz w:val="23"/>
          <w:szCs w:val="23"/>
          <w:lang w:val="lt-LT"/>
        </w:rPr>
      </w:pPr>
    </w:p>
    <w:p w:rsidR="005A2023" w:rsidRPr="00670E82" w:rsidRDefault="005A2023" w:rsidP="00670E82">
      <w:pPr>
        <w:spacing w:line="360" w:lineRule="auto"/>
        <w:ind w:firstLine="567"/>
        <w:jc w:val="both"/>
        <w:rPr>
          <w:lang w:val="lt-LT"/>
        </w:rPr>
      </w:pPr>
      <w:r w:rsidRPr="00670E82">
        <w:rPr>
          <w:lang w:val="lt-LT"/>
        </w:rPr>
        <w:t>Koreliacinės analizės metu buvo nustatyta, kad stipriausią bei statistiškai reikšmingą ryšį su turto draudimo įmokomis turi BVP vienam gyventojui, vartotojų kainų indek</w:t>
      </w:r>
      <w:r w:rsidR="00A80F4A" w:rsidRPr="00670E82">
        <w:rPr>
          <w:lang w:val="lt-LT"/>
        </w:rPr>
        <w:t xml:space="preserve">sas, </w:t>
      </w:r>
      <w:r w:rsidRPr="00670E82">
        <w:rPr>
          <w:lang w:val="lt-LT"/>
        </w:rPr>
        <w:t>naujai pastatytų butų skaičius, bei namų ūkiams išduotos</w:t>
      </w:r>
      <w:r w:rsidR="00A80F4A" w:rsidRPr="00670E82">
        <w:rPr>
          <w:lang w:val="lt-LT"/>
        </w:rPr>
        <w:t xml:space="preserve"> būsto</w:t>
      </w:r>
      <w:r w:rsidRPr="00670E82">
        <w:rPr>
          <w:lang w:val="lt-LT"/>
        </w:rPr>
        <w:t xml:space="preserve"> paskolos. Šie veiksniai buvo įtraukti sudarant daugianarę </w:t>
      </w:r>
      <w:r w:rsidRPr="00670E82">
        <w:rPr>
          <w:lang w:val="lt-LT"/>
        </w:rPr>
        <w:lastRenderedPageBreak/>
        <w:t>regresijos lygtį. Sudarius modelį su visai šiais kintamaisiais, kai kurie koeficientai buvo nereikšmingi, todėl tie veiksniai buvo pašalinti iš modelio. Galutinė daugianarė regresijos lygtis atrodo taip</w:t>
      </w:r>
      <w:r w:rsidR="006756D6" w:rsidRPr="00670E82">
        <w:rPr>
          <w:lang w:val="lt-LT"/>
        </w:rPr>
        <w:t>:</w:t>
      </w:r>
    </w:p>
    <w:p w:rsidR="005A2023" w:rsidRPr="00670E82" w:rsidRDefault="00C31889" w:rsidP="00670E82">
      <w:pPr>
        <w:spacing w:line="360" w:lineRule="auto"/>
        <w:ind w:firstLine="567"/>
        <w:jc w:val="center"/>
        <w:rPr>
          <w:lang w:val="lt-LT"/>
        </w:rPr>
      </w:pPr>
      <w:r w:rsidRPr="00670E82">
        <w:rPr>
          <w:lang w:val="lt-LT"/>
        </w:rPr>
        <w:t>T = 0,0055</w:t>
      </w:r>
      <w:r w:rsidR="00A86DD0" w:rsidRPr="00670E82">
        <w:rPr>
          <w:lang w:val="lt-LT"/>
        </w:rPr>
        <w:t xml:space="preserve">*Xt1 + </w:t>
      </w:r>
      <w:r w:rsidRPr="00670E82">
        <w:rPr>
          <w:lang w:val="lt-LT"/>
        </w:rPr>
        <w:t>3,2844</w:t>
      </w:r>
      <w:r w:rsidR="00A86DD0" w:rsidRPr="00670E82">
        <w:rPr>
          <w:lang w:val="lt-LT"/>
        </w:rPr>
        <w:t>*Xt3</w:t>
      </w:r>
      <w:r w:rsidR="005A2023" w:rsidRPr="00670E82">
        <w:rPr>
          <w:lang w:val="lt-LT"/>
        </w:rPr>
        <w:t>,    R</w:t>
      </w:r>
      <w:r w:rsidR="005A2023" w:rsidRPr="00670E82">
        <w:rPr>
          <w:vertAlign w:val="superscript"/>
          <w:lang w:val="lt-LT"/>
        </w:rPr>
        <w:t>2</w:t>
      </w:r>
      <w:r w:rsidRPr="00670E82">
        <w:rPr>
          <w:lang w:val="lt-LT"/>
        </w:rPr>
        <w:t xml:space="preserve"> =0,973</w:t>
      </w:r>
      <w:r w:rsidR="005A2023" w:rsidRPr="00670E82">
        <w:rPr>
          <w:lang w:val="lt-LT"/>
        </w:rPr>
        <w:t xml:space="preserve"> ,</w:t>
      </w:r>
    </w:p>
    <w:p w:rsidR="005A2023" w:rsidRPr="00670E82" w:rsidRDefault="005A2023" w:rsidP="00670E82">
      <w:pPr>
        <w:spacing w:line="360" w:lineRule="auto"/>
        <w:ind w:firstLine="567"/>
        <w:jc w:val="both"/>
        <w:rPr>
          <w:lang w:val="lt-LT"/>
        </w:rPr>
      </w:pPr>
      <w:r w:rsidRPr="00670E82">
        <w:rPr>
          <w:lang w:val="lt-LT"/>
        </w:rPr>
        <w:t>Ši lygtis geriausia determinacijos koeficiento prasme bei jos modelio liekanos atitinka modelio prielaidas. Turto draudimo pasirašytų įmokų kitimas yra veikiamas tokių veiksnių</w:t>
      </w:r>
      <w:r w:rsidR="006756D6" w:rsidRPr="00670E82">
        <w:rPr>
          <w:lang w:val="lt-LT"/>
        </w:rPr>
        <w:t>:</w:t>
      </w:r>
      <w:r w:rsidRPr="00670E82">
        <w:rPr>
          <w:lang w:val="lt-LT"/>
        </w:rPr>
        <w:t xml:space="preserve"> </w:t>
      </w:r>
      <w:r w:rsidR="00A86DD0" w:rsidRPr="00670E82">
        <w:rPr>
          <w:lang w:val="lt-LT"/>
        </w:rPr>
        <w:t>B</w:t>
      </w:r>
      <w:r w:rsidRPr="00670E82">
        <w:rPr>
          <w:lang w:val="lt-LT"/>
        </w:rPr>
        <w:t>VP vienam gyventojui, vartotojų kainų indekso</w:t>
      </w:r>
      <w:r w:rsidR="00C31889" w:rsidRPr="00670E82">
        <w:rPr>
          <w:lang w:val="lt-LT"/>
        </w:rPr>
        <w:t>.</w:t>
      </w:r>
    </w:p>
    <w:p w:rsidR="00CE0852" w:rsidRPr="00670E82" w:rsidRDefault="00CE0852" w:rsidP="00670E82">
      <w:pPr>
        <w:spacing w:line="360" w:lineRule="auto"/>
        <w:ind w:firstLine="567"/>
        <w:jc w:val="both"/>
        <w:rPr>
          <w:lang w:val="lt-LT"/>
        </w:rPr>
      </w:pPr>
      <w:r w:rsidRPr="00670E82">
        <w:rPr>
          <w:lang w:val="lt-LT"/>
        </w:rPr>
        <w:t>Naudojantis sudarytu modeliu buvo apskaičiuota pasirašytų įmokų turto draudime 2011 metų III ketvirčio reikšmė. Lietuvos statistikos departamentas skelbia tokius 2011 metų III ketvirčio duomenis:</w:t>
      </w:r>
    </w:p>
    <w:p w:rsidR="00CE0852" w:rsidRPr="00670E82" w:rsidRDefault="00CE0852" w:rsidP="00670E82">
      <w:pPr>
        <w:pStyle w:val="ListParagraph"/>
        <w:numPr>
          <w:ilvl w:val="0"/>
          <w:numId w:val="9"/>
        </w:numPr>
        <w:spacing w:line="360" w:lineRule="auto"/>
        <w:ind w:firstLine="567"/>
        <w:jc w:val="both"/>
        <w:rPr>
          <w:lang w:val="lt-LT"/>
        </w:rPr>
      </w:pPr>
      <w:r w:rsidRPr="00670E82">
        <w:rPr>
          <w:lang w:val="lt-LT"/>
        </w:rPr>
        <w:t>BVP vienam gyventojui – 8656,51 lt;</w:t>
      </w:r>
    </w:p>
    <w:p w:rsidR="00CE0852" w:rsidRPr="00670E82" w:rsidRDefault="00CE0852" w:rsidP="00670E82">
      <w:pPr>
        <w:pStyle w:val="ListParagraph"/>
        <w:numPr>
          <w:ilvl w:val="0"/>
          <w:numId w:val="9"/>
        </w:numPr>
        <w:spacing w:line="360" w:lineRule="auto"/>
        <w:ind w:firstLine="567"/>
        <w:jc w:val="both"/>
        <w:rPr>
          <w:lang w:val="lt-LT"/>
        </w:rPr>
      </w:pPr>
      <w:r w:rsidRPr="00670E82">
        <w:rPr>
          <w:lang w:val="lt-LT"/>
        </w:rPr>
        <w:t xml:space="preserve">vartotojų kainų indeksas – 4,5 </w:t>
      </w:r>
      <w:r w:rsidR="009A0ECE" w:rsidRPr="00670E82">
        <w:rPr>
          <w:lang w:val="lt-LT"/>
        </w:rPr>
        <w:t>proc.</w:t>
      </w:r>
      <w:r w:rsidRPr="00670E82">
        <w:rPr>
          <w:lang w:val="lt-LT"/>
        </w:rPr>
        <w:t>;</w:t>
      </w:r>
    </w:p>
    <w:p w:rsidR="00CE0852" w:rsidRPr="00670E82" w:rsidRDefault="00CE0852" w:rsidP="00670E82">
      <w:pPr>
        <w:spacing w:line="360" w:lineRule="auto"/>
        <w:ind w:firstLine="567"/>
        <w:jc w:val="both"/>
        <w:rPr>
          <w:lang w:val="lt-LT"/>
        </w:rPr>
      </w:pPr>
      <w:r w:rsidRPr="00670E82">
        <w:rPr>
          <w:lang w:val="lt-LT"/>
        </w:rPr>
        <w:t>Įstačius turimas reikšmes į sudarytą modelį gauta</w:t>
      </w:r>
      <w:r w:rsidR="006756D6" w:rsidRPr="00670E82">
        <w:rPr>
          <w:lang w:val="lt-LT"/>
        </w:rPr>
        <w:t>:</w:t>
      </w:r>
    </w:p>
    <w:p w:rsidR="00CE0852" w:rsidRPr="00670E82" w:rsidRDefault="00CE0852" w:rsidP="00670E82">
      <w:pPr>
        <w:spacing w:line="360" w:lineRule="auto"/>
        <w:ind w:firstLine="567"/>
        <w:jc w:val="center"/>
        <w:rPr>
          <w:lang w:val="lt-LT"/>
        </w:rPr>
      </w:pPr>
      <w:r w:rsidRPr="00670E82">
        <w:rPr>
          <w:b/>
          <w:lang w:val="lt-LT"/>
        </w:rPr>
        <w:t>T</w:t>
      </w:r>
      <w:r w:rsidRPr="00670E82">
        <w:rPr>
          <w:b/>
          <w:vertAlign w:val="subscript"/>
          <w:lang w:val="lt-LT"/>
        </w:rPr>
        <w:t>IIIketv</w:t>
      </w:r>
      <w:r w:rsidRPr="00670E82">
        <w:rPr>
          <w:b/>
          <w:lang w:val="lt-LT"/>
        </w:rPr>
        <w:t>.</w:t>
      </w:r>
      <w:r w:rsidRPr="00670E82">
        <w:rPr>
          <w:lang w:val="lt-LT"/>
        </w:rPr>
        <w:t>= 0,005*8656,51+3,2844*4,5 = 62,39 mln. lt.</w:t>
      </w:r>
    </w:p>
    <w:p w:rsidR="00CE0852" w:rsidRPr="00670E82" w:rsidRDefault="00CE0852" w:rsidP="00670E82">
      <w:pPr>
        <w:spacing w:line="360" w:lineRule="auto"/>
        <w:ind w:firstLine="567"/>
        <w:jc w:val="both"/>
        <w:rPr>
          <w:lang w:val="lt-LT"/>
        </w:rPr>
      </w:pPr>
      <w:r w:rsidRPr="00670E82">
        <w:rPr>
          <w:lang w:val="lt-LT"/>
        </w:rPr>
        <w:t>Lietuvos Respublikos draudimo priežiūros komisijos skelbiama 2011 III ketvirčio pasirašytų įmokų turto draudime faktinė reikšmė yra 53,98 mln. lt, tai 15,58 proc. mažiau nei apskaičiuota pasitelkus sudarytą modelį.</w:t>
      </w:r>
      <w:r w:rsidR="00FE6BBC" w:rsidRPr="00670E82">
        <w:rPr>
          <w:lang w:val="lt-LT"/>
        </w:rPr>
        <w:t xml:space="preserve"> Šiuo atveju prognozės pasikliovimo intervalas yra [51,019; 67,09], vadinasi faktiniams duomenims pritaikius modelį gauta reikšmė patenka į pasikliovimo intervalą ir galima laikyti, kad modelis tinkamas prognozei.</w:t>
      </w:r>
    </w:p>
    <w:p w:rsidR="00F559E2" w:rsidRPr="00670E82" w:rsidRDefault="00F559E2" w:rsidP="00670E82">
      <w:pPr>
        <w:spacing w:line="360" w:lineRule="auto"/>
        <w:ind w:firstLine="567"/>
        <w:jc w:val="both"/>
        <w:rPr>
          <w:b/>
          <w:lang w:val="lt-LT"/>
        </w:rPr>
      </w:pPr>
      <w:r w:rsidRPr="00670E82">
        <w:rPr>
          <w:b/>
          <w:lang w:val="lt-LT"/>
        </w:rPr>
        <w:t>Apibendrinimas</w:t>
      </w:r>
    </w:p>
    <w:p w:rsidR="00CE6830" w:rsidRPr="00670E82" w:rsidRDefault="00CE6830" w:rsidP="00670E82">
      <w:pPr>
        <w:spacing w:line="360" w:lineRule="auto"/>
        <w:ind w:firstLine="567"/>
        <w:jc w:val="both"/>
        <w:rPr>
          <w:lang w:val="lt-LT"/>
        </w:rPr>
      </w:pPr>
      <w:r w:rsidRPr="00670E82">
        <w:rPr>
          <w:lang w:val="lt-LT"/>
        </w:rPr>
        <w:t>Buvo atlikta koreliacinė</w:t>
      </w:r>
      <w:r w:rsidR="00F559E2" w:rsidRPr="00670E82">
        <w:rPr>
          <w:lang w:val="lt-LT"/>
        </w:rPr>
        <w:t xml:space="preserve"> </w:t>
      </w:r>
      <w:r w:rsidRPr="00670E82">
        <w:rPr>
          <w:lang w:val="lt-LT"/>
        </w:rPr>
        <w:t xml:space="preserve">- regresinė analizė, kurioje buvo analizuojama nepriklausomų kintamųjų įtaka trims skirtingiems objektams: ne gyvybės draudimo pasirašytos įmokos, transporto priemonių draudimo pasirašytos įmokos, turto draudimo pasirašytos įmokos. Buvo sudaryti daugianarės regresijos modeliai, kuriuose buvo rasti veiksniai, darantys įtaką </w:t>
      </w:r>
      <w:r w:rsidR="00EF0FB6" w:rsidRPr="00670E82">
        <w:rPr>
          <w:lang w:val="lt-LT"/>
        </w:rPr>
        <w:t xml:space="preserve">atitinkamam priklausomam kintamajam. </w:t>
      </w:r>
      <w:r w:rsidR="00416800" w:rsidRPr="00670E82">
        <w:rPr>
          <w:lang w:val="lt-LT"/>
        </w:rPr>
        <w:t xml:space="preserve">Apibendrinti analizės rezultatai pateikiami 3.13 lentelėje. Nors literatūros apžvalgoje buvo išskirta kelios veiksnių grupės, kurios daro įtaką ne gyvybės draudimo rinkai, atlikta koreliacinė – regresinė analizė parodė, kad Lietuvos ne gyvybės draudimo rinkos atveju jie ne visi yra reikšmingi. </w:t>
      </w:r>
    </w:p>
    <w:p w:rsidR="00416800" w:rsidRDefault="00416800" w:rsidP="00416800">
      <w:pPr>
        <w:pStyle w:val="lentels"/>
      </w:pPr>
      <w:bookmarkStart w:id="210" w:name="_Toc311971003"/>
      <w:bookmarkStart w:id="211" w:name="_Toc311971849"/>
      <w:bookmarkStart w:id="212" w:name="_Toc311971889"/>
      <w:r>
        <w:t>3.13. lentelė. Koreliacinės – regresinės analizės rezultatai</w:t>
      </w:r>
      <w:bookmarkEnd w:id="210"/>
      <w:bookmarkEnd w:id="211"/>
      <w:bookmarkEnd w:id="212"/>
    </w:p>
    <w:tbl>
      <w:tblPr>
        <w:tblW w:w="0" w:type="auto"/>
        <w:tblInd w:w="93" w:type="dxa"/>
        <w:tblLook w:val="04A0"/>
      </w:tblPr>
      <w:tblGrid>
        <w:gridCol w:w="1695"/>
        <w:gridCol w:w="3720"/>
        <w:gridCol w:w="2640"/>
        <w:gridCol w:w="1920"/>
      </w:tblGrid>
      <w:tr w:rsidR="00EF0FB6" w:rsidTr="00670E82">
        <w:trPr>
          <w:trHeight w:val="300"/>
        </w:trPr>
        <w:tc>
          <w:tcPr>
            <w:tcW w:w="1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0FB6" w:rsidRPr="00416800" w:rsidRDefault="00EF0FB6">
            <w:pPr>
              <w:rPr>
                <w:color w:val="000000"/>
                <w:sz w:val="20"/>
                <w:szCs w:val="20"/>
                <w:lang w:val="lt-LT"/>
              </w:rPr>
            </w:pPr>
            <w:r w:rsidRPr="00416800">
              <w:rPr>
                <w:color w:val="000000"/>
                <w:sz w:val="20"/>
                <w:szCs w:val="20"/>
                <w:lang w:val="lt-LT"/>
              </w:rPr>
              <w:t> </w:t>
            </w:r>
          </w:p>
        </w:tc>
        <w:tc>
          <w:tcPr>
            <w:tcW w:w="3720" w:type="dxa"/>
            <w:tcBorders>
              <w:top w:val="single" w:sz="4" w:space="0" w:color="auto"/>
              <w:left w:val="nil"/>
              <w:bottom w:val="single" w:sz="4" w:space="0" w:color="auto"/>
              <w:right w:val="single" w:sz="4" w:space="0" w:color="auto"/>
            </w:tcBorders>
            <w:shd w:val="clear" w:color="auto" w:fill="auto"/>
            <w:noWrap/>
            <w:vAlign w:val="center"/>
            <w:hideMark/>
          </w:tcPr>
          <w:p w:rsidR="00EF0FB6" w:rsidRPr="00416800" w:rsidRDefault="00EF0FB6" w:rsidP="00416800">
            <w:pPr>
              <w:jc w:val="center"/>
              <w:rPr>
                <w:b/>
                <w:color w:val="000000"/>
                <w:sz w:val="20"/>
                <w:szCs w:val="20"/>
                <w:lang w:val="lt-LT"/>
              </w:rPr>
            </w:pPr>
            <w:r w:rsidRPr="00416800">
              <w:rPr>
                <w:b/>
                <w:color w:val="000000"/>
                <w:sz w:val="20"/>
                <w:szCs w:val="20"/>
                <w:lang w:val="lt-LT"/>
              </w:rPr>
              <w:t>Modelis</w:t>
            </w:r>
          </w:p>
        </w:tc>
        <w:tc>
          <w:tcPr>
            <w:tcW w:w="2640" w:type="dxa"/>
            <w:tcBorders>
              <w:top w:val="single" w:sz="4" w:space="0" w:color="auto"/>
              <w:left w:val="nil"/>
              <w:bottom w:val="single" w:sz="4" w:space="0" w:color="auto"/>
              <w:right w:val="single" w:sz="4" w:space="0" w:color="auto"/>
            </w:tcBorders>
            <w:shd w:val="clear" w:color="auto" w:fill="auto"/>
            <w:noWrap/>
            <w:vAlign w:val="center"/>
            <w:hideMark/>
          </w:tcPr>
          <w:p w:rsidR="00EF0FB6" w:rsidRPr="00416800" w:rsidRDefault="00EF0FB6">
            <w:pPr>
              <w:jc w:val="center"/>
              <w:rPr>
                <w:b/>
                <w:color w:val="000000"/>
                <w:sz w:val="20"/>
                <w:szCs w:val="20"/>
                <w:lang w:val="lt-LT"/>
              </w:rPr>
            </w:pPr>
            <w:r w:rsidRPr="00416800">
              <w:rPr>
                <w:b/>
                <w:color w:val="000000"/>
                <w:sz w:val="20"/>
                <w:szCs w:val="20"/>
                <w:lang w:val="lt-LT"/>
              </w:rPr>
              <w:t>Determinacijos koef</w:t>
            </w:r>
            <w:r w:rsidR="00416800" w:rsidRPr="00416800">
              <w:rPr>
                <w:b/>
                <w:color w:val="000000"/>
                <w:sz w:val="20"/>
                <w:szCs w:val="20"/>
                <w:lang w:val="lt-LT"/>
              </w:rPr>
              <w:t>icientas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EF0FB6" w:rsidRPr="00416800" w:rsidRDefault="00EF0FB6">
            <w:pPr>
              <w:jc w:val="center"/>
              <w:rPr>
                <w:b/>
                <w:color w:val="000000"/>
                <w:sz w:val="20"/>
                <w:szCs w:val="20"/>
                <w:lang w:val="lt-LT"/>
              </w:rPr>
            </w:pPr>
            <w:r w:rsidRPr="00416800">
              <w:rPr>
                <w:b/>
                <w:color w:val="000000"/>
                <w:sz w:val="20"/>
                <w:szCs w:val="20"/>
                <w:lang w:val="lt-LT"/>
              </w:rPr>
              <w:t>Veiksniai</w:t>
            </w:r>
          </w:p>
        </w:tc>
      </w:tr>
      <w:tr w:rsidR="00EF0FB6" w:rsidTr="00670E82">
        <w:trPr>
          <w:trHeight w:val="840"/>
        </w:trPr>
        <w:tc>
          <w:tcPr>
            <w:tcW w:w="1695" w:type="dxa"/>
            <w:tcBorders>
              <w:top w:val="nil"/>
              <w:left w:val="single" w:sz="4" w:space="0" w:color="auto"/>
              <w:bottom w:val="single" w:sz="4" w:space="0" w:color="auto"/>
              <w:right w:val="single" w:sz="4" w:space="0" w:color="auto"/>
            </w:tcBorders>
            <w:shd w:val="clear" w:color="auto" w:fill="auto"/>
            <w:vAlign w:val="center"/>
            <w:hideMark/>
          </w:tcPr>
          <w:p w:rsidR="00EF0FB6" w:rsidRPr="00416800" w:rsidRDefault="00EF0FB6">
            <w:pPr>
              <w:jc w:val="center"/>
              <w:rPr>
                <w:b/>
                <w:color w:val="000000"/>
                <w:sz w:val="20"/>
                <w:szCs w:val="20"/>
                <w:lang w:val="lt-LT"/>
              </w:rPr>
            </w:pPr>
            <w:r w:rsidRPr="00416800">
              <w:rPr>
                <w:b/>
                <w:color w:val="000000"/>
                <w:sz w:val="20"/>
                <w:szCs w:val="20"/>
                <w:lang w:val="lt-LT"/>
              </w:rPr>
              <w:t>Ne gyvybės draudimas</w:t>
            </w:r>
          </w:p>
        </w:tc>
        <w:tc>
          <w:tcPr>
            <w:tcW w:w="3720" w:type="dxa"/>
            <w:tcBorders>
              <w:top w:val="nil"/>
              <w:left w:val="nil"/>
              <w:bottom w:val="single" w:sz="4" w:space="0" w:color="auto"/>
              <w:right w:val="single" w:sz="4" w:space="0" w:color="auto"/>
            </w:tcBorders>
            <w:shd w:val="clear" w:color="auto" w:fill="auto"/>
            <w:vAlign w:val="center"/>
            <w:hideMark/>
          </w:tcPr>
          <w:p w:rsidR="00EF0FB6" w:rsidRPr="00416800" w:rsidRDefault="00EF0FB6" w:rsidP="00416800">
            <w:pPr>
              <w:jc w:val="center"/>
              <w:rPr>
                <w:color w:val="000000"/>
                <w:sz w:val="20"/>
                <w:szCs w:val="20"/>
                <w:lang w:val="lt-LT"/>
              </w:rPr>
            </w:pPr>
            <w:r w:rsidRPr="00416800">
              <w:rPr>
                <w:color w:val="000000"/>
                <w:sz w:val="20"/>
                <w:szCs w:val="20"/>
                <w:lang w:val="lt-LT"/>
              </w:rPr>
              <w:t>Y=0,025*X1+0,0012*X4+ 8,042*X5 ,</w:t>
            </w:r>
          </w:p>
        </w:tc>
        <w:tc>
          <w:tcPr>
            <w:tcW w:w="2640" w:type="dxa"/>
            <w:tcBorders>
              <w:top w:val="nil"/>
              <w:left w:val="nil"/>
              <w:bottom w:val="single" w:sz="4" w:space="0" w:color="auto"/>
              <w:right w:val="single" w:sz="4" w:space="0" w:color="auto"/>
            </w:tcBorders>
            <w:shd w:val="clear" w:color="auto" w:fill="auto"/>
            <w:noWrap/>
            <w:vAlign w:val="center"/>
            <w:hideMark/>
          </w:tcPr>
          <w:p w:rsidR="00EF0FB6" w:rsidRPr="00416800" w:rsidRDefault="00EF0FB6">
            <w:pPr>
              <w:jc w:val="center"/>
              <w:rPr>
                <w:color w:val="000000"/>
                <w:sz w:val="20"/>
                <w:szCs w:val="20"/>
                <w:lang w:val="lt-LT"/>
              </w:rPr>
            </w:pPr>
            <w:r w:rsidRPr="00416800">
              <w:rPr>
                <w:color w:val="000000"/>
                <w:sz w:val="20"/>
                <w:szCs w:val="20"/>
                <w:lang w:val="lt-LT"/>
              </w:rPr>
              <w:t>R</w:t>
            </w:r>
            <w:r w:rsidRPr="00416800">
              <w:rPr>
                <w:color w:val="000000"/>
                <w:sz w:val="20"/>
                <w:szCs w:val="20"/>
                <w:vertAlign w:val="superscript"/>
                <w:lang w:val="lt-LT"/>
              </w:rPr>
              <w:t>2</w:t>
            </w:r>
            <w:r w:rsidRPr="00416800">
              <w:rPr>
                <w:color w:val="000000"/>
                <w:sz w:val="20"/>
                <w:szCs w:val="20"/>
                <w:lang w:val="lt-LT"/>
              </w:rPr>
              <w:t>= 0,985</w:t>
            </w:r>
          </w:p>
        </w:tc>
        <w:tc>
          <w:tcPr>
            <w:tcW w:w="1920" w:type="dxa"/>
            <w:tcBorders>
              <w:top w:val="nil"/>
              <w:left w:val="nil"/>
              <w:bottom w:val="single" w:sz="4" w:space="0" w:color="auto"/>
              <w:right w:val="single" w:sz="4" w:space="0" w:color="auto"/>
            </w:tcBorders>
            <w:shd w:val="clear" w:color="auto" w:fill="auto"/>
            <w:vAlign w:val="center"/>
            <w:hideMark/>
          </w:tcPr>
          <w:p w:rsidR="00416800" w:rsidRPr="00416800" w:rsidRDefault="00EF0FB6">
            <w:pPr>
              <w:rPr>
                <w:rFonts w:eastAsia="Symbol" w:cs="Symbol"/>
                <w:color w:val="000000"/>
                <w:sz w:val="20"/>
                <w:szCs w:val="20"/>
                <w:lang w:val="lt-LT"/>
              </w:rPr>
            </w:pPr>
            <w:r w:rsidRPr="00416800">
              <w:rPr>
                <w:rFonts w:eastAsia="Symbol" w:cs="Symbol"/>
                <w:color w:val="000000"/>
                <w:sz w:val="20"/>
                <w:szCs w:val="20"/>
                <w:lang w:val="lt-LT"/>
              </w:rPr>
              <w:t xml:space="preserve">BVP;  </w:t>
            </w:r>
          </w:p>
          <w:p w:rsidR="00416800" w:rsidRPr="00416800" w:rsidRDefault="00EF0FB6">
            <w:pPr>
              <w:rPr>
                <w:rFonts w:eastAsia="Symbol" w:cs="Symbol"/>
                <w:color w:val="000000"/>
                <w:sz w:val="20"/>
                <w:szCs w:val="20"/>
                <w:lang w:val="lt-LT"/>
              </w:rPr>
            </w:pPr>
            <w:r w:rsidRPr="00416800">
              <w:rPr>
                <w:rFonts w:eastAsia="Symbol" w:cs="Symbol"/>
                <w:color w:val="000000"/>
                <w:sz w:val="20"/>
                <w:szCs w:val="20"/>
                <w:lang w:val="lt-LT"/>
              </w:rPr>
              <w:t>Tran</w:t>
            </w:r>
            <w:r w:rsidR="00416800">
              <w:rPr>
                <w:rFonts w:eastAsia="Symbol" w:cs="Symbol"/>
                <w:color w:val="000000"/>
                <w:sz w:val="20"/>
                <w:szCs w:val="20"/>
                <w:lang w:val="lt-LT"/>
              </w:rPr>
              <w:t>s</w:t>
            </w:r>
            <w:r w:rsidRPr="00416800">
              <w:rPr>
                <w:rFonts w:eastAsia="Symbol" w:cs="Symbol"/>
                <w:color w:val="000000"/>
                <w:sz w:val="20"/>
                <w:szCs w:val="20"/>
                <w:lang w:val="lt-LT"/>
              </w:rPr>
              <w:t xml:space="preserve">porto priemonių skaičius; </w:t>
            </w:r>
          </w:p>
          <w:p w:rsidR="00EF0FB6" w:rsidRPr="00416800" w:rsidRDefault="00EF0FB6">
            <w:pPr>
              <w:rPr>
                <w:color w:val="000000"/>
                <w:sz w:val="20"/>
                <w:szCs w:val="20"/>
                <w:lang w:val="lt-LT"/>
              </w:rPr>
            </w:pPr>
            <w:r w:rsidRPr="00416800">
              <w:rPr>
                <w:rFonts w:eastAsia="Symbol" w:cs="Symbol"/>
                <w:color w:val="000000"/>
                <w:sz w:val="20"/>
                <w:szCs w:val="20"/>
                <w:lang w:val="lt-LT"/>
              </w:rPr>
              <w:t>Vartotojų kainų indeksas;</w:t>
            </w:r>
          </w:p>
        </w:tc>
      </w:tr>
      <w:tr w:rsidR="00EF0FB6" w:rsidTr="00670E82">
        <w:trPr>
          <w:trHeight w:val="840"/>
        </w:trPr>
        <w:tc>
          <w:tcPr>
            <w:tcW w:w="1695" w:type="dxa"/>
            <w:tcBorders>
              <w:top w:val="nil"/>
              <w:left w:val="single" w:sz="4" w:space="0" w:color="auto"/>
              <w:bottom w:val="single" w:sz="4" w:space="0" w:color="auto"/>
              <w:right w:val="single" w:sz="4" w:space="0" w:color="auto"/>
            </w:tcBorders>
            <w:shd w:val="clear" w:color="auto" w:fill="auto"/>
            <w:vAlign w:val="center"/>
            <w:hideMark/>
          </w:tcPr>
          <w:p w:rsidR="00EF0FB6" w:rsidRPr="00416800" w:rsidRDefault="00EF0FB6">
            <w:pPr>
              <w:jc w:val="center"/>
              <w:rPr>
                <w:b/>
                <w:color w:val="000000"/>
                <w:sz w:val="20"/>
                <w:szCs w:val="20"/>
                <w:lang w:val="lt-LT"/>
              </w:rPr>
            </w:pPr>
            <w:r w:rsidRPr="00416800">
              <w:rPr>
                <w:b/>
                <w:color w:val="000000"/>
                <w:sz w:val="20"/>
                <w:szCs w:val="20"/>
                <w:lang w:val="lt-LT"/>
              </w:rPr>
              <w:t>Transporto priemonių draudimas</w:t>
            </w:r>
          </w:p>
        </w:tc>
        <w:tc>
          <w:tcPr>
            <w:tcW w:w="3720" w:type="dxa"/>
            <w:tcBorders>
              <w:top w:val="nil"/>
              <w:left w:val="nil"/>
              <w:bottom w:val="single" w:sz="4" w:space="0" w:color="auto"/>
              <w:right w:val="single" w:sz="4" w:space="0" w:color="auto"/>
            </w:tcBorders>
            <w:shd w:val="clear" w:color="auto" w:fill="auto"/>
            <w:vAlign w:val="center"/>
            <w:hideMark/>
          </w:tcPr>
          <w:p w:rsidR="00EF0FB6" w:rsidRPr="00416800" w:rsidRDefault="00EF0FB6" w:rsidP="00F559E2">
            <w:pPr>
              <w:jc w:val="center"/>
              <w:rPr>
                <w:color w:val="000000"/>
                <w:sz w:val="20"/>
                <w:szCs w:val="20"/>
                <w:lang w:val="lt-LT"/>
              </w:rPr>
            </w:pPr>
            <w:r w:rsidRPr="00416800">
              <w:rPr>
                <w:color w:val="000000"/>
                <w:sz w:val="20"/>
                <w:szCs w:val="20"/>
                <w:lang w:val="lt-LT"/>
              </w:rPr>
              <w:t>K= 0,0086</w:t>
            </w:r>
            <w:r w:rsidR="00F559E2">
              <w:rPr>
                <w:color w:val="000000"/>
                <w:sz w:val="20"/>
                <w:szCs w:val="20"/>
                <w:lang w:val="lt-LT"/>
              </w:rPr>
              <w:t xml:space="preserve"> *Xk1-2,6021*Xk3+0,0002*Xk4+</w:t>
            </w:r>
            <w:r w:rsidRPr="00416800">
              <w:rPr>
                <w:color w:val="000000"/>
                <w:sz w:val="20"/>
                <w:szCs w:val="20"/>
                <w:lang w:val="lt-LT"/>
              </w:rPr>
              <w:t>0,305*Xk6</w:t>
            </w:r>
          </w:p>
        </w:tc>
        <w:tc>
          <w:tcPr>
            <w:tcW w:w="2640" w:type="dxa"/>
            <w:tcBorders>
              <w:top w:val="nil"/>
              <w:left w:val="nil"/>
              <w:bottom w:val="single" w:sz="4" w:space="0" w:color="auto"/>
              <w:right w:val="single" w:sz="4" w:space="0" w:color="auto"/>
            </w:tcBorders>
            <w:shd w:val="clear" w:color="auto" w:fill="auto"/>
            <w:noWrap/>
            <w:vAlign w:val="center"/>
            <w:hideMark/>
          </w:tcPr>
          <w:p w:rsidR="00EF0FB6" w:rsidRPr="00416800" w:rsidRDefault="00EF0FB6">
            <w:pPr>
              <w:jc w:val="center"/>
              <w:rPr>
                <w:color w:val="000000"/>
                <w:sz w:val="20"/>
                <w:szCs w:val="20"/>
                <w:lang w:val="lt-LT"/>
              </w:rPr>
            </w:pPr>
            <w:r w:rsidRPr="00416800">
              <w:rPr>
                <w:color w:val="000000"/>
                <w:sz w:val="20"/>
                <w:szCs w:val="20"/>
                <w:lang w:val="lt-LT"/>
              </w:rPr>
              <w:t>R</w:t>
            </w:r>
            <w:r w:rsidRPr="00416800">
              <w:rPr>
                <w:color w:val="000000"/>
                <w:sz w:val="20"/>
                <w:szCs w:val="20"/>
                <w:vertAlign w:val="superscript"/>
                <w:lang w:val="lt-LT"/>
              </w:rPr>
              <w:t>2</w:t>
            </w:r>
            <w:r w:rsidRPr="00416800">
              <w:rPr>
                <w:color w:val="000000"/>
                <w:sz w:val="20"/>
                <w:szCs w:val="20"/>
                <w:lang w:val="lt-LT"/>
              </w:rPr>
              <w:t xml:space="preserve"> = 0,993</w:t>
            </w:r>
          </w:p>
        </w:tc>
        <w:tc>
          <w:tcPr>
            <w:tcW w:w="1920" w:type="dxa"/>
            <w:tcBorders>
              <w:top w:val="nil"/>
              <w:left w:val="nil"/>
              <w:bottom w:val="single" w:sz="4" w:space="0" w:color="auto"/>
              <w:right w:val="single" w:sz="4" w:space="0" w:color="auto"/>
            </w:tcBorders>
            <w:shd w:val="clear" w:color="auto" w:fill="auto"/>
            <w:vAlign w:val="center"/>
            <w:hideMark/>
          </w:tcPr>
          <w:p w:rsidR="00416800" w:rsidRPr="00416800" w:rsidRDefault="00EF0FB6">
            <w:pPr>
              <w:rPr>
                <w:rFonts w:eastAsia="Symbol" w:cs="Symbol"/>
                <w:color w:val="000000"/>
                <w:sz w:val="20"/>
                <w:szCs w:val="20"/>
                <w:lang w:val="lt-LT"/>
              </w:rPr>
            </w:pPr>
            <w:r w:rsidRPr="00416800">
              <w:rPr>
                <w:rFonts w:eastAsia="Symbol" w:cs="Symbol"/>
                <w:color w:val="000000"/>
                <w:sz w:val="20"/>
                <w:szCs w:val="20"/>
                <w:lang w:val="lt-LT"/>
              </w:rPr>
              <w:t>BVP ;</w:t>
            </w:r>
          </w:p>
          <w:p w:rsidR="00416800" w:rsidRPr="00416800" w:rsidRDefault="00EF0FB6">
            <w:pPr>
              <w:rPr>
                <w:rFonts w:eastAsia="Symbol" w:cs="Symbol"/>
                <w:color w:val="000000"/>
                <w:sz w:val="20"/>
                <w:szCs w:val="20"/>
                <w:lang w:val="lt-LT"/>
              </w:rPr>
            </w:pPr>
            <w:r w:rsidRPr="00416800">
              <w:rPr>
                <w:rFonts w:eastAsia="Symbol" w:cs="Symbol"/>
                <w:color w:val="000000"/>
                <w:sz w:val="20"/>
                <w:szCs w:val="20"/>
                <w:lang w:val="lt-LT"/>
              </w:rPr>
              <w:t xml:space="preserve"> Nedarbo lygis ; </w:t>
            </w:r>
          </w:p>
          <w:p w:rsidR="00416800" w:rsidRPr="00416800" w:rsidRDefault="00416800">
            <w:pPr>
              <w:rPr>
                <w:rFonts w:eastAsia="Symbol" w:cs="Symbol"/>
                <w:color w:val="000000"/>
                <w:sz w:val="20"/>
                <w:szCs w:val="20"/>
                <w:lang w:val="lt-LT"/>
              </w:rPr>
            </w:pPr>
            <w:r w:rsidRPr="00416800">
              <w:rPr>
                <w:rFonts w:eastAsia="Symbol" w:cs="Symbol"/>
                <w:color w:val="000000"/>
                <w:sz w:val="20"/>
                <w:szCs w:val="20"/>
                <w:lang w:val="lt-LT"/>
              </w:rPr>
              <w:t>T</w:t>
            </w:r>
            <w:r w:rsidR="00EF0FB6" w:rsidRPr="00416800">
              <w:rPr>
                <w:rFonts w:eastAsia="Symbol" w:cs="Symbol"/>
                <w:color w:val="000000"/>
                <w:sz w:val="20"/>
                <w:szCs w:val="20"/>
                <w:lang w:val="lt-LT"/>
              </w:rPr>
              <w:t>ran</w:t>
            </w:r>
            <w:r>
              <w:rPr>
                <w:rFonts w:eastAsia="Symbol" w:cs="Symbol"/>
                <w:color w:val="000000"/>
                <w:sz w:val="20"/>
                <w:szCs w:val="20"/>
                <w:lang w:val="lt-LT"/>
              </w:rPr>
              <w:t>s</w:t>
            </w:r>
            <w:r w:rsidR="00EF0FB6" w:rsidRPr="00416800">
              <w:rPr>
                <w:rFonts w:eastAsia="Symbol" w:cs="Symbol"/>
                <w:color w:val="000000"/>
                <w:sz w:val="20"/>
                <w:szCs w:val="20"/>
                <w:lang w:val="lt-LT"/>
              </w:rPr>
              <w:t xml:space="preserve">porto priemonių skaičius; </w:t>
            </w:r>
          </w:p>
          <w:p w:rsidR="00EF0FB6" w:rsidRPr="00416800" w:rsidRDefault="00EF0FB6">
            <w:pPr>
              <w:rPr>
                <w:color w:val="000000"/>
                <w:sz w:val="20"/>
                <w:szCs w:val="20"/>
                <w:lang w:val="lt-LT"/>
              </w:rPr>
            </w:pPr>
            <w:r w:rsidRPr="00416800">
              <w:rPr>
                <w:rFonts w:eastAsia="Symbol" w:cs="Symbol"/>
                <w:color w:val="000000"/>
                <w:sz w:val="20"/>
                <w:szCs w:val="20"/>
                <w:lang w:val="lt-LT"/>
              </w:rPr>
              <w:t>Išsilavinimas;</w:t>
            </w:r>
          </w:p>
        </w:tc>
      </w:tr>
      <w:tr w:rsidR="00EF0FB6" w:rsidTr="00670E82">
        <w:trPr>
          <w:trHeight w:val="840"/>
        </w:trPr>
        <w:tc>
          <w:tcPr>
            <w:tcW w:w="1695" w:type="dxa"/>
            <w:tcBorders>
              <w:top w:val="nil"/>
              <w:left w:val="single" w:sz="4" w:space="0" w:color="auto"/>
              <w:bottom w:val="single" w:sz="4" w:space="0" w:color="auto"/>
              <w:right w:val="single" w:sz="4" w:space="0" w:color="auto"/>
            </w:tcBorders>
            <w:shd w:val="clear" w:color="auto" w:fill="auto"/>
            <w:vAlign w:val="center"/>
            <w:hideMark/>
          </w:tcPr>
          <w:p w:rsidR="00EF0FB6" w:rsidRPr="00416800" w:rsidRDefault="00EF0FB6">
            <w:pPr>
              <w:jc w:val="center"/>
              <w:rPr>
                <w:b/>
                <w:color w:val="000000"/>
                <w:sz w:val="20"/>
                <w:szCs w:val="20"/>
                <w:lang w:val="lt-LT"/>
              </w:rPr>
            </w:pPr>
            <w:r w:rsidRPr="00416800">
              <w:rPr>
                <w:b/>
                <w:color w:val="000000"/>
                <w:sz w:val="20"/>
                <w:szCs w:val="20"/>
                <w:lang w:val="lt-LT"/>
              </w:rPr>
              <w:t>Turto draudimas</w:t>
            </w:r>
          </w:p>
        </w:tc>
        <w:tc>
          <w:tcPr>
            <w:tcW w:w="3720" w:type="dxa"/>
            <w:tcBorders>
              <w:top w:val="nil"/>
              <w:left w:val="nil"/>
              <w:bottom w:val="single" w:sz="4" w:space="0" w:color="auto"/>
              <w:right w:val="single" w:sz="4" w:space="0" w:color="auto"/>
            </w:tcBorders>
            <w:shd w:val="clear" w:color="auto" w:fill="auto"/>
            <w:vAlign w:val="center"/>
            <w:hideMark/>
          </w:tcPr>
          <w:p w:rsidR="00EF0FB6" w:rsidRPr="00416800" w:rsidRDefault="00EF0FB6" w:rsidP="00416800">
            <w:pPr>
              <w:jc w:val="center"/>
              <w:rPr>
                <w:color w:val="000000"/>
                <w:sz w:val="20"/>
                <w:szCs w:val="20"/>
                <w:lang w:val="lt-LT"/>
              </w:rPr>
            </w:pPr>
            <w:r w:rsidRPr="00416800">
              <w:rPr>
                <w:color w:val="000000"/>
                <w:sz w:val="20"/>
                <w:szCs w:val="20"/>
                <w:lang w:val="lt-LT"/>
              </w:rPr>
              <w:t>T = 0,0055*Xt1 + 3,2844*Xt3,</w:t>
            </w:r>
          </w:p>
        </w:tc>
        <w:tc>
          <w:tcPr>
            <w:tcW w:w="2640" w:type="dxa"/>
            <w:tcBorders>
              <w:top w:val="nil"/>
              <w:left w:val="nil"/>
              <w:bottom w:val="single" w:sz="4" w:space="0" w:color="auto"/>
              <w:right w:val="single" w:sz="4" w:space="0" w:color="auto"/>
            </w:tcBorders>
            <w:shd w:val="clear" w:color="auto" w:fill="auto"/>
            <w:noWrap/>
            <w:vAlign w:val="center"/>
            <w:hideMark/>
          </w:tcPr>
          <w:p w:rsidR="00EF0FB6" w:rsidRPr="00416800" w:rsidRDefault="00EF0FB6">
            <w:pPr>
              <w:jc w:val="center"/>
              <w:rPr>
                <w:color w:val="000000"/>
                <w:sz w:val="20"/>
                <w:szCs w:val="20"/>
                <w:lang w:val="lt-LT"/>
              </w:rPr>
            </w:pPr>
            <w:r w:rsidRPr="00416800">
              <w:rPr>
                <w:color w:val="000000"/>
                <w:sz w:val="20"/>
                <w:szCs w:val="20"/>
                <w:lang w:val="lt-LT"/>
              </w:rPr>
              <w:t>R</w:t>
            </w:r>
            <w:r w:rsidRPr="00416800">
              <w:rPr>
                <w:color w:val="000000"/>
                <w:sz w:val="20"/>
                <w:szCs w:val="20"/>
                <w:vertAlign w:val="superscript"/>
                <w:lang w:val="lt-LT"/>
              </w:rPr>
              <w:t>2</w:t>
            </w:r>
            <w:r w:rsidRPr="00416800">
              <w:rPr>
                <w:color w:val="000000"/>
                <w:sz w:val="20"/>
                <w:szCs w:val="20"/>
                <w:lang w:val="lt-LT"/>
              </w:rPr>
              <w:t xml:space="preserve"> =0,973</w:t>
            </w:r>
          </w:p>
        </w:tc>
        <w:tc>
          <w:tcPr>
            <w:tcW w:w="1920" w:type="dxa"/>
            <w:tcBorders>
              <w:top w:val="nil"/>
              <w:left w:val="nil"/>
              <w:bottom w:val="single" w:sz="4" w:space="0" w:color="auto"/>
              <w:right w:val="single" w:sz="4" w:space="0" w:color="auto"/>
            </w:tcBorders>
            <w:shd w:val="clear" w:color="auto" w:fill="auto"/>
            <w:vAlign w:val="center"/>
            <w:hideMark/>
          </w:tcPr>
          <w:p w:rsidR="00416800" w:rsidRPr="00416800" w:rsidRDefault="00EF0FB6">
            <w:pPr>
              <w:rPr>
                <w:rFonts w:eastAsia="Symbol" w:cs="Symbol"/>
                <w:color w:val="000000"/>
                <w:sz w:val="20"/>
                <w:szCs w:val="20"/>
                <w:lang w:val="lt-LT"/>
              </w:rPr>
            </w:pPr>
            <w:r w:rsidRPr="00416800">
              <w:rPr>
                <w:rFonts w:eastAsia="Symbol" w:cs="Symbol"/>
                <w:color w:val="000000"/>
                <w:sz w:val="20"/>
                <w:szCs w:val="20"/>
                <w:lang w:val="lt-LT"/>
              </w:rPr>
              <w:t xml:space="preserve">BVP ; </w:t>
            </w:r>
          </w:p>
          <w:p w:rsidR="00EF0FB6" w:rsidRPr="00416800" w:rsidRDefault="00EF0FB6">
            <w:pPr>
              <w:rPr>
                <w:color w:val="000000"/>
                <w:sz w:val="20"/>
                <w:szCs w:val="20"/>
                <w:lang w:val="lt-LT"/>
              </w:rPr>
            </w:pPr>
            <w:r w:rsidRPr="00416800">
              <w:rPr>
                <w:rFonts w:eastAsia="Symbol" w:cs="Symbol"/>
                <w:color w:val="000000"/>
                <w:sz w:val="20"/>
                <w:szCs w:val="20"/>
                <w:lang w:val="lt-LT"/>
              </w:rPr>
              <w:t>Vartotojų kainų indeksas;</w:t>
            </w:r>
          </w:p>
        </w:tc>
      </w:tr>
    </w:tbl>
    <w:p w:rsidR="00EF0FB6" w:rsidRDefault="00EF0FB6" w:rsidP="005A2023">
      <w:pPr>
        <w:spacing w:line="360" w:lineRule="auto"/>
        <w:ind w:firstLine="567"/>
        <w:jc w:val="both"/>
        <w:rPr>
          <w:sz w:val="23"/>
          <w:szCs w:val="23"/>
          <w:lang w:val="lt-LT"/>
        </w:rPr>
      </w:pPr>
    </w:p>
    <w:p w:rsidR="001C2282" w:rsidRDefault="00F559E2" w:rsidP="00670E82">
      <w:pPr>
        <w:spacing w:line="360" w:lineRule="auto"/>
        <w:ind w:firstLine="567"/>
        <w:jc w:val="both"/>
        <w:rPr>
          <w:lang w:val="lt-LT"/>
        </w:rPr>
      </w:pPr>
      <w:r w:rsidRPr="00670E82">
        <w:rPr>
          <w:lang w:val="lt-LT"/>
        </w:rPr>
        <w:t>Tyrimas parodė, kad svarbiausias veiksnys, darantys įtaką Lietuvos ne gyvybės draudimo rinkai yra pajamos šalyje, t.y. BVP vienam gyventojui – jis buvo reikšmingas visuose modeliuose. Vartotojų kainų indeksas - dar vienas veiksnys, turintis įtaką ne gyvybės draudimo rinkai bei turto draudimui</w:t>
      </w:r>
      <w:r w:rsidR="00360B6E" w:rsidRPr="00670E82">
        <w:rPr>
          <w:lang w:val="lt-LT"/>
        </w:rPr>
        <w:t>, teigiamas ryšys nurodo, kad jam didėjant, auga pasirašytų įmokų suma. Kaip ir buvo tikimasi, dar vienas įtaką darantis veiksnys yra naujai registruotų transporto priemonių skaičius Lietuvoje, kadangi Lietuvos ne gyvybės draudimo rinkos didžiąją dalį užima transporto draudimas.</w:t>
      </w:r>
      <w:r w:rsidR="00AF280E" w:rsidRPr="00670E82">
        <w:rPr>
          <w:lang w:val="lt-LT"/>
        </w:rPr>
        <w:t xml:space="preserve"> Iškeltos hipotezės </w:t>
      </w:r>
      <w:r w:rsidR="00AF280E" w:rsidRPr="00670E82">
        <w:rPr>
          <w:b/>
          <w:lang w:val="lt-LT"/>
        </w:rPr>
        <w:t>H</w:t>
      </w:r>
      <w:r w:rsidR="00AF280E" w:rsidRPr="00670E82">
        <w:rPr>
          <w:b/>
          <w:vertAlign w:val="subscript"/>
          <w:lang w:val="lt-LT"/>
        </w:rPr>
        <w:t>1</w:t>
      </w:r>
      <w:r w:rsidR="00AF280E" w:rsidRPr="00670E82">
        <w:rPr>
          <w:lang w:val="lt-LT"/>
        </w:rPr>
        <w:t>, kad Lietuvos ne gyvybės draudimo pasirašytoms įmokoms įtaką daro pirmą kartą registruotų transporto priemonių skaičius neturime pagrindo atmesti.</w:t>
      </w:r>
    </w:p>
    <w:p w:rsidR="00670E82" w:rsidRPr="00670E82" w:rsidRDefault="00670E82" w:rsidP="00670E82">
      <w:pPr>
        <w:spacing w:line="360" w:lineRule="auto"/>
        <w:ind w:firstLine="567"/>
        <w:jc w:val="both"/>
        <w:rPr>
          <w:lang w:val="lt-LT"/>
        </w:rPr>
      </w:pPr>
    </w:p>
    <w:p w:rsidR="002B7A08" w:rsidRPr="001C2282" w:rsidRDefault="00BA7499" w:rsidP="001C2282">
      <w:pPr>
        <w:pStyle w:val="Style1-h2"/>
        <w:rPr>
          <w:color w:val="000000"/>
        </w:rPr>
      </w:pPr>
      <w:bookmarkStart w:id="213" w:name="_Toc311971366"/>
      <w:bookmarkStart w:id="214" w:name="_Toc311971555"/>
      <w:bookmarkStart w:id="215" w:name="_Toc311971701"/>
      <w:r w:rsidRPr="001C2282">
        <w:t>3.3. Lietuvos ne gyvybės draudimo rinkai įtaką darančių veiksnių e</w:t>
      </w:r>
      <w:r w:rsidR="002B7A08" w:rsidRPr="001C2282">
        <w:t>kspertinis vertinimas</w:t>
      </w:r>
      <w:bookmarkEnd w:id="213"/>
      <w:bookmarkEnd w:id="214"/>
      <w:bookmarkEnd w:id="215"/>
    </w:p>
    <w:p w:rsidR="002B7A08" w:rsidRPr="00303A5A" w:rsidRDefault="002B7A08" w:rsidP="00670E82">
      <w:pPr>
        <w:spacing w:line="360" w:lineRule="auto"/>
        <w:ind w:firstLine="567"/>
        <w:jc w:val="both"/>
        <w:rPr>
          <w:lang w:val="lt-LT"/>
        </w:rPr>
      </w:pPr>
      <w:r w:rsidRPr="00303A5A">
        <w:rPr>
          <w:lang w:val="lt-LT"/>
        </w:rPr>
        <w:t>Draudimo rinka – tai finansų rinkoje veikiantis mainų mechanizmas, suvedantis draudimo paslaugų pardavėjus ir pirkėjus, tai suformuojant draudimo paslaugų pasiūlą ir paklausą, kurią reguliuoja ypatinga piniginių santykių forma „draudimo įmoka- draudimo išmoka“ kuri ir leidžia abejiems šios rinkos dalyvių pusėms realizuoti savo tikslus bei kartu užtikrinti šalies ekonominės ir socialinės raidos tikslingumą bei efektyvumą (Čibinskienė ir kt.).</w:t>
      </w:r>
    </w:p>
    <w:p w:rsidR="002B7A08" w:rsidRPr="00303A5A" w:rsidRDefault="002B7A08" w:rsidP="00670E82">
      <w:pPr>
        <w:spacing w:line="360" w:lineRule="auto"/>
        <w:ind w:firstLine="567"/>
        <w:jc w:val="both"/>
        <w:rPr>
          <w:lang w:val="lt-LT"/>
        </w:rPr>
      </w:pPr>
      <w:r w:rsidRPr="00303A5A">
        <w:rPr>
          <w:lang w:val="lt-LT"/>
        </w:rPr>
        <w:t>Remiantis regresine analize bei ekonometrinių modelių teorija buvo sudaryti Lietuvos ne gyvybės draudimo rinką aprašantys modeliai. Tačiau ne visus veiksnius veikiančius ne gyvybės draudimo rinką galima išmatuoti statistiškai.</w:t>
      </w:r>
      <w:r w:rsidR="00CF02FA">
        <w:rPr>
          <w:lang w:val="lt-LT"/>
        </w:rPr>
        <w:t xml:space="preserve"> Buvo nuspręsta papildomai atliktį ekspertinį vertinimą, kad būtų galima </w:t>
      </w:r>
      <w:r w:rsidR="00CF02FA" w:rsidRPr="00CF02FA">
        <w:rPr>
          <w:lang w:val="lt-LT"/>
        </w:rPr>
        <w:t xml:space="preserve">nustatyti, kokie veiksniai, neįtraukti į regresinę analizę daro įtaką Lietuvos ne gyvybės draudimo rinkai. </w:t>
      </w:r>
      <w:r w:rsidR="008B0582" w:rsidRPr="00CF02FA">
        <w:rPr>
          <w:lang w:val="lt-LT"/>
        </w:rPr>
        <w:t>Šiame tyrime naudotas individualiojo vertinimo metodas, t.y. apklausa anketavimo būdu.</w:t>
      </w:r>
    </w:p>
    <w:p w:rsidR="002B7A08" w:rsidRDefault="002B7A08" w:rsidP="00670E82">
      <w:pPr>
        <w:spacing w:line="360" w:lineRule="auto"/>
        <w:ind w:firstLine="567"/>
        <w:jc w:val="both"/>
        <w:rPr>
          <w:lang w:val="lt-LT"/>
        </w:rPr>
      </w:pPr>
      <w:r w:rsidRPr="005D4E5F">
        <w:rPr>
          <w:lang w:val="lt-LT"/>
        </w:rPr>
        <w:t>Prieš pradedant tyrimą buvo pasirinktas ekspertų skaičius, vadovaujantis metodologinėmis prielaidomis suformuotomis teorijoje. Įrodyta, kad agreguotų ekspertinių vertinimų moduliuose su vienodais svoriais nedidelės ekspertų grupės sprendimų ir vertinimų tikslumas nenusileidžia didelės ekspertų grupės sprendimų ir ve</w:t>
      </w:r>
      <w:r w:rsidR="001F1042">
        <w:rPr>
          <w:lang w:val="lt-LT"/>
        </w:rPr>
        <w:t>rtinimų tikslumui (Libby, 1978)</w:t>
      </w:r>
      <w:r w:rsidR="00EE58BE" w:rsidRPr="005D4E5F">
        <w:rPr>
          <w:lang w:val="lt-LT"/>
        </w:rPr>
        <w:t>. Sprendimo patikimumo ir ekspertų skaičiaus priklausomybės kreivė pateikta 3.15 pav.</w:t>
      </w:r>
    </w:p>
    <w:p w:rsidR="001C2282" w:rsidRDefault="001C2282" w:rsidP="00670E82">
      <w:pPr>
        <w:autoSpaceDE w:val="0"/>
        <w:autoSpaceDN w:val="0"/>
        <w:adjustRightInd w:val="0"/>
        <w:spacing w:line="360" w:lineRule="auto"/>
        <w:ind w:firstLine="567"/>
        <w:jc w:val="both"/>
        <w:rPr>
          <w:lang w:val="lt-LT"/>
        </w:rPr>
      </w:pPr>
      <w:r w:rsidRPr="00303A5A">
        <w:rPr>
          <w:lang w:val="lt-LT"/>
        </w:rPr>
        <w:t>Ekspertinis vertinimas buvo atliktas dviem etapais. Pirmuoju etapu diskusijos metu su vienu pasirinktu ekspertu buvo sudarytas galimų veiksnių sąrašas. Antruoju etapu ekspertams buvo pateikta anketa su išvardintais veiksniais nustatytais pirmajame etape ir paprašyta juos įvertinti pagal nurodytą penkiabalę skalę.</w:t>
      </w:r>
    </w:p>
    <w:p w:rsidR="001C2282" w:rsidRPr="00360B6E" w:rsidRDefault="001C2282" w:rsidP="00670E82">
      <w:pPr>
        <w:spacing w:line="360" w:lineRule="auto"/>
        <w:ind w:firstLine="567"/>
        <w:jc w:val="both"/>
        <w:rPr>
          <w:lang w:val="lt-LT"/>
        </w:rPr>
      </w:pPr>
      <w:r w:rsidRPr="00303A5A">
        <w:rPr>
          <w:lang w:val="lt-LT"/>
        </w:rPr>
        <w:t xml:space="preserve">Ekspertai atrinkti remiantis jų darbo patirtimi ne gyvybės draudimo įmonėse ir brokerių bendrovėse bei užimamomis pareigomis. Pirmajame etape apklaustas ekspertas (E0) turintis ilgametę patirtį draudimo pardavimų srityje, puikiai išmanantis ne gyvybės draudimo rinką. Antrajame etape </w:t>
      </w:r>
      <w:r w:rsidRPr="00303A5A">
        <w:rPr>
          <w:lang w:val="lt-LT"/>
        </w:rPr>
        <w:lastRenderedPageBreak/>
        <w:t>buvo apklausti daug metų draudimo produktų pardavimais užsiimantys ekspertai (E1, E2, E3,</w:t>
      </w:r>
      <w:r>
        <w:rPr>
          <w:lang w:val="lt-LT"/>
        </w:rPr>
        <w:t xml:space="preserve"> </w:t>
      </w:r>
      <w:r w:rsidRPr="00303A5A">
        <w:rPr>
          <w:lang w:val="lt-LT"/>
        </w:rPr>
        <w:t>E6), ne gyvybės draudimo įmonių pardavimų skyrių vadovai (E4, E5), ne gyvybės draudimo produktų rinkodaros vadovas (E7), ne gyvybės draudimo produkto rizikos vertintojas (E8).</w:t>
      </w:r>
    </w:p>
    <w:p w:rsidR="00360B6E" w:rsidRPr="005D4E5F" w:rsidRDefault="00360B6E" w:rsidP="001C2282">
      <w:pPr>
        <w:spacing w:line="360" w:lineRule="auto"/>
        <w:jc w:val="both"/>
        <w:rPr>
          <w:lang w:val="lt-LT"/>
        </w:rPr>
      </w:pPr>
    </w:p>
    <w:p w:rsidR="002B7A08" w:rsidRPr="00303A5A" w:rsidRDefault="000115B6" w:rsidP="00670E82">
      <w:pPr>
        <w:jc w:val="center"/>
        <w:rPr>
          <w:lang w:val="lt-LT"/>
        </w:rPr>
      </w:pPr>
      <w:r w:rsidRPr="00303A5A">
        <w:rPr>
          <w:noProof/>
        </w:rPr>
        <w:drawing>
          <wp:inline distT="0" distB="0" distL="0" distR="0">
            <wp:extent cx="5940000" cy="2162175"/>
            <wp:effectExtent l="19050" t="0" r="2265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B7A08" w:rsidRDefault="00392602" w:rsidP="00392602">
      <w:pPr>
        <w:pStyle w:val="Paveikslai"/>
      </w:pPr>
      <w:bookmarkStart w:id="216" w:name="_Toc310014810"/>
      <w:bookmarkStart w:id="217" w:name="_Toc311971021"/>
      <w:bookmarkStart w:id="218" w:name="_Toc311971850"/>
      <w:bookmarkStart w:id="219" w:name="_Toc311972034"/>
      <w:r>
        <w:t xml:space="preserve">3.15. </w:t>
      </w:r>
      <w:r w:rsidR="00063EA7">
        <w:t>p</w:t>
      </w:r>
      <w:r w:rsidR="002B7A08" w:rsidRPr="00303A5A">
        <w:t>av. Ekspertų skaičiaus įtaka vertinimo patikimumu</w:t>
      </w:r>
      <w:bookmarkEnd w:id="216"/>
      <w:bookmarkEnd w:id="217"/>
      <w:bookmarkEnd w:id="218"/>
      <w:bookmarkEnd w:id="219"/>
      <w:r w:rsidR="00E12CFF">
        <w:t>i</w:t>
      </w:r>
    </w:p>
    <w:p w:rsidR="00360B6E" w:rsidRDefault="00360B6E" w:rsidP="00392602">
      <w:pPr>
        <w:pStyle w:val="Paveikslai"/>
      </w:pPr>
    </w:p>
    <w:p w:rsidR="002B7A08" w:rsidRPr="00303A5A" w:rsidRDefault="002B7A08" w:rsidP="00670E82">
      <w:pPr>
        <w:spacing w:line="360" w:lineRule="auto"/>
        <w:ind w:firstLine="567"/>
        <w:jc w:val="both"/>
        <w:rPr>
          <w:lang w:val="lt-LT"/>
        </w:rPr>
      </w:pPr>
      <w:r w:rsidRPr="00303A5A">
        <w:rPr>
          <w:lang w:val="lt-LT"/>
        </w:rPr>
        <w:t>Antrajame etape ekspertų buvo paprašyta atsakyti į vieną klausimą</w:t>
      </w:r>
      <w:r w:rsidR="006756D6">
        <w:rPr>
          <w:lang w:val="lt-LT"/>
        </w:rPr>
        <w:t>:</w:t>
      </w:r>
      <w:r w:rsidRPr="00303A5A">
        <w:rPr>
          <w:lang w:val="lt-LT"/>
        </w:rPr>
        <w:t xml:space="preserve"> Ar pateikti veiksniai yra svarbūs Lietuvos ne gyvybės draudimo rinkos augimui?</w:t>
      </w:r>
      <w:r w:rsidR="00360B6E">
        <w:rPr>
          <w:lang w:val="lt-LT"/>
        </w:rPr>
        <w:t xml:space="preserve"> </w:t>
      </w:r>
      <w:r w:rsidRPr="00303A5A">
        <w:rPr>
          <w:lang w:val="lt-LT"/>
        </w:rPr>
        <w:t>(Įvertinkite</w:t>
      </w:r>
      <w:r w:rsidR="006756D6">
        <w:rPr>
          <w:lang w:val="lt-LT"/>
        </w:rPr>
        <w:t>:</w:t>
      </w:r>
      <w:r w:rsidRPr="00303A5A">
        <w:rPr>
          <w:lang w:val="lt-LT"/>
        </w:rPr>
        <w:t xml:space="preserve"> 5</w:t>
      </w:r>
      <w:r w:rsidR="004C3AD0">
        <w:rPr>
          <w:lang w:val="lt-LT"/>
        </w:rPr>
        <w:t xml:space="preserve"> - </w:t>
      </w:r>
      <w:r w:rsidRPr="00303A5A">
        <w:rPr>
          <w:lang w:val="lt-LT"/>
        </w:rPr>
        <w:t>labai svarbus veiksnys, 1</w:t>
      </w:r>
      <w:r w:rsidR="004C3AD0">
        <w:rPr>
          <w:lang w:val="lt-LT"/>
        </w:rPr>
        <w:t xml:space="preserve"> </w:t>
      </w:r>
      <w:r w:rsidRPr="00303A5A">
        <w:rPr>
          <w:lang w:val="lt-LT"/>
        </w:rPr>
        <w:t>- visiškai nesvarbus veiksnys).</w:t>
      </w:r>
    </w:p>
    <w:p w:rsidR="002B7A08" w:rsidRPr="00303A5A" w:rsidRDefault="002B7A08" w:rsidP="00670E82">
      <w:pPr>
        <w:spacing w:line="360" w:lineRule="auto"/>
        <w:ind w:firstLine="567"/>
        <w:jc w:val="both"/>
        <w:rPr>
          <w:lang w:val="lt-LT"/>
        </w:rPr>
      </w:pPr>
      <w:r w:rsidRPr="00303A5A">
        <w:rPr>
          <w:lang w:val="lt-LT"/>
        </w:rPr>
        <w:t>Ekspertinio vertinimo metu tam tikrus išskirtus ne gyvybės draudimo rinkos augimą įtakojančius veiksnius galima susisteminti pagal PEST (</w:t>
      </w:r>
      <w:r w:rsidRPr="00303A5A">
        <w:rPr>
          <w:i/>
          <w:iCs/>
          <w:lang w:val="lt-LT"/>
        </w:rPr>
        <w:t>Political, Economic, Sociocultural, Technological</w:t>
      </w:r>
      <w:r w:rsidR="008844D9">
        <w:rPr>
          <w:lang w:val="lt-LT"/>
        </w:rPr>
        <w:t>) į keturias veiksn</w:t>
      </w:r>
      <w:r w:rsidR="000B1351">
        <w:rPr>
          <w:lang w:val="lt-LT"/>
        </w:rPr>
        <w:t>ių grupes, kurios pateiktos 3.14</w:t>
      </w:r>
      <w:r w:rsidR="008844D9">
        <w:rPr>
          <w:lang w:val="lt-LT"/>
        </w:rPr>
        <w:t>. lentelėje.</w:t>
      </w:r>
    </w:p>
    <w:p w:rsidR="002B7A08" w:rsidRPr="008844D9" w:rsidRDefault="00416800" w:rsidP="000C403A">
      <w:pPr>
        <w:pStyle w:val="lentels"/>
      </w:pPr>
      <w:bookmarkStart w:id="220" w:name="_Toc309559993"/>
      <w:bookmarkStart w:id="221" w:name="_Toc310014811"/>
      <w:bookmarkStart w:id="222" w:name="_Toc311971004"/>
      <w:bookmarkStart w:id="223" w:name="_Toc311971851"/>
      <w:bookmarkStart w:id="224" w:name="_Toc311971890"/>
      <w:r>
        <w:t>3.14</w:t>
      </w:r>
      <w:r w:rsidR="008844D9" w:rsidRPr="008844D9">
        <w:t>.</w:t>
      </w:r>
      <w:r w:rsidR="00A4245B">
        <w:t xml:space="preserve"> l</w:t>
      </w:r>
      <w:r w:rsidR="002B7A08" w:rsidRPr="008844D9">
        <w:t>entelė. Lietuvos ne gyvybės draudimo rinkos augimui įtaką darantys veiksniai</w:t>
      </w:r>
      <w:r w:rsidR="006756D6">
        <w:t>:</w:t>
      </w:r>
      <w:r w:rsidR="002B7A08" w:rsidRPr="008844D9">
        <w:t xml:space="preserve"> ekspertinis vertinimas</w:t>
      </w:r>
      <w:bookmarkEnd w:id="220"/>
      <w:bookmarkEnd w:id="221"/>
      <w:bookmarkEnd w:id="222"/>
      <w:bookmarkEnd w:id="223"/>
      <w:bookmarkEnd w:id="224"/>
    </w:p>
    <w:tbl>
      <w:tblPr>
        <w:tblStyle w:val="TableGrid"/>
        <w:tblW w:w="6160" w:type="dxa"/>
        <w:jc w:val="center"/>
        <w:tblLook w:val="04A0"/>
      </w:tblPr>
      <w:tblGrid>
        <w:gridCol w:w="2093"/>
        <w:gridCol w:w="4067"/>
      </w:tblGrid>
      <w:tr w:rsidR="002B7A08" w:rsidRPr="008844D9" w:rsidTr="004C3AD6">
        <w:trPr>
          <w:trHeight w:val="300"/>
          <w:jc w:val="center"/>
        </w:trPr>
        <w:tc>
          <w:tcPr>
            <w:tcW w:w="2093" w:type="dxa"/>
            <w:noWrap/>
            <w:hideMark/>
          </w:tcPr>
          <w:p w:rsidR="002B7A08" w:rsidRPr="00303A5A" w:rsidRDefault="002B7A08" w:rsidP="004C3AD6">
            <w:pPr>
              <w:rPr>
                <w:color w:val="000000"/>
                <w:lang w:val="lt-LT"/>
              </w:rPr>
            </w:pPr>
            <w:r w:rsidRPr="00303A5A">
              <w:rPr>
                <w:color w:val="000000"/>
                <w:lang w:val="lt-LT"/>
              </w:rPr>
              <w:t>Veiksnių grupė</w:t>
            </w:r>
          </w:p>
        </w:tc>
        <w:tc>
          <w:tcPr>
            <w:tcW w:w="4067" w:type="dxa"/>
            <w:hideMark/>
          </w:tcPr>
          <w:p w:rsidR="002B7A08" w:rsidRPr="00303A5A" w:rsidRDefault="002B7A08" w:rsidP="004C3AD6">
            <w:pPr>
              <w:rPr>
                <w:color w:val="000000"/>
                <w:lang w:val="lt-LT"/>
              </w:rPr>
            </w:pPr>
            <w:r w:rsidRPr="00303A5A">
              <w:rPr>
                <w:color w:val="000000"/>
                <w:lang w:val="lt-LT"/>
              </w:rPr>
              <w:t>Veiksniai</w:t>
            </w:r>
          </w:p>
        </w:tc>
      </w:tr>
      <w:tr w:rsidR="002B7A08" w:rsidRPr="00E12CFF" w:rsidTr="004C3AD6">
        <w:trPr>
          <w:trHeight w:val="860"/>
          <w:jc w:val="center"/>
        </w:trPr>
        <w:tc>
          <w:tcPr>
            <w:tcW w:w="2093" w:type="dxa"/>
            <w:noWrap/>
            <w:hideMark/>
          </w:tcPr>
          <w:p w:rsidR="002B7A08" w:rsidRPr="00303A5A" w:rsidRDefault="002B7A08" w:rsidP="004C3AD6">
            <w:pPr>
              <w:rPr>
                <w:color w:val="000000"/>
                <w:lang w:val="lt-LT"/>
              </w:rPr>
            </w:pPr>
            <w:r w:rsidRPr="00303A5A">
              <w:rPr>
                <w:color w:val="000000"/>
                <w:lang w:val="lt-LT"/>
              </w:rPr>
              <w:t>Politiniai</w:t>
            </w:r>
          </w:p>
        </w:tc>
        <w:tc>
          <w:tcPr>
            <w:tcW w:w="4067" w:type="dxa"/>
            <w:hideMark/>
          </w:tcPr>
          <w:p w:rsidR="002B7A08" w:rsidRPr="00303A5A" w:rsidRDefault="00603EE9" w:rsidP="004C3AD6">
            <w:pPr>
              <w:rPr>
                <w:color w:val="000000"/>
                <w:lang w:val="lt-LT"/>
              </w:rPr>
            </w:pPr>
            <w:r>
              <w:rPr>
                <w:color w:val="000000"/>
                <w:lang w:val="lt-LT"/>
              </w:rPr>
              <w:t>Egzistuojanti</w:t>
            </w:r>
            <w:r w:rsidR="002B7A08" w:rsidRPr="00303A5A">
              <w:rPr>
                <w:color w:val="000000"/>
                <w:lang w:val="lt-LT"/>
              </w:rPr>
              <w:t xml:space="preserve"> valstybės kontrolė;  Užsienio draudimo kompanijų veikla Lietuvoje;</w:t>
            </w:r>
          </w:p>
        </w:tc>
      </w:tr>
      <w:tr w:rsidR="002B7A08" w:rsidRPr="00E12CFF" w:rsidTr="004C3AD6">
        <w:trPr>
          <w:trHeight w:val="900"/>
          <w:jc w:val="center"/>
        </w:trPr>
        <w:tc>
          <w:tcPr>
            <w:tcW w:w="2093" w:type="dxa"/>
            <w:noWrap/>
            <w:hideMark/>
          </w:tcPr>
          <w:p w:rsidR="002B7A08" w:rsidRPr="00303A5A" w:rsidRDefault="002B7A08" w:rsidP="004C3AD6">
            <w:pPr>
              <w:rPr>
                <w:color w:val="000000"/>
                <w:lang w:val="lt-LT"/>
              </w:rPr>
            </w:pPr>
            <w:r w:rsidRPr="00303A5A">
              <w:rPr>
                <w:color w:val="000000"/>
                <w:lang w:val="lt-LT"/>
              </w:rPr>
              <w:t>Ekonominiai</w:t>
            </w:r>
          </w:p>
        </w:tc>
        <w:tc>
          <w:tcPr>
            <w:tcW w:w="4067" w:type="dxa"/>
            <w:hideMark/>
          </w:tcPr>
          <w:p w:rsidR="002B7A08" w:rsidRPr="00303A5A" w:rsidRDefault="002B7A08" w:rsidP="004C3AD6">
            <w:pPr>
              <w:rPr>
                <w:color w:val="000000"/>
                <w:lang w:val="lt-LT"/>
              </w:rPr>
            </w:pPr>
            <w:r w:rsidRPr="00303A5A">
              <w:rPr>
                <w:color w:val="000000"/>
                <w:lang w:val="lt-LT"/>
              </w:rPr>
              <w:t>Palankios sąlygos kreditui bei lizingui; Papildomos paslaugos prie draudimo produktų;</w:t>
            </w:r>
          </w:p>
        </w:tc>
      </w:tr>
      <w:tr w:rsidR="002B7A08" w:rsidRPr="00303A5A" w:rsidTr="004C3AD6">
        <w:trPr>
          <w:trHeight w:val="900"/>
          <w:jc w:val="center"/>
        </w:trPr>
        <w:tc>
          <w:tcPr>
            <w:tcW w:w="2093" w:type="dxa"/>
            <w:noWrap/>
            <w:hideMark/>
          </w:tcPr>
          <w:p w:rsidR="002B7A08" w:rsidRPr="00303A5A" w:rsidRDefault="002B7A08" w:rsidP="004C3AD6">
            <w:pPr>
              <w:rPr>
                <w:color w:val="000000"/>
                <w:lang w:val="lt-LT"/>
              </w:rPr>
            </w:pPr>
            <w:r w:rsidRPr="00303A5A">
              <w:rPr>
                <w:color w:val="000000"/>
                <w:lang w:val="lt-LT"/>
              </w:rPr>
              <w:t>Socialiniai</w:t>
            </w:r>
          </w:p>
        </w:tc>
        <w:tc>
          <w:tcPr>
            <w:tcW w:w="4067" w:type="dxa"/>
            <w:hideMark/>
          </w:tcPr>
          <w:p w:rsidR="002B7A08" w:rsidRPr="00303A5A" w:rsidRDefault="002B7A08" w:rsidP="004C3AD6">
            <w:pPr>
              <w:rPr>
                <w:color w:val="000000"/>
                <w:lang w:val="lt-LT"/>
              </w:rPr>
            </w:pPr>
            <w:r w:rsidRPr="00303A5A">
              <w:rPr>
                <w:color w:val="000000"/>
                <w:lang w:val="lt-LT"/>
              </w:rPr>
              <w:t xml:space="preserve">Išsilavinimo lygis šalyje; </w:t>
            </w:r>
          </w:p>
          <w:p w:rsidR="002B7A08" w:rsidRPr="00303A5A" w:rsidRDefault="002B7A08" w:rsidP="004C3AD6">
            <w:pPr>
              <w:rPr>
                <w:color w:val="000000"/>
                <w:lang w:val="lt-LT"/>
              </w:rPr>
            </w:pPr>
            <w:r w:rsidRPr="00303A5A">
              <w:rPr>
                <w:color w:val="000000"/>
                <w:lang w:val="lt-LT"/>
              </w:rPr>
              <w:t xml:space="preserve">Požiūris į draudimą; </w:t>
            </w:r>
          </w:p>
          <w:p w:rsidR="002B7A08" w:rsidRPr="00303A5A" w:rsidRDefault="002B7A08" w:rsidP="004C3AD6">
            <w:pPr>
              <w:rPr>
                <w:color w:val="000000"/>
                <w:lang w:val="lt-LT"/>
              </w:rPr>
            </w:pPr>
            <w:r w:rsidRPr="00303A5A">
              <w:rPr>
                <w:color w:val="000000"/>
                <w:lang w:val="lt-LT"/>
              </w:rPr>
              <w:t>Pasitikėjimas draudimo kompanijomis;</w:t>
            </w:r>
          </w:p>
        </w:tc>
      </w:tr>
      <w:tr w:rsidR="002B7A08" w:rsidRPr="00E12CFF" w:rsidTr="004C3AD6">
        <w:trPr>
          <w:trHeight w:val="856"/>
          <w:jc w:val="center"/>
        </w:trPr>
        <w:tc>
          <w:tcPr>
            <w:tcW w:w="2093" w:type="dxa"/>
            <w:noWrap/>
            <w:hideMark/>
          </w:tcPr>
          <w:p w:rsidR="002B7A08" w:rsidRPr="00303A5A" w:rsidRDefault="002B7A08" w:rsidP="004C3AD6">
            <w:pPr>
              <w:rPr>
                <w:color w:val="000000"/>
                <w:lang w:val="lt-LT"/>
              </w:rPr>
            </w:pPr>
            <w:r w:rsidRPr="00303A5A">
              <w:rPr>
                <w:color w:val="000000"/>
                <w:lang w:val="lt-LT"/>
              </w:rPr>
              <w:t>Technologiniai</w:t>
            </w:r>
          </w:p>
        </w:tc>
        <w:tc>
          <w:tcPr>
            <w:tcW w:w="4067" w:type="dxa"/>
            <w:hideMark/>
          </w:tcPr>
          <w:p w:rsidR="002B7A08" w:rsidRPr="00303A5A" w:rsidRDefault="002B7A08" w:rsidP="004C3AD6">
            <w:pPr>
              <w:rPr>
                <w:color w:val="000000"/>
                <w:lang w:val="lt-LT"/>
              </w:rPr>
            </w:pPr>
            <w:r w:rsidRPr="00303A5A">
              <w:rPr>
                <w:color w:val="000000"/>
                <w:lang w:val="lt-LT"/>
              </w:rPr>
              <w:t>Naujų draudimo produktų atsiradimas; Informac</w:t>
            </w:r>
            <w:r w:rsidR="00603EE9">
              <w:rPr>
                <w:color w:val="000000"/>
                <w:lang w:val="lt-LT"/>
              </w:rPr>
              <w:t xml:space="preserve">inių technologijų panaudojimas </w:t>
            </w:r>
            <w:r w:rsidRPr="00303A5A">
              <w:rPr>
                <w:color w:val="000000"/>
                <w:lang w:val="lt-LT"/>
              </w:rPr>
              <w:t>p</w:t>
            </w:r>
            <w:r w:rsidR="00603EE9">
              <w:rPr>
                <w:color w:val="000000"/>
                <w:lang w:val="lt-LT"/>
              </w:rPr>
              <w:t>a</w:t>
            </w:r>
            <w:r w:rsidRPr="00303A5A">
              <w:rPr>
                <w:color w:val="000000"/>
                <w:lang w:val="lt-LT"/>
              </w:rPr>
              <w:t>rdavimams.</w:t>
            </w:r>
          </w:p>
        </w:tc>
      </w:tr>
    </w:tbl>
    <w:p w:rsidR="00FB132C" w:rsidRDefault="00FB132C" w:rsidP="00FB132C">
      <w:pPr>
        <w:spacing w:line="360" w:lineRule="auto"/>
        <w:ind w:firstLine="567"/>
        <w:jc w:val="both"/>
        <w:rPr>
          <w:lang w:val="lt-LT"/>
        </w:rPr>
      </w:pPr>
    </w:p>
    <w:p w:rsidR="00FB132C" w:rsidRPr="00303A5A" w:rsidRDefault="00FB132C" w:rsidP="00FB132C">
      <w:pPr>
        <w:spacing w:line="360" w:lineRule="auto"/>
        <w:ind w:firstLine="567"/>
        <w:jc w:val="both"/>
        <w:rPr>
          <w:lang w:val="lt-LT"/>
        </w:rPr>
      </w:pPr>
      <w:r w:rsidRPr="00D33460">
        <w:rPr>
          <w:noProof/>
        </w:rPr>
        <w:lastRenderedPageBreak/>
        <w:drawing>
          <wp:inline distT="0" distB="0" distL="0" distR="0">
            <wp:extent cx="6120130" cy="3705225"/>
            <wp:effectExtent l="19050" t="0" r="1397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B132C" w:rsidRPr="00303A5A" w:rsidRDefault="00FB132C" w:rsidP="00FB132C">
      <w:pPr>
        <w:pStyle w:val="Paveikslai"/>
      </w:pPr>
      <w:bookmarkStart w:id="225" w:name="_Toc310014812"/>
      <w:bookmarkStart w:id="226" w:name="_Toc311971022"/>
      <w:bookmarkStart w:id="227" w:name="_Toc311971852"/>
      <w:bookmarkStart w:id="228" w:name="_Toc311972035"/>
      <w:r>
        <w:t>3.16. p</w:t>
      </w:r>
      <w:r w:rsidRPr="00303A5A">
        <w:t>av. Veiksniai darantys įtaką Lietuvos ne gyvybės draudimo rinkos augimui</w:t>
      </w:r>
      <w:r>
        <w:t>:</w:t>
      </w:r>
      <w:r w:rsidRPr="00303A5A">
        <w:t xml:space="preserve"> ekspertinis vertinimas</w:t>
      </w:r>
      <w:bookmarkEnd w:id="225"/>
      <w:bookmarkEnd w:id="226"/>
      <w:bookmarkEnd w:id="227"/>
      <w:bookmarkEnd w:id="228"/>
    </w:p>
    <w:p w:rsidR="00FB132C" w:rsidRDefault="00FB132C" w:rsidP="002B7A08">
      <w:pPr>
        <w:spacing w:line="360" w:lineRule="auto"/>
        <w:ind w:firstLine="567"/>
        <w:jc w:val="both"/>
        <w:rPr>
          <w:lang w:val="lt-LT"/>
        </w:rPr>
      </w:pPr>
    </w:p>
    <w:p w:rsidR="00FB132C" w:rsidRDefault="002B7A08" w:rsidP="00FB132C">
      <w:pPr>
        <w:spacing w:line="360" w:lineRule="auto"/>
        <w:ind w:firstLine="567"/>
        <w:jc w:val="both"/>
        <w:rPr>
          <w:lang w:val="lt-LT"/>
        </w:rPr>
      </w:pPr>
      <w:r w:rsidRPr="00303A5A">
        <w:rPr>
          <w:lang w:val="lt-LT"/>
        </w:rPr>
        <w:t>Nustatyta, kad ekspertai didžiausią įtaką ne gyvybės draudimo rinkos augimui darančiais veiksniais įvardino išsilavinimo lygį šalyje bei egzis</w:t>
      </w:r>
      <w:r w:rsidR="00EE58BE">
        <w:rPr>
          <w:lang w:val="lt-LT"/>
        </w:rPr>
        <w:t xml:space="preserve">tuojantį požiūrį į draudimą, vidutinis kiekvieno veiksnio įvertinimas pateiktas 3.16. pav. </w:t>
      </w:r>
      <w:r w:rsidRPr="00303A5A">
        <w:rPr>
          <w:lang w:val="lt-LT"/>
        </w:rPr>
        <w:t>Ekspertų nuomone taip pat svarbus veiksnys yra aiškios ir suprantamos draudimo taisyklės bei pasitikėjima</w:t>
      </w:r>
      <w:r w:rsidR="00F63DE5">
        <w:rPr>
          <w:lang w:val="lt-LT"/>
        </w:rPr>
        <w:t>s draudimo kompanijomis. A</w:t>
      </w:r>
      <w:r w:rsidRPr="00303A5A">
        <w:rPr>
          <w:lang w:val="lt-LT"/>
        </w:rPr>
        <w:t xml:space="preserve">pibendrinant ekspertų vertinimą galima teigti, kad ekspertų nuomone didžiausią įtaką ne gyvybės draudimo rinkos augimui daro socialiniai – kultūriniai veiksniai, kuriuos sunku statistiškai išmatuoti ir todėl jie nebuvo įtraukti į regresinę analizę. </w:t>
      </w:r>
    </w:p>
    <w:p w:rsidR="002B7A08" w:rsidRPr="00303A5A" w:rsidRDefault="00FB132C" w:rsidP="00FB132C">
      <w:pPr>
        <w:spacing w:line="360" w:lineRule="auto"/>
        <w:ind w:firstLine="567"/>
        <w:jc w:val="both"/>
        <w:rPr>
          <w:lang w:val="lt-LT"/>
        </w:rPr>
      </w:pPr>
      <w:r>
        <w:rPr>
          <w:lang w:val="lt-LT"/>
        </w:rPr>
        <w:t>E</w:t>
      </w:r>
      <w:r w:rsidR="002B7A08" w:rsidRPr="00303A5A">
        <w:rPr>
          <w:lang w:val="lt-LT"/>
        </w:rPr>
        <w:t xml:space="preserve">kspertinio tyrimo vertinimas remiasi prielaida, kad gali būti gautas tik įvertinus ekspertų nuomonių suderintumą. Atlikus apžvelgtų veiksnių ekspertinio vertinimo rezultatus, būtina įvertinti šių ekspertų nuomonių suderinamumą. Vienas iš dažniausiai naudojamų suderinamumo kriterijų, skirtų ekspertų nuomonių suderinamumui vertinti yra Kendall konkordancijos koeficientas </w:t>
      </w:r>
      <w:r w:rsidR="002B7A08" w:rsidRPr="00303A5A">
        <w:rPr>
          <w:i/>
          <w:lang w:val="lt-LT"/>
        </w:rPr>
        <w:t>W</w:t>
      </w:r>
      <w:r w:rsidR="002B7A08" w:rsidRPr="00303A5A">
        <w:rPr>
          <w:lang w:val="lt-LT"/>
        </w:rPr>
        <w:t xml:space="preserve"> (Kendall, 1990). Skaičiuojant šį konkordancijos koeficientą ekspertų vertinimai ranguojami. Jei ekspertų vertinimai prieštaringi </w:t>
      </w:r>
      <m:oMath>
        <m:r>
          <w:rPr>
            <w:rFonts w:ascii="Cambria Math" w:hAnsi="Cambria Math"/>
            <w:lang w:val="lt-LT"/>
          </w:rPr>
          <m:t>W→0</m:t>
        </m:r>
      </m:oMath>
      <w:r w:rsidR="002B7A08" w:rsidRPr="00303A5A">
        <w:rPr>
          <w:lang w:val="lt-LT"/>
        </w:rPr>
        <w:t xml:space="preserve">, jei ekspertų vertinimai panašūs </w:t>
      </w:r>
      <m:oMath>
        <m:r>
          <w:rPr>
            <w:rFonts w:ascii="Cambria Math" w:hAnsi="Cambria Math"/>
            <w:lang w:val="lt-LT"/>
          </w:rPr>
          <m:t>W→1</m:t>
        </m:r>
      </m:oMath>
      <w:r w:rsidR="002B7A08" w:rsidRPr="00303A5A">
        <w:rPr>
          <w:lang w:val="lt-LT"/>
        </w:rPr>
        <w:t>. Suformuluojame hipotezę</w:t>
      </w:r>
      <w:r w:rsidR="006756D6">
        <w:rPr>
          <w:lang w:val="lt-LT"/>
        </w:rPr>
        <w:t>:</w:t>
      </w:r>
    </w:p>
    <w:p w:rsidR="002B7A08" w:rsidRPr="00303A5A" w:rsidRDefault="00C20A22" w:rsidP="002B7A08">
      <w:pPr>
        <w:spacing w:line="360" w:lineRule="auto"/>
        <w:ind w:firstLine="567"/>
        <w:jc w:val="both"/>
        <w:rPr>
          <w:lang w:val="lt-LT"/>
        </w:rPr>
      </w:pPr>
      <m:oMathPara>
        <m:oMath>
          <m:d>
            <m:dPr>
              <m:begChr m:val="{"/>
              <m:endChr m:val=""/>
              <m:ctrlPr>
                <w:rPr>
                  <w:rFonts w:ascii="Cambria Math" w:hAnsi="Cambria Math"/>
                  <w:i/>
                  <w:lang w:val="lt-LT"/>
                </w:rPr>
              </m:ctrlPr>
            </m:dPr>
            <m:e>
              <m:eqArr>
                <m:eqArrPr>
                  <m:ctrlPr>
                    <w:rPr>
                      <w:rFonts w:ascii="Cambria Math" w:hAnsi="Cambria Math"/>
                      <w:i/>
                      <w:lang w:val="lt-LT"/>
                    </w:rPr>
                  </m:ctrlPr>
                </m:eqArrPr>
                <m:e>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0</m:t>
                      </m:r>
                    </m:sub>
                  </m:sSub>
                  <m:r>
                    <w:rPr>
                      <w:rFonts w:ascii="Cambria Math" w:hAnsi="Cambria Math"/>
                      <w:lang w:val="lt-LT"/>
                    </w:rPr>
                    <m:t>:ekspertų vertinimai prieštaringi (W=0)</m:t>
                  </m:r>
                </m:e>
                <m:e>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1</m:t>
                      </m:r>
                    </m:sub>
                  </m:sSub>
                  <m:r>
                    <w:rPr>
                      <w:rFonts w:ascii="Cambria Math" w:hAnsi="Cambria Math"/>
                      <w:lang w:val="lt-LT"/>
                    </w:rPr>
                    <m:t xml:space="preserve">:ekspertų vertinimai panašūs </m:t>
                  </m:r>
                  <m:d>
                    <m:dPr>
                      <m:ctrlPr>
                        <w:rPr>
                          <w:rFonts w:ascii="Cambria Math" w:hAnsi="Cambria Math"/>
                          <w:i/>
                          <w:lang w:val="lt-LT"/>
                        </w:rPr>
                      </m:ctrlPr>
                    </m:dPr>
                    <m:e>
                      <m:r>
                        <w:rPr>
                          <w:rFonts w:ascii="Cambria Math" w:hAnsi="Cambria Math"/>
                          <w:lang w:val="lt-LT"/>
                        </w:rPr>
                        <m:t xml:space="preserve">W=1 </m:t>
                      </m:r>
                    </m:e>
                  </m:d>
                  <m:r>
                    <w:rPr>
                      <w:rFonts w:ascii="Cambria Math" w:hAnsi="Cambria Math"/>
                      <w:lang w:val="lt-LT"/>
                    </w:rPr>
                    <m:t xml:space="preserve">       </m:t>
                  </m:r>
                </m:e>
              </m:eqArr>
            </m:e>
          </m:d>
        </m:oMath>
      </m:oMathPara>
    </w:p>
    <w:p w:rsidR="002B7A08" w:rsidRPr="00303A5A" w:rsidRDefault="002B7A08" w:rsidP="002B7A08">
      <w:pPr>
        <w:spacing w:line="360" w:lineRule="auto"/>
        <w:ind w:firstLine="567"/>
        <w:jc w:val="both"/>
        <w:rPr>
          <w:lang w:val="lt-LT"/>
        </w:rPr>
      </w:pPr>
    </w:p>
    <w:p w:rsidR="002B7A08" w:rsidRDefault="002B7A08" w:rsidP="002B7A08">
      <w:pPr>
        <w:spacing w:line="360" w:lineRule="auto"/>
        <w:ind w:firstLine="567"/>
        <w:jc w:val="both"/>
        <w:rPr>
          <w:lang w:val="lt-LT"/>
        </w:rPr>
      </w:pPr>
      <w:r w:rsidRPr="00303A5A">
        <w:rPr>
          <w:lang w:val="lt-LT"/>
        </w:rPr>
        <w:t>Remiantis ekspertų vertinimais</w:t>
      </w:r>
      <w:r w:rsidR="006A493F">
        <w:rPr>
          <w:lang w:val="lt-LT"/>
        </w:rPr>
        <w:t>, kurie pateikti 3.15</w:t>
      </w:r>
      <w:r w:rsidR="008844D9">
        <w:rPr>
          <w:lang w:val="lt-LT"/>
        </w:rPr>
        <w:t xml:space="preserve">. lentelėje, </w:t>
      </w:r>
      <w:r w:rsidRPr="00303A5A">
        <w:rPr>
          <w:lang w:val="lt-LT"/>
        </w:rPr>
        <w:t>apskaičiuotas ekspertų nuomonių suderintumo – konkordancijos koeficientas.</w:t>
      </w:r>
    </w:p>
    <w:p w:rsidR="00360B6E" w:rsidRDefault="00360B6E" w:rsidP="002B7A08">
      <w:pPr>
        <w:spacing w:line="360" w:lineRule="auto"/>
        <w:ind w:firstLine="567"/>
        <w:jc w:val="both"/>
        <w:rPr>
          <w:lang w:val="lt-LT"/>
        </w:rPr>
      </w:pPr>
    </w:p>
    <w:p w:rsidR="002B7A08" w:rsidRPr="008844D9" w:rsidRDefault="00416800" w:rsidP="000C403A">
      <w:pPr>
        <w:pStyle w:val="lentels"/>
      </w:pPr>
      <w:bookmarkStart w:id="229" w:name="_Toc309559994"/>
      <w:bookmarkStart w:id="230" w:name="_Toc310014813"/>
      <w:bookmarkStart w:id="231" w:name="_Toc311971005"/>
      <w:bookmarkStart w:id="232" w:name="_Toc311971853"/>
      <w:bookmarkStart w:id="233" w:name="_Toc311971891"/>
      <w:r>
        <w:t>3.15</w:t>
      </w:r>
      <w:r w:rsidR="008844D9" w:rsidRPr="008844D9">
        <w:t>.</w:t>
      </w:r>
      <w:r w:rsidR="00A4245B">
        <w:t xml:space="preserve"> l</w:t>
      </w:r>
      <w:r w:rsidR="002B7A08" w:rsidRPr="008844D9">
        <w:t>entelė</w:t>
      </w:r>
      <w:r w:rsidR="006756D6">
        <w:t>:</w:t>
      </w:r>
      <w:r w:rsidR="002B7A08" w:rsidRPr="008844D9">
        <w:t xml:space="preserve"> Ekspertinio vertinimo metu surinkti  duomenys</w:t>
      </w:r>
      <w:bookmarkEnd w:id="229"/>
      <w:bookmarkEnd w:id="230"/>
      <w:bookmarkEnd w:id="231"/>
      <w:bookmarkEnd w:id="232"/>
      <w:bookmarkEnd w:id="233"/>
    </w:p>
    <w:tbl>
      <w:tblPr>
        <w:tblW w:w="0" w:type="auto"/>
        <w:jc w:val="center"/>
        <w:tblInd w:w="-318" w:type="dxa"/>
        <w:tblLook w:val="04A0"/>
      </w:tblPr>
      <w:tblGrid>
        <w:gridCol w:w="5475"/>
        <w:gridCol w:w="630"/>
        <w:gridCol w:w="497"/>
        <w:gridCol w:w="497"/>
        <w:gridCol w:w="497"/>
        <w:gridCol w:w="497"/>
        <w:gridCol w:w="497"/>
        <w:gridCol w:w="497"/>
        <w:gridCol w:w="497"/>
        <w:gridCol w:w="497"/>
      </w:tblGrid>
      <w:tr w:rsidR="002B7A08" w:rsidRPr="008844D9" w:rsidTr="00C02F45">
        <w:trPr>
          <w:trHeight w:val="315"/>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B7A08" w:rsidRPr="00303A5A" w:rsidRDefault="002B7A08" w:rsidP="004C3AD6">
            <w:pPr>
              <w:jc w:val="center"/>
              <w:rPr>
                <w:color w:val="000000"/>
                <w:lang w:val="lt-LT"/>
              </w:rPr>
            </w:pPr>
            <w:r w:rsidRPr="00303A5A">
              <w:rPr>
                <w:color w:val="000000"/>
                <w:lang w:val="lt-LT"/>
              </w:rPr>
              <w:t>Alternatyvos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B7A08" w:rsidRPr="00303A5A" w:rsidRDefault="002B7A08" w:rsidP="004C3AD6">
            <w:pPr>
              <w:rPr>
                <w:b/>
                <w:bCs/>
                <w:color w:val="000000"/>
                <w:lang w:val="lt-LT"/>
              </w:rPr>
            </w:pPr>
            <w:r w:rsidRPr="00303A5A">
              <w:rPr>
                <w:b/>
                <w:bCs/>
                <w:color w:val="000000"/>
                <w:lang w:val="lt-LT"/>
              </w:rPr>
              <w:t>E1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B7A08" w:rsidRPr="00303A5A" w:rsidRDefault="002B7A08" w:rsidP="004C3AD6">
            <w:pPr>
              <w:rPr>
                <w:b/>
                <w:bCs/>
                <w:color w:val="000000"/>
                <w:lang w:val="lt-LT"/>
              </w:rPr>
            </w:pPr>
            <w:r w:rsidRPr="00303A5A">
              <w:rPr>
                <w:b/>
                <w:bCs/>
                <w:color w:val="000000"/>
                <w:lang w:val="lt-LT"/>
              </w:rPr>
              <w:t>E2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B7A08" w:rsidRPr="00303A5A" w:rsidRDefault="002B7A08" w:rsidP="004C3AD6">
            <w:pPr>
              <w:rPr>
                <w:b/>
                <w:bCs/>
                <w:color w:val="000000"/>
                <w:lang w:val="lt-LT"/>
              </w:rPr>
            </w:pPr>
            <w:r w:rsidRPr="00303A5A">
              <w:rPr>
                <w:b/>
                <w:bCs/>
                <w:color w:val="000000"/>
                <w:lang w:val="lt-LT"/>
              </w:rPr>
              <w:t>E3</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B7A08" w:rsidRPr="00303A5A" w:rsidRDefault="002B7A08" w:rsidP="004C3AD6">
            <w:pPr>
              <w:rPr>
                <w:b/>
                <w:bCs/>
                <w:color w:val="000000"/>
                <w:lang w:val="lt-LT"/>
              </w:rPr>
            </w:pPr>
            <w:r w:rsidRPr="00303A5A">
              <w:rPr>
                <w:b/>
                <w:bCs/>
                <w:color w:val="000000"/>
                <w:lang w:val="lt-LT"/>
              </w:rPr>
              <w:t>E4</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B7A08" w:rsidRPr="00303A5A" w:rsidRDefault="002B7A08" w:rsidP="004C3AD6">
            <w:pPr>
              <w:rPr>
                <w:b/>
                <w:bCs/>
                <w:color w:val="000000"/>
                <w:lang w:val="lt-LT"/>
              </w:rPr>
            </w:pPr>
            <w:r w:rsidRPr="00303A5A">
              <w:rPr>
                <w:b/>
                <w:bCs/>
                <w:color w:val="000000"/>
                <w:lang w:val="lt-LT"/>
              </w:rPr>
              <w:t>E5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B7A08" w:rsidRPr="00303A5A" w:rsidRDefault="002B7A08" w:rsidP="004C3AD6">
            <w:pPr>
              <w:rPr>
                <w:b/>
                <w:bCs/>
                <w:color w:val="000000"/>
                <w:lang w:val="lt-LT"/>
              </w:rPr>
            </w:pPr>
            <w:r w:rsidRPr="00303A5A">
              <w:rPr>
                <w:b/>
                <w:bCs/>
                <w:color w:val="000000"/>
                <w:lang w:val="lt-LT"/>
              </w:rPr>
              <w:t>E6</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B7A08" w:rsidRPr="00303A5A" w:rsidRDefault="002B7A08" w:rsidP="004C3AD6">
            <w:pPr>
              <w:rPr>
                <w:b/>
                <w:bCs/>
                <w:color w:val="000000"/>
                <w:lang w:val="lt-LT"/>
              </w:rPr>
            </w:pPr>
            <w:r w:rsidRPr="00303A5A">
              <w:rPr>
                <w:b/>
                <w:bCs/>
                <w:color w:val="000000"/>
                <w:lang w:val="lt-LT"/>
              </w:rPr>
              <w:t>E7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2B7A08" w:rsidRPr="00303A5A" w:rsidRDefault="002B7A08" w:rsidP="004C3AD6">
            <w:pPr>
              <w:rPr>
                <w:b/>
                <w:bCs/>
                <w:color w:val="000000"/>
                <w:lang w:val="lt-LT"/>
              </w:rPr>
            </w:pPr>
            <w:r w:rsidRPr="00303A5A">
              <w:rPr>
                <w:b/>
                <w:bCs/>
                <w:color w:val="000000"/>
                <w:lang w:val="lt-LT"/>
              </w:rPr>
              <w:t>E8</w:t>
            </w:r>
          </w:p>
        </w:tc>
      </w:tr>
      <w:tr w:rsidR="002B7A08" w:rsidRPr="008844D9"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Išsilavinimo lygis šalyje.</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X1</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Egzistuojantis požiūris į draudimą</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Pasitikėjimas draudimo kompanijomis.</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Didelė draudimo įmonių koncentracija rinkoje.</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1</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Užsienio draudikų egzistavimas Lietuvos rinkoje.</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1</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Naujų draudimo produktų atsiradimas.</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X6</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 xml:space="preserve">Šalies klimato kaita. </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X7</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1</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Aiškios ir suprantamos draudimo taisyklės.</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X8</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 xml:space="preserve">Palankios sąlygos kreditui bei lizingui. </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X9</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Valstybės kontrolė draudikams</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X10</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Draudimo brokerių bendrovių gausa Lietuvoje.</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X11</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Papildomos paslaugos prie draudimo produktų</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X12</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Informacinių technologijų panaudojimas pardavimams</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X13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 xml:space="preserve">Prieinama informacija apie draudimo produktus. </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X14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r>
      <w:tr w:rsidR="002B7A08" w:rsidRPr="00303A5A" w:rsidTr="00C02F45">
        <w:trPr>
          <w:trHeight w:val="3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B7A08" w:rsidRPr="00303A5A" w:rsidRDefault="002B7A08" w:rsidP="004C3AD6">
            <w:pPr>
              <w:rPr>
                <w:color w:val="000000"/>
                <w:lang w:val="lt-LT"/>
              </w:rPr>
            </w:pPr>
            <w:r w:rsidRPr="00303A5A">
              <w:rPr>
                <w:color w:val="000000"/>
                <w:lang w:val="lt-LT"/>
              </w:rPr>
              <w:t xml:space="preserve">Nuostolių tikimybė </w:t>
            </w:r>
          </w:p>
        </w:tc>
        <w:tc>
          <w:tcPr>
            <w:tcW w:w="0" w:type="auto"/>
            <w:tcBorders>
              <w:top w:val="nil"/>
              <w:left w:val="nil"/>
              <w:bottom w:val="single" w:sz="4" w:space="0" w:color="auto"/>
              <w:right w:val="single" w:sz="4" w:space="0" w:color="auto"/>
            </w:tcBorders>
            <w:shd w:val="clear" w:color="auto" w:fill="auto"/>
            <w:hideMark/>
          </w:tcPr>
          <w:p w:rsidR="002B7A08" w:rsidRPr="00303A5A" w:rsidRDefault="002B7A08" w:rsidP="004C3AD6">
            <w:pPr>
              <w:rPr>
                <w:color w:val="000000"/>
                <w:lang w:val="lt-LT"/>
              </w:rPr>
            </w:pPr>
            <w:r w:rsidRPr="00303A5A">
              <w:rPr>
                <w:color w:val="000000"/>
                <w:lang w:val="lt-LT"/>
              </w:rPr>
              <w:t>X15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3</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5</w:t>
            </w:r>
          </w:p>
        </w:tc>
        <w:tc>
          <w:tcPr>
            <w:tcW w:w="0" w:type="auto"/>
            <w:tcBorders>
              <w:top w:val="nil"/>
              <w:left w:val="nil"/>
              <w:bottom w:val="single" w:sz="4" w:space="0" w:color="auto"/>
              <w:right w:val="single" w:sz="4" w:space="0" w:color="auto"/>
            </w:tcBorders>
            <w:shd w:val="clear" w:color="auto" w:fill="auto"/>
            <w:noWrap/>
            <w:vAlign w:val="bottom"/>
            <w:hideMark/>
          </w:tcPr>
          <w:p w:rsidR="002B7A08" w:rsidRPr="00303A5A" w:rsidRDefault="002B7A08" w:rsidP="004C3AD6">
            <w:pPr>
              <w:jc w:val="right"/>
              <w:rPr>
                <w:color w:val="000000"/>
                <w:lang w:val="lt-LT"/>
              </w:rPr>
            </w:pPr>
            <w:r w:rsidRPr="00303A5A">
              <w:rPr>
                <w:color w:val="000000"/>
                <w:lang w:val="lt-LT"/>
              </w:rPr>
              <w:t>4</w:t>
            </w:r>
          </w:p>
        </w:tc>
      </w:tr>
    </w:tbl>
    <w:p w:rsidR="002B7A08" w:rsidRPr="00303A5A" w:rsidRDefault="002B7A08" w:rsidP="002B7A08">
      <w:pPr>
        <w:spacing w:line="360" w:lineRule="auto"/>
        <w:ind w:firstLine="567"/>
        <w:jc w:val="both"/>
        <w:rPr>
          <w:lang w:val="lt-LT"/>
        </w:rPr>
      </w:pPr>
    </w:p>
    <w:p w:rsidR="002B7A08" w:rsidRPr="00303A5A" w:rsidRDefault="002B7A08" w:rsidP="00670E82">
      <w:pPr>
        <w:spacing w:line="360" w:lineRule="auto"/>
        <w:ind w:firstLine="567"/>
        <w:jc w:val="both"/>
        <w:rPr>
          <w:lang w:val="lt-LT"/>
        </w:rPr>
      </w:pPr>
      <w:r w:rsidRPr="00303A5A">
        <w:rPr>
          <w:lang w:val="lt-LT"/>
        </w:rPr>
        <w:t>Dispersinį konkordancijos koeficientą savo darbe pateikė M. Kendall (</w:t>
      </w:r>
      <w:r w:rsidR="00F63DE5">
        <w:rPr>
          <w:lang w:val="lt-LT"/>
        </w:rPr>
        <w:t>Podvezko, 2005</w:t>
      </w:r>
      <w:r w:rsidRPr="00303A5A">
        <w:rPr>
          <w:lang w:val="lt-LT"/>
        </w:rPr>
        <w:t>). Koeficiento skaičiavimo idėja susieta su kiekvieno rodiklio rangų suma visų ekspertų atžvilgiu. Šiuo atveju duomenims rangas suteiktas tyrimo metu, todėl duomenų transformuoti nereikės. Jei turime</w:t>
      </w:r>
      <w:r w:rsidR="006756D6">
        <w:rPr>
          <w:lang w:val="lt-LT"/>
        </w:rPr>
        <w:t>:</w:t>
      </w:r>
    </w:p>
    <w:p w:rsidR="002B7A08" w:rsidRPr="00303A5A" w:rsidRDefault="002B7A08" w:rsidP="00670E82">
      <w:pPr>
        <w:spacing w:line="360" w:lineRule="auto"/>
        <w:ind w:firstLine="567"/>
        <w:jc w:val="both"/>
        <w:rPr>
          <w:lang w:val="lt-LT"/>
        </w:rPr>
      </w:pPr>
      <w:r w:rsidRPr="00303A5A">
        <w:rPr>
          <w:lang w:val="lt-LT"/>
        </w:rPr>
        <w:t xml:space="preserve"> </w:t>
      </w:r>
      <w:r w:rsidRPr="00303A5A">
        <w:rPr>
          <w:i/>
          <w:lang w:val="lt-LT"/>
        </w:rPr>
        <w:t>m</w:t>
      </w:r>
      <w:r w:rsidRPr="00303A5A">
        <w:rPr>
          <w:lang w:val="lt-LT"/>
        </w:rPr>
        <w:t>- ekspertų skaičius;</w:t>
      </w:r>
    </w:p>
    <w:p w:rsidR="002B7A08" w:rsidRPr="00303A5A" w:rsidRDefault="002B7A08" w:rsidP="00670E82">
      <w:pPr>
        <w:spacing w:line="360" w:lineRule="auto"/>
        <w:ind w:firstLine="567"/>
        <w:jc w:val="both"/>
        <w:rPr>
          <w:lang w:val="lt-LT"/>
        </w:rPr>
      </w:pPr>
      <w:r w:rsidRPr="00303A5A">
        <w:rPr>
          <w:i/>
          <w:lang w:val="lt-LT"/>
        </w:rPr>
        <w:t>k</w:t>
      </w:r>
      <w:r w:rsidRPr="00303A5A">
        <w:rPr>
          <w:lang w:val="lt-LT"/>
        </w:rPr>
        <w:t>- pateiktų alternatyvų skaičius;</w:t>
      </w:r>
    </w:p>
    <w:p w:rsidR="002B7A08" w:rsidRPr="00303A5A" w:rsidRDefault="002B7A08" w:rsidP="00670E82">
      <w:pPr>
        <w:spacing w:line="360" w:lineRule="auto"/>
        <w:ind w:firstLine="567"/>
        <w:jc w:val="both"/>
        <w:rPr>
          <w:lang w:val="lt-LT"/>
        </w:rPr>
      </w:pPr>
      <w:r w:rsidRPr="00303A5A">
        <w:rPr>
          <w:lang w:val="lt-LT"/>
        </w:rPr>
        <w:t xml:space="preserve"> tai rangų sumų vidurkis </w:t>
      </w:r>
      <w:r w:rsidRPr="00303A5A">
        <w:rPr>
          <w:i/>
          <w:lang w:val="lt-LT"/>
        </w:rPr>
        <w:t>a</w:t>
      </w:r>
      <w:r w:rsidRPr="00303A5A">
        <w:rPr>
          <w:lang w:val="lt-LT"/>
        </w:rPr>
        <w:t xml:space="preserve"> apskaičiuojamas pagal formulę (Podvezko, 2005)</w:t>
      </w:r>
      <w:r w:rsidR="006756D6">
        <w:rPr>
          <w:lang w:val="lt-LT"/>
        </w:rPr>
        <w:t>:</w:t>
      </w:r>
    </w:p>
    <w:p w:rsidR="002B7A08" w:rsidRPr="00303A5A" w:rsidRDefault="002B7A08" w:rsidP="00670E82">
      <w:pPr>
        <w:spacing w:line="360" w:lineRule="auto"/>
        <w:ind w:firstLine="567"/>
        <w:jc w:val="both"/>
        <w:rPr>
          <w:lang w:val="lt-LT"/>
        </w:rPr>
      </w:pPr>
      <m:oMathPara>
        <m:oMath>
          <m:r>
            <w:rPr>
              <w:rFonts w:ascii="Cambria Math" w:hAnsi="Cambria Math"/>
              <w:lang w:val="lt-LT"/>
            </w:rPr>
            <m:t>a=0,5m</m:t>
          </m:r>
          <m:d>
            <m:dPr>
              <m:ctrlPr>
                <w:rPr>
                  <w:rFonts w:ascii="Cambria Math" w:hAnsi="Cambria Math"/>
                  <w:i/>
                  <w:lang w:val="lt-LT"/>
                </w:rPr>
              </m:ctrlPr>
            </m:dPr>
            <m:e>
              <m:r>
                <w:rPr>
                  <w:rFonts w:ascii="Cambria Math" w:hAnsi="Cambria Math"/>
                  <w:lang w:val="lt-LT"/>
                </w:rPr>
                <m:t>k+1</m:t>
              </m:r>
            </m:e>
          </m:d>
          <m:r>
            <w:rPr>
              <w:rFonts w:ascii="Cambria Math" w:hAnsi="Cambria Math"/>
              <w:lang w:val="lt-LT"/>
            </w:rPr>
            <m:t>,                            (5)</m:t>
          </m:r>
        </m:oMath>
      </m:oMathPara>
    </w:p>
    <w:p w:rsidR="002B7A08" w:rsidRPr="00303A5A" w:rsidRDefault="002B7A08" w:rsidP="00670E82">
      <w:pPr>
        <w:spacing w:line="360" w:lineRule="auto"/>
        <w:ind w:firstLine="567"/>
        <w:jc w:val="both"/>
        <w:rPr>
          <w:lang w:val="lt-LT"/>
        </w:rPr>
      </w:pPr>
      <w:r w:rsidRPr="00303A5A">
        <w:rPr>
          <w:lang w:val="lt-LT"/>
        </w:rPr>
        <w:t xml:space="preserve">Konkrečiu tyrimo atveju turime </w:t>
      </w:r>
      <w:r w:rsidRPr="00303A5A">
        <w:rPr>
          <w:i/>
          <w:lang w:val="lt-LT"/>
        </w:rPr>
        <w:t>a</w:t>
      </w:r>
      <w:r w:rsidRPr="00303A5A">
        <w:rPr>
          <w:lang w:val="lt-LT"/>
        </w:rPr>
        <w:t xml:space="preserve">=0,5*8*(15+1)=64. Nuokrypių nuo rangų sumos vidurkio kvadratų suma lygi: </w:t>
      </w:r>
    </w:p>
    <w:p w:rsidR="002B7A08" w:rsidRPr="00303A5A" w:rsidRDefault="00C20A22" w:rsidP="00670E82">
      <w:pPr>
        <w:spacing w:line="360" w:lineRule="auto"/>
        <w:ind w:firstLine="567"/>
        <w:jc w:val="both"/>
        <w:rPr>
          <w:lang w:val="lt-LT"/>
        </w:rPr>
      </w:pPr>
      <m:oMathPara>
        <m:oMath>
          <m:sSup>
            <m:sSupPr>
              <m:ctrlPr>
                <w:rPr>
                  <w:rFonts w:ascii="Cambria Math" w:hAnsi="Cambria Math"/>
                  <w:i/>
                  <w:lang w:val="lt-LT"/>
                </w:rPr>
              </m:ctrlPr>
            </m:sSupPr>
            <m:e>
              <m:r>
                <w:rPr>
                  <w:rFonts w:ascii="Cambria Math" w:hAnsi="Cambria Math"/>
                  <w:lang w:val="lt-LT"/>
                </w:rPr>
                <m:t>S</m:t>
              </m:r>
            </m:e>
            <m:sup>
              <m:r>
                <w:rPr>
                  <w:rFonts w:ascii="Cambria Math" w:hAnsi="Cambria Math"/>
                  <w:lang w:val="lt-LT"/>
                </w:rPr>
                <m:t>2</m:t>
              </m:r>
            </m:sup>
          </m:sSup>
          <m:r>
            <w:rPr>
              <w:rFonts w:ascii="Cambria Math" w:hAnsi="Cambria Math"/>
              <w:lang w:val="lt-LT"/>
            </w:rPr>
            <m:t>=</m:t>
          </m:r>
          <m:nary>
            <m:naryPr>
              <m:chr m:val="∑"/>
              <m:limLoc m:val="undOvr"/>
              <m:ctrlPr>
                <w:rPr>
                  <w:rFonts w:ascii="Cambria Math" w:hAnsi="Cambria Math"/>
                  <w:i/>
                  <w:lang w:val="lt-LT"/>
                </w:rPr>
              </m:ctrlPr>
            </m:naryPr>
            <m:sub>
              <m:r>
                <w:rPr>
                  <w:rFonts w:ascii="Cambria Math" w:hAnsi="Cambria Math"/>
                  <w:lang w:val="lt-LT"/>
                </w:rPr>
                <m:t>j=1</m:t>
              </m:r>
            </m:sub>
            <m:sup>
              <m:r>
                <w:rPr>
                  <w:rFonts w:ascii="Cambria Math" w:hAnsi="Cambria Math"/>
                  <w:lang w:val="lt-LT"/>
                </w:rPr>
                <m:t>k</m:t>
              </m:r>
            </m:sup>
            <m:e>
              <m:sSup>
                <m:sSupPr>
                  <m:ctrlPr>
                    <w:rPr>
                      <w:rFonts w:ascii="Cambria Math" w:hAnsi="Cambria Math"/>
                      <w:i/>
                      <w:lang w:val="lt-LT"/>
                    </w:rPr>
                  </m:ctrlPr>
                </m:sSupPr>
                <m:e>
                  <m:d>
                    <m:dPr>
                      <m:ctrlPr>
                        <w:rPr>
                          <w:rFonts w:ascii="Cambria Math" w:hAnsi="Cambria Math"/>
                          <w:i/>
                          <w:lang w:val="lt-LT"/>
                        </w:rPr>
                      </m:ctrlPr>
                    </m:dPr>
                    <m:e>
                      <m:nary>
                        <m:naryPr>
                          <m:chr m:val="∑"/>
                          <m:limLoc m:val="undOvr"/>
                          <m:ctrlPr>
                            <w:rPr>
                              <w:rFonts w:ascii="Cambria Math" w:hAnsi="Cambria Math"/>
                              <w:i/>
                              <w:lang w:val="lt-LT"/>
                            </w:rPr>
                          </m:ctrlPr>
                        </m:naryPr>
                        <m:sub>
                          <m:r>
                            <w:rPr>
                              <w:rFonts w:ascii="Cambria Math" w:hAnsi="Cambria Math"/>
                              <w:lang w:val="lt-LT"/>
                            </w:rPr>
                            <m:t>i=1</m:t>
                          </m:r>
                        </m:sub>
                        <m:sup>
                          <m:r>
                            <w:rPr>
                              <w:rFonts w:ascii="Cambria Math" w:hAnsi="Cambria Math"/>
                              <w:lang w:val="lt-LT"/>
                            </w:rPr>
                            <m:t>m</m:t>
                          </m:r>
                        </m:sup>
                        <m:e>
                          <m:sSub>
                            <m:sSubPr>
                              <m:ctrlPr>
                                <w:rPr>
                                  <w:rFonts w:ascii="Cambria Math" w:hAnsi="Cambria Math"/>
                                  <w:i/>
                                  <w:lang w:val="lt-LT"/>
                                </w:rPr>
                              </m:ctrlPr>
                            </m:sSubPr>
                            <m:e>
                              <m:r>
                                <w:rPr>
                                  <w:rFonts w:ascii="Cambria Math" w:hAnsi="Cambria Math"/>
                                  <w:lang w:val="lt-LT"/>
                                </w:rPr>
                                <m:t>x</m:t>
                              </m:r>
                            </m:e>
                            <m:sub>
                              <m:r>
                                <w:rPr>
                                  <w:rFonts w:ascii="Cambria Math" w:hAnsi="Cambria Math"/>
                                  <w:lang w:val="lt-LT"/>
                                </w:rPr>
                                <m:t>ij</m:t>
                              </m:r>
                            </m:sub>
                          </m:sSub>
                          <m:r>
                            <w:rPr>
                              <w:rFonts w:ascii="Cambria Math" w:hAnsi="Cambria Math"/>
                              <w:lang w:val="lt-LT"/>
                            </w:rPr>
                            <m:t>-a</m:t>
                          </m:r>
                        </m:e>
                      </m:nary>
                    </m:e>
                  </m:d>
                </m:e>
                <m:sup>
                  <m:r>
                    <w:rPr>
                      <w:rFonts w:ascii="Cambria Math" w:hAnsi="Cambria Math"/>
                      <w:lang w:val="lt-LT"/>
                    </w:rPr>
                    <m:t>2</m:t>
                  </m:r>
                </m:sup>
              </m:sSup>
            </m:e>
          </m:nary>
          <m:r>
            <w:rPr>
              <w:rFonts w:ascii="Cambria Math" w:hAnsi="Cambria Math"/>
              <w:lang w:val="lt-LT"/>
            </w:rPr>
            <m:t>, ∀i,j,          (6)</m:t>
          </m:r>
        </m:oMath>
      </m:oMathPara>
    </w:p>
    <w:p w:rsidR="002B7A08" w:rsidRPr="00303A5A" w:rsidRDefault="002B7A08" w:rsidP="00670E82">
      <w:pPr>
        <w:spacing w:line="360" w:lineRule="auto"/>
        <w:ind w:firstLine="567"/>
        <w:jc w:val="both"/>
        <w:rPr>
          <w:lang w:val="lt-LT"/>
        </w:rPr>
      </w:pPr>
      <w:r w:rsidRPr="00303A5A">
        <w:rPr>
          <w:lang w:val="lt-LT"/>
        </w:rPr>
        <w:t>Čia:</w:t>
      </w:r>
    </w:p>
    <w:p w:rsidR="002B7A08" w:rsidRPr="00303A5A" w:rsidRDefault="002B7A08" w:rsidP="00670E82">
      <w:pPr>
        <w:spacing w:line="360" w:lineRule="auto"/>
        <w:ind w:firstLine="567"/>
        <w:jc w:val="both"/>
        <w:rPr>
          <w:lang w:val="lt-LT"/>
        </w:rPr>
      </w:pPr>
      <w:r w:rsidRPr="00303A5A">
        <w:rPr>
          <w:i/>
          <w:lang w:val="lt-LT"/>
        </w:rPr>
        <w:t>a</w:t>
      </w:r>
      <w:r w:rsidRPr="00303A5A">
        <w:rPr>
          <w:lang w:val="lt-LT"/>
        </w:rPr>
        <w:t>- rangų sumų vidurkis;</w:t>
      </w:r>
    </w:p>
    <w:p w:rsidR="002B7A08" w:rsidRPr="00303A5A" w:rsidRDefault="002B7A08" w:rsidP="00670E82">
      <w:pPr>
        <w:spacing w:line="360" w:lineRule="auto"/>
        <w:ind w:firstLine="567"/>
        <w:jc w:val="both"/>
        <w:rPr>
          <w:lang w:val="lt-LT"/>
        </w:rPr>
      </w:pPr>
      <w:r w:rsidRPr="00303A5A">
        <w:rPr>
          <w:i/>
          <w:lang w:val="lt-LT"/>
        </w:rPr>
        <w:t>x</w:t>
      </w:r>
      <w:r w:rsidRPr="00303A5A">
        <w:rPr>
          <w:i/>
          <w:vertAlign w:val="subscript"/>
          <w:lang w:val="lt-LT"/>
        </w:rPr>
        <w:t>ij</w:t>
      </w:r>
      <w:r w:rsidRPr="00303A5A">
        <w:rPr>
          <w:lang w:val="lt-LT"/>
        </w:rPr>
        <w:t xml:space="preserve">- </w:t>
      </w:r>
      <w:r w:rsidRPr="00303A5A">
        <w:rPr>
          <w:i/>
          <w:lang w:val="lt-LT"/>
        </w:rPr>
        <w:t>i</w:t>
      </w:r>
      <w:r w:rsidRPr="00303A5A">
        <w:rPr>
          <w:lang w:val="lt-LT"/>
        </w:rPr>
        <w:t xml:space="preserve">-tojo eksperto </w:t>
      </w:r>
      <w:r w:rsidRPr="00303A5A">
        <w:rPr>
          <w:i/>
          <w:lang w:val="lt-LT"/>
        </w:rPr>
        <w:t>j</w:t>
      </w:r>
      <w:r w:rsidRPr="00303A5A">
        <w:rPr>
          <w:lang w:val="lt-LT"/>
        </w:rPr>
        <w:t xml:space="preserve">-tosios alternatyvos vertinimas, kai </w:t>
      </w:r>
      <w:r w:rsidRPr="00303A5A">
        <w:rPr>
          <w:i/>
          <w:lang w:val="lt-LT"/>
        </w:rPr>
        <w:t>i</w:t>
      </w:r>
      <w:r w:rsidRPr="00303A5A">
        <w:rPr>
          <w:lang w:val="lt-LT"/>
        </w:rPr>
        <w:t>=1,2,…,</w:t>
      </w:r>
      <w:r w:rsidRPr="00303A5A">
        <w:rPr>
          <w:i/>
          <w:lang w:val="lt-LT"/>
        </w:rPr>
        <w:t>m</w:t>
      </w:r>
      <w:r w:rsidRPr="00303A5A">
        <w:rPr>
          <w:lang w:val="lt-LT"/>
        </w:rPr>
        <w:t xml:space="preserve">. ir </w:t>
      </w:r>
      <w:r w:rsidRPr="00303A5A">
        <w:rPr>
          <w:i/>
          <w:lang w:val="lt-LT"/>
        </w:rPr>
        <w:t>j</w:t>
      </w:r>
      <w:r w:rsidRPr="00303A5A">
        <w:rPr>
          <w:lang w:val="lt-LT"/>
        </w:rPr>
        <w:t>=1,2,…,</w:t>
      </w:r>
      <w:r w:rsidRPr="00303A5A">
        <w:rPr>
          <w:i/>
          <w:lang w:val="lt-LT"/>
        </w:rPr>
        <w:t>k</w:t>
      </w:r>
      <w:r w:rsidRPr="00303A5A">
        <w:rPr>
          <w:lang w:val="lt-LT"/>
        </w:rPr>
        <w:t>.</w:t>
      </w:r>
    </w:p>
    <w:p w:rsidR="002B7A08" w:rsidRPr="00303A5A" w:rsidRDefault="002B7A08" w:rsidP="00670E82">
      <w:pPr>
        <w:spacing w:line="360" w:lineRule="auto"/>
        <w:ind w:firstLine="567"/>
        <w:jc w:val="both"/>
        <w:rPr>
          <w:color w:val="000000"/>
          <w:lang w:val="lt-LT"/>
        </w:rPr>
      </w:pPr>
      <w:r w:rsidRPr="00303A5A">
        <w:rPr>
          <w:lang w:val="lt-LT"/>
        </w:rPr>
        <w:t xml:space="preserve">Konkrečiu tyrimo atveju </w:t>
      </w:r>
      <w:r w:rsidRPr="00303A5A">
        <w:rPr>
          <w:i/>
          <w:lang w:val="lt-LT"/>
        </w:rPr>
        <w:t>S</w:t>
      </w:r>
      <w:r w:rsidRPr="00303A5A">
        <w:rPr>
          <w:i/>
          <w:vertAlign w:val="superscript"/>
          <w:lang w:val="lt-LT"/>
        </w:rPr>
        <w:t>2</w:t>
      </w:r>
      <w:r w:rsidRPr="00303A5A">
        <w:rPr>
          <w:lang w:val="lt-LT"/>
        </w:rPr>
        <w:t>=</w:t>
      </w:r>
      <w:r w:rsidRPr="00303A5A">
        <w:rPr>
          <w:color w:val="000000"/>
          <w:lang w:val="lt-LT"/>
        </w:rPr>
        <w:t>17285. Konkordacijos koeficientas apskaičiuojamas pagal formulę</w:t>
      </w:r>
      <w:r w:rsidR="006756D6">
        <w:rPr>
          <w:color w:val="000000"/>
          <w:lang w:val="lt-LT"/>
        </w:rPr>
        <w:t>:</w:t>
      </w:r>
    </w:p>
    <w:p w:rsidR="002B7A08" w:rsidRPr="00303A5A" w:rsidRDefault="002B7A08" w:rsidP="00670E82">
      <w:pPr>
        <w:spacing w:line="360" w:lineRule="auto"/>
        <w:ind w:firstLine="567"/>
        <w:jc w:val="both"/>
        <w:rPr>
          <w:i/>
          <w:color w:val="000000"/>
          <w:lang w:val="lt-LT"/>
        </w:rPr>
      </w:pPr>
      <m:oMathPara>
        <m:oMath>
          <m:r>
            <w:rPr>
              <w:rFonts w:ascii="Cambria Math" w:hAnsi="Cambria Math"/>
              <w:color w:val="000000"/>
              <w:lang w:val="lt-LT"/>
            </w:rPr>
            <m:t>W</m:t>
          </m:r>
          <m:r>
            <w:rPr>
              <w:rFonts w:ascii="Cambria Math"/>
              <w:color w:val="000000"/>
              <w:lang w:val="lt-LT"/>
            </w:rPr>
            <m:t>=</m:t>
          </m:r>
          <m:f>
            <m:fPr>
              <m:ctrlPr>
                <w:rPr>
                  <w:rFonts w:ascii="Cambria Math" w:hAnsi="Cambria Math"/>
                  <w:i/>
                  <w:color w:val="000000"/>
                  <w:lang w:val="lt-LT"/>
                </w:rPr>
              </m:ctrlPr>
            </m:fPr>
            <m:num>
              <m:r>
                <w:rPr>
                  <w:rFonts w:ascii="Cambria Math"/>
                  <w:color w:val="000000"/>
                  <w:lang w:val="lt-LT"/>
                </w:rPr>
                <m:t>12</m:t>
              </m:r>
              <m:sSup>
                <m:sSupPr>
                  <m:ctrlPr>
                    <w:rPr>
                      <w:rFonts w:ascii="Cambria Math" w:hAnsi="Cambria Math"/>
                      <w:i/>
                      <w:color w:val="000000"/>
                      <w:lang w:val="lt-LT"/>
                    </w:rPr>
                  </m:ctrlPr>
                </m:sSupPr>
                <m:e>
                  <m:r>
                    <w:rPr>
                      <w:rFonts w:ascii="Cambria Math" w:hAnsi="Cambria Math"/>
                      <w:color w:val="000000"/>
                      <w:lang w:val="lt-LT"/>
                    </w:rPr>
                    <m:t>S</m:t>
                  </m:r>
                </m:e>
                <m:sup>
                  <m:r>
                    <w:rPr>
                      <w:rFonts w:ascii="Cambria Math"/>
                      <w:color w:val="000000"/>
                      <w:lang w:val="lt-LT"/>
                    </w:rPr>
                    <m:t>2</m:t>
                  </m:r>
                </m:sup>
              </m:sSup>
            </m:num>
            <m:den>
              <m:sSup>
                <m:sSupPr>
                  <m:ctrlPr>
                    <w:rPr>
                      <w:rFonts w:ascii="Cambria Math" w:hAnsi="Cambria Math"/>
                      <w:i/>
                      <w:color w:val="000000"/>
                      <w:lang w:val="lt-LT"/>
                    </w:rPr>
                  </m:ctrlPr>
                </m:sSupPr>
                <m:e>
                  <m:r>
                    <w:rPr>
                      <w:rFonts w:ascii="Cambria Math" w:hAnsi="Cambria Math"/>
                      <w:color w:val="000000"/>
                      <w:lang w:val="lt-LT"/>
                    </w:rPr>
                    <m:t>m</m:t>
                  </m:r>
                </m:e>
                <m:sup>
                  <m:r>
                    <w:rPr>
                      <w:rFonts w:ascii="Cambria Math"/>
                      <w:color w:val="000000"/>
                      <w:lang w:val="lt-LT"/>
                    </w:rPr>
                    <m:t>2</m:t>
                  </m:r>
                </m:sup>
              </m:sSup>
              <m:r>
                <w:rPr>
                  <w:rFonts w:ascii="Cambria Math"/>
                  <w:color w:val="000000"/>
                  <w:lang w:val="lt-LT"/>
                </w:rPr>
                <m:t>(</m:t>
              </m:r>
              <m:sSup>
                <m:sSupPr>
                  <m:ctrlPr>
                    <w:rPr>
                      <w:rFonts w:ascii="Cambria Math" w:hAnsi="Cambria Math"/>
                      <w:i/>
                      <w:color w:val="000000"/>
                      <w:lang w:val="lt-LT"/>
                    </w:rPr>
                  </m:ctrlPr>
                </m:sSupPr>
                <m:e>
                  <m:r>
                    <w:rPr>
                      <w:rFonts w:ascii="Cambria Math" w:hAnsi="Cambria Math"/>
                      <w:color w:val="000000"/>
                      <w:lang w:val="lt-LT"/>
                    </w:rPr>
                    <m:t>k</m:t>
                  </m:r>
                </m:e>
                <m:sup>
                  <m:r>
                    <w:rPr>
                      <w:rFonts w:ascii="Cambria Math"/>
                      <w:color w:val="000000"/>
                      <w:lang w:val="lt-LT"/>
                    </w:rPr>
                    <m:t>3</m:t>
                  </m:r>
                </m:sup>
              </m:sSup>
              <m:r>
                <w:rPr>
                  <w:color w:val="000000"/>
                  <w:lang w:val="lt-LT"/>
                </w:rPr>
                <m:t>-</m:t>
              </m:r>
              <m:r>
                <w:rPr>
                  <w:rFonts w:ascii="Cambria Math" w:hAnsi="Cambria Math"/>
                  <w:color w:val="000000"/>
                  <w:lang w:val="lt-LT"/>
                </w:rPr>
                <m:t>k</m:t>
              </m:r>
              <m:r>
                <w:rPr>
                  <w:rFonts w:ascii="Cambria Math"/>
                  <w:color w:val="000000"/>
                  <w:lang w:val="lt-LT"/>
                </w:rPr>
                <m:t>)</m:t>
              </m:r>
            </m:den>
          </m:f>
          <m:r>
            <w:rPr>
              <w:rFonts w:ascii="Cambria Math"/>
              <w:color w:val="000000"/>
              <w:lang w:val="lt-LT"/>
            </w:rPr>
            <m:t>,                                (7)</m:t>
          </m:r>
        </m:oMath>
      </m:oMathPara>
    </w:p>
    <w:p w:rsidR="002B7A08" w:rsidRPr="00303A5A" w:rsidRDefault="002B7A08" w:rsidP="00670E82">
      <w:pPr>
        <w:spacing w:line="360" w:lineRule="auto"/>
        <w:ind w:firstLine="567"/>
        <w:jc w:val="both"/>
        <w:rPr>
          <w:i/>
          <w:color w:val="000000"/>
          <w:lang w:val="lt-LT"/>
        </w:rPr>
      </w:pPr>
      <w:r w:rsidRPr="00303A5A">
        <w:rPr>
          <w:color w:val="000000"/>
          <w:lang w:val="lt-LT"/>
        </w:rPr>
        <w:t>kai</w:t>
      </w:r>
      <w:r w:rsidRPr="00303A5A">
        <w:rPr>
          <w:i/>
          <w:color w:val="000000"/>
          <w:lang w:val="lt-LT"/>
        </w:rPr>
        <w:t xml:space="preserve">  m- </w:t>
      </w:r>
      <w:r w:rsidRPr="00303A5A">
        <w:rPr>
          <w:color w:val="000000"/>
          <w:lang w:val="lt-LT"/>
        </w:rPr>
        <w:t>ekspertų skaičius;</w:t>
      </w:r>
    </w:p>
    <w:p w:rsidR="002B7A08" w:rsidRPr="00303A5A" w:rsidRDefault="002B7A08" w:rsidP="00670E82">
      <w:pPr>
        <w:spacing w:line="360" w:lineRule="auto"/>
        <w:ind w:firstLine="567"/>
        <w:jc w:val="both"/>
        <w:rPr>
          <w:color w:val="000000"/>
          <w:lang w:val="lt-LT"/>
        </w:rPr>
      </w:pPr>
      <w:r w:rsidRPr="00303A5A">
        <w:rPr>
          <w:i/>
          <w:color w:val="000000"/>
          <w:lang w:val="lt-LT"/>
        </w:rPr>
        <w:t xml:space="preserve">k- </w:t>
      </w:r>
      <w:r w:rsidRPr="00303A5A">
        <w:rPr>
          <w:color w:val="000000"/>
          <w:lang w:val="lt-LT"/>
        </w:rPr>
        <w:t>pateiktų alternatyvų skaičius;</w:t>
      </w:r>
    </w:p>
    <w:p w:rsidR="002B7A08" w:rsidRPr="00303A5A" w:rsidRDefault="002B7A08" w:rsidP="00670E82">
      <w:pPr>
        <w:spacing w:line="360" w:lineRule="auto"/>
        <w:ind w:firstLine="567"/>
        <w:jc w:val="both"/>
        <w:rPr>
          <w:color w:val="000000"/>
          <w:lang w:val="lt-LT"/>
        </w:rPr>
      </w:pPr>
      <w:r w:rsidRPr="00303A5A">
        <w:rPr>
          <w:color w:val="000000"/>
          <w:lang w:val="lt-LT"/>
        </w:rPr>
        <w:lastRenderedPageBreak/>
        <w:t xml:space="preserve">Tyrimo atveju </w:t>
      </w:r>
      <w:r w:rsidRPr="00303A5A">
        <w:rPr>
          <w:i/>
          <w:color w:val="000000"/>
          <w:lang w:val="lt-LT"/>
        </w:rPr>
        <w:t>W</w:t>
      </w:r>
      <w:r w:rsidRPr="00303A5A">
        <w:rPr>
          <w:color w:val="000000"/>
          <w:lang w:val="lt-LT"/>
        </w:rPr>
        <w:t xml:space="preserve">=0,96. M. Kendall įrodė, kad kai ekspertų skaičius </w:t>
      </w:r>
      <w:r w:rsidRPr="00303A5A">
        <w:rPr>
          <w:i/>
          <w:color w:val="000000"/>
          <w:lang w:val="lt-LT"/>
        </w:rPr>
        <w:t>m</w:t>
      </w:r>
      <w:r w:rsidRPr="00303A5A">
        <w:rPr>
          <w:color w:val="000000"/>
          <w:lang w:val="lt-LT"/>
        </w:rPr>
        <w:t xml:space="preserve">&gt;7 konkordancijos koeficiento reikšmingumas gali būti nustatytas naudojant </w:t>
      </w:r>
      <m:oMath>
        <m:sSup>
          <m:sSupPr>
            <m:ctrlPr>
              <w:rPr>
                <w:rFonts w:ascii="Cambria Math" w:hAnsi="Cambria Math"/>
                <w:i/>
                <w:color w:val="000000"/>
                <w:lang w:val="lt-LT"/>
              </w:rPr>
            </m:ctrlPr>
          </m:sSupPr>
          <m:e>
            <m:r>
              <w:rPr>
                <w:rFonts w:ascii="Cambria Math" w:hAnsi="Cambria Math"/>
                <w:color w:val="000000"/>
                <w:lang w:val="lt-LT"/>
              </w:rPr>
              <m:t>χ</m:t>
            </m:r>
          </m:e>
          <m:sup>
            <m:r>
              <w:rPr>
                <w:rFonts w:ascii="Cambria Math" w:hAnsi="Cambria Math"/>
                <w:color w:val="000000"/>
                <w:lang w:val="lt-LT"/>
              </w:rPr>
              <m:t>2</m:t>
            </m:r>
          </m:sup>
        </m:sSup>
      </m:oMath>
      <w:r w:rsidRPr="00303A5A">
        <w:rPr>
          <w:color w:val="000000"/>
          <w:lang w:val="lt-LT"/>
        </w:rPr>
        <w:t xml:space="preserve"> kriterijų.</w:t>
      </w:r>
    </w:p>
    <w:p w:rsidR="002B7A08" w:rsidRPr="00303A5A" w:rsidRDefault="002B7A08" w:rsidP="00670E82">
      <w:pPr>
        <w:spacing w:line="360" w:lineRule="auto"/>
        <w:ind w:firstLine="567"/>
        <w:jc w:val="both"/>
        <w:rPr>
          <w:color w:val="000000"/>
          <w:lang w:val="lt-LT"/>
        </w:rPr>
      </w:pPr>
      <w:r w:rsidRPr="00303A5A">
        <w:rPr>
          <w:color w:val="000000"/>
          <w:lang w:val="lt-LT"/>
        </w:rPr>
        <w:t>Atsitiktinis dydis</w:t>
      </w:r>
    </w:p>
    <w:p w:rsidR="002B7A08" w:rsidRPr="00303A5A" w:rsidRDefault="00C20A22" w:rsidP="00670E82">
      <w:pPr>
        <w:spacing w:line="360" w:lineRule="auto"/>
        <w:ind w:firstLine="567"/>
        <w:jc w:val="both"/>
        <w:rPr>
          <w:color w:val="000000"/>
          <w:lang w:val="lt-LT"/>
        </w:rPr>
      </w:pPr>
      <m:oMathPara>
        <m:oMath>
          <m:sSup>
            <m:sSupPr>
              <m:ctrlPr>
                <w:rPr>
                  <w:rFonts w:ascii="Cambria Math" w:hAnsi="Cambria Math"/>
                  <w:i/>
                  <w:color w:val="000000"/>
                  <w:lang w:val="lt-LT"/>
                </w:rPr>
              </m:ctrlPr>
            </m:sSupPr>
            <m:e>
              <m:r>
                <w:rPr>
                  <w:rFonts w:ascii="Cambria Math" w:hAnsi="Cambria Math"/>
                  <w:color w:val="000000"/>
                  <w:lang w:val="lt-LT"/>
                </w:rPr>
                <m:t>χ</m:t>
              </m:r>
            </m:e>
            <m:sup>
              <m:r>
                <w:rPr>
                  <w:rFonts w:ascii="Cambria Math" w:hAnsi="Cambria Math"/>
                  <w:color w:val="000000"/>
                  <w:lang w:val="lt-LT"/>
                </w:rPr>
                <m:t>2</m:t>
              </m:r>
            </m:sup>
          </m:sSup>
          <m:r>
            <w:rPr>
              <w:rFonts w:ascii="Cambria Math" w:hAnsi="Cambria Math"/>
              <w:color w:val="000000"/>
              <w:lang w:val="lt-LT"/>
            </w:rPr>
            <m:t>=W*m*</m:t>
          </m:r>
          <m:d>
            <m:dPr>
              <m:ctrlPr>
                <w:rPr>
                  <w:rFonts w:ascii="Cambria Math" w:hAnsi="Cambria Math"/>
                  <w:i/>
                  <w:color w:val="000000"/>
                  <w:lang w:val="lt-LT"/>
                </w:rPr>
              </m:ctrlPr>
            </m:dPr>
            <m:e>
              <m:r>
                <w:rPr>
                  <w:rFonts w:ascii="Cambria Math" w:hAnsi="Cambria Math"/>
                  <w:color w:val="000000"/>
                  <w:lang w:val="lt-LT"/>
                </w:rPr>
                <m:t>k-1</m:t>
              </m:r>
            </m:e>
          </m:d>
          <m:r>
            <w:rPr>
              <w:rFonts w:ascii="Cambria Math" w:hAnsi="Cambria Math"/>
              <w:color w:val="000000"/>
              <w:lang w:val="lt-LT"/>
            </w:rPr>
            <m:t>,                              (8)</m:t>
          </m:r>
        </m:oMath>
      </m:oMathPara>
    </w:p>
    <w:p w:rsidR="002B7A08" w:rsidRDefault="002B7A08" w:rsidP="00670E82">
      <w:pPr>
        <w:spacing w:line="360" w:lineRule="auto"/>
        <w:ind w:firstLine="567"/>
        <w:jc w:val="both"/>
        <w:rPr>
          <w:color w:val="000000"/>
          <w:lang w:val="lt-LT"/>
        </w:rPr>
      </w:pPr>
      <w:r w:rsidRPr="00303A5A">
        <w:rPr>
          <w:color w:val="000000"/>
          <w:lang w:val="lt-LT"/>
        </w:rPr>
        <w:t xml:space="preserve">Pasiskirstęs pagal </w:t>
      </w:r>
      <m:oMath>
        <m:sSup>
          <m:sSupPr>
            <m:ctrlPr>
              <w:rPr>
                <w:rFonts w:ascii="Cambria Math" w:hAnsi="Cambria Math"/>
                <w:i/>
                <w:color w:val="000000"/>
                <w:lang w:val="lt-LT"/>
              </w:rPr>
            </m:ctrlPr>
          </m:sSupPr>
          <m:e>
            <m:r>
              <w:rPr>
                <w:rFonts w:ascii="Cambria Math" w:hAnsi="Cambria Math"/>
                <w:color w:val="000000"/>
                <w:lang w:val="lt-LT"/>
              </w:rPr>
              <m:t>χ</m:t>
            </m:r>
          </m:e>
          <m:sup>
            <m:r>
              <w:rPr>
                <w:rFonts w:ascii="Cambria Math" w:hAnsi="Cambria Math"/>
                <w:color w:val="000000"/>
                <w:lang w:val="lt-LT"/>
              </w:rPr>
              <m:t>2</m:t>
            </m:r>
          </m:sup>
        </m:sSup>
      </m:oMath>
      <w:r w:rsidRPr="00303A5A">
        <w:rPr>
          <w:color w:val="000000"/>
          <w:lang w:val="lt-LT"/>
        </w:rPr>
        <w:t xml:space="preserve"> skirstinį su </w:t>
      </w:r>
      <w:r w:rsidRPr="00303A5A">
        <w:rPr>
          <w:i/>
          <w:color w:val="000000"/>
          <w:lang w:val="lt-LT"/>
        </w:rPr>
        <w:t>f=k-1</w:t>
      </w:r>
      <w:r w:rsidRPr="00303A5A">
        <w:rPr>
          <w:color w:val="000000"/>
          <w:lang w:val="lt-LT"/>
        </w:rPr>
        <w:t xml:space="preserve"> laisvės laipsnių. Pagal pasirinktą reikšmingumo lygmenį α iš </w:t>
      </w:r>
      <m:oMath>
        <m:sSup>
          <m:sSupPr>
            <m:ctrlPr>
              <w:rPr>
                <w:rFonts w:ascii="Cambria Math" w:hAnsi="Cambria Math"/>
                <w:i/>
                <w:color w:val="000000"/>
                <w:lang w:val="lt-LT"/>
              </w:rPr>
            </m:ctrlPr>
          </m:sSupPr>
          <m:e>
            <m:r>
              <w:rPr>
                <w:rFonts w:ascii="Cambria Math" w:hAnsi="Cambria Math"/>
                <w:color w:val="000000"/>
                <w:lang w:val="lt-LT"/>
              </w:rPr>
              <m:t>χ</m:t>
            </m:r>
          </m:e>
          <m:sup>
            <m:r>
              <w:rPr>
                <w:rFonts w:ascii="Cambria Math" w:hAnsi="Cambria Math"/>
                <w:color w:val="000000"/>
                <w:lang w:val="lt-LT"/>
              </w:rPr>
              <m:t>2</m:t>
            </m:r>
          </m:sup>
        </m:sSup>
      </m:oMath>
      <w:r w:rsidRPr="00303A5A">
        <w:rPr>
          <w:color w:val="000000"/>
          <w:lang w:val="lt-LT"/>
        </w:rPr>
        <w:t xml:space="preserve">skirstinio lentelės su </w:t>
      </w:r>
      <w:r w:rsidRPr="00303A5A">
        <w:rPr>
          <w:i/>
          <w:color w:val="000000"/>
          <w:lang w:val="lt-LT"/>
        </w:rPr>
        <w:t>f=k-1</w:t>
      </w:r>
      <w:r w:rsidRPr="00303A5A">
        <w:rPr>
          <w:color w:val="000000"/>
          <w:lang w:val="lt-LT"/>
        </w:rPr>
        <w:t xml:space="preserve"> laisvės laipsnių randame kritine reikšmę </w:t>
      </w:r>
      <m:oMath>
        <m:sSubSup>
          <m:sSubSupPr>
            <m:ctrlPr>
              <w:rPr>
                <w:rFonts w:ascii="Cambria Math" w:hAnsi="Cambria Math"/>
                <w:i/>
                <w:color w:val="000000"/>
                <w:lang w:val="lt-LT"/>
              </w:rPr>
            </m:ctrlPr>
          </m:sSubSupPr>
          <m:e>
            <m:r>
              <w:rPr>
                <w:rFonts w:ascii="Cambria Math" w:hAnsi="Cambria Math"/>
                <w:color w:val="000000"/>
                <w:lang w:val="lt-LT"/>
              </w:rPr>
              <m:t>χ</m:t>
            </m:r>
          </m:e>
          <m:sub>
            <m:r>
              <w:rPr>
                <w:rFonts w:ascii="Cambria Math" w:hAnsi="Cambria Math"/>
                <w:color w:val="000000"/>
                <w:lang w:val="lt-LT"/>
              </w:rPr>
              <m:t>krit</m:t>
            </m:r>
          </m:sub>
          <m:sup>
            <m:r>
              <w:rPr>
                <w:rFonts w:ascii="Cambria Math" w:hAnsi="Cambria Math"/>
                <w:color w:val="000000"/>
                <w:lang w:val="lt-LT"/>
              </w:rPr>
              <m:t>2</m:t>
            </m:r>
          </m:sup>
        </m:sSubSup>
      </m:oMath>
      <w:r w:rsidRPr="00303A5A">
        <w:rPr>
          <w:color w:val="000000"/>
          <w:lang w:val="lt-LT"/>
        </w:rPr>
        <w:t xml:space="preserve">. Jei suskaičiuota </w:t>
      </w:r>
      <m:oMath>
        <m:sSup>
          <m:sSupPr>
            <m:ctrlPr>
              <w:rPr>
                <w:rFonts w:ascii="Cambria Math" w:hAnsi="Cambria Math"/>
                <w:i/>
                <w:color w:val="000000"/>
                <w:lang w:val="lt-LT"/>
              </w:rPr>
            </m:ctrlPr>
          </m:sSupPr>
          <m:e>
            <m:r>
              <w:rPr>
                <w:rFonts w:ascii="Cambria Math" w:hAnsi="Cambria Math"/>
                <w:color w:val="000000"/>
                <w:lang w:val="lt-LT"/>
              </w:rPr>
              <m:t>χ</m:t>
            </m:r>
          </m:e>
          <m:sup>
            <m:r>
              <w:rPr>
                <w:rFonts w:ascii="Cambria Math" w:hAnsi="Cambria Math"/>
                <w:color w:val="000000"/>
                <w:lang w:val="lt-LT"/>
              </w:rPr>
              <m:t>2</m:t>
            </m:r>
          </m:sup>
        </m:sSup>
      </m:oMath>
      <w:r w:rsidRPr="00303A5A">
        <w:rPr>
          <w:color w:val="000000"/>
          <w:lang w:val="lt-LT"/>
        </w:rPr>
        <w:t xml:space="preserve"> didesnė už </w:t>
      </w:r>
      <m:oMath>
        <m:sSubSup>
          <m:sSubSupPr>
            <m:ctrlPr>
              <w:rPr>
                <w:rFonts w:ascii="Cambria Math" w:hAnsi="Cambria Math"/>
                <w:i/>
                <w:color w:val="000000"/>
                <w:lang w:val="lt-LT"/>
              </w:rPr>
            </m:ctrlPr>
          </m:sSubSupPr>
          <m:e>
            <m:r>
              <w:rPr>
                <w:rFonts w:ascii="Cambria Math" w:hAnsi="Cambria Math"/>
                <w:color w:val="000000"/>
                <w:lang w:val="lt-LT"/>
              </w:rPr>
              <m:t>χ</m:t>
            </m:r>
          </m:e>
          <m:sub>
            <m:r>
              <w:rPr>
                <w:rFonts w:ascii="Cambria Math" w:hAnsi="Cambria Math"/>
                <w:color w:val="000000"/>
                <w:lang w:val="lt-LT"/>
              </w:rPr>
              <m:t>krit</m:t>
            </m:r>
          </m:sub>
          <m:sup>
            <m:r>
              <w:rPr>
                <w:rFonts w:ascii="Cambria Math" w:hAnsi="Cambria Math"/>
                <w:color w:val="000000"/>
                <w:lang w:val="lt-LT"/>
              </w:rPr>
              <m:t>2</m:t>
            </m:r>
          </m:sup>
        </m:sSubSup>
      </m:oMath>
      <w:r w:rsidRPr="00303A5A">
        <w:rPr>
          <w:color w:val="000000"/>
          <w:lang w:val="lt-LT"/>
        </w:rPr>
        <w:t xml:space="preserve">, tai vadinasi nulinę hipotezę, </w:t>
      </w:r>
      <m:oMath>
        <m:sSub>
          <m:sSubPr>
            <m:ctrlPr>
              <w:rPr>
                <w:rFonts w:ascii="Cambria Math" w:hAnsi="Cambria Math"/>
                <w:i/>
                <w:lang w:val="lt-LT"/>
              </w:rPr>
            </m:ctrlPr>
          </m:sSubPr>
          <m:e>
            <m:r>
              <w:rPr>
                <w:rFonts w:ascii="Cambria Math" w:hAnsi="Cambria Math"/>
                <w:lang w:val="lt-LT"/>
              </w:rPr>
              <m:t>H</m:t>
            </m:r>
          </m:e>
          <m:sub>
            <m:r>
              <w:rPr>
                <w:rFonts w:ascii="Cambria Math" w:hAnsi="Cambria Math"/>
                <w:lang w:val="lt-LT"/>
              </w:rPr>
              <m:t>0</m:t>
            </m:r>
          </m:sub>
        </m:sSub>
        <m:r>
          <w:rPr>
            <w:rFonts w:ascii="Cambria Math" w:hAnsi="Cambria Math"/>
            <w:lang w:val="lt-LT"/>
          </w:rPr>
          <m:t>:ekspertų vertinimai prieštaringi (W=0)</m:t>
        </m:r>
      </m:oMath>
      <w:r w:rsidRPr="00303A5A">
        <w:rPr>
          <w:lang w:val="lt-LT"/>
        </w:rPr>
        <w:t xml:space="preserve"> galime atmesti. Tyrimo atveju </w:t>
      </w:r>
      <m:oMath>
        <m:sSup>
          <m:sSupPr>
            <m:ctrlPr>
              <w:rPr>
                <w:rFonts w:ascii="Cambria Math" w:hAnsi="Cambria Math"/>
                <w:i/>
                <w:color w:val="000000"/>
                <w:lang w:val="lt-LT"/>
              </w:rPr>
            </m:ctrlPr>
          </m:sSupPr>
          <m:e>
            <m:r>
              <w:rPr>
                <w:rFonts w:ascii="Cambria Math" w:hAnsi="Cambria Math"/>
                <w:color w:val="000000"/>
                <w:lang w:val="lt-LT"/>
              </w:rPr>
              <m:t>χ</m:t>
            </m:r>
          </m:e>
          <m:sup>
            <m:r>
              <w:rPr>
                <w:rFonts w:ascii="Cambria Math"/>
                <w:color w:val="000000"/>
                <w:lang w:val="lt-LT"/>
              </w:rPr>
              <m:t>2</m:t>
            </m:r>
          </m:sup>
        </m:sSup>
        <m:r>
          <w:rPr>
            <w:rFonts w:ascii="Cambria Math"/>
            <w:color w:val="000000"/>
            <w:lang w:val="lt-LT"/>
          </w:rPr>
          <m:t>=108,03&gt;</m:t>
        </m:r>
        <m:sSubSup>
          <m:sSubSupPr>
            <m:ctrlPr>
              <w:rPr>
                <w:rFonts w:ascii="Cambria Math" w:hAnsi="Cambria Math"/>
                <w:i/>
                <w:color w:val="000000"/>
                <w:lang w:val="lt-LT"/>
              </w:rPr>
            </m:ctrlPr>
          </m:sSubSupPr>
          <m:e>
            <m:r>
              <w:rPr>
                <w:rFonts w:ascii="Cambria Math" w:hAnsi="Cambria Math"/>
                <w:color w:val="000000"/>
                <w:lang w:val="lt-LT"/>
              </w:rPr>
              <m:t>χ</m:t>
            </m:r>
          </m:e>
          <m:sub>
            <m:r>
              <w:rPr>
                <w:rFonts w:ascii="Cambria Math" w:hAnsi="Cambria Math"/>
                <w:color w:val="000000"/>
                <w:lang w:val="lt-LT"/>
              </w:rPr>
              <m:t>krit</m:t>
            </m:r>
          </m:sub>
          <m:sup>
            <m:r>
              <w:rPr>
                <w:rFonts w:ascii="Cambria Math"/>
                <w:color w:val="000000"/>
                <w:lang w:val="lt-LT"/>
              </w:rPr>
              <m:t>2</m:t>
            </m:r>
          </m:sup>
        </m:sSubSup>
        <m:d>
          <m:dPr>
            <m:ctrlPr>
              <w:rPr>
                <w:rFonts w:ascii="Cambria Math" w:hAnsi="Cambria Math"/>
                <w:i/>
                <w:color w:val="000000"/>
                <w:lang w:val="lt-LT"/>
              </w:rPr>
            </m:ctrlPr>
          </m:dPr>
          <m:e>
            <m:r>
              <w:rPr>
                <w:rFonts w:ascii="Cambria Math"/>
                <w:color w:val="000000"/>
                <w:lang w:val="lt-LT"/>
              </w:rPr>
              <m:t>0,05, 14</m:t>
            </m:r>
          </m:e>
        </m:d>
        <m:r>
          <w:rPr>
            <w:rFonts w:ascii="Cambria Math"/>
            <w:color w:val="000000"/>
            <w:lang w:val="lt-LT"/>
          </w:rPr>
          <m:t>=21,064</m:t>
        </m:r>
      </m:oMath>
      <w:r w:rsidRPr="00303A5A">
        <w:rPr>
          <w:color w:val="000000"/>
          <w:lang w:val="lt-LT"/>
        </w:rPr>
        <w:t>. Taigi nuline hipotezę atmetame, vadinasi ekspertų nuomonės yra suderintos.</w:t>
      </w:r>
    </w:p>
    <w:p w:rsidR="00795852" w:rsidRDefault="00F63DE5" w:rsidP="00670E82">
      <w:pPr>
        <w:spacing w:line="360" w:lineRule="auto"/>
        <w:ind w:firstLine="567"/>
        <w:jc w:val="both"/>
        <w:rPr>
          <w:color w:val="000000"/>
          <w:lang w:val="lt-LT"/>
        </w:rPr>
      </w:pPr>
      <w:r>
        <w:rPr>
          <w:color w:val="000000"/>
          <w:lang w:val="lt-LT"/>
        </w:rPr>
        <w:t xml:space="preserve">Gauti rezultatai parodė, kad ekspertų nuomonės ne gyvybės draudimo rinką veikiančių veiksnių klausimu buvo vieningos. Kaip jau buvo minėta, ekspertų nuomone didelę įtaką turi išsilavinimo lygis šalyje bei egzistuojantis požiūris į draudimą. Tai tarpusavyje labai susiję veiksniai, nes </w:t>
      </w:r>
      <w:r w:rsidR="00795852">
        <w:rPr>
          <w:color w:val="000000"/>
          <w:lang w:val="lt-LT"/>
        </w:rPr>
        <w:t>jei išsilavinimo lygis</w:t>
      </w:r>
      <w:r>
        <w:rPr>
          <w:color w:val="000000"/>
          <w:lang w:val="lt-LT"/>
        </w:rPr>
        <w:t xml:space="preserve"> šalies visuomenė</w:t>
      </w:r>
      <w:r w:rsidR="00795852">
        <w:rPr>
          <w:color w:val="000000"/>
          <w:lang w:val="lt-LT"/>
        </w:rPr>
        <w:t>je aukštesnis, tai</w:t>
      </w:r>
      <w:r>
        <w:rPr>
          <w:color w:val="000000"/>
          <w:lang w:val="lt-LT"/>
        </w:rPr>
        <w:t xml:space="preserve"> </w:t>
      </w:r>
      <w:r w:rsidR="00795852">
        <w:rPr>
          <w:color w:val="000000"/>
          <w:lang w:val="lt-LT"/>
        </w:rPr>
        <w:t>visuomenė geriau</w:t>
      </w:r>
      <w:r>
        <w:rPr>
          <w:color w:val="000000"/>
          <w:lang w:val="lt-LT"/>
        </w:rPr>
        <w:t xml:space="preserve"> supranta draudimo reikšmę ir svarbą kasdieniniame gyvenime.</w:t>
      </w:r>
    </w:p>
    <w:p w:rsidR="00821E82" w:rsidRDefault="00795852" w:rsidP="00670E82">
      <w:pPr>
        <w:spacing w:line="360" w:lineRule="auto"/>
        <w:ind w:firstLine="567"/>
        <w:jc w:val="both"/>
        <w:rPr>
          <w:color w:val="000000"/>
          <w:lang w:val="lt-LT"/>
        </w:rPr>
      </w:pPr>
      <w:r>
        <w:rPr>
          <w:color w:val="000000"/>
          <w:lang w:val="lt-LT"/>
        </w:rPr>
        <w:t xml:space="preserve"> Žinoma, labai svarbu ir aiškios ir suprantamos draudimo taisyklės, šį veiksnį ekspertai taip pat įvertino kaip vieną svarbiausių. Didelėje įmonėse draudimo apsauga rūpinasi atskiri darbuotojai, kurių užduotis gauti geriausią apsaugą už prieinamą kainą. O ką daryti fiziniam asmeniui? Jis turi pasitelkti savo žinias ir pats išsirinkti tinkamą produktą. Žinoma, aiškinamąjį darbą atlieka ir draudimo konsultantas parduodantis draudimo polisą. Bet tiek fiziniai tiek juridiniai asmenys, naudodamiesi protingumo principu, labiau linkę pirkti produktą, kurio visos savybės jiems aiškios. Taip pat ir draudimo atveju, kuo aiškesnės draudimo taisyklės, tuo vienas ar kitas draudimo produktas atrodo patrauklesnis. </w:t>
      </w:r>
    </w:p>
    <w:p w:rsidR="00821E82" w:rsidRDefault="00821E82" w:rsidP="00670E82">
      <w:pPr>
        <w:spacing w:line="360" w:lineRule="auto"/>
        <w:ind w:firstLine="567"/>
        <w:jc w:val="both"/>
        <w:rPr>
          <w:color w:val="000000"/>
          <w:lang w:val="lt-LT"/>
        </w:rPr>
      </w:pPr>
      <w:r>
        <w:rPr>
          <w:color w:val="000000"/>
          <w:lang w:val="lt-LT"/>
        </w:rPr>
        <w:t>Aiškios ir suprantamos draudimo taisyklės, teisingas bei greitas žalos atlyginimas didina pasitikėjimą draudimo kompanijomis. Šis veiksnys, ekspertų nuomone, taip pat labai svarbus ne gyvybės draudimo rinkos augimui. Pasitikėjimo trūkumas – viena iš priežasčių, kodėl pagal tankio bei svarbos rodiklius Lietuvos draudimo rinka stipriai atsilieka nuo išsivysčiusių pasaulio šalių. Lietuvoje veikdami didelės konkurencijos sąlygomis draudikai įdeda daug pastangų gerindami žalos atlyginimo procesus, keisdami ir tobulindami draudimo produktus</w:t>
      </w:r>
      <w:r w:rsidR="00CA1508">
        <w:rPr>
          <w:color w:val="000000"/>
          <w:lang w:val="lt-LT"/>
        </w:rPr>
        <w:t>, tikimasi, kad tai padidins ir draudėjų pasitikėjimą draudimo verslu.</w:t>
      </w:r>
    </w:p>
    <w:p w:rsidR="001C2282" w:rsidRDefault="00CA1508" w:rsidP="00670E82">
      <w:pPr>
        <w:spacing w:line="360" w:lineRule="auto"/>
        <w:ind w:firstLine="567"/>
        <w:jc w:val="both"/>
        <w:rPr>
          <w:color w:val="000000"/>
          <w:lang w:val="lt-LT"/>
        </w:rPr>
      </w:pPr>
      <w:r>
        <w:rPr>
          <w:color w:val="000000"/>
          <w:lang w:val="lt-LT"/>
        </w:rPr>
        <w:t>Šioje darbo dalyje buvo atliktas kiekybinis ekspertinis vertinimas, nustatyta, kad ne gyvybės draudimo rinkos augimui svarbūs šie veiksniai</w:t>
      </w:r>
      <w:r w:rsidR="006756D6">
        <w:rPr>
          <w:color w:val="000000"/>
          <w:lang w:val="lt-LT"/>
        </w:rPr>
        <w:t>:</w:t>
      </w:r>
      <w:r>
        <w:rPr>
          <w:color w:val="000000"/>
          <w:lang w:val="lt-LT"/>
        </w:rPr>
        <w:t xml:space="preserve"> išsilavinimo lygis šalyje, požiūris į draudimą, aiškios draudimo taisyklės. Buvo atliktas ekspertų nuomonių suderinamumo tikrinimas ir gauta, kad ekspertų nuomonės suderintos, todėl tyrimo rezultatai patikimi.</w:t>
      </w:r>
      <w:r w:rsidR="006E673D">
        <w:rPr>
          <w:color w:val="000000"/>
          <w:lang w:val="lt-LT"/>
        </w:rPr>
        <w:t xml:space="preserve"> Hipotezę </w:t>
      </w:r>
      <w:r w:rsidR="006E673D" w:rsidRPr="006E673D">
        <w:rPr>
          <w:b/>
          <w:color w:val="000000"/>
          <w:lang w:val="lt-LT"/>
        </w:rPr>
        <w:t>H</w:t>
      </w:r>
      <w:r w:rsidR="006E673D" w:rsidRPr="006E673D">
        <w:rPr>
          <w:b/>
          <w:color w:val="000000"/>
          <w:vertAlign w:val="subscript"/>
          <w:lang w:val="lt-LT"/>
        </w:rPr>
        <w:t>2</w:t>
      </w:r>
      <w:r w:rsidR="006E673D">
        <w:rPr>
          <w:color w:val="000000"/>
          <w:lang w:val="lt-LT"/>
        </w:rPr>
        <w:t xml:space="preserve">, kad Lietuvos ne gyvybės </w:t>
      </w:r>
      <w:r w:rsidR="006E673D">
        <w:rPr>
          <w:color w:val="000000"/>
          <w:lang w:val="lt-LT"/>
        </w:rPr>
        <w:lastRenderedPageBreak/>
        <w:t>draudimo rinkai įtaką daro ne tik makroekonominiai veiksniai, bet ir teisiniai ir socialiniai veiksniai</w:t>
      </w:r>
      <w:r w:rsidR="001C5B96">
        <w:rPr>
          <w:color w:val="000000"/>
          <w:lang w:val="lt-LT"/>
        </w:rPr>
        <w:t>,</w:t>
      </w:r>
      <w:r w:rsidR="006E673D">
        <w:rPr>
          <w:color w:val="000000"/>
          <w:lang w:val="lt-LT"/>
        </w:rPr>
        <w:t xml:space="preserve"> galima laikyti patvirtinta.</w:t>
      </w:r>
    </w:p>
    <w:p w:rsidR="00BA7499" w:rsidRPr="00821E82" w:rsidRDefault="00BA7499" w:rsidP="00821E82">
      <w:pPr>
        <w:spacing w:line="360" w:lineRule="auto"/>
        <w:ind w:firstLine="567"/>
        <w:jc w:val="both"/>
        <w:rPr>
          <w:color w:val="000000"/>
          <w:lang w:val="lt-LT"/>
        </w:rPr>
      </w:pPr>
      <w:r w:rsidRPr="00303A5A">
        <w:rPr>
          <w:lang w:val="lt-LT"/>
        </w:rPr>
        <w:br w:type="page"/>
      </w:r>
    </w:p>
    <w:p w:rsidR="004C3AD6" w:rsidRDefault="004C3AD6" w:rsidP="005D4E5F">
      <w:pPr>
        <w:pStyle w:val="Style1-h1"/>
      </w:pPr>
      <w:bookmarkStart w:id="234" w:name="_Toc309559995"/>
      <w:bookmarkStart w:id="235" w:name="_Toc311971367"/>
      <w:bookmarkStart w:id="236" w:name="_Toc311971556"/>
      <w:bookmarkStart w:id="237" w:name="_Toc311971702"/>
      <w:r w:rsidRPr="00303A5A">
        <w:lastRenderedPageBreak/>
        <w:t>IŠVADOS</w:t>
      </w:r>
      <w:bookmarkEnd w:id="234"/>
      <w:r w:rsidR="0010630E">
        <w:t xml:space="preserve"> </w:t>
      </w:r>
      <w:r w:rsidR="00560579">
        <w:t>IR REKOMENDACIJOS</w:t>
      </w:r>
      <w:bookmarkEnd w:id="235"/>
      <w:bookmarkEnd w:id="236"/>
      <w:bookmarkEnd w:id="237"/>
    </w:p>
    <w:p w:rsidR="0010630E" w:rsidRPr="006E673D" w:rsidRDefault="0010630E" w:rsidP="00C02F45">
      <w:pPr>
        <w:spacing w:line="360" w:lineRule="auto"/>
        <w:ind w:firstLine="567"/>
        <w:jc w:val="both"/>
        <w:rPr>
          <w:b/>
          <w:lang w:val="lt-LT"/>
        </w:rPr>
      </w:pPr>
      <w:r w:rsidRPr="006E673D">
        <w:rPr>
          <w:b/>
          <w:lang w:val="lt-LT"/>
        </w:rPr>
        <w:t>Išvados</w:t>
      </w:r>
    </w:p>
    <w:p w:rsidR="006773FC" w:rsidRPr="0010630E" w:rsidRDefault="00B71912" w:rsidP="00C02F45">
      <w:pPr>
        <w:pStyle w:val="ListParagraph"/>
        <w:numPr>
          <w:ilvl w:val="0"/>
          <w:numId w:val="11"/>
        </w:numPr>
        <w:spacing w:line="360" w:lineRule="auto"/>
        <w:ind w:left="1281" w:hanging="357"/>
        <w:jc w:val="both"/>
        <w:rPr>
          <w:lang w:val="lt-LT"/>
        </w:rPr>
      </w:pPr>
      <w:r w:rsidRPr="0010630E">
        <w:rPr>
          <w:lang w:val="lt-LT"/>
        </w:rPr>
        <w:t>Mokslinių literatūros šaltinių analizė parodė, kad</w:t>
      </w:r>
      <w:r w:rsidR="006773FC" w:rsidRPr="0010630E">
        <w:rPr>
          <w:lang w:val="lt-LT"/>
        </w:rPr>
        <w:t xml:space="preserve"> </w:t>
      </w:r>
      <w:r w:rsidR="0034573D">
        <w:rPr>
          <w:lang w:val="lt-LT"/>
        </w:rPr>
        <w:t>įvairūs autoriai pateikia daug skirtingų draudimo bei draudimo rinkos sąvokos apibrėžimų.</w:t>
      </w:r>
      <w:r w:rsidRPr="0010630E">
        <w:rPr>
          <w:lang w:val="lt-LT"/>
        </w:rPr>
        <w:t xml:space="preserve"> </w:t>
      </w:r>
      <w:r w:rsidR="006773FC" w:rsidRPr="0010630E">
        <w:rPr>
          <w:lang w:val="lt-LT"/>
        </w:rPr>
        <w:t xml:space="preserve">Egzistuojantys ne gyvybės draudimo produktai padeda užtikrinti ekonominį stabilumą šalyje, bei kartu ne gyvybės draudimo rinka yra veikiama įvairių veiksnių, kuriuos galima skirstyti į tris sritis: ekonominius, teisinius, socialinius. </w:t>
      </w:r>
    </w:p>
    <w:p w:rsidR="00227E41" w:rsidRPr="0010630E" w:rsidRDefault="006773FC" w:rsidP="00C02F45">
      <w:pPr>
        <w:pStyle w:val="ListParagraph"/>
        <w:numPr>
          <w:ilvl w:val="0"/>
          <w:numId w:val="11"/>
        </w:numPr>
        <w:spacing w:line="360" w:lineRule="auto"/>
        <w:ind w:left="1281" w:hanging="357"/>
        <w:jc w:val="both"/>
        <w:rPr>
          <w:lang w:val="lt-LT"/>
        </w:rPr>
      </w:pPr>
      <w:r w:rsidRPr="0010630E">
        <w:rPr>
          <w:lang w:val="lt-LT"/>
        </w:rPr>
        <w:t xml:space="preserve">Atlikta analizė parodė, kad </w:t>
      </w:r>
      <w:r w:rsidR="00563B7E">
        <w:rPr>
          <w:lang w:val="lt-LT"/>
        </w:rPr>
        <w:t>i</w:t>
      </w:r>
      <w:r w:rsidRPr="0010630E">
        <w:rPr>
          <w:lang w:val="lt-LT"/>
        </w:rPr>
        <w:t>ki 2008 metų Lietuvos ne gyvybės draudimo rinka sparčiai vystėsi, turėjo didelį augimo potencial</w:t>
      </w:r>
      <w:r w:rsidR="00227E41" w:rsidRPr="0010630E">
        <w:rPr>
          <w:lang w:val="lt-LT"/>
        </w:rPr>
        <w:t xml:space="preserve">ą. Tačiau reaguodama į pasaulinę finansų krizę 2009 metai ne gyvybės draudimo rinka Lietuvoje sumažėjo 29,5 proc., o 2010 metais sumažėjo 4,7 proc. </w:t>
      </w:r>
      <w:r w:rsidR="0034573D">
        <w:rPr>
          <w:lang w:val="lt-LT"/>
        </w:rPr>
        <w:t>Džiuginantis faktas -</w:t>
      </w:r>
      <w:r w:rsidR="00227E41" w:rsidRPr="0010630E">
        <w:rPr>
          <w:lang w:val="lt-LT"/>
        </w:rPr>
        <w:t xml:space="preserve"> 2011 metais ne gyvybės draudimo rinkos dviženklis augimas rodo, kad nuosmukio laikotarpis praeityje.</w:t>
      </w:r>
    </w:p>
    <w:p w:rsidR="0010630E" w:rsidRDefault="00227E41" w:rsidP="00C02F45">
      <w:pPr>
        <w:pStyle w:val="ListParagraph"/>
        <w:numPr>
          <w:ilvl w:val="0"/>
          <w:numId w:val="11"/>
        </w:numPr>
        <w:spacing w:line="360" w:lineRule="auto"/>
        <w:ind w:left="1281" w:hanging="357"/>
        <w:jc w:val="both"/>
        <w:rPr>
          <w:lang w:val="lt-LT"/>
        </w:rPr>
      </w:pPr>
      <w:r w:rsidRPr="0010630E">
        <w:rPr>
          <w:lang w:val="lt-LT"/>
        </w:rPr>
        <w:t>Siekiant nustatyti, kokie veiksniai ir kokią įtaką turi ne gyvybės draudimo rinkai bei pasitelkiant koreliacinės - regresinės analizės metodą buvo sudaryti trys daugianarės regresinės lygtys.</w:t>
      </w:r>
    </w:p>
    <w:p w:rsidR="0010630E" w:rsidRDefault="00227E41" w:rsidP="00C02F45">
      <w:pPr>
        <w:pStyle w:val="ListParagraph"/>
        <w:numPr>
          <w:ilvl w:val="0"/>
          <w:numId w:val="12"/>
        </w:numPr>
        <w:spacing w:line="360" w:lineRule="auto"/>
        <w:ind w:hanging="357"/>
        <w:jc w:val="both"/>
        <w:rPr>
          <w:lang w:val="lt-LT"/>
        </w:rPr>
      </w:pPr>
      <w:r w:rsidRPr="0010630E">
        <w:rPr>
          <w:lang w:val="lt-LT"/>
        </w:rPr>
        <w:t xml:space="preserve"> Nustatyta, kad ne gyvybės draudimo rinkai teigiamą įtaką daro BVP vienam gyventojui, pirmą kartą užregistruotų transporto priemonių skaičius Lietuvoje bei vartotojų kainų indeksas. </w:t>
      </w:r>
      <w:r w:rsidR="0034573D">
        <w:rPr>
          <w:lang w:val="lt-LT"/>
        </w:rPr>
        <w:t>Remiantis turimais 2011 metų III ketvirčio nepriklausomų kintamųjų duomenimis buvo apskaičiuota pasirašytų įmokų reikšmė, kuri lygi 304,93 mln. Lt. Ši reikšmė patenka į pasikliovimo intervalą, vadinasi modelis tinkamas prognozavimui. Hipotezė H</w:t>
      </w:r>
      <w:r w:rsidR="0034573D" w:rsidRPr="0034573D">
        <w:rPr>
          <w:vertAlign w:val="subscript"/>
          <w:lang w:val="lt-LT"/>
        </w:rPr>
        <w:t>1</w:t>
      </w:r>
      <w:r w:rsidR="0034573D">
        <w:rPr>
          <w:lang w:val="lt-LT"/>
        </w:rPr>
        <w:t xml:space="preserve">, kad ne gyvybės draudimo įmokoms įtaką daro pirmą kartą užregistruotų automobilių skaičius šalyje, pasitvirtino. </w:t>
      </w:r>
    </w:p>
    <w:p w:rsidR="0010630E" w:rsidRDefault="00227E41" w:rsidP="00C02F45">
      <w:pPr>
        <w:pStyle w:val="ListParagraph"/>
        <w:numPr>
          <w:ilvl w:val="0"/>
          <w:numId w:val="12"/>
        </w:numPr>
        <w:spacing w:line="360" w:lineRule="auto"/>
        <w:ind w:hanging="357"/>
        <w:jc w:val="both"/>
        <w:rPr>
          <w:lang w:val="lt-LT"/>
        </w:rPr>
      </w:pPr>
      <w:r w:rsidRPr="0010630E">
        <w:rPr>
          <w:lang w:val="lt-LT"/>
        </w:rPr>
        <w:t>Sudarytas transporto priemonių draudimo pasirašytas draudimo įmokas aprašantis modelis parodė, kad įmokos priklauso nuo BV</w:t>
      </w:r>
      <w:r w:rsidR="00E206F8" w:rsidRPr="0010630E">
        <w:rPr>
          <w:lang w:val="lt-LT"/>
        </w:rPr>
        <w:t>P</w:t>
      </w:r>
      <w:r w:rsidRPr="0010630E">
        <w:rPr>
          <w:lang w:val="lt-LT"/>
        </w:rPr>
        <w:t xml:space="preserve"> vienam gyventojui, </w:t>
      </w:r>
      <w:r w:rsidR="00E206F8" w:rsidRPr="0010630E">
        <w:rPr>
          <w:lang w:val="lt-LT"/>
        </w:rPr>
        <w:t xml:space="preserve">nedarbo lygio šalyje, pirmą kartą užregistruotų transporto priemonių skaičiaus Lietuvoje bei išsilavinimo lygio šalyje. </w:t>
      </w:r>
      <w:r w:rsidR="00133E12" w:rsidRPr="0010630E">
        <w:rPr>
          <w:lang w:val="lt-LT"/>
        </w:rPr>
        <w:t xml:space="preserve">Didėjantis ne darbo lygis turi neigiamą įtaką transporto priemonių draudimo įmokų augimui. </w:t>
      </w:r>
      <w:r w:rsidR="0034573D">
        <w:rPr>
          <w:lang w:val="lt-LT"/>
        </w:rPr>
        <w:t>Modeliu apskaičiuota 2011 metų III ketv. pasirašytų įmokų transporto draudime reikšmė labai artima faktinei reikšmei, todėl galima teigti, kad modelis tinkamas.</w:t>
      </w:r>
    </w:p>
    <w:p w:rsidR="006773FC" w:rsidRPr="0010630E" w:rsidRDefault="00133E12" w:rsidP="00C02F45">
      <w:pPr>
        <w:pStyle w:val="ListParagraph"/>
        <w:numPr>
          <w:ilvl w:val="0"/>
          <w:numId w:val="12"/>
        </w:numPr>
        <w:spacing w:line="360" w:lineRule="auto"/>
        <w:ind w:hanging="357"/>
        <w:jc w:val="both"/>
        <w:rPr>
          <w:lang w:val="lt-LT"/>
        </w:rPr>
      </w:pPr>
      <w:r w:rsidRPr="0010630E">
        <w:rPr>
          <w:lang w:val="lt-LT"/>
        </w:rPr>
        <w:t>Turto draudimo įmokos turi teigiamą priklausom</w:t>
      </w:r>
      <w:r w:rsidR="00563B7E">
        <w:rPr>
          <w:lang w:val="lt-LT"/>
        </w:rPr>
        <w:t>ybę tik nuo ekonominių veiksnių</w:t>
      </w:r>
      <w:r w:rsidRPr="0010630E">
        <w:rPr>
          <w:lang w:val="lt-LT"/>
        </w:rPr>
        <w:t xml:space="preserve"> - BVP vienam gyventojui bei vartotojų kainų indekso.</w:t>
      </w:r>
      <w:r w:rsidR="00563B7E">
        <w:rPr>
          <w:lang w:val="lt-LT"/>
        </w:rPr>
        <w:t xml:space="preserve"> Į gautą modelį sustačius 2011 III ketv. nepriklausomų kintamųjų reikšmes gauta reikšmė nuo faktinės skiriasi daugiausiai iš visų modelių, tačiau ji patenka į pasikliovimo intervalą, vadinasi modelis tinkamas.</w:t>
      </w:r>
    </w:p>
    <w:p w:rsidR="0010630E" w:rsidRDefault="00133E12" w:rsidP="00C02F45">
      <w:pPr>
        <w:pStyle w:val="ListParagraph"/>
        <w:numPr>
          <w:ilvl w:val="0"/>
          <w:numId w:val="11"/>
        </w:numPr>
        <w:spacing w:line="360" w:lineRule="auto"/>
        <w:ind w:hanging="357"/>
        <w:jc w:val="both"/>
        <w:rPr>
          <w:lang w:val="lt-LT"/>
        </w:rPr>
      </w:pPr>
      <w:r w:rsidRPr="0010630E">
        <w:rPr>
          <w:lang w:val="lt-LT"/>
        </w:rPr>
        <w:lastRenderedPageBreak/>
        <w:t>Atliktas kiekybinis ekspertinis vertinimas padėjo nustatyti, kad Lietuvos ne gyvybės draudimo rinka yra veikiama ir kitų veiksnių, kurie nebuvo įtraukti į koreliacinę- regresinę analizę. Ekspertų nuomone, ne gyvybės draudimo rinkos augimui svarbiausi šie veiksniai; išsilavinimo lygis šalyje, požiūris į draudimą, aiškios draudimo taisyklės.  Kaip mažiau svarbūs veiksniai</w:t>
      </w:r>
      <w:r w:rsidR="0010630E" w:rsidRPr="0010630E">
        <w:rPr>
          <w:lang w:val="lt-LT"/>
        </w:rPr>
        <w:t>,</w:t>
      </w:r>
      <w:r w:rsidRPr="0010630E">
        <w:rPr>
          <w:lang w:val="lt-LT"/>
        </w:rPr>
        <w:t xml:space="preserve"> buvo paminėti pasitikėjimas draudimo kompanijomis, nuotolių tikimybė, palankios sąlygos kreditui bei lizingui.</w:t>
      </w:r>
      <w:r w:rsidR="00F44C61">
        <w:rPr>
          <w:lang w:val="lt-LT"/>
        </w:rPr>
        <w:t xml:space="preserve"> Iškelta hipotezė H</w:t>
      </w:r>
      <w:r w:rsidR="00F44C61" w:rsidRPr="00F44C61">
        <w:rPr>
          <w:vertAlign w:val="subscript"/>
          <w:lang w:val="lt-LT"/>
        </w:rPr>
        <w:t>2</w:t>
      </w:r>
      <w:r w:rsidR="00F44C61">
        <w:rPr>
          <w:lang w:val="lt-LT"/>
        </w:rPr>
        <w:t xml:space="preserve"> pasitvirtino.</w:t>
      </w:r>
    </w:p>
    <w:p w:rsidR="0010630E" w:rsidRDefault="0010630E" w:rsidP="0010630E">
      <w:pPr>
        <w:pStyle w:val="ListParagraph"/>
        <w:spacing w:line="360" w:lineRule="auto"/>
        <w:ind w:left="1287"/>
        <w:jc w:val="both"/>
        <w:rPr>
          <w:lang w:val="lt-LT"/>
        </w:rPr>
      </w:pPr>
    </w:p>
    <w:p w:rsidR="00133E12" w:rsidRDefault="0010630E" w:rsidP="00C02F45">
      <w:pPr>
        <w:spacing w:line="360" w:lineRule="auto"/>
        <w:ind w:firstLine="567"/>
        <w:jc w:val="both"/>
        <w:rPr>
          <w:b/>
          <w:lang w:val="lt-LT"/>
        </w:rPr>
      </w:pPr>
      <w:r w:rsidRPr="0010630E">
        <w:rPr>
          <w:b/>
          <w:lang w:val="lt-LT"/>
        </w:rPr>
        <w:t>Autorės pasiūlymai</w:t>
      </w:r>
      <w:r w:rsidR="00133E12" w:rsidRPr="0010630E">
        <w:rPr>
          <w:b/>
          <w:lang w:val="lt-LT"/>
        </w:rPr>
        <w:t xml:space="preserve"> </w:t>
      </w:r>
    </w:p>
    <w:p w:rsidR="00AF1F8A" w:rsidRDefault="0010630E" w:rsidP="00C02F45">
      <w:pPr>
        <w:spacing w:line="360" w:lineRule="auto"/>
        <w:ind w:firstLine="567"/>
        <w:jc w:val="both"/>
        <w:rPr>
          <w:lang w:val="lt-LT"/>
        </w:rPr>
      </w:pPr>
      <w:r w:rsidRPr="0010630E">
        <w:rPr>
          <w:lang w:val="lt-LT"/>
        </w:rPr>
        <w:t xml:space="preserve">Atsižvelgiant į </w:t>
      </w:r>
      <w:r>
        <w:rPr>
          <w:lang w:val="lt-LT"/>
        </w:rPr>
        <w:t>tyrimo rezultatus, tolimesnis Lietuvos ne gyvybės draudimo rinkos augimas pirmiausia priklausys nuo ekonominių rodiklių – be</w:t>
      </w:r>
      <w:r w:rsidR="00AF1F8A">
        <w:rPr>
          <w:lang w:val="lt-LT"/>
        </w:rPr>
        <w:t xml:space="preserve">ndro vidaus produkto, nedarbo lygio šalyje. Kiti veiksniai, išskirti ekspertinio vertinimo metu – pasitikėjimas, požiūris į draudimą priklauso nuo valstybinio reguliavimo </w:t>
      </w:r>
      <w:r w:rsidR="00CC44DD">
        <w:rPr>
          <w:lang w:val="lt-LT"/>
        </w:rPr>
        <w:t>(Draudimo priežiūros komisija)</w:t>
      </w:r>
      <w:r w:rsidR="00AF1F8A">
        <w:rPr>
          <w:lang w:val="lt-LT"/>
        </w:rPr>
        <w:t xml:space="preserve"> bei draudikų indėlio.</w:t>
      </w:r>
    </w:p>
    <w:p w:rsidR="007D31C4" w:rsidRDefault="00AF1F8A" w:rsidP="00C02F45">
      <w:pPr>
        <w:spacing w:line="360" w:lineRule="auto"/>
        <w:ind w:firstLine="567"/>
        <w:jc w:val="both"/>
        <w:rPr>
          <w:lang w:val="lt-LT"/>
        </w:rPr>
      </w:pPr>
      <w:r>
        <w:rPr>
          <w:lang w:val="lt-LT"/>
        </w:rPr>
        <w:t>Priemonės Lietuvos ne gyvybės draudimo rinkos augimo didinimui:</w:t>
      </w:r>
    </w:p>
    <w:p w:rsidR="007D31C4" w:rsidRPr="007D31C4" w:rsidRDefault="007D31C4" w:rsidP="00C02F45">
      <w:pPr>
        <w:pStyle w:val="ListParagraph"/>
        <w:numPr>
          <w:ilvl w:val="0"/>
          <w:numId w:val="14"/>
        </w:numPr>
        <w:spacing w:line="360" w:lineRule="auto"/>
        <w:ind w:firstLine="567"/>
        <w:jc w:val="both"/>
        <w:rPr>
          <w:lang w:val="lt-LT"/>
        </w:rPr>
      </w:pPr>
      <w:r w:rsidRPr="007D31C4">
        <w:rPr>
          <w:lang w:val="lt-LT"/>
        </w:rPr>
        <w:t>p</w:t>
      </w:r>
      <w:r w:rsidR="00AF1F8A" w:rsidRPr="007D31C4">
        <w:rPr>
          <w:lang w:val="lt-LT"/>
        </w:rPr>
        <w:t>asitikėjimo draudikais didinimas</w:t>
      </w:r>
      <w:r w:rsidR="00CC44DD">
        <w:rPr>
          <w:lang w:val="lt-LT"/>
        </w:rPr>
        <w:t xml:space="preserve"> – aiškesnis bei greitesnis žalų išmokėjimas.</w:t>
      </w:r>
    </w:p>
    <w:p w:rsidR="007D31C4" w:rsidRPr="007D31C4" w:rsidRDefault="007D31C4" w:rsidP="00C02F45">
      <w:pPr>
        <w:pStyle w:val="ListParagraph"/>
        <w:numPr>
          <w:ilvl w:val="0"/>
          <w:numId w:val="14"/>
        </w:numPr>
        <w:spacing w:line="360" w:lineRule="auto"/>
        <w:ind w:firstLine="567"/>
        <w:jc w:val="both"/>
        <w:rPr>
          <w:lang w:val="lt-LT"/>
        </w:rPr>
      </w:pPr>
      <w:r w:rsidRPr="007D31C4">
        <w:rPr>
          <w:lang w:val="lt-LT"/>
        </w:rPr>
        <w:t>draudimo taisyklių tobulinimas;</w:t>
      </w:r>
    </w:p>
    <w:p w:rsidR="007D31C4" w:rsidRPr="007D31C4" w:rsidRDefault="007D31C4" w:rsidP="00C02F45">
      <w:pPr>
        <w:pStyle w:val="ListParagraph"/>
        <w:numPr>
          <w:ilvl w:val="0"/>
          <w:numId w:val="14"/>
        </w:numPr>
        <w:spacing w:line="360" w:lineRule="auto"/>
        <w:ind w:firstLine="567"/>
        <w:jc w:val="both"/>
        <w:rPr>
          <w:lang w:val="lt-LT"/>
        </w:rPr>
      </w:pPr>
      <w:r w:rsidRPr="007D31C4">
        <w:rPr>
          <w:lang w:val="lt-LT"/>
        </w:rPr>
        <w:t>platesnis draudimo produktų spektras;</w:t>
      </w:r>
    </w:p>
    <w:p w:rsidR="007D31C4" w:rsidRPr="007D31C4" w:rsidRDefault="007D31C4" w:rsidP="00C02F45">
      <w:pPr>
        <w:pStyle w:val="ListParagraph"/>
        <w:numPr>
          <w:ilvl w:val="0"/>
          <w:numId w:val="14"/>
        </w:numPr>
        <w:spacing w:line="360" w:lineRule="auto"/>
        <w:ind w:firstLine="567"/>
        <w:jc w:val="both"/>
        <w:rPr>
          <w:lang w:val="lt-LT"/>
        </w:rPr>
      </w:pPr>
      <w:r w:rsidRPr="007D31C4">
        <w:rPr>
          <w:lang w:val="lt-LT"/>
        </w:rPr>
        <w:t>paprastesnis draudimo produktų įsigijimas;</w:t>
      </w:r>
    </w:p>
    <w:p w:rsidR="00AF1F8A" w:rsidRDefault="00AF1F8A" w:rsidP="0010630E">
      <w:pPr>
        <w:spacing w:line="360" w:lineRule="auto"/>
        <w:jc w:val="both"/>
        <w:rPr>
          <w:lang w:val="lt-LT"/>
        </w:rPr>
      </w:pPr>
    </w:p>
    <w:p w:rsidR="002B7A08" w:rsidRPr="00303A5A" w:rsidRDefault="004C3AD6">
      <w:pPr>
        <w:rPr>
          <w:lang w:val="lt-LT"/>
        </w:rPr>
      </w:pPr>
      <w:r w:rsidRPr="00303A5A">
        <w:rPr>
          <w:lang w:val="lt-LT"/>
        </w:rPr>
        <w:br w:type="page"/>
      </w:r>
    </w:p>
    <w:p w:rsidR="005A2023" w:rsidRPr="00303A5A" w:rsidRDefault="004C3AD6" w:rsidP="005D4E5F">
      <w:pPr>
        <w:pStyle w:val="Style1-h1"/>
      </w:pPr>
      <w:bookmarkStart w:id="238" w:name="_Toc309559996"/>
      <w:bookmarkStart w:id="239" w:name="_Toc311971368"/>
      <w:bookmarkStart w:id="240" w:name="_Toc311971557"/>
      <w:bookmarkStart w:id="241" w:name="_Toc311971703"/>
      <w:r w:rsidRPr="00303A5A">
        <w:lastRenderedPageBreak/>
        <w:t>LITERATŪRA</w:t>
      </w:r>
      <w:bookmarkEnd w:id="238"/>
      <w:bookmarkEnd w:id="239"/>
      <w:bookmarkEnd w:id="240"/>
      <w:bookmarkEnd w:id="241"/>
    </w:p>
    <w:p w:rsidR="0095072E" w:rsidRPr="00303A5A" w:rsidRDefault="0095072E">
      <w:pPr>
        <w:rPr>
          <w:lang w:val="lt-LT"/>
        </w:rPr>
      </w:pPr>
    </w:p>
    <w:p w:rsidR="00240207" w:rsidRPr="00C02F45" w:rsidRDefault="00240207" w:rsidP="00C02F45">
      <w:pPr>
        <w:pStyle w:val="ListParagraph"/>
        <w:numPr>
          <w:ilvl w:val="0"/>
          <w:numId w:val="16"/>
        </w:numPr>
        <w:spacing w:line="360" w:lineRule="auto"/>
        <w:jc w:val="both"/>
        <w:rPr>
          <w:color w:val="000000" w:themeColor="text1"/>
          <w:lang w:val="lt-LT"/>
        </w:rPr>
      </w:pPr>
      <w:r w:rsidRPr="00C02F45">
        <w:rPr>
          <w:b/>
          <w:color w:val="000000" w:themeColor="text1"/>
          <w:lang w:val="lt-LT"/>
        </w:rPr>
        <w:t>Aleknevičienė V</w:t>
      </w:r>
      <w:r w:rsidRPr="00C02F45">
        <w:rPr>
          <w:color w:val="000000" w:themeColor="text1"/>
          <w:lang w:val="lt-LT"/>
        </w:rPr>
        <w:t>. Finansai ir kreditas. –</w:t>
      </w:r>
      <w:r w:rsidR="00AB1C81" w:rsidRPr="00C02F45">
        <w:rPr>
          <w:color w:val="000000" w:themeColor="text1"/>
          <w:lang w:val="lt-LT"/>
        </w:rPr>
        <w:t xml:space="preserve"> </w:t>
      </w:r>
      <w:r w:rsidRPr="00C02F45">
        <w:rPr>
          <w:color w:val="000000" w:themeColor="text1"/>
          <w:lang w:val="lt-LT"/>
        </w:rPr>
        <w:t>Vilnius:Enciklopedija, 2005.-272 p</w:t>
      </w:r>
      <w:r w:rsidR="00AB1C81" w:rsidRPr="00C02F45">
        <w:rPr>
          <w:color w:val="000000" w:themeColor="text1"/>
          <w:lang w:val="lt-LT"/>
        </w:rPr>
        <w:t xml:space="preserve">. ISBN 9986-433-35-5 </w:t>
      </w:r>
    </w:p>
    <w:p w:rsidR="005F4FCB" w:rsidRPr="00C02F45" w:rsidRDefault="009803D7" w:rsidP="00C02F45">
      <w:pPr>
        <w:pStyle w:val="ListParagraph"/>
        <w:numPr>
          <w:ilvl w:val="0"/>
          <w:numId w:val="16"/>
        </w:numPr>
        <w:spacing w:line="360" w:lineRule="auto"/>
        <w:jc w:val="both"/>
        <w:rPr>
          <w:color w:val="000000" w:themeColor="text1"/>
          <w:lang w:val="lt-LT"/>
        </w:rPr>
      </w:pPr>
      <w:r w:rsidRPr="00C02F45">
        <w:rPr>
          <w:b/>
          <w:color w:val="000000" w:themeColor="text1"/>
          <w:lang w:val="lt-LT"/>
        </w:rPr>
        <w:t>Arrow K</w:t>
      </w:r>
      <w:r w:rsidR="005F4FCB" w:rsidRPr="00C02F45">
        <w:rPr>
          <w:b/>
          <w:color w:val="000000" w:themeColor="text1"/>
          <w:lang w:val="lt-LT"/>
        </w:rPr>
        <w:t xml:space="preserve">. </w:t>
      </w:r>
      <w:r w:rsidRPr="00C02F45">
        <w:rPr>
          <w:b/>
          <w:color w:val="000000" w:themeColor="text1"/>
          <w:lang w:val="lt-LT"/>
        </w:rPr>
        <w:t>J</w:t>
      </w:r>
      <w:r w:rsidR="005F4FCB" w:rsidRPr="00C02F45">
        <w:rPr>
          <w:b/>
          <w:color w:val="000000" w:themeColor="text1"/>
          <w:lang w:val="lt-LT"/>
        </w:rPr>
        <w:t>.</w:t>
      </w:r>
      <w:r w:rsidRPr="00C02F45">
        <w:rPr>
          <w:color w:val="000000" w:themeColor="text1"/>
          <w:lang w:val="lt-LT"/>
        </w:rPr>
        <w:t xml:space="preserve"> Essays in the theory of risk bearing. </w:t>
      </w:r>
      <w:r w:rsidR="001558E5" w:rsidRPr="00C02F45">
        <w:rPr>
          <w:color w:val="000000" w:themeColor="text1"/>
          <w:lang w:val="lt-LT"/>
        </w:rPr>
        <w:t>–</w:t>
      </w:r>
      <w:r w:rsidR="005F4FCB" w:rsidRPr="00C02F45">
        <w:rPr>
          <w:color w:val="000000" w:themeColor="text1"/>
          <w:lang w:val="lt-LT"/>
        </w:rPr>
        <w:t xml:space="preserve"> Chicago</w:t>
      </w:r>
      <w:r w:rsidR="001558E5" w:rsidRPr="00C02F45">
        <w:rPr>
          <w:color w:val="000000" w:themeColor="text1"/>
          <w:lang w:val="lt-LT"/>
        </w:rPr>
        <w:t>:</w:t>
      </w:r>
      <w:r w:rsidR="001558E5" w:rsidRPr="00C02F45">
        <w:rPr>
          <w:rFonts w:eastAsia="Arial Unicode MS"/>
          <w:color w:val="000000" w:themeColor="text1"/>
          <w:shd w:val="clear" w:color="auto" w:fill="FFFFFF"/>
          <w:lang w:val="lt-LT"/>
        </w:rPr>
        <w:t xml:space="preserve"> </w:t>
      </w:r>
      <w:r w:rsidR="001558E5" w:rsidRPr="00C02F45">
        <w:rPr>
          <w:rStyle w:val="apple-style-span"/>
          <w:rFonts w:eastAsia="Arial Unicode MS"/>
          <w:color w:val="000000" w:themeColor="text1"/>
          <w:shd w:val="clear" w:color="auto" w:fill="FFFFFF"/>
          <w:lang w:val="lt-LT"/>
        </w:rPr>
        <w:t>Markham Pub. Co</w:t>
      </w:r>
      <w:r w:rsidRPr="00C02F45">
        <w:rPr>
          <w:color w:val="000000" w:themeColor="text1"/>
          <w:lang w:val="lt-LT"/>
        </w:rPr>
        <w:t xml:space="preserve">, </w:t>
      </w:r>
      <w:r w:rsidR="005F4FCB" w:rsidRPr="00C02F45">
        <w:rPr>
          <w:color w:val="000000" w:themeColor="text1"/>
          <w:lang w:val="lt-LT"/>
        </w:rPr>
        <w:t>1971</w:t>
      </w:r>
      <w:r w:rsidR="001558E5" w:rsidRPr="00C02F45">
        <w:rPr>
          <w:color w:val="000000" w:themeColor="text1"/>
          <w:lang w:val="lt-LT"/>
        </w:rPr>
        <w:t xml:space="preserve">.-278p. –ISBN </w:t>
      </w:r>
      <w:r w:rsidR="001558E5" w:rsidRPr="00C02F45">
        <w:rPr>
          <w:rStyle w:val="apple-style-span"/>
          <w:rFonts w:eastAsia="Arial Unicode MS"/>
          <w:color w:val="000000" w:themeColor="text1"/>
          <w:shd w:val="clear" w:color="auto" w:fill="FFFFFF"/>
          <w:lang w:val="lt-LT"/>
        </w:rPr>
        <w:t>0841020019</w:t>
      </w:r>
    </w:p>
    <w:p w:rsidR="005F4FCB" w:rsidRPr="00C02F45" w:rsidRDefault="005F4FCB" w:rsidP="00C02F45">
      <w:pPr>
        <w:pStyle w:val="ListParagraph"/>
        <w:numPr>
          <w:ilvl w:val="0"/>
          <w:numId w:val="16"/>
        </w:numPr>
        <w:spacing w:line="360" w:lineRule="auto"/>
        <w:jc w:val="both"/>
        <w:rPr>
          <w:color w:val="000000" w:themeColor="text1"/>
          <w:lang w:val="lt-LT"/>
        </w:rPr>
      </w:pPr>
      <w:r w:rsidRPr="00C02F45">
        <w:rPr>
          <w:b/>
          <w:color w:val="000000" w:themeColor="text1"/>
          <w:lang w:val="lt-LT"/>
        </w:rPr>
        <w:t>B</w:t>
      </w:r>
      <w:r w:rsidR="001558E5" w:rsidRPr="00C02F45">
        <w:rPr>
          <w:b/>
          <w:bCs/>
          <w:color w:val="000000" w:themeColor="text1"/>
          <w:lang w:val="lt-LT"/>
        </w:rPr>
        <w:t>akštys A.</w:t>
      </w:r>
      <w:r w:rsidRPr="00C02F45">
        <w:rPr>
          <w:bCs/>
          <w:color w:val="000000" w:themeColor="text1"/>
          <w:lang w:val="lt-LT"/>
        </w:rPr>
        <w:t xml:space="preserve"> </w:t>
      </w:r>
      <w:r w:rsidRPr="00C02F45">
        <w:rPr>
          <w:color w:val="000000" w:themeColor="text1"/>
          <w:lang w:val="lt-LT"/>
        </w:rPr>
        <w:t>Statistika ir tikimyb</w:t>
      </w:r>
      <w:r w:rsidRPr="00C02F45">
        <w:rPr>
          <w:rFonts w:eastAsia="TTE1799C40t00"/>
          <w:color w:val="000000" w:themeColor="text1"/>
          <w:lang w:val="lt-LT"/>
        </w:rPr>
        <w:t xml:space="preserve">ė </w:t>
      </w:r>
      <w:r w:rsidRPr="00C02F45">
        <w:rPr>
          <w:color w:val="000000" w:themeColor="text1"/>
          <w:lang w:val="lt-LT"/>
        </w:rPr>
        <w:t xml:space="preserve">– Vilnius: UAB </w:t>
      </w:r>
      <w:r w:rsidR="001558E5" w:rsidRPr="00C02F45">
        <w:rPr>
          <w:color w:val="000000" w:themeColor="text1"/>
          <w:lang w:val="lt-LT"/>
        </w:rPr>
        <w:t>„Vilniaus spauda, 2006. – 188 p. ISBN 9955-680-42-3</w:t>
      </w:r>
    </w:p>
    <w:p w:rsidR="006C4C65" w:rsidRPr="00C02F45" w:rsidRDefault="006C4C65"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Banaitienė N., Banaitis A.</w:t>
      </w:r>
      <w:r w:rsidRPr="00C02F45">
        <w:rPr>
          <w:color w:val="000000" w:themeColor="text1"/>
          <w:lang w:val="lt-LT"/>
        </w:rPr>
        <w:t xml:space="preserve"> Analysis of criteria for contractors' qualification evaluation // Ūkio technologinis ir ekonominis vystymas. 2006, Nr. 12 (4), p. 276-282.</w:t>
      </w:r>
    </w:p>
    <w:p w:rsidR="009803D7" w:rsidRPr="00C02F45" w:rsidRDefault="001558E5"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Beenstock</w:t>
      </w:r>
      <w:r w:rsidR="007B51D7" w:rsidRPr="00C02F45">
        <w:rPr>
          <w:b/>
          <w:color w:val="000000" w:themeColor="text1"/>
          <w:lang w:val="lt-LT"/>
        </w:rPr>
        <w:t xml:space="preserve"> M. et al.</w:t>
      </w:r>
      <w:r w:rsidR="009803D7" w:rsidRPr="00C02F45">
        <w:rPr>
          <w:color w:val="000000" w:themeColor="text1"/>
          <w:lang w:val="lt-LT"/>
        </w:rPr>
        <w:t xml:space="preserve"> The Relationship Between Property- Liability Insurance Premiums and Income: An Internat</w:t>
      </w:r>
      <w:r w:rsidRPr="00C02F45">
        <w:rPr>
          <w:color w:val="000000" w:themeColor="text1"/>
          <w:lang w:val="lt-LT"/>
        </w:rPr>
        <w:t>ional Analysis</w:t>
      </w:r>
      <w:r w:rsidR="00122B46" w:rsidRPr="00C02F45">
        <w:rPr>
          <w:color w:val="000000" w:themeColor="text1"/>
          <w:lang w:val="lt-LT"/>
        </w:rPr>
        <w:t xml:space="preserve"> </w:t>
      </w:r>
      <w:r w:rsidRPr="00C02F45">
        <w:rPr>
          <w:color w:val="000000" w:themeColor="text1"/>
          <w:lang w:val="lt-LT"/>
        </w:rPr>
        <w:t>//</w:t>
      </w:r>
      <w:r w:rsidR="009803D7" w:rsidRPr="00C02F45">
        <w:rPr>
          <w:color w:val="000000" w:themeColor="text1"/>
          <w:lang w:val="lt-LT"/>
        </w:rPr>
        <w:t xml:space="preserve"> </w:t>
      </w:r>
      <w:r w:rsidR="009803D7" w:rsidRPr="00C02F45">
        <w:rPr>
          <w:iCs/>
          <w:color w:val="000000" w:themeColor="text1"/>
          <w:lang w:val="lt-LT"/>
        </w:rPr>
        <w:t>Journal of Risk</w:t>
      </w:r>
      <w:r w:rsidR="009803D7" w:rsidRPr="00C02F45">
        <w:rPr>
          <w:color w:val="000000" w:themeColor="text1"/>
          <w:lang w:val="lt-LT"/>
        </w:rPr>
        <w:t xml:space="preserve"> </w:t>
      </w:r>
      <w:r w:rsidR="009803D7" w:rsidRPr="00C02F45">
        <w:rPr>
          <w:iCs/>
          <w:color w:val="000000" w:themeColor="text1"/>
          <w:lang w:val="lt-LT"/>
        </w:rPr>
        <w:t>and Insurance</w:t>
      </w:r>
      <w:r w:rsidRPr="00C02F45">
        <w:rPr>
          <w:color w:val="000000" w:themeColor="text1"/>
          <w:lang w:val="lt-LT"/>
        </w:rPr>
        <w:t xml:space="preserve">. - 1988, No. </w:t>
      </w:r>
      <w:r w:rsidR="009803D7" w:rsidRPr="00C02F45">
        <w:rPr>
          <w:color w:val="000000" w:themeColor="text1"/>
          <w:lang w:val="lt-LT"/>
        </w:rPr>
        <w:t>55</w:t>
      </w:r>
      <w:r w:rsidRPr="00C02F45">
        <w:rPr>
          <w:color w:val="000000" w:themeColor="text1"/>
          <w:lang w:val="lt-LT"/>
        </w:rPr>
        <w:t xml:space="preserve"> </w:t>
      </w:r>
      <w:r w:rsidR="009803D7" w:rsidRPr="00C02F45">
        <w:rPr>
          <w:color w:val="000000" w:themeColor="text1"/>
          <w:lang w:val="lt-LT"/>
        </w:rPr>
        <w:t>(2)</w:t>
      </w:r>
      <w:r w:rsidRPr="00C02F45">
        <w:rPr>
          <w:color w:val="000000" w:themeColor="text1"/>
          <w:lang w:val="lt-LT"/>
        </w:rPr>
        <w:t>, p.</w:t>
      </w:r>
      <w:r w:rsidR="009803D7" w:rsidRPr="00C02F45">
        <w:rPr>
          <w:color w:val="000000" w:themeColor="text1"/>
          <w:lang w:val="lt-LT"/>
        </w:rPr>
        <w:t xml:space="preserve"> 259-272.</w:t>
      </w:r>
    </w:p>
    <w:p w:rsidR="009803D7" w:rsidRPr="00C02F45" w:rsidRDefault="00122B46"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Browne</w:t>
      </w:r>
      <w:r w:rsidR="009803D7" w:rsidRPr="00C02F45">
        <w:rPr>
          <w:b/>
          <w:color w:val="000000" w:themeColor="text1"/>
          <w:lang w:val="lt-LT"/>
        </w:rPr>
        <w:t xml:space="preserve"> M. J</w:t>
      </w:r>
      <w:r w:rsidR="007B51D7" w:rsidRPr="00C02F45">
        <w:rPr>
          <w:b/>
          <w:color w:val="000000" w:themeColor="text1"/>
          <w:lang w:val="lt-LT"/>
        </w:rPr>
        <w:t>. et al.</w:t>
      </w:r>
      <w:r w:rsidR="007B51D7" w:rsidRPr="00C02F45">
        <w:rPr>
          <w:color w:val="000000" w:themeColor="text1"/>
          <w:lang w:val="lt-LT"/>
        </w:rPr>
        <w:t xml:space="preserve"> </w:t>
      </w:r>
      <w:r w:rsidR="009803D7" w:rsidRPr="00C02F45">
        <w:rPr>
          <w:color w:val="000000" w:themeColor="text1"/>
          <w:lang w:val="lt-LT"/>
        </w:rPr>
        <w:t>International Property-L</w:t>
      </w:r>
      <w:r w:rsidRPr="00C02F45">
        <w:rPr>
          <w:color w:val="000000" w:themeColor="text1"/>
          <w:lang w:val="lt-LT"/>
        </w:rPr>
        <w:t xml:space="preserve">iability Insurance Consumption // </w:t>
      </w:r>
      <w:r w:rsidR="009803D7" w:rsidRPr="00C02F45">
        <w:rPr>
          <w:iCs/>
          <w:color w:val="000000" w:themeColor="text1"/>
          <w:lang w:val="lt-LT"/>
        </w:rPr>
        <w:t>Journal of Risk and Insurance</w:t>
      </w:r>
      <w:r w:rsidRPr="00C02F45">
        <w:rPr>
          <w:color w:val="000000" w:themeColor="text1"/>
          <w:lang w:val="lt-LT"/>
        </w:rPr>
        <w:t>. – 2000, No. 67(1), p.</w:t>
      </w:r>
      <w:r w:rsidR="009803D7" w:rsidRPr="00C02F45">
        <w:rPr>
          <w:color w:val="000000" w:themeColor="text1"/>
          <w:lang w:val="lt-LT"/>
        </w:rPr>
        <w:t xml:space="preserve"> 73-90.</w:t>
      </w:r>
    </w:p>
    <w:p w:rsidR="009803D7" w:rsidRPr="00C02F45" w:rsidRDefault="00122B46"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Cummins J.D., Weis M.A.</w:t>
      </w:r>
      <w:r w:rsidRPr="00C02F45">
        <w:rPr>
          <w:color w:val="000000" w:themeColor="text1"/>
          <w:lang w:val="lt-LT"/>
        </w:rPr>
        <w:t xml:space="preserve"> </w:t>
      </w:r>
      <w:r w:rsidR="009803D7" w:rsidRPr="00C02F45">
        <w:rPr>
          <w:color w:val="000000" w:themeColor="text1"/>
          <w:lang w:val="lt-LT"/>
        </w:rPr>
        <w:t>Analyzing firm performance in the insurance industry using frontier effic</w:t>
      </w:r>
      <w:r w:rsidRPr="00C02F45">
        <w:rPr>
          <w:color w:val="000000" w:themeColor="text1"/>
          <w:lang w:val="lt-LT"/>
        </w:rPr>
        <w:t xml:space="preserve">iency and productivity methods // Handbook of insurance. – Boston: </w:t>
      </w:r>
      <w:r w:rsidR="009803D7" w:rsidRPr="00C02F45">
        <w:rPr>
          <w:color w:val="000000" w:themeColor="text1"/>
          <w:lang w:val="lt-LT"/>
        </w:rPr>
        <w:t>Kluwer,</w:t>
      </w:r>
      <w:r w:rsidRPr="00C02F45">
        <w:rPr>
          <w:color w:val="000000" w:themeColor="text1"/>
          <w:lang w:val="lt-LT"/>
        </w:rPr>
        <w:t xml:space="preserve"> 2000. p. 767-829.</w:t>
      </w:r>
    </w:p>
    <w:p w:rsidR="0058507F" w:rsidRPr="00C02F45" w:rsidRDefault="000630D7" w:rsidP="00C02F45">
      <w:pPr>
        <w:pStyle w:val="ListParagraph"/>
        <w:numPr>
          <w:ilvl w:val="0"/>
          <w:numId w:val="16"/>
        </w:numPr>
        <w:autoSpaceDE w:val="0"/>
        <w:autoSpaceDN w:val="0"/>
        <w:adjustRightInd w:val="0"/>
        <w:spacing w:line="360" w:lineRule="auto"/>
        <w:jc w:val="both"/>
        <w:rPr>
          <w:rStyle w:val="apple-style-span"/>
          <w:color w:val="000000" w:themeColor="text1"/>
          <w:lang w:val="lt-LT"/>
        </w:rPr>
      </w:pPr>
      <w:r w:rsidRPr="00C02F45">
        <w:rPr>
          <w:b/>
          <w:color w:val="000000" w:themeColor="text1"/>
          <w:lang w:val="lt-LT"/>
        </w:rPr>
        <w:t>Čibinskienė</w:t>
      </w:r>
      <w:r w:rsidR="009803D7" w:rsidRPr="00C02F45">
        <w:rPr>
          <w:b/>
          <w:color w:val="000000" w:themeColor="text1"/>
          <w:lang w:val="lt-LT"/>
        </w:rPr>
        <w:t xml:space="preserve"> A</w:t>
      </w:r>
      <w:r w:rsidRPr="00C02F45">
        <w:rPr>
          <w:b/>
          <w:color w:val="000000" w:themeColor="text1"/>
          <w:lang w:val="lt-LT"/>
        </w:rPr>
        <w:t>. ir kt.</w:t>
      </w:r>
      <w:r w:rsidRPr="00C02F45">
        <w:rPr>
          <w:color w:val="000000" w:themeColor="text1"/>
          <w:lang w:val="lt-LT"/>
        </w:rPr>
        <w:t xml:space="preserve"> </w:t>
      </w:r>
      <w:r w:rsidR="009803D7" w:rsidRPr="00C02F45">
        <w:rPr>
          <w:color w:val="000000" w:themeColor="text1"/>
          <w:lang w:val="lt-LT"/>
        </w:rPr>
        <w:t>Draudimo paslaugų industrija: formavimasis bei plėtra // Organizaci</w:t>
      </w:r>
      <w:r w:rsidR="00122B46" w:rsidRPr="00C02F45">
        <w:rPr>
          <w:color w:val="000000" w:themeColor="text1"/>
          <w:lang w:val="lt-LT"/>
        </w:rPr>
        <w:t xml:space="preserve">jų vadyba: sisteminiai tyrimai. - </w:t>
      </w:r>
      <w:r w:rsidR="009803D7" w:rsidRPr="00C02F45">
        <w:rPr>
          <w:color w:val="000000" w:themeColor="text1"/>
          <w:lang w:val="lt-LT"/>
        </w:rPr>
        <w:t>Vilnius: VDU, 2005</w:t>
      </w:r>
      <w:r w:rsidR="0058507F" w:rsidRPr="00C02F45">
        <w:rPr>
          <w:color w:val="000000" w:themeColor="text1"/>
          <w:lang w:val="lt-LT"/>
        </w:rPr>
        <w:t>,</w:t>
      </w:r>
      <w:r w:rsidR="0058507F" w:rsidRPr="00C02F45">
        <w:rPr>
          <w:rStyle w:val="apple-style-span"/>
          <w:color w:val="000000" w:themeColor="text1"/>
          <w:shd w:val="clear" w:color="auto" w:fill="FDFCFB"/>
          <w:lang w:val="lt-LT"/>
        </w:rPr>
        <w:t xml:space="preserve"> Nr. 34, p. 33-41, ISSN 1392-1142</w:t>
      </w:r>
    </w:p>
    <w:p w:rsidR="00C61067" w:rsidRPr="00C02F45" w:rsidRDefault="00C6106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rStyle w:val="apple-style-span"/>
          <w:b/>
          <w:color w:val="000000" w:themeColor="text1"/>
          <w:shd w:val="clear" w:color="auto" w:fill="FDFCFB"/>
          <w:lang w:val="lt-LT"/>
        </w:rPr>
        <w:t>Čekanavičius V., Murauskas G.</w:t>
      </w:r>
      <w:r w:rsidRPr="00C02F45">
        <w:rPr>
          <w:rStyle w:val="apple-style-span"/>
          <w:color w:val="000000" w:themeColor="text1"/>
          <w:shd w:val="clear" w:color="auto" w:fill="FDFCFB"/>
          <w:lang w:val="lt-LT"/>
        </w:rPr>
        <w:t xml:space="preserve"> Statistika ir jos taikymai II. – Vilnius: TEV, 2004. </w:t>
      </w:r>
      <w:r w:rsidR="00500C0A" w:rsidRPr="00C02F45">
        <w:rPr>
          <w:rStyle w:val="apple-style-span"/>
          <w:color w:val="000000" w:themeColor="text1"/>
          <w:shd w:val="clear" w:color="auto" w:fill="FDFCFB"/>
          <w:lang w:val="lt-LT"/>
        </w:rPr>
        <w:t>–</w:t>
      </w:r>
      <w:r w:rsidRPr="00C02F45">
        <w:rPr>
          <w:rStyle w:val="apple-style-span"/>
          <w:color w:val="000000" w:themeColor="text1"/>
          <w:shd w:val="clear" w:color="auto" w:fill="FDFCFB"/>
          <w:lang w:val="lt-LT"/>
        </w:rPr>
        <w:t xml:space="preserve"> </w:t>
      </w:r>
      <w:r w:rsidR="00500C0A" w:rsidRPr="00C02F45">
        <w:rPr>
          <w:rStyle w:val="apple-style-span"/>
          <w:color w:val="000000" w:themeColor="text1"/>
          <w:shd w:val="clear" w:color="auto" w:fill="FDFCFB"/>
          <w:lang w:val="lt-LT"/>
        </w:rPr>
        <w:t>272p. – ISBN 9955-491-16-7</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Čepinskas J., Raškinis D.</w:t>
      </w:r>
      <w:r w:rsidRPr="00C02F45">
        <w:rPr>
          <w:color w:val="000000" w:themeColor="text1"/>
          <w:lang w:val="lt-LT"/>
        </w:rPr>
        <w:t xml:space="preserve"> Dr</w:t>
      </w:r>
      <w:r w:rsidR="0058507F" w:rsidRPr="00C02F45">
        <w:rPr>
          <w:color w:val="000000" w:themeColor="text1"/>
          <w:lang w:val="lt-LT"/>
        </w:rPr>
        <w:t xml:space="preserve">audimo veikla. </w:t>
      </w:r>
      <w:r w:rsidR="00176418" w:rsidRPr="00C02F45">
        <w:rPr>
          <w:color w:val="000000" w:themeColor="text1"/>
          <w:lang w:val="lt-LT"/>
        </w:rPr>
        <w:t xml:space="preserve">- </w:t>
      </w:r>
      <w:r w:rsidR="0058507F" w:rsidRPr="00C02F45">
        <w:rPr>
          <w:color w:val="000000" w:themeColor="text1"/>
          <w:lang w:val="lt-LT"/>
        </w:rPr>
        <w:t xml:space="preserve">Kaunas: </w:t>
      </w:r>
      <w:r w:rsidR="00625F6D" w:rsidRPr="00C02F45">
        <w:rPr>
          <w:color w:val="000000" w:themeColor="text1"/>
          <w:lang w:val="lt-LT"/>
        </w:rPr>
        <w:t>Vytauto Didžiojo universiteto leidykla</w:t>
      </w:r>
      <w:r w:rsidR="0058507F" w:rsidRPr="00C02F45">
        <w:rPr>
          <w:color w:val="000000" w:themeColor="text1"/>
          <w:lang w:val="lt-LT"/>
        </w:rPr>
        <w:t>, 2004</w:t>
      </w:r>
      <w:r w:rsidRPr="00C02F45">
        <w:rPr>
          <w:color w:val="000000" w:themeColor="text1"/>
          <w:lang w:val="lt-LT"/>
        </w:rPr>
        <w:t>.</w:t>
      </w:r>
      <w:r w:rsidR="0058507F" w:rsidRPr="00C02F45">
        <w:rPr>
          <w:color w:val="000000" w:themeColor="text1"/>
          <w:lang w:val="lt-LT"/>
        </w:rPr>
        <w:t xml:space="preserve"> – 280 p. – ISBN</w:t>
      </w:r>
      <w:r w:rsidR="00625F6D" w:rsidRPr="00C02F45">
        <w:rPr>
          <w:color w:val="000000" w:themeColor="text1"/>
          <w:lang w:val="lt-LT"/>
        </w:rPr>
        <w:t xml:space="preserve"> </w:t>
      </w:r>
      <w:r w:rsidR="0058507F" w:rsidRPr="00C02F45">
        <w:rPr>
          <w:color w:val="000000" w:themeColor="text1"/>
          <w:lang w:val="lt-LT"/>
        </w:rPr>
        <w:t>9955120355</w:t>
      </w:r>
      <w:r w:rsidR="0058507F" w:rsidRPr="00C02F45">
        <w:rPr>
          <w:color w:val="000000" w:themeColor="text1"/>
          <w:shd w:val="clear" w:color="auto" w:fill="F2F7FA"/>
          <w:lang w:val="lt-LT"/>
        </w:rPr>
        <w:t xml:space="preserve"> </w:t>
      </w:r>
    </w:p>
    <w:p w:rsidR="009803D7" w:rsidRPr="00C02F45" w:rsidRDefault="00625F6D"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Čepinskas J. ir kt.</w:t>
      </w:r>
      <w:r w:rsidR="009803D7" w:rsidRPr="00C02F45">
        <w:rPr>
          <w:color w:val="000000" w:themeColor="text1"/>
          <w:lang w:val="lt-LT"/>
        </w:rPr>
        <w:t xml:space="preserve"> Draudimas.</w:t>
      </w:r>
      <w:r w:rsidR="00176418" w:rsidRPr="00C02F45">
        <w:rPr>
          <w:color w:val="000000" w:themeColor="text1"/>
          <w:lang w:val="lt-LT"/>
        </w:rPr>
        <w:t xml:space="preserve"> -</w:t>
      </w:r>
      <w:r w:rsidR="009803D7" w:rsidRPr="00C02F45">
        <w:rPr>
          <w:color w:val="000000" w:themeColor="text1"/>
          <w:lang w:val="lt-LT"/>
        </w:rPr>
        <w:t xml:space="preserve"> Kaunas: Pasaulio lietuvių kultūros, mokslo ir švietimo centras, 1999.</w:t>
      </w:r>
      <w:r w:rsidRPr="00C02F45">
        <w:rPr>
          <w:color w:val="000000" w:themeColor="text1"/>
          <w:lang w:val="lt-LT"/>
        </w:rPr>
        <w:t xml:space="preserve"> – 458 p. – ISBN 9986418127 </w:t>
      </w:r>
    </w:p>
    <w:p w:rsidR="009803D7" w:rsidRPr="00C02F45" w:rsidRDefault="00625F6D" w:rsidP="00C02F45">
      <w:pPr>
        <w:pStyle w:val="ListParagraph"/>
        <w:numPr>
          <w:ilvl w:val="0"/>
          <w:numId w:val="16"/>
        </w:numPr>
        <w:spacing w:line="360" w:lineRule="auto"/>
        <w:jc w:val="both"/>
        <w:rPr>
          <w:color w:val="000000" w:themeColor="text1"/>
          <w:lang w:val="lt-LT"/>
        </w:rPr>
      </w:pPr>
      <w:r w:rsidRPr="00C02F45">
        <w:rPr>
          <w:b/>
          <w:color w:val="000000" w:themeColor="text1"/>
          <w:lang w:val="lt-LT"/>
        </w:rPr>
        <w:t>Dorfman</w:t>
      </w:r>
      <w:r w:rsidR="009803D7" w:rsidRPr="00C02F45">
        <w:rPr>
          <w:b/>
          <w:color w:val="000000" w:themeColor="text1"/>
          <w:lang w:val="lt-LT"/>
        </w:rPr>
        <w:t xml:space="preserve"> M.</w:t>
      </w:r>
      <w:r w:rsidRPr="00C02F45">
        <w:rPr>
          <w:b/>
          <w:color w:val="000000" w:themeColor="text1"/>
          <w:lang w:val="lt-LT"/>
        </w:rPr>
        <w:t xml:space="preserve"> S.</w:t>
      </w:r>
      <w:r w:rsidR="009803D7" w:rsidRPr="00C02F45">
        <w:rPr>
          <w:color w:val="000000" w:themeColor="text1"/>
          <w:lang w:val="lt-LT"/>
        </w:rPr>
        <w:t xml:space="preserve"> Introduction t</w:t>
      </w:r>
      <w:r w:rsidRPr="00C02F45">
        <w:rPr>
          <w:color w:val="000000" w:themeColor="text1"/>
          <w:lang w:val="lt-LT"/>
        </w:rPr>
        <w:t>o risk management and insurance. -</w:t>
      </w:r>
      <w:r w:rsidR="009803D7" w:rsidRPr="00C02F45">
        <w:rPr>
          <w:color w:val="000000" w:themeColor="text1"/>
          <w:lang w:val="lt-LT"/>
        </w:rPr>
        <w:t xml:space="preserve"> </w:t>
      </w:r>
      <w:r w:rsidRPr="00C02F45">
        <w:rPr>
          <w:color w:val="000000" w:themeColor="text1"/>
          <w:lang w:val="lt-LT"/>
        </w:rPr>
        <w:t>New Jarsey</w:t>
      </w:r>
      <w:r w:rsidR="006756D6" w:rsidRPr="00C02F45">
        <w:rPr>
          <w:color w:val="000000" w:themeColor="text1"/>
          <w:lang w:val="lt-LT"/>
        </w:rPr>
        <w:t>:</w:t>
      </w:r>
      <w:r w:rsidRPr="00C02F45">
        <w:rPr>
          <w:color w:val="000000" w:themeColor="text1"/>
          <w:lang w:val="lt-LT"/>
        </w:rPr>
        <w:t xml:space="preserve"> </w:t>
      </w:r>
      <w:r w:rsidR="009803D7" w:rsidRPr="00C02F45">
        <w:rPr>
          <w:color w:val="000000" w:themeColor="text1"/>
          <w:lang w:val="lt-LT"/>
        </w:rPr>
        <w:t>Person education, 2008.</w:t>
      </w:r>
      <w:r w:rsidRPr="00C02F45">
        <w:rPr>
          <w:color w:val="000000" w:themeColor="text1"/>
          <w:lang w:val="lt-LT"/>
        </w:rPr>
        <w:t xml:space="preserve"> – 56</w:t>
      </w:r>
      <w:r w:rsidR="00BB1A11" w:rsidRPr="00C02F45">
        <w:rPr>
          <w:color w:val="000000" w:themeColor="text1"/>
          <w:lang w:val="lt-LT"/>
        </w:rPr>
        <w:t>7</w:t>
      </w:r>
      <w:r w:rsidRPr="00C02F45">
        <w:rPr>
          <w:color w:val="000000" w:themeColor="text1"/>
          <w:lang w:val="lt-LT"/>
        </w:rPr>
        <w:t xml:space="preserve"> p. – ISBN 0136038727  </w:t>
      </w:r>
    </w:p>
    <w:p w:rsidR="009803D7" w:rsidRPr="00C02F45" w:rsidRDefault="00402261"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Esho N. et al.</w:t>
      </w:r>
      <w:r w:rsidRPr="00C02F45">
        <w:rPr>
          <w:color w:val="000000" w:themeColor="text1"/>
          <w:lang w:val="lt-LT"/>
        </w:rPr>
        <w:t xml:space="preserve"> </w:t>
      </w:r>
      <w:r w:rsidR="009803D7" w:rsidRPr="00C02F45">
        <w:rPr>
          <w:color w:val="000000" w:themeColor="text1"/>
          <w:lang w:val="lt-LT"/>
        </w:rPr>
        <w:t xml:space="preserve">Law and the Determinants </w:t>
      </w:r>
      <w:r w:rsidRPr="00C02F45">
        <w:rPr>
          <w:color w:val="000000" w:themeColor="text1"/>
          <w:lang w:val="lt-LT"/>
        </w:rPr>
        <w:t xml:space="preserve">of Property-Casualty Insurance // </w:t>
      </w:r>
      <w:r w:rsidR="009803D7" w:rsidRPr="00C02F45">
        <w:rPr>
          <w:iCs/>
          <w:color w:val="000000" w:themeColor="text1"/>
          <w:lang w:val="lt-LT"/>
        </w:rPr>
        <w:t>Journal of Risk and Insurance</w:t>
      </w:r>
      <w:r w:rsidRPr="00C02F45">
        <w:rPr>
          <w:color w:val="000000" w:themeColor="text1"/>
          <w:lang w:val="lt-LT"/>
        </w:rPr>
        <w:t xml:space="preserve">. – 2004, No. </w:t>
      </w:r>
      <w:r w:rsidR="009803D7" w:rsidRPr="00C02F45">
        <w:rPr>
          <w:color w:val="000000" w:themeColor="text1"/>
          <w:lang w:val="lt-LT"/>
        </w:rPr>
        <w:t>7</w:t>
      </w:r>
      <w:r w:rsidRPr="00C02F45">
        <w:rPr>
          <w:color w:val="000000" w:themeColor="text1"/>
          <w:lang w:val="lt-LT"/>
        </w:rPr>
        <w:t>1(2), p.</w:t>
      </w:r>
      <w:r w:rsidR="009803D7" w:rsidRPr="00C02F45">
        <w:rPr>
          <w:color w:val="000000" w:themeColor="text1"/>
          <w:lang w:val="lt-LT"/>
        </w:rPr>
        <w:t xml:space="preserve"> 265-283.</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Falciglia A</w:t>
      </w:r>
      <w:r w:rsidR="00402261" w:rsidRPr="00C02F45">
        <w:rPr>
          <w:b/>
          <w:color w:val="000000" w:themeColor="text1"/>
          <w:lang w:val="lt-LT"/>
        </w:rPr>
        <w:t>.</w:t>
      </w:r>
      <w:r w:rsidR="00402261" w:rsidRPr="00C02F45">
        <w:rPr>
          <w:color w:val="000000" w:themeColor="text1"/>
          <w:lang w:val="lt-LT"/>
        </w:rPr>
        <w:t xml:space="preserve"> </w:t>
      </w:r>
      <w:r w:rsidRPr="00C02F45">
        <w:rPr>
          <w:color w:val="000000" w:themeColor="text1"/>
          <w:lang w:val="lt-LT"/>
        </w:rPr>
        <w:t>The demand for non-life insurance</w:t>
      </w:r>
      <w:r w:rsidR="00402261" w:rsidRPr="00C02F45">
        <w:rPr>
          <w:color w:val="000000" w:themeColor="text1"/>
          <w:lang w:val="lt-LT"/>
        </w:rPr>
        <w:t xml:space="preserve">: a consumption-oriented model // The </w:t>
      </w:r>
      <w:r w:rsidRPr="00C02F45">
        <w:rPr>
          <w:color w:val="000000" w:themeColor="text1"/>
          <w:lang w:val="lt-LT"/>
        </w:rPr>
        <w:t>Geneva Papers</w:t>
      </w:r>
      <w:r w:rsidR="00402261" w:rsidRPr="00C02F45">
        <w:rPr>
          <w:color w:val="000000" w:themeColor="text1"/>
          <w:lang w:val="lt-LT"/>
        </w:rPr>
        <w:t xml:space="preserve"> on </w:t>
      </w:r>
      <w:r w:rsidRPr="00C02F45">
        <w:rPr>
          <w:color w:val="000000" w:themeColor="text1"/>
          <w:lang w:val="lt-LT"/>
        </w:rPr>
        <w:t xml:space="preserve"> Risk</w:t>
      </w:r>
      <w:r w:rsidR="00402261" w:rsidRPr="00C02F45">
        <w:rPr>
          <w:color w:val="000000" w:themeColor="text1"/>
          <w:lang w:val="lt-LT"/>
        </w:rPr>
        <w:t xml:space="preserve"> and</w:t>
      </w:r>
      <w:r w:rsidRPr="00C02F45">
        <w:rPr>
          <w:color w:val="000000" w:themeColor="text1"/>
          <w:lang w:val="lt-LT"/>
        </w:rPr>
        <w:t xml:space="preserve"> Insur</w:t>
      </w:r>
      <w:r w:rsidR="00402261" w:rsidRPr="00C02F45">
        <w:rPr>
          <w:color w:val="000000" w:themeColor="text1"/>
          <w:lang w:val="lt-LT"/>
        </w:rPr>
        <w:t>ance. – 1980, No.</w:t>
      </w:r>
      <w:r w:rsidRPr="00C02F45">
        <w:rPr>
          <w:color w:val="000000" w:themeColor="text1"/>
          <w:lang w:val="lt-LT"/>
        </w:rPr>
        <w:t>17</w:t>
      </w:r>
      <w:r w:rsidR="00402261" w:rsidRPr="00C02F45">
        <w:rPr>
          <w:color w:val="000000" w:themeColor="text1"/>
          <w:lang w:val="lt-LT"/>
        </w:rPr>
        <w:t xml:space="preserve">, p. </w:t>
      </w:r>
      <w:r w:rsidRPr="00C02F45">
        <w:rPr>
          <w:color w:val="000000" w:themeColor="text1"/>
          <w:lang w:val="lt-LT"/>
        </w:rPr>
        <w:t>45–53</w:t>
      </w:r>
      <w:r w:rsidR="00402261" w:rsidRPr="00C02F45">
        <w:rPr>
          <w:color w:val="000000" w:themeColor="text1"/>
          <w:lang w:val="lt-LT"/>
        </w:rPr>
        <w:t>.</w:t>
      </w:r>
    </w:p>
    <w:p w:rsidR="009803D7" w:rsidRPr="00C02F45" w:rsidRDefault="00402261"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Hofstede G.</w:t>
      </w:r>
      <w:r w:rsidR="009803D7" w:rsidRPr="00C02F45">
        <w:rPr>
          <w:color w:val="000000" w:themeColor="text1"/>
          <w:lang w:val="lt-LT"/>
        </w:rPr>
        <w:t xml:space="preserve"> Insurance a</w:t>
      </w:r>
      <w:r w:rsidRPr="00C02F45">
        <w:rPr>
          <w:color w:val="000000" w:themeColor="text1"/>
          <w:lang w:val="lt-LT"/>
        </w:rPr>
        <w:t xml:space="preserve">s a Product of National Values // </w:t>
      </w:r>
      <w:r w:rsidR="009803D7" w:rsidRPr="00C02F45">
        <w:rPr>
          <w:iCs/>
          <w:color w:val="000000" w:themeColor="text1"/>
          <w:lang w:val="lt-LT"/>
        </w:rPr>
        <w:t>Geneva Papers on Risk and Insurance: Issues and Practice</w:t>
      </w:r>
      <w:r w:rsidRPr="00C02F45">
        <w:rPr>
          <w:color w:val="000000" w:themeColor="text1"/>
          <w:lang w:val="lt-LT"/>
        </w:rPr>
        <w:t>. – 1995, No.</w:t>
      </w:r>
      <w:r w:rsidR="009803D7" w:rsidRPr="00C02F45">
        <w:rPr>
          <w:color w:val="000000" w:themeColor="text1"/>
          <w:lang w:val="lt-LT"/>
        </w:rPr>
        <w:t xml:space="preserve"> 20</w:t>
      </w:r>
      <w:r w:rsidRPr="00C02F45">
        <w:rPr>
          <w:color w:val="000000" w:themeColor="text1"/>
          <w:lang w:val="lt-LT"/>
        </w:rPr>
        <w:t>(77), p.</w:t>
      </w:r>
      <w:r w:rsidR="009803D7" w:rsidRPr="00C02F45">
        <w:rPr>
          <w:color w:val="000000" w:themeColor="text1"/>
          <w:lang w:val="lt-LT"/>
        </w:rPr>
        <w:t xml:space="preserve"> 423-429.</w:t>
      </w:r>
    </w:p>
    <w:p w:rsidR="00984056" w:rsidRPr="00C02F45" w:rsidRDefault="00984056"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lastRenderedPageBreak/>
        <w:t>Hussels S. et al.</w:t>
      </w:r>
      <w:r w:rsidRPr="00C02F45">
        <w:rPr>
          <w:color w:val="000000" w:themeColor="text1"/>
          <w:lang w:val="lt-LT"/>
        </w:rPr>
        <w:t xml:space="preserve"> Stimulating the Demand for Insurance // Risk Management and Insurance Rewiew. – 2005, No. 2(8), p. 257-278.</w:t>
      </w:r>
    </w:p>
    <w:p w:rsidR="0009404B"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Gir</w:t>
      </w:r>
      <w:r w:rsidR="0009404B" w:rsidRPr="00C02F45">
        <w:rPr>
          <w:b/>
          <w:color w:val="000000" w:themeColor="text1"/>
          <w:lang w:val="lt-LT"/>
        </w:rPr>
        <w:t>dzijauskas G.</w:t>
      </w:r>
      <w:r w:rsidR="0009404B" w:rsidRPr="00C02F45">
        <w:rPr>
          <w:color w:val="000000" w:themeColor="text1"/>
          <w:lang w:val="lt-LT"/>
        </w:rPr>
        <w:t xml:space="preserve"> Draudimas: kiekybinė finansinė analizė. -</w:t>
      </w:r>
      <w:r w:rsidRPr="00C02F45">
        <w:rPr>
          <w:color w:val="000000" w:themeColor="text1"/>
          <w:lang w:val="lt-LT"/>
        </w:rPr>
        <w:t xml:space="preserve"> Kaunas: </w:t>
      </w:r>
      <w:r w:rsidR="0009404B" w:rsidRPr="00C02F45">
        <w:rPr>
          <w:color w:val="000000" w:themeColor="text1"/>
          <w:lang w:val="lt-LT"/>
        </w:rPr>
        <w:t>Naujas lankas</w:t>
      </w:r>
      <w:r w:rsidRPr="00C02F45">
        <w:rPr>
          <w:color w:val="000000" w:themeColor="text1"/>
          <w:lang w:val="lt-LT"/>
        </w:rPr>
        <w:t>,</w:t>
      </w:r>
      <w:r w:rsidR="0009404B" w:rsidRPr="00C02F45">
        <w:rPr>
          <w:color w:val="000000" w:themeColor="text1"/>
          <w:lang w:val="lt-LT"/>
        </w:rPr>
        <w:t xml:space="preserve"> 2002. - 102 p. – ISBN 995503144X </w:t>
      </w:r>
    </w:p>
    <w:p w:rsidR="00402261" w:rsidRPr="00C02F45" w:rsidRDefault="00402261"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Juchno N., Tvarijonavičienė M.</w:t>
      </w:r>
      <w:r w:rsidR="00BB1A11" w:rsidRPr="00C02F45">
        <w:rPr>
          <w:color w:val="000000" w:themeColor="text1"/>
          <w:lang w:val="lt-LT"/>
        </w:rPr>
        <w:t xml:space="preserve"> Įmonių bankrotai Lietuvoje</w:t>
      </w:r>
      <w:r w:rsidRPr="00C02F45">
        <w:rPr>
          <w:color w:val="000000" w:themeColor="text1"/>
          <w:lang w:val="lt-LT"/>
        </w:rPr>
        <w:t>: priklausomybės nuo makroekonominių veiksnių tyrimas // Verslas</w:t>
      </w:r>
      <w:r w:rsidR="006756D6" w:rsidRPr="00C02F45">
        <w:rPr>
          <w:color w:val="000000" w:themeColor="text1"/>
          <w:lang w:val="lt-LT"/>
        </w:rPr>
        <w:t>:</w:t>
      </w:r>
      <w:r w:rsidRPr="00C02F45">
        <w:rPr>
          <w:color w:val="000000" w:themeColor="text1"/>
          <w:lang w:val="lt-LT"/>
        </w:rPr>
        <w:t xml:space="preserve"> teorija ir praktika. - Vilnius, 2004, Nr. V(2).</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Kindurys V</w:t>
      </w:r>
      <w:r w:rsidR="00BB1A11" w:rsidRPr="00C02F45">
        <w:rPr>
          <w:b/>
          <w:color w:val="000000" w:themeColor="text1"/>
          <w:lang w:val="lt-LT"/>
        </w:rPr>
        <w:t>.</w:t>
      </w:r>
      <w:r w:rsidR="00BB1A11" w:rsidRPr="00C02F45">
        <w:rPr>
          <w:color w:val="000000" w:themeColor="text1"/>
          <w:lang w:val="lt-LT"/>
        </w:rPr>
        <w:t xml:space="preserve"> Draudimo pa</w:t>
      </w:r>
      <w:r w:rsidR="00176418" w:rsidRPr="00C02F45">
        <w:rPr>
          <w:color w:val="000000" w:themeColor="text1"/>
          <w:lang w:val="lt-LT"/>
        </w:rPr>
        <w:t>slaugų marketingas: monografija. -</w:t>
      </w:r>
      <w:r w:rsidR="00BB1A11" w:rsidRPr="00C02F45">
        <w:rPr>
          <w:color w:val="000000" w:themeColor="text1"/>
          <w:lang w:val="lt-LT"/>
        </w:rPr>
        <w:t xml:space="preserve"> Vilnius:</w:t>
      </w:r>
      <w:r w:rsidRPr="00C02F45">
        <w:rPr>
          <w:color w:val="000000" w:themeColor="text1"/>
          <w:lang w:val="lt-LT"/>
        </w:rPr>
        <w:t xml:space="preserve"> Vilniaus universiteto leidykla, 2002.</w:t>
      </w:r>
      <w:r w:rsidR="00BB1A11" w:rsidRPr="00C02F45">
        <w:rPr>
          <w:color w:val="000000" w:themeColor="text1"/>
          <w:lang w:val="lt-LT"/>
        </w:rPr>
        <w:t>- 302 p. – ISBN 9986194717</w:t>
      </w:r>
    </w:p>
    <w:p w:rsidR="009803D7" w:rsidRPr="00C02F45" w:rsidRDefault="00BB1A11"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La Porta et al.</w:t>
      </w:r>
      <w:r w:rsidRPr="00C02F45">
        <w:rPr>
          <w:color w:val="000000" w:themeColor="text1"/>
          <w:lang w:val="lt-LT"/>
        </w:rPr>
        <w:t xml:space="preserve"> </w:t>
      </w:r>
      <w:r w:rsidR="009803D7" w:rsidRPr="00C02F45">
        <w:rPr>
          <w:color w:val="000000" w:themeColor="text1"/>
          <w:lang w:val="lt-LT"/>
        </w:rPr>
        <w:t>Legal D</w:t>
      </w:r>
      <w:r w:rsidRPr="00C02F45">
        <w:rPr>
          <w:color w:val="000000" w:themeColor="text1"/>
          <w:lang w:val="lt-LT"/>
        </w:rPr>
        <w:t>eterminants of External Finance//</w:t>
      </w:r>
      <w:r w:rsidR="009803D7" w:rsidRPr="00C02F45">
        <w:rPr>
          <w:color w:val="000000" w:themeColor="text1"/>
          <w:lang w:val="lt-LT"/>
        </w:rPr>
        <w:t xml:space="preserve"> </w:t>
      </w:r>
      <w:r w:rsidR="009803D7" w:rsidRPr="00C02F45">
        <w:rPr>
          <w:iCs/>
          <w:color w:val="000000" w:themeColor="text1"/>
          <w:lang w:val="lt-LT"/>
        </w:rPr>
        <w:t>Journal of Finance</w:t>
      </w:r>
      <w:r w:rsidRPr="00C02F45">
        <w:rPr>
          <w:color w:val="000000" w:themeColor="text1"/>
          <w:lang w:val="lt-LT"/>
        </w:rPr>
        <w:t>. – 1997, No.</w:t>
      </w:r>
      <w:r w:rsidR="009803D7" w:rsidRPr="00C02F45">
        <w:rPr>
          <w:color w:val="000000" w:themeColor="text1"/>
          <w:lang w:val="lt-LT"/>
        </w:rPr>
        <w:t xml:space="preserve"> </w:t>
      </w:r>
      <w:r w:rsidRPr="00C02F45">
        <w:rPr>
          <w:color w:val="000000" w:themeColor="text1"/>
          <w:lang w:val="lt-LT"/>
        </w:rPr>
        <w:t>52(3), p.</w:t>
      </w:r>
      <w:r w:rsidR="009803D7" w:rsidRPr="00C02F45">
        <w:rPr>
          <w:color w:val="000000" w:themeColor="text1"/>
          <w:lang w:val="lt-LT"/>
        </w:rPr>
        <w:t xml:space="preserve"> 1131-1150.</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w:t>
      </w:r>
      <w:r w:rsidR="00BB1A11" w:rsidRPr="00C02F45">
        <w:rPr>
          <w:b/>
          <w:color w:val="000000" w:themeColor="text1"/>
          <w:lang w:val="lt-LT"/>
        </w:rPr>
        <w:t>ester, R.</w:t>
      </w:r>
      <w:r w:rsidRPr="00C02F45">
        <w:rPr>
          <w:color w:val="000000" w:themeColor="text1"/>
          <w:lang w:val="lt-LT"/>
        </w:rPr>
        <w:t xml:space="preserve"> </w:t>
      </w:r>
      <w:r w:rsidRPr="00C02F45">
        <w:rPr>
          <w:iCs/>
          <w:color w:val="000000" w:themeColor="text1"/>
          <w:lang w:val="lt-LT"/>
        </w:rPr>
        <w:t>Presentation: Insurance the WTO Challenge</w:t>
      </w:r>
      <w:r w:rsidRPr="00C02F45">
        <w:rPr>
          <w:color w:val="000000" w:themeColor="text1"/>
          <w:lang w:val="lt-LT"/>
        </w:rPr>
        <w:t>, NBFI Conference, Bangkok</w:t>
      </w:r>
      <w:r w:rsidR="00BB1A11" w:rsidRPr="00C02F45">
        <w:rPr>
          <w:color w:val="000000" w:themeColor="text1"/>
          <w:lang w:val="lt-LT"/>
        </w:rPr>
        <w:t>. - 2002.</w:t>
      </w:r>
    </w:p>
    <w:p w:rsidR="009803D7" w:rsidRPr="00C02F45" w:rsidRDefault="00BB1A11"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Levine, R.</w:t>
      </w:r>
      <w:r w:rsidRPr="00C02F45">
        <w:rPr>
          <w:color w:val="000000" w:themeColor="text1"/>
          <w:lang w:val="lt-LT"/>
        </w:rPr>
        <w:t xml:space="preserve"> </w:t>
      </w:r>
      <w:r w:rsidR="009803D7" w:rsidRPr="00C02F45">
        <w:rPr>
          <w:color w:val="000000" w:themeColor="text1"/>
          <w:lang w:val="lt-LT"/>
        </w:rPr>
        <w:t>The Legal Environment, Bank</w:t>
      </w:r>
      <w:r w:rsidRPr="00C02F45">
        <w:rPr>
          <w:color w:val="000000" w:themeColor="text1"/>
          <w:lang w:val="lt-LT"/>
        </w:rPr>
        <w:t>s, and Long-Run Economic Growth //</w:t>
      </w:r>
      <w:r w:rsidR="009803D7" w:rsidRPr="00C02F45">
        <w:rPr>
          <w:color w:val="000000" w:themeColor="text1"/>
          <w:lang w:val="lt-LT"/>
        </w:rPr>
        <w:t xml:space="preserve"> </w:t>
      </w:r>
      <w:r w:rsidR="009803D7" w:rsidRPr="00C02F45">
        <w:rPr>
          <w:iCs/>
          <w:color w:val="000000" w:themeColor="text1"/>
          <w:lang w:val="lt-LT"/>
        </w:rPr>
        <w:t>Journal of Money, Credit and Banking</w:t>
      </w:r>
      <w:r w:rsidR="00E91E8A" w:rsidRPr="00C02F45">
        <w:rPr>
          <w:color w:val="000000" w:themeColor="text1"/>
          <w:lang w:val="lt-LT"/>
        </w:rPr>
        <w:t>.</w:t>
      </w:r>
      <w:r w:rsidRPr="00C02F45">
        <w:rPr>
          <w:color w:val="000000" w:themeColor="text1"/>
          <w:lang w:val="lt-LT"/>
        </w:rPr>
        <w:t xml:space="preserve"> 1998, No. 30(3), p.</w:t>
      </w:r>
      <w:r w:rsidR="009803D7" w:rsidRPr="00C02F45">
        <w:rPr>
          <w:color w:val="000000" w:themeColor="text1"/>
          <w:lang w:val="lt-LT"/>
        </w:rPr>
        <w:t>596-620.</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Lezgovko A., Lastauskas P.</w:t>
      </w:r>
      <w:r w:rsidRPr="00C02F45">
        <w:rPr>
          <w:color w:val="000000" w:themeColor="text1"/>
          <w:lang w:val="lt-LT"/>
        </w:rPr>
        <w:t xml:space="preserve"> Draudimo verslo plėtra: teoriniai aspekta</w:t>
      </w:r>
      <w:r w:rsidR="00BB1A11" w:rsidRPr="00C02F45">
        <w:rPr>
          <w:color w:val="000000" w:themeColor="text1"/>
          <w:lang w:val="lt-LT"/>
        </w:rPr>
        <w:t xml:space="preserve">i ir rinkos plėtros prielaidos // </w:t>
      </w:r>
      <w:r w:rsidRPr="00C02F45">
        <w:rPr>
          <w:color w:val="000000" w:themeColor="text1"/>
          <w:lang w:val="lt-LT"/>
        </w:rPr>
        <w:t>Verslas: teorija ir praktika</w:t>
      </w:r>
      <w:r w:rsidR="00BB1A11" w:rsidRPr="00C02F45">
        <w:rPr>
          <w:color w:val="000000" w:themeColor="text1"/>
          <w:lang w:val="lt-LT"/>
        </w:rPr>
        <w:t>. 2008,</w:t>
      </w:r>
      <w:r w:rsidRPr="00C02F45">
        <w:rPr>
          <w:color w:val="000000" w:themeColor="text1"/>
          <w:lang w:val="lt-LT"/>
        </w:rPr>
        <w:t xml:space="preserve"> Nr. 9 (2), </w:t>
      </w:r>
      <w:r w:rsidR="00BB1A11" w:rsidRPr="00C02F45">
        <w:rPr>
          <w:color w:val="000000" w:themeColor="text1"/>
          <w:lang w:val="lt-LT"/>
        </w:rPr>
        <w:t>p.</w:t>
      </w:r>
      <w:r w:rsidRPr="00C02F45">
        <w:rPr>
          <w:color w:val="000000" w:themeColor="text1"/>
          <w:lang w:val="lt-LT"/>
        </w:rPr>
        <w:t>125-136</w:t>
      </w:r>
      <w:r w:rsidR="00BB1A11" w:rsidRPr="00C02F45">
        <w:rPr>
          <w:color w:val="000000" w:themeColor="text1"/>
          <w:lang w:val="lt-LT"/>
        </w:rPr>
        <w:t>.</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Lezgovko A., Lastauskas P.</w:t>
      </w:r>
      <w:r w:rsidRPr="00C02F45">
        <w:rPr>
          <w:color w:val="000000" w:themeColor="text1"/>
          <w:lang w:val="lt-LT"/>
        </w:rPr>
        <w:t xml:space="preserve"> Šiuolaikinė draudimo rinka ES šalyse ir Liet</w:t>
      </w:r>
      <w:r w:rsidR="00176418" w:rsidRPr="00C02F45">
        <w:rPr>
          <w:color w:val="000000" w:themeColor="text1"/>
          <w:lang w:val="lt-LT"/>
        </w:rPr>
        <w:t xml:space="preserve">uvoje: analizė ir perspektyvos // </w:t>
      </w:r>
      <w:r w:rsidRPr="00C02F45">
        <w:rPr>
          <w:color w:val="000000" w:themeColor="text1"/>
          <w:lang w:val="lt-LT"/>
        </w:rPr>
        <w:t>Ekonomika</w:t>
      </w:r>
      <w:r w:rsidR="00176418" w:rsidRPr="00C02F45">
        <w:rPr>
          <w:color w:val="000000" w:themeColor="text1"/>
          <w:lang w:val="lt-LT"/>
        </w:rPr>
        <w:t>. 2008,</w:t>
      </w:r>
      <w:r w:rsidRPr="00C02F45">
        <w:rPr>
          <w:color w:val="000000" w:themeColor="text1"/>
          <w:lang w:val="lt-LT"/>
        </w:rPr>
        <w:t xml:space="preserve"> Nr. 82</w:t>
      </w:r>
      <w:r w:rsidR="00176418" w:rsidRPr="00C02F45">
        <w:rPr>
          <w:color w:val="000000" w:themeColor="text1"/>
          <w:lang w:val="lt-LT"/>
        </w:rPr>
        <w:t>.</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Lezgovko A.</w:t>
      </w:r>
      <w:r w:rsidR="00176418" w:rsidRPr="00C02F45">
        <w:rPr>
          <w:b/>
          <w:color w:val="000000" w:themeColor="text1"/>
          <w:lang w:val="lt-LT"/>
        </w:rPr>
        <w:t>,</w:t>
      </w:r>
      <w:r w:rsidR="00176418" w:rsidRPr="00C02F45">
        <w:rPr>
          <w:color w:val="000000" w:themeColor="text1"/>
          <w:lang w:val="lt-LT"/>
        </w:rPr>
        <w:t xml:space="preserve"> Draudimo ekonomikos pagrindai. -</w:t>
      </w:r>
      <w:r w:rsidRPr="00C02F45">
        <w:rPr>
          <w:color w:val="000000" w:themeColor="text1"/>
          <w:lang w:val="lt-LT"/>
        </w:rPr>
        <w:t xml:space="preserve"> </w:t>
      </w:r>
      <w:r w:rsidR="00176418" w:rsidRPr="00C02F45">
        <w:rPr>
          <w:color w:val="000000" w:themeColor="text1"/>
          <w:lang w:val="lt-LT"/>
        </w:rPr>
        <w:t>Klaipėda:</w:t>
      </w:r>
      <w:r w:rsidRPr="00C02F45">
        <w:rPr>
          <w:color w:val="000000" w:themeColor="text1"/>
          <w:lang w:val="lt-LT"/>
        </w:rPr>
        <w:t xml:space="preserve"> Klaipėdos universiteto leidykla, 2010.</w:t>
      </w:r>
      <w:r w:rsidR="00176418" w:rsidRPr="00C02F45">
        <w:rPr>
          <w:color w:val="000000" w:themeColor="text1"/>
          <w:lang w:val="lt-LT"/>
        </w:rPr>
        <w:t xml:space="preserve"> – 261 p. – ISBN 9789955184683  </w:t>
      </w:r>
    </w:p>
    <w:p w:rsidR="009F353E" w:rsidRPr="00C02F45" w:rsidRDefault="009F353E"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Libby R., Blashfield R.</w:t>
      </w:r>
      <w:r w:rsidRPr="00C02F45">
        <w:rPr>
          <w:color w:val="000000" w:themeColor="text1"/>
          <w:lang w:val="lt-LT"/>
        </w:rPr>
        <w:t xml:space="preserve"> Performance of a composite as a function of a number of judges // Organizational Behavior and Human Performance. 1978, No. 21, p. 121-129.</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Linartas A</w:t>
      </w:r>
      <w:r w:rsidRPr="00C02F45">
        <w:rPr>
          <w:color w:val="000000" w:themeColor="text1"/>
          <w:lang w:val="lt-LT"/>
        </w:rPr>
        <w:t xml:space="preserve">. Draudimo įmonių </w:t>
      </w:r>
      <w:r w:rsidR="00E91E8A" w:rsidRPr="00C02F45">
        <w:rPr>
          <w:color w:val="000000" w:themeColor="text1"/>
          <w:lang w:val="lt-LT"/>
        </w:rPr>
        <w:t>finansinio stabilumo vertinimas // Pinigų studijos /</w:t>
      </w:r>
      <w:r w:rsidRPr="00C02F45">
        <w:rPr>
          <w:color w:val="000000" w:themeColor="text1"/>
          <w:lang w:val="lt-LT"/>
        </w:rPr>
        <w:t xml:space="preserve"> </w:t>
      </w:r>
      <w:r w:rsidR="00E91E8A" w:rsidRPr="00C02F45">
        <w:rPr>
          <w:color w:val="000000" w:themeColor="text1"/>
          <w:lang w:val="lt-LT"/>
        </w:rPr>
        <w:t>Ekonomikos teorija ir praktika. 2003, Nr. 2, p. 74-82.</w:t>
      </w:r>
    </w:p>
    <w:p w:rsidR="007708B1" w:rsidRPr="00C02F45" w:rsidRDefault="007708B1"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bCs/>
          <w:color w:val="000000" w:themeColor="text1"/>
          <w:lang w:val="lt-LT"/>
        </w:rPr>
        <w:t xml:space="preserve">Kardelis K. </w:t>
      </w:r>
      <w:r w:rsidRPr="00C02F45">
        <w:rPr>
          <w:color w:val="000000" w:themeColor="text1"/>
          <w:lang w:val="lt-LT"/>
        </w:rPr>
        <w:t>Mokslini</w:t>
      </w:r>
      <w:r w:rsidRPr="00C02F45">
        <w:rPr>
          <w:rFonts w:eastAsia="TTE1799C40t00"/>
          <w:color w:val="000000" w:themeColor="text1"/>
          <w:lang w:val="lt-LT"/>
        </w:rPr>
        <w:t xml:space="preserve">ų </w:t>
      </w:r>
      <w:r w:rsidRPr="00C02F45">
        <w:rPr>
          <w:color w:val="000000" w:themeColor="text1"/>
          <w:lang w:val="lt-LT"/>
        </w:rPr>
        <w:t>tyrim</w:t>
      </w:r>
      <w:r w:rsidRPr="00C02F45">
        <w:rPr>
          <w:rFonts w:eastAsia="TTE1799C40t00"/>
          <w:color w:val="000000" w:themeColor="text1"/>
          <w:lang w:val="lt-LT"/>
        </w:rPr>
        <w:t xml:space="preserve">ų </w:t>
      </w:r>
      <w:r w:rsidRPr="00C02F45">
        <w:rPr>
          <w:color w:val="000000" w:themeColor="text1"/>
          <w:lang w:val="lt-LT"/>
        </w:rPr>
        <w:t>metodologija ir metodai – Kaunas: UAB „Judex“, 2007. – 400 p.</w:t>
      </w:r>
    </w:p>
    <w:p w:rsidR="009F353E" w:rsidRPr="00C02F45" w:rsidRDefault="009F353E"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Maskeliūnaitė L. ir kt.</w:t>
      </w:r>
      <w:r w:rsidRPr="00C02F45">
        <w:rPr>
          <w:color w:val="000000" w:themeColor="text1"/>
          <w:lang w:val="lt-LT"/>
        </w:rPr>
        <w:t xml:space="preserve"> Research on the quality of passenger transportation by railway // Transport, 2009, No. 24 (2), p. 100-112.</w:t>
      </w:r>
    </w:p>
    <w:p w:rsidR="009803D7" w:rsidRPr="00C02F45" w:rsidRDefault="00F1184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Millo G., Carmeci</w:t>
      </w:r>
      <w:r w:rsidR="00E91E8A" w:rsidRPr="00C02F45">
        <w:rPr>
          <w:b/>
          <w:color w:val="000000" w:themeColor="text1"/>
          <w:lang w:val="lt-LT"/>
        </w:rPr>
        <w:t xml:space="preserve"> G.</w:t>
      </w:r>
      <w:r w:rsidR="009803D7" w:rsidRPr="00C02F45">
        <w:rPr>
          <w:color w:val="000000" w:themeColor="text1"/>
          <w:lang w:val="lt-LT"/>
        </w:rPr>
        <w:t xml:space="preserve"> Non-lif</w:t>
      </w:r>
      <w:r w:rsidR="00E91E8A" w:rsidRPr="00C02F45">
        <w:rPr>
          <w:color w:val="000000" w:themeColor="text1"/>
          <w:lang w:val="lt-LT"/>
        </w:rPr>
        <w:t>e insurance consumtion in Italy</w:t>
      </w:r>
      <w:r w:rsidR="009803D7" w:rsidRPr="00C02F45">
        <w:rPr>
          <w:color w:val="000000" w:themeColor="text1"/>
          <w:lang w:val="lt-LT"/>
        </w:rPr>
        <w:t xml:space="preserve">: a sub </w:t>
      </w:r>
      <w:r w:rsidR="00E91E8A" w:rsidRPr="00C02F45">
        <w:rPr>
          <w:color w:val="000000" w:themeColor="text1"/>
          <w:lang w:val="lt-LT"/>
        </w:rPr>
        <w:t xml:space="preserve">– regional panel data analysis // </w:t>
      </w:r>
      <w:r w:rsidR="009803D7" w:rsidRPr="00C02F45">
        <w:rPr>
          <w:color w:val="000000" w:themeColor="text1"/>
          <w:lang w:val="lt-LT"/>
        </w:rPr>
        <w:t>Journal of Geograp</w:t>
      </w:r>
      <w:r w:rsidR="00E91E8A" w:rsidRPr="00C02F45">
        <w:rPr>
          <w:color w:val="000000" w:themeColor="text1"/>
          <w:lang w:val="lt-LT"/>
        </w:rPr>
        <w:t xml:space="preserve">hical Systems. 2011, No. </w:t>
      </w:r>
      <w:r w:rsidR="009803D7" w:rsidRPr="00C02F45">
        <w:rPr>
          <w:color w:val="000000" w:themeColor="text1"/>
          <w:lang w:val="lt-LT"/>
        </w:rPr>
        <w:t>13(3),</w:t>
      </w:r>
      <w:r w:rsidR="00E91E8A" w:rsidRPr="00C02F45">
        <w:rPr>
          <w:color w:val="000000" w:themeColor="text1"/>
          <w:lang w:val="lt-LT"/>
        </w:rPr>
        <w:t xml:space="preserve"> p. 273-298.</w:t>
      </w:r>
      <w:r w:rsidR="009803D7" w:rsidRPr="00C02F45">
        <w:rPr>
          <w:color w:val="000000" w:themeColor="text1"/>
          <w:lang w:val="lt-LT"/>
        </w:rPr>
        <w:t xml:space="preserve"> </w:t>
      </w:r>
    </w:p>
    <w:p w:rsidR="009803D7" w:rsidRPr="00C02F45" w:rsidRDefault="009803D7" w:rsidP="00C02F45">
      <w:pPr>
        <w:pStyle w:val="ListParagraph"/>
        <w:numPr>
          <w:ilvl w:val="0"/>
          <w:numId w:val="16"/>
        </w:numPr>
        <w:spacing w:line="360" w:lineRule="auto"/>
        <w:jc w:val="both"/>
        <w:rPr>
          <w:color w:val="000000" w:themeColor="text1"/>
          <w:lang w:val="lt-LT"/>
        </w:rPr>
      </w:pPr>
      <w:r w:rsidRPr="00C02F45">
        <w:rPr>
          <w:b/>
          <w:color w:val="000000" w:themeColor="text1"/>
          <w:lang w:val="lt-LT"/>
        </w:rPr>
        <w:t>Mossin J</w:t>
      </w:r>
      <w:r w:rsidR="00E91E8A" w:rsidRPr="00C02F45">
        <w:rPr>
          <w:b/>
          <w:color w:val="000000" w:themeColor="text1"/>
          <w:lang w:val="lt-LT"/>
        </w:rPr>
        <w:t>.</w:t>
      </w:r>
      <w:r w:rsidR="00E91E8A" w:rsidRPr="00C02F45">
        <w:rPr>
          <w:color w:val="000000" w:themeColor="text1"/>
          <w:lang w:val="lt-LT"/>
        </w:rPr>
        <w:t xml:space="preserve"> </w:t>
      </w:r>
      <w:r w:rsidRPr="00C02F45">
        <w:rPr>
          <w:color w:val="000000" w:themeColor="text1"/>
          <w:lang w:val="lt-LT"/>
        </w:rPr>
        <w:t>Aspects of rational insurance purchasing</w:t>
      </w:r>
      <w:r w:rsidR="00E91E8A" w:rsidRPr="00C02F45">
        <w:rPr>
          <w:color w:val="000000" w:themeColor="text1"/>
          <w:lang w:val="lt-LT"/>
        </w:rPr>
        <w:t xml:space="preserve"> // </w:t>
      </w:r>
      <w:r w:rsidRPr="00C02F45">
        <w:rPr>
          <w:rStyle w:val="apple-style-span"/>
          <w:iCs/>
          <w:color w:val="000000" w:themeColor="text1"/>
          <w:shd w:val="clear" w:color="auto" w:fill="FFFFFF"/>
          <w:lang w:val="lt-LT"/>
        </w:rPr>
        <w:t>Journal of Political Economy</w:t>
      </w:r>
      <w:r w:rsidR="00E91E8A" w:rsidRPr="00C02F45">
        <w:rPr>
          <w:rStyle w:val="apple-style-span"/>
          <w:iCs/>
          <w:color w:val="000000" w:themeColor="text1"/>
          <w:shd w:val="clear" w:color="auto" w:fill="FFFFFF"/>
          <w:lang w:val="lt-LT"/>
        </w:rPr>
        <w:t xml:space="preserve">. 1968, No. </w:t>
      </w:r>
      <w:r w:rsidRPr="00C02F45">
        <w:rPr>
          <w:color w:val="000000" w:themeColor="text1"/>
          <w:lang w:val="lt-LT"/>
        </w:rPr>
        <w:t>76(4)</w:t>
      </w:r>
      <w:r w:rsidR="00E91E8A" w:rsidRPr="00C02F45">
        <w:rPr>
          <w:color w:val="000000" w:themeColor="text1"/>
          <w:lang w:val="lt-LT"/>
        </w:rPr>
        <w:t xml:space="preserve">, p. </w:t>
      </w:r>
      <w:r w:rsidRPr="00C02F45">
        <w:rPr>
          <w:color w:val="000000" w:themeColor="text1"/>
          <w:lang w:val="lt-LT"/>
        </w:rPr>
        <w:t>553–568</w:t>
      </w:r>
      <w:r w:rsidR="00E91E8A" w:rsidRPr="00C02F45">
        <w:rPr>
          <w:color w:val="000000" w:themeColor="text1"/>
          <w:lang w:val="lt-LT"/>
        </w:rPr>
        <w:t>.</w:t>
      </w:r>
    </w:p>
    <w:p w:rsidR="009803D7" w:rsidRPr="00C02F45" w:rsidRDefault="00F1184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Narkūnienė L.</w:t>
      </w:r>
      <w:r w:rsidR="009803D7" w:rsidRPr="00C02F45">
        <w:rPr>
          <w:color w:val="000000" w:themeColor="text1"/>
          <w:lang w:val="lt-LT"/>
        </w:rPr>
        <w:t xml:space="preserve"> Lietuvos drau</w:t>
      </w:r>
      <w:r w:rsidRPr="00C02F45">
        <w:rPr>
          <w:color w:val="000000" w:themeColor="text1"/>
          <w:lang w:val="lt-LT"/>
        </w:rPr>
        <w:t xml:space="preserve">dimo rinka ir jos perspektyvos // </w:t>
      </w:r>
      <w:r w:rsidR="009803D7" w:rsidRPr="00C02F45">
        <w:rPr>
          <w:color w:val="000000" w:themeColor="text1"/>
          <w:lang w:val="lt-LT"/>
        </w:rPr>
        <w:t>Tiltai</w:t>
      </w:r>
      <w:r w:rsidRPr="00C02F45">
        <w:rPr>
          <w:color w:val="000000" w:themeColor="text1"/>
          <w:lang w:val="lt-LT"/>
        </w:rPr>
        <w:t>. 2007, Nr. 39(2)</w:t>
      </w:r>
    </w:p>
    <w:p w:rsidR="009803D7" w:rsidRPr="00C02F45" w:rsidRDefault="009803D7" w:rsidP="00C02F45">
      <w:pPr>
        <w:pStyle w:val="ListParagraph"/>
        <w:numPr>
          <w:ilvl w:val="0"/>
          <w:numId w:val="16"/>
        </w:numPr>
        <w:spacing w:line="360" w:lineRule="auto"/>
        <w:jc w:val="both"/>
        <w:rPr>
          <w:color w:val="000000" w:themeColor="text1"/>
          <w:lang w:val="lt-LT"/>
        </w:rPr>
      </w:pPr>
      <w:r w:rsidRPr="00C02F45">
        <w:rPr>
          <w:b/>
          <w:color w:val="000000" w:themeColor="text1"/>
          <w:lang w:val="lt-LT"/>
        </w:rPr>
        <w:lastRenderedPageBreak/>
        <w:t>Szpiro G</w:t>
      </w:r>
      <w:r w:rsidR="00F11847" w:rsidRPr="00C02F45">
        <w:rPr>
          <w:b/>
          <w:color w:val="000000" w:themeColor="text1"/>
          <w:lang w:val="lt-LT"/>
        </w:rPr>
        <w:t xml:space="preserve">. </w:t>
      </w:r>
      <w:r w:rsidRPr="00C02F45">
        <w:rPr>
          <w:b/>
          <w:color w:val="000000" w:themeColor="text1"/>
          <w:lang w:val="lt-LT"/>
        </w:rPr>
        <w:t>G</w:t>
      </w:r>
      <w:r w:rsidR="00F11847" w:rsidRPr="00C02F45">
        <w:rPr>
          <w:b/>
          <w:color w:val="000000" w:themeColor="text1"/>
          <w:lang w:val="lt-LT"/>
        </w:rPr>
        <w:t>.</w:t>
      </w:r>
      <w:r w:rsidR="00F11847" w:rsidRPr="00C02F45">
        <w:rPr>
          <w:color w:val="000000" w:themeColor="text1"/>
          <w:lang w:val="lt-LT"/>
        </w:rPr>
        <w:t xml:space="preserve"> Optimal insurance coverage //</w:t>
      </w:r>
      <w:r w:rsidRPr="00C02F45">
        <w:rPr>
          <w:color w:val="000000" w:themeColor="text1"/>
          <w:lang w:val="lt-LT"/>
        </w:rPr>
        <w:t xml:space="preserve"> </w:t>
      </w:r>
      <w:r w:rsidRPr="00C02F45">
        <w:rPr>
          <w:iCs/>
          <w:color w:val="000000" w:themeColor="text1"/>
          <w:lang w:val="lt-LT"/>
        </w:rPr>
        <w:t>Journal of Risk and Insurance</w:t>
      </w:r>
      <w:r w:rsidR="00F11847" w:rsidRPr="00C02F45">
        <w:rPr>
          <w:iCs/>
          <w:color w:val="000000" w:themeColor="text1"/>
          <w:lang w:val="lt-LT"/>
        </w:rPr>
        <w:t>. 1985, No.</w:t>
      </w:r>
      <w:r w:rsidR="00F11847" w:rsidRPr="00C02F45">
        <w:rPr>
          <w:color w:val="000000" w:themeColor="text1"/>
          <w:lang w:val="lt-LT"/>
        </w:rPr>
        <w:t xml:space="preserve"> 52(4), p. </w:t>
      </w:r>
      <w:r w:rsidRPr="00C02F45">
        <w:rPr>
          <w:color w:val="000000" w:themeColor="text1"/>
          <w:lang w:val="lt-LT"/>
        </w:rPr>
        <w:t>704–710</w:t>
      </w:r>
      <w:r w:rsidR="00F11847" w:rsidRPr="00C02F45">
        <w:rPr>
          <w:color w:val="000000" w:themeColor="text1"/>
          <w:lang w:val="lt-LT"/>
        </w:rPr>
        <w:t>.</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Outreville J</w:t>
      </w:r>
      <w:r w:rsidR="00F11847" w:rsidRPr="00C02F45">
        <w:rPr>
          <w:b/>
          <w:color w:val="000000" w:themeColor="text1"/>
          <w:lang w:val="lt-LT"/>
        </w:rPr>
        <w:t xml:space="preserve">. </w:t>
      </w:r>
      <w:r w:rsidRPr="00C02F45">
        <w:rPr>
          <w:b/>
          <w:color w:val="000000" w:themeColor="text1"/>
          <w:lang w:val="lt-LT"/>
        </w:rPr>
        <w:t>F</w:t>
      </w:r>
      <w:r w:rsidR="00F11847" w:rsidRPr="00C02F45">
        <w:rPr>
          <w:b/>
          <w:color w:val="000000" w:themeColor="text1"/>
          <w:lang w:val="lt-LT"/>
        </w:rPr>
        <w:t>.</w:t>
      </w:r>
      <w:r w:rsidR="00F11847" w:rsidRPr="00C02F45">
        <w:rPr>
          <w:color w:val="000000" w:themeColor="text1"/>
          <w:lang w:val="lt-LT"/>
        </w:rPr>
        <w:t xml:space="preserve"> </w:t>
      </w:r>
      <w:r w:rsidRPr="00C02F45">
        <w:rPr>
          <w:color w:val="000000" w:themeColor="text1"/>
          <w:lang w:val="lt-LT"/>
        </w:rPr>
        <w:t xml:space="preserve">The economic significance of insurance </w:t>
      </w:r>
      <w:r w:rsidR="00F11847" w:rsidRPr="00C02F45">
        <w:rPr>
          <w:color w:val="000000" w:themeColor="text1"/>
          <w:lang w:val="lt-LT"/>
        </w:rPr>
        <w:t>markets in developing countries //</w:t>
      </w:r>
      <w:r w:rsidRPr="00C02F45">
        <w:rPr>
          <w:iCs/>
          <w:color w:val="000000" w:themeColor="text1"/>
          <w:lang w:val="lt-LT"/>
        </w:rPr>
        <w:t xml:space="preserve"> Journal of Risk and Insurance</w:t>
      </w:r>
      <w:r w:rsidR="00F11847" w:rsidRPr="00C02F45">
        <w:rPr>
          <w:iCs/>
          <w:color w:val="000000" w:themeColor="text1"/>
          <w:lang w:val="lt-LT"/>
        </w:rPr>
        <w:t>. 1990, No.</w:t>
      </w:r>
      <w:r w:rsidR="00F11847" w:rsidRPr="00C02F45">
        <w:rPr>
          <w:color w:val="000000" w:themeColor="text1"/>
          <w:lang w:val="lt-LT"/>
        </w:rPr>
        <w:t xml:space="preserve"> </w:t>
      </w:r>
      <w:r w:rsidRPr="00C02F45">
        <w:rPr>
          <w:color w:val="000000" w:themeColor="text1"/>
          <w:lang w:val="lt-LT"/>
        </w:rPr>
        <w:t>18(3)</w:t>
      </w:r>
      <w:r w:rsidR="00F11847" w:rsidRPr="00C02F45">
        <w:rPr>
          <w:color w:val="000000" w:themeColor="text1"/>
          <w:lang w:val="lt-LT"/>
        </w:rPr>
        <w:t>, p.</w:t>
      </w:r>
      <w:r w:rsidRPr="00C02F45">
        <w:rPr>
          <w:color w:val="000000" w:themeColor="text1"/>
          <w:lang w:val="lt-LT"/>
        </w:rPr>
        <w:t>487–498</w:t>
      </w:r>
      <w:r w:rsidR="00F11847" w:rsidRPr="00C02F45">
        <w:rPr>
          <w:color w:val="000000" w:themeColor="text1"/>
          <w:lang w:val="lt-LT"/>
        </w:rPr>
        <w:t>.</w:t>
      </w:r>
    </w:p>
    <w:p w:rsidR="00663145" w:rsidRPr="00C02F45" w:rsidRDefault="00663145"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Podvezo V.</w:t>
      </w:r>
      <w:r w:rsidRPr="00C02F45">
        <w:rPr>
          <w:color w:val="000000" w:themeColor="text1"/>
          <w:lang w:val="lt-LT"/>
        </w:rPr>
        <w:t xml:space="preserve"> Ekspertų įverčių suderinamumas // Ūkio technologinis ir ekonominis vystymas. 2005, Nr. 11(2), p. 101-107, ISSN 1392-8619 </w:t>
      </w:r>
    </w:p>
    <w:p w:rsidR="009803D7" w:rsidRPr="00C02F45" w:rsidRDefault="009803D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Ward D., Zurbruegg</w:t>
      </w:r>
      <w:r w:rsidR="00F11847" w:rsidRPr="00C02F45">
        <w:rPr>
          <w:b/>
          <w:color w:val="000000" w:themeColor="text1"/>
          <w:lang w:val="lt-LT"/>
        </w:rPr>
        <w:t xml:space="preserve"> R.</w:t>
      </w:r>
      <w:r w:rsidR="00F11847" w:rsidRPr="00C02F45">
        <w:rPr>
          <w:color w:val="000000" w:themeColor="text1"/>
          <w:lang w:val="lt-LT"/>
        </w:rPr>
        <w:t xml:space="preserve"> </w:t>
      </w:r>
      <w:r w:rsidRPr="00C02F45">
        <w:rPr>
          <w:color w:val="000000" w:themeColor="text1"/>
          <w:lang w:val="lt-LT"/>
        </w:rPr>
        <w:t>Does Insurance Promote Economic Growth?: Evid</w:t>
      </w:r>
      <w:r w:rsidR="00F11847" w:rsidRPr="00C02F45">
        <w:rPr>
          <w:color w:val="000000" w:themeColor="text1"/>
          <w:lang w:val="lt-LT"/>
        </w:rPr>
        <w:t xml:space="preserve">ence From OECD Countries // </w:t>
      </w:r>
      <w:r w:rsidRPr="00C02F45">
        <w:rPr>
          <w:iCs/>
          <w:color w:val="000000" w:themeColor="text1"/>
          <w:lang w:val="lt-LT"/>
        </w:rPr>
        <w:t>Journal of Risk and Insurance</w:t>
      </w:r>
      <w:r w:rsidR="00F11847" w:rsidRPr="00C02F45">
        <w:rPr>
          <w:color w:val="000000" w:themeColor="text1"/>
          <w:lang w:val="lt-LT"/>
        </w:rPr>
        <w:t>. 2000, No. 67(4), p.</w:t>
      </w:r>
      <w:r w:rsidRPr="00C02F45">
        <w:rPr>
          <w:color w:val="000000" w:themeColor="text1"/>
          <w:lang w:val="lt-LT"/>
        </w:rPr>
        <w:t xml:space="preserve"> 489-507.</w:t>
      </w:r>
    </w:p>
    <w:p w:rsidR="00F11847" w:rsidRPr="00C02F45" w:rsidRDefault="00F11847"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Vaughan E., Vaughan T. M.</w:t>
      </w:r>
      <w:r w:rsidR="009803D7" w:rsidRPr="00C02F45">
        <w:rPr>
          <w:color w:val="000000" w:themeColor="text1"/>
          <w:lang w:val="lt-LT"/>
        </w:rPr>
        <w:t xml:space="preserve"> </w:t>
      </w:r>
      <w:r w:rsidRPr="00C02F45">
        <w:rPr>
          <w:color w:val="000000" w:themeColor="text1"/>
          <w:lang w:val="lt-LT"/>
        </w:rPr>
        <w:t>Fundament of risk and insurance/ 10ht ed. – Haboken: Jo</w:t>
      </w:r>
      <w:r w:rsidR="009803D7" w:rsidRPr="00C02F45">
        <w:rPr>
          <w:color w:val="000000" w:themeColor="text1"/>
          <w:lang w:val="lt-LT"/>
        </w:rPr>
        <w:t>hn Wiley</w:t>
      </w:r>
      <w:r w:rsidRPr="00C02F45">
        <w:rPr>
          <w:color w:val="000000" w:themeColor="text1"/>
          <w:lang w:val="lt-LT"/>
        </w:rPr>
        <w:t>,</w:t>
      </w:r>
      <w:r w:rsidR="009803D7" w:rsidRPr="00C02F45">
        <w:rPr>
          <w:color w:val="000000" w:themeColor="text1"/>
          <w:lang w:val="lt-LT"/>
        </w:rPr>
        <w:t xml:space="preserve"> 2008</w:t>
      </w:r>
      <w:r w:rsidRPr="00C02F45">
        <w:rPr>
          <w:color w:val="000000" w:themeColor="text1"/>
          <w:lang w:val="lt-LT"/>
        </w:rPr>
        <w:t>. – 643 p. – ISBN 9780470087534</w:t>
      </w:r>
    </w:p>
    <w:p w:rsidR="00500C0A" w:rsidRPr="00C02F45" w:rsidRDefault="00500C0A"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2010</w:t>
      </w:r>
      <w:r w:rsidRPr="00C02F45">
        <w:rPr>
          <w:color w:val="000000" w:themeColor="text1"/>
          <w:lang w:val="lt-LT"/>
        </w:rPr>
        <w:t>. –Vilnius: Draudimo priežiūros komisija. 2011</w:t>
      </w:r>
      <w:r w:rsidR="00F15CAD" w:rsidRPr="00C02F45">
        <w:rPr>
          <w:color w:val="000000" w:themeColor="text1"/>
          <w:lang w:val="lt-LT"/>
        </w:rPr>
        <w:t>,</w:t>
      </w:r>
      <w:r w:rsidRPr="00C02F45">
        <w:rPr>
          <w:color w:val="000000" w:themeColor="text1"/>
          <w:lang w:val="lt-LT"/>
        </w:rPr>
        <w:t xml:space="preserve"> 77p. </w:t>
      </w:r>
      <w:hyperlink r:id="rId29" w:history="1">
        <w:r w:rsidRPr="00C02F45">
          <w:rPr>
            <w:rStyle w:val="Hyperlink"/>
            <w:color w:val="000000" w:themeColor="text1"/>
            <w:u w:val="none"/>
            <w:lang w:val="lt-LT"/>
          </w:rPr>
          <w:t>http://www.dpk.lt/files/apzvalga/apzvalga2010.pdf</w:t>
        </w:r>
      </w:hyperlink>
      <w:r w:rsidRPr="00C02F45">
        <w:rPr>
          <w:color w:val="000000" w:themeColor="text1"/>
          <w:lang w:val="lt-LT"/>
        </w:rPr>
        <w:t xml:space="preserve"> [ žiūrėta 2011-10-15]</w:t>
      </w:r>
    </w:p>
    <w:p w:rsidR="00500C0A" w:rsidRPr="00C02F45" w:rsidRDefault="00500C0A"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2009.</w:t>
      </w:r>
      <w:r w:rsidRPr="00C02F45">
        <w:rPr>
          <w:color w:val="000000" w:themeColor="text1"/>
          <w:lang w:val="lt-LT"/>
        </w:rPr>
        <w:t xml:space="preserve"> –Vilnius: Draudimo priežiūros komisija. 2010</w:t>
      </w:r>
      <w:r w:rsidR="00F15CAD" w:rsidRPr="00C02F45">
        <w:rPr>
          <w:color w:val="000000" w:themeColor="text1"/>
          <w:lang w:val="lt-LT"/>
        </w:rPr>
        <w:t>,</w:t>
      </w:r>
      <w:r w:rsidRPr="00C02F45">
        <w:rPr>
          <w:color w:val="000000" w:themeColor="text1"/>
          <w:lang w:val="lt-LT"/>
        </w:rPr>
        <w:t xml:space="preserve"> 76p. </w:t>
      </w:r>
      <w:hyperlink r:id="rId30" w:history="1">
        <w:r w:rsidRPr="00C02F45">
          <w:rPr>
            <w:rStyle w:val="Hyperlink"/>
            <w:color w:val="000000" w:themeColor="text1"/>
            <w:u w:val="none"/>
            <w:lang w:val="lt-LT"/>
          </w:rPr>
          <w:t>http://www.dpk.lt/files/apzvalga/apzvalga2009.pdf</w:t>
        </w:r>
      </w:hyperlink>
      <w:r w:rsidRPr="00C02F45">
        <w:rPr>
          <w:color w:val="000000" w:themeColor="text1"/>
          <w:lang w:val="lt-LT"/>
        </w:rPr>
        <w:t xml:space="preserve"> [žiūrėta 2011-03-15] </w:t>
      </w:r>
    </w:p>
    <w:p w:rsidR="00500C0A" w:rsidRPr="00C02F45" w:rsidRDefault="00500C0A"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2008.</w:t>
      </w:r>
      <w:r w:rsidRPr="00C02F45">
        <w:rPr>
          <w:color w:val="000000" w:themeColor="text1"/>
          <w:lang w:val="lt-LT"/>
        </w:rPr>
        <w:t xml:space="preserve"> –Vilnius: Draudimo priežiūros komisija. 20</w:t>
      </w:r>
      <w:r w:rsidR="00F15CAD" w:rsidRPr="00C02F45">
        <w:rPr>
          <w:color w:val="000000" w:themeColor="text1"/>
          <w:lang w:val="lt-LT"/>
        </w:rPr>
        <w:t>09,</w:t>
      </w:r>
      <w:r w:rsidRPr="00C02F45">
        <w:rPr>
          <w:color w:val="000000" w:themeColor="text1"/>
          <w:lang w:val="lt-LT"/>
        </w:rPr>
        <w:t xml:space="preserve"> 76p</w:t>
      </w:r>
      <w:r w:rsidR="00F15CAD" w:rsidRPr="00C02F45">
        <w:rPr>
          <w:color w:val="000000" w:themeColor="text1"/>
          <w:lang w:val="lt-LT"/>
        </w:rPr>
        <w:t xml:space="preserve">. </w:t>
      </w:r>
      <w:hyperlink r:id="rId31" w:history="1">
        <w:r w:rsidR="00F15CAD" w:rsidRPr="00C02F45">
          <w:rPr>
            <w:rStyle w:val="Hyperlink"/>
            <w:color w:val="000000" w:themeColor="text1"/>
            <w:u w:val="none"/>
            <w:lang w:val="lt-LT"/>
          </w:rPr>
          <w:t>http://www.dpk.lt/files/apzvalga/apzvalga2008.pdf</w:t>
        </w:r>
      </w:hyperlink>
      <w:r w:rsidR="00F15CAD" w:rsidRPr="00C02F45">
        <w:rPr>
          <w:color w:val="000000" w:themeColor="text1"/>
          <w:lang w:val="lt-LT"/>
        </w:rPr>
        <w:t xml:space="preserve"> [žiūrėta 2011-03-16]</w:t>
      </w:r>
    </w:p>
    <w:p w:rsidR="00500C0A" w:rsidRPr="00C02F45" w:rsidRDefault="00F15CAD"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2007.</w:t>
      </w:r>
      <w:r w:rsidRPr="00C02F45">
        <w:rPr>
          <w:color w:val="000000" w:themeColor="text1"/>
          <w:lang w:val="lt-LT"/>
        </w:rPr>
        <w:t xml:space="preserve"> –Vilnius: Draudimo priežiūros komisija. 2008, 80p. </w:t>
      </w:r>
      <w:hyperlink r:id="rId32" w:history="1">
        <w:r w:rsidRPr="00C02F45">
          <w:rPr>
            <w:rStyle w:val="Hyperlink"/>
            <w:color w:val="000000" w:themeColor="text1"/>
            <w:u w:val="none"/>
            <w:lang w:val="lt-LT"/>
          </w:rPr>
          <w:t>http://www.dpk.lt/files/apzvalga/apzvalga2007.pdf</w:t>
        </w:r>
      </w:hyperlink>
      <w:r w:rsidRPr="00C02F45">
        <w:rPr>
          <w:color w:val="000000" w:themeColor="text1"/>
          <w:lang w:val="lt-LT"/>
        </w:rPr>
        <w:t xml:space="preserve"> [ žiūrėta 2011-02-26]</w:t>
      </w:r>
    </w:p>
    <w:p w:rsidR="00F15CAD" w:rsidRPr="00C02F45" w:rsidRDefault="00F15CAD"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2006.</w:t>
      </w:r>
      <w:r w:rsidRPr="00C02F45">
        <w:rPr>
          <w:color w:val="000000" w:themeColor="text1"/>
          <w:lang w:val="lt-LT"/>
        </w:rPr>
        <w:t xml:space="preserve"> –Vilnius: Draudimo priežiūros komisija. 2007, 64p. </w:t>
      </w:r>
      <w:hyperlink r:id="rId33" w:history="1">
        <w:r w:rsidRPr="00C02F45">
          <w:rPr>
            <w:rStyle w:val="Hyperlink"/>
            <w:color w:val="000000" w:themeColor="text1"/>
            <w:u w:val="none"/>
            <w:lang w:val="lt-LT"/>
          </w:rPr>
          <w:t>http://www.dpk.lt/files/apzvalga/apzvalga2006.pdf</w:t>
        </w:r>
      </w:hyperlink>
      <w:r w:rsidRPr="00C02F45">
        <w:rPr>
          <w:color w:val="000000" w:themeColor="text1"/>
          <w:lang w:val="lt-LT"/>
        </w:rPr>
        <w:t xml:space="preserve"> [žiūrėta 2011-02-26]</w:t>
      </w:r>
    </w:p>
    <w:p w:rsidR="00F15CAD" w:rsidRPr="00C02F45" w:rsidRDefault="00F15CAD"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2005.</w:t>
      </w:r>
      <w:r w:rsidRPr="00C02F45">
        <w:rPr>
          <w:color w:val="000000" w:themeColor="text1"/>
          <w:lang w:val="lt-LT"/>
        </w:rPr>
        <w:t xml:space="preserve"> –Vilnius: Draudimo priežiūros komisija. 2006, 60p. </w:t>
      </w:r>
      <w:hyperlink r:id="rId34" w:history="1">
        <w:r w:rsidRPr="00C02F45">
          <w:rPr>
            <w:rStyle w:val="Hyperlink"/>
            <w:color w:val="000000" w:themeColor="text1"/>
            <w:u w:val="none"/>
            <w:lang w:val="lt-LT"/>
          </w:rPr>
          <w:t>http://www.dpk.lt/files/apzvalga/apzvalga2005.pdf</w:t>
        </w:r>
      </w:hyperlink>
      <w:r w:rsidRPr="00C02F45">
        <w:rPr>
          <w:color w:val="000000" w:themeColor="text1"/>
          <w:lang w:val="lt-LT"/>
        </w:rPr>
        <w:t xml:space="preserve"> [ žiūrėta 2011-02-26]</w:t>
      </w:r>
    </w:p>
    <w:p w:rsidR="00F15CAD" w:rsidRPr="00C02F45" w:rsidRDefault="00F15CAD"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2004.</w:t>
      </w:r>
      <w:r w:rsidRPr="00C02F45">
        <w:rPr>
          <w:color w:val="000000" w:themeColor="text1"/>
          <w:lang w:val="lt-LT"/>
        </w:rPr>
        <w:t xml:space="preserve"> –Vilnius: Draudimo priežiūros komisija. 2005, 46p. </w:t>
      </w:r>
      <w:hyperlink r:id="rId35" w:history="1">
        <w:r w:rsidRPr="00C02F45">
          <w:rPr>
            <w:rStyle w:val="Hyperlink"/>
            <w:color w:val="000000" w:themeColor="text1"/>
            <w:u w:val="none"/>
            <w:lang w:val="lt-LT"/>
          </w:rPr>
          <w:t>http://www.dpk.lt/files/apzvalga/apzvalga2004.pdf</w:t>
        </w:r>
      </w:hyperlink>
      <w:r w:rsidRPr="00C02F45">
        <w:rPr>
          <w:color w:val="000000" w:themeColor="text1"/>
          <w:lang w:val="lt-LT"/>
        </w:rPr>
        <w:t xml:space="preserve"> [ žiūrėta 2011-02-26]</w:t>
      </w:r>
    </w:p>
    <w:p w:rsidR="00F15CAD" w:rsidRPr="00C02F45" w:rsidRDefault="00F15CAD"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2003.</w:t>
      </w:r>
      <w:r w:rsidRPr="00C02F45">
        <w:rPr>
          <w:color w:val="000000" w:themeColor="text1"/>
          <w:lang w:val="lt-LT"/>
        </w:rPr>
        <w:t xml:space="preserve"> –Vilnius: Draudimo priežiūros komisija. 2004, 44p. </w:t>
      </w:r>
      <w:hyperlink r:id="rId36" w:history="1">
        <w:r w:rsidRPr="00C02F45">
          <w:rPr>
            <w:rStyle w:val="Hyperlink"/>
            <w:color w:val="000000" w:themeColor="text1"/>
            <w:u w:val="none"/>
            <w:lang w:val="lt-LT"/>
          </w:rPr>
          <w:t>http://www.dpk.lt/files/apzvalga/apzvalga2003.pdf</w:t>
        </w:r>
      </w:hyperlink>
      <w:r w:rsidRPr="00C02F45">
        <w:rPr>
          <w:color w:val="000000" w:themeColor="text1"/>
          <w:lang w:val="lt-LT"/>
        </w:rPr>
        <w:t xml:space="preserve"> [ žiūrėta 2011-02-26]</w:t>
      </w:r>
    </w:p>
    <w:p w:rsidR="00F15CAD" w:rsidRPr="00C02F45" w:rsidRDefault="00F15CAD"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Draudimas Lietuvoje: metų apžvalga 2002.</w:t>
      </w:r>
      <w:r w:rsidRPr="00C02F45">
        <w:rPr>
          <w:color w:val="000000" w:themeColor="text1"/>
          <w:lang w:val="lt-LT"/>
        </w:rPr>
        <w:t xml:space="preserve"> –Vilnius: Valstybinė draudimo priežiūros tarnyba prie finansų ministerijos. 2003, 41p. </w:t>
      </w:r>
      <w:hyperlink r:id="rId37" w:history="1">
        <w:r w:rsidRPr="00C02F45">
          <w:rPr>
            <w:rStyle w:val="Hyperlink"/>
            <w:color w:val="000000" w:themeColor="text1"/>
            <w:u w:val="none"/>
            <w:lang w:val="lt-LT"/>
          </w:rPr>
          <w:t>http://www.dpk.lt/files/apzvalga/apzvalga2002.pdf</w:t>
        </w:r>
      </w:hyperlink>
      <w:r w:rsidRPr="00C02F45">
        <w:rPr>
          <w:color w:val="000000" w:themeColor="text1"/>
          <w:lang w:val="lt-LT"/>
        </w:rPr>
        <w:t xml:space="preserve"> [ žiūrėta 2011-02-26]</w:t>
      </w:r>
    </w:p>
    <w:p w:rsidR="00F15CAD" w:rsidRPr="00C02F45" w:rsidRDefault="00F15CAD"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Lietuvos Respublikos draudimo įstatymas.</w:t>
      </w:r>
      <w:r w:rsidRPr="00C02F45">
        <w:rPr>
          <w:color w:val="000000" w:themeColor="text1"/>
          <w:lang w:val="lt-LT"/>
        </w:rPr>
        <w:t xml:space="preserve"> </w:t>
      </w:r>
      <w:hyperlink r:id="rId38" w:history="1">
        <w:r w:rsidR="001C1B8C" w:rsidRPr="00C02F45">
          <w:rPr>
            <w:rStyle w:val="Hyperlink"/>
            <w:color w:val="000000" w:themeColor="text1"/>
            <w:u w:val="none"/>
            <w:lang w:val="lt-LT"/>
          </w:rPr>
          <w:t>http://www3.lrs.lt/pls/inter3/dok paieska. showdoc_l? p_id= 218739 [ žiūrėta</w:t>
        </w:r>
      </w:hyperlink>
      <w:r w:rsidRPr="00C02F45">
        <w:rPr>
          <w:color w:val="000000" w:themeColor="text1"/>
          <w:lang w:val="lt-LT"/>
        </w:rPr>
        <w:t xml:space="preserve"> 2011-08-25]</w:t>
      </w:r>
    </w:p>
    <w:p w:rsidR="00282ECA" w:rsidRPr="00C02F45" w:rsidRDefault="00282ECA"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lt-LT"/>
        </w:rPr>
        <w:t>Vidurinį ar aukštesnį išsilavinimą įgijusio jaunimo (20-24 metų) dalis.</w:t>
      </w:r>
      <w:r w:rsidRPr="00C02F45">
        <w:rPr>
          <w:color w:val="000000" w:themeColor="text1"/>
          <w:lang w:val="lt-LT"/>
        </w:rPr>
        <w:t xml:space="preserve"> </w:t>
      </w:r>
      <w:hyperlink w:history="1">
        <w:r w:rsidRPr="00C02F45">
          <w:rPr>
            <w:rStyle w:val="Hyperlink"/>
            <w:color w:val="000000" w:themeColor="text1"/>
            <w:u w:val="none"/>
          </w:rPr>
          <w:t>http://db1.stat.gov.lt /statbank/ default.asp?w=1280</w:t>
        </w:r>
      </w:hyperlink>
      <w:r w:rsidRPr="00C02F45">
        <w:rPr>
          <w:color w:val="000000" w:themeColor="text1"/>
        </w:rPr>
        <w:t xml:space="preserve"> [žiūrėta 2011-07-20]</w:t>
      </w:r>
    </w:p>
    <w:p w:rsidR="00282ECA" w:rsidRPr="00C02F45" w:rsidRDefault="00282ECA"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b/>
          <w:color w:val="000000" w:themeColor="text1"/>
          <w:lang w:val="fr-FR"/>
        </w:rPr>
        <w:t>Bendrasis vidaus produktas (BVP), tenkantis vienam gyventojui.</w:t>
      </w:r>
      <w:r w:rsidRPr="00C02F45">
        <w:rPr>
          <w:color w:val="000000" w:themeColor="text1"/>
          <w:lang w:val="fr-FR"/>
        </w:rPr>
        <w:t xml:space="preserve"> </w:t>
      </w:r>
      <w:hyperlink w:history="1">
        <w:r w:rsidR="00936CB2" w:rsidRPr="00C02F45">
          <w:rPr>
            <w:rStyle w:val="Hyperlink"/>
            <w:color w:val="000000" w:themeColor="text1"/>
            <w:u w:val="none"/>
          </w:rPr>
          <w:t>http://db1.stat.gov.lt /statbank/default.asp?w=1280</w:t>
        </w:r>
      </w:hyperlink>
      <w:r w:rsidRPr="00C02F45">
        <w:rPr>
          <w:color w:val="000000" w:themeColor="text1"/>
        </w:rPr>
        <w:t xml:space="preserve"> [žiūrėta 2011-07-20]</w:t>
      </w:r>
    </w:p>
    <w:p w:rsidR="00282ECA" w:rsidRPr="00C02F45" w:rsidRDefault="00936CB2" w:rsidP="00C02F45">
      <w:pPr>
        <w:pStyle w:val="ListParagraph"/>
        <w:numPr>
          <w:ilvl w:val="0"/>
          <w:numId w:val="16"/>
        </w:numPr>
        <w:autoSpaceDE w:val="0"/>
        <w:autoSpaceDN w:val="0"/>
        <w:adjustRightInd w:val="0"/>
        <w:spacing w:line="360" w:lineRule="auto"/>
        <w:jc w:val="both"/>
        <w:rPr>
          <w:color w:val="000000" w:themeColor="text1"/>
          <w:lang w:val="lt-LT"/>
        </w:rPr>
      </w:pPr>
      <w:r w:rsidRPr="00C02F45">
        <w:rPr>
          <w:rStyle w:val="apple-style-span"/>
          <w:b/>
          <w:bCs/>
          <w:color w:val="000000" w:themeColor="text1"/>
          <w:shd w:val="clear" w:color="auto" w:fill="FFFFFF"/>
          <w:lang w:val="lt-LT"/>
        </w:rPr>
        <w:lastRenderedPageBreak/>
        <w:t>Paskolų</w:t>
      </w:r>
      <w:r w:rsidR="0021312D" w:rsidRPr="00C02F45">
        <w:rPr>
          <w:rStyle w:val="apple-style-span"/>
          <w:b/>
          <w:bCs/>
          <w:color w:val="000000" w:themeColor="text1"/>
          <w:shd w:val="clear" w:color="auto" w:fill="FFFFFF"/>
          <w:lang w:val="lt-LT"/>
        </w:rPr>
        <w:t xml:space="preserve"> būstui įsigyti</w:t>
      </w:r>
      <w:r w:rsidRPr="00C02F45">
        <w:rPr>
          <w:rStyle w:val="apple-style-span"/>
          <w:b/>
          <w:bCs/>
          <w:color w:val="000000" w:themeColor="text1"/>
          <w:shd w:val="clear" w:color="auto" w:fill="FFFFFF"/>
          <w:lang w:val="lt-LT"/>
        </w:rPr>
        <w:t xml:space="preserve"> nefinansinėms korporacijoms ir namų ūkiams likučiai</w:t>
      </w:r>
      <w:r w:rsidR="0021312D" w:rsidRPr="00C02F45">
        <w:rPr>
          <w:rStyle w:val="apple-converted-space"/>
          <w:bCs/>
          <w:color w:val="000000" w:themeColor="text1"/>
          <w:shd w:val="clear" w:color="auto" w:fill="FFFFFF"/>
          <w:lang w:val="lt-LT"/>
        </w:rPr>
        <w:t>.</w:t>
      </w:r>
      <w:r w:rsidR="0021312D" w:rsidRPr="00C02F45">
        <w:rPr>
          <w:color w:val="000000" w:themeColor="text1"/>
          <w:lang w:val="lt-LT"/>
        </w:rPr>
        <w:t xml:space="preserve"> </w:t>
      </w:r>
      <w:hyperlink w:history="1">
        <w:r w:rsidR="0021312D" w:rsidRPr="00C02F45">
          <w:rPr>
            <w:rStyle w:val="Hyperlink"/>
            <w:color w:val="000000" w:themeColor="text1"/>
            <w:u w:val="none"/>
          </w:rPr>
          <w:t>http://www.lb.lt /stat_pub/statbrowser.aspx?group=7281&amp;lang=lt</w:t>
        </w:r>
      </w:hyperlink>
      <w:r w:rsidR="0021312D" w:rsidRPr="00C02F45">
        <w:rPr>
          <w:color w:val="000000" w:themeColor="text1"/>
        </w:rPr>
        <w:t xml:space="preserve"> [žiūrėta 2011-11-15]</w:t>
      </w:r>
    </w:p>
    <w:p w:rsidR="0021312D" w:rsidRPr="0021312D" w:rsidRDefault="0021312D" w:rsidP="0021312D">
      <w:pPr>
        <w:pStyle w:val="ListParagraph"/>
        <w:autoSpaceDE w:val="0"/>
        <w:autoSpaceDN w:val="0"/>
        <w:adjustRightInd w:val="0"/>
        <w:spacing w:line="360" w:lineRule="auto"/>
        <w:jc w:val="both"/>
        <w:rPr>
          <w:rFonts w:ascii="TimesNewRomanPSMT" w:hAnsi="TimesNewRomanPSMT" w:cs="TimesNewRomanPSMT"/>
          <w:color w:val="000000" w:themeColor="text1"/>
          <w:lang w:val="lt-LT"/>
        </w:rPr>
      </w:pPr>
    </w:p>
    <w:p w:rsidR="009803D7" w:rsidRPr="00303A5A" w:rsidRDefault="009803D7" w:rsidP="009803D7">
      <w:pPr>
        <w:rPr>
          <w:lang w:val="lt-LT"/>
        </w:rPr>
      </w:pPr>
    </w:p>
    <w:p w:rsidR="00FC2A34" w:rsidRDefault="004C3AD6" w:rsidP="00C02F45">
      <w:pPr>
        <w:spacing w:line="360" w:lineRule="auto"/>
        <w:ind w:firstLine="567"/>
        <w:jc w:val="both"/>
        <w:rPr>
          <w:lang w:val="lt-LT"/>
        </w:rPr>
      </w:pPr>
      <w:r w:rsidRPr="00303A5A">
        <w:rPr>
          <w:lang w:val="lt-LT"/>
        </w:rPr>
        <w:br w:type="page"/>
      </w:r>
      <w:r w:rsidR="00FC2A34" w:rsidRPr="00FC2A34">
        <w:rPr>
          <w:b/>
          <w:lang w:val="lt-LT"/>
        </w:rPr>
        <w:lastRenderedPageBreak/>
        <w:t>Stokaitė T</w:t>
      </w:r>
      <w:r w:rsidR="00FC2A34">
        <w:rPr>
          <w:lang w:val="lt-LT"/>
        </w:rPr>
        <w:t>. Lietuvos ne gyvybės draudimo rinkai įtaką darančių veiksnių vertinimas / Finansų rinkų magistro baigiamasis darbas. Vadovas doc. dr. St. Taraila. – Vilnius: Mykolo Riomerio universitetas, Ekonomikos ir finans</w:t>
      </w:r>
      <w:r w:rsidR="00C02F45">
        <w:rPr>
          <w:lang w:val="lt-LT"/>
        </w:rPr>
        <w:t>ų valdymo fakultetas, 2011. – 63</w:t>
      </w:r>
      <w:r w:rsidR="00FC2A34">
        <w:rPr>
          <w:lang w:val="lt-LT"/>
        </w:rPr>
        <w:t xml:space="preserve"> p.</w:t>
      </w:r>
    </w:p>
    <w:p w:rsidR="00FC2A34" w:rsidRDefault="00FC2A34" w:rsidP="00751EDD">
      <w:pPr>
        <w:spacing w:line="360" w:lineRule="auto"/>
        <w:ind w:firstLine="567"/>
        <w:rPr>
          <w:lang w:val="lt-LT"/>
        </w:rPr>
      </w:pPr>
    </w:p>
    <w:p w:rsidR="00751EDD" w:rsidRPr="00751EDD" w:rsidRDefault="00751EDD" w:rsidP="00751EDD">
      <w:pPr>
        <w:pStyle w:val="Style1-h1"/>
      </w:pPr>
      <w:bookmarkStart w:id="242" w:name="_Toc309559997"/>
      <w:bookmarkStart w:id="243" w:name="_Toc311971369"/>
      <w:bookmarkStart w:id="244" w:name="_Toc311971558"/>
      <w:bookmarkStart w:id="245" w:name="_Toc311971704"/>
      <w:r w:rsidRPr="00751EDD">
        <w:t>ANOTACIJA</w:t>
      </w:r>
      <w:bookmarkEnd w:id="242"/>
      <w:bookmarkEnd w:id="243"/>
      <w:bookmarkEnd w:id="244"/>
      <w:bookmarkEnd w:id="245"/>
    </w:p>
    <w:p w:rsidR="00751EDD" w:rsidRDefault="00751EDD" w:rsidP="00751EDD">
      <w:pPr>
        <w:spacing w:line="360" w:lineRule="auto"/>
        <w:ind w:firstLine="567"/>
        <w:rPr>
          <w:lang w:val="lt-LT"/>
        </w:rPr>
      </w:pPr>
    </w:p>
    <w:p w:rsidR="00751EDD" w:rsidRDefault="00FC2A34" w:rsidP="00751EDD">
      <w:pPr>
        <w:spacing w:line="360" w:lineRule="auto"/>
        <w:ind w:firstLine="567"/>
        <w:jc w:val="both"/>
        <w:rPr>
          <w:lang w:val="lt-LT"/>
        </w:rPr>
      </w:pPr>
      <w:r>
        <w:rPr>
          <w:lang w:val="lt-LT"/>
        </w:rPr>
        <w:t xml:space="preserve">Magistro baigiamajame darbe atlikta Lietuvos ne gyvybės draudimo rinkai įtaką darančių veiksnių analizė ir vertinimas. Pirmojoje darbo dalyje apžvelgta draudimo, draudimo rinkos teoriniai aspektai, apibrėžta ne gyvybės draudimo rinka bei informacija apie įtaką darančius veiksnius. Antrojoje darbo dalyje suformuotas tyrimo modelis, bei pateiktas pagrindimas dėl ekspertinio vertinimo metodo pasirinkimo. Trečioje magistro baigiamojo darbo dalyje atlikta Lietuvos ne gyvybės draudimo rinkos analizė, sudaryti ne gyvybės draudimo rinką aprašantys regresiniai modeliai, nustatyti veiksniai darantys įtaką ne gyvybės draudimo rinką. </w:t>
      </w:r>
      <w:r w:rsidR="004C79C1">
        <w:rPr>
          <w:lang w:val="lt-LT"/>
        </w:rPr>
        <w:t xml:space="preserve">Naudojant </w:t>
      </w:r>
      <w:r>
        <w:rPr>
          <w:lang w:val="lt-LT"/>
        </w:rPr>
        <w:t>ekspertinį vertinimą išskirti veiksniai, kurie nebuvo įtraukti į regresinę analizę. Magistro baigiamojo darbo pabaigoje pateiktos išvados bei pa</w:t>
      </w:r>
      <w:r w:rsidR="00751EDD">
        <w:rPr>
          <w:lang w:val="lt-LT"/>
        </w:rPr>
        <w:t>siūlymai.</w:t>
      </w:r>
    </w:p>
    <w:p w:rsidR="004C3AD6" w:rsidRPr="00303A5A" w:rsidRDefault="00751EDD" w:rsidP="00751EDD">
      <w:pPr>
        <w:spacing w:line="360" w:lineRule="auto"/>
        <w:ind w:firstLine="567"/>
        <w:jc w:val="both"/>
        <w:rPr>
          <w:lang w:val="lt-LT"/>
        </w:rPr>
      </w:pPr>
      <w:r w:rsidRPr="00751EDD">
        <w:rPr>
          <w:b/>
          <w:lang w:val="lt-LT"/>
        </w:rPr>
        <w:t>Pagrindiniai žodžiai:</w:t>
      </w:r>
      <w:r>
        <w:rPr>
          <w:lang w:val="lt-LT"/>
        </w:rPr>
        <w:t xml:space="preserve"> draudimas, ne gyvybės draudimo rinka, ekonominiai veiksniai, ekspertinis vertinimas.</w:t>
      </w:r>
      <w:r w:rsidR="004C3AD6" w:rsidRPr="00303A5A">
        <w:rPr>
          <w:lang w:val="lt-LT"/>
        </w:rPr>
        <w:br w:type="page"/>
      </w:r>
    </w:p>
    <w:p w:rsidR="00751EDD" w:rsidRPr="008A3B57" w:rsidRDefault="00751EDD" w:rsidP="00751EDD">
      <w:pPr>
        <w:spacing w:line="360" w:lineRule="auto"/>
        <w:ind w:firstLine="567"/>
        <w:jc w:val="both"/>
      </w:pPr>
      <w:bookmarkStart w:id="246" w:name="_Toc309559998"/>
      <w:r w:rsidRPr="006137E4">
        <w:rPr>
          <w:b/>
        </w:rPr>
        <w:lastRenderedPageBreak/>
        <w:t>Stokaitė T.</w:t>
      </w:r>
      <w:r w:rsidRPr="006137E4">
        <w:t xml:space="preserve">  </w:t>
      </w:r>
      <w:r w:rsidRPr="00751EDD">
        <w:t xml:space="preserve">The evaluation of determinants </w:t>
      </w:r>
      <w:r w:rsidR="007B51D7">
        <w:t xml:space="preserve">which influence </w:t>
      </w:r>
      <w:r>
        <w:t xml:space="preserve">Lithuanian non-life insurance market / Master’s Work in Finance Markets. Supervisor doc. dr. St. Taraila. – Vilnius: Faculty of Economics and </w:t>
      </w:r>
      <w:r w:rsidRPr="008A3B57">
        <w:t>Finance Management, Mykolas</w:t>
      </w:r>
      <w:r w:rsidR="00C02F45">
        <w:t xml:space="preserve"> Riomeris University, 2011. – 63</w:t>
      </w:r>
      <w:r w:rsidRPr="008A3B57">
        <w:t xml:space="preserve"> p.</w:t>
      </w:r>
    </w:p>
    <w:p w:rsidR="00632775" w:rsidRPr="008A3B57" w:rsidRDefault="00632775" w:rsidP="00751EDD">
      <w:pPr>
        <w:spacing w:line="360" w:lineRule="auto"/>
        <w:ind w:firstLine="567"/>
        <w:jc w:val="both"/>
      </w:pPr>
    </w:p>
    <w:p w:rsidR="00751EDD" w:rsidRPr="008A3B57" w:rsidRDefault="00560579" w:rsidP="00632775">
      <w:pPr>
        <w:pStyle w:val="Style1-h1"/>
        <w:rPr>
          <w:lang w:val="en-US"/>
        </w:rPr>
      </w:pPr>
      <w:bookmarkStart w:id="247" w:name="_Toc311971370"/>
      <w:bookmarkStart w:id="248" w:name="_Toc311971559"/>
      <w:bookmarkStart w:id="249" w:name="_Toc311971705"/>
      <w:r w:rsidRPr="008A3B57">
        <w:t>ANOTATION</w:t>
      </w:r>
      <w:bookmarkEnd w:id="247"/>
      <w:bookmarkEnd w:id="248"/>
      <w:bookmarkEnd w:id="249"/>
    </w:p>
    <w:p w:rsidR="008A3B57" w:rsidRPr="008A3B57" w:rsidRDefault="008A3B57" w:rsidP="008A3B57">
      <w:pPr>
        <w:spacing w:line="360" w:lineRule="auto"/>
        <w:ind w:firstLine="567"/>
        <w:jc w:val="both"/>
      </w:pPr>
      <w:r w:rsidRPr="008A3B57">
        <w:t>The determinants which are effecting Lithuanian non-life insurance market are analyzed and evaluated in this Master`s work. Theoretical aspects of insurance, insurance market, definition of non-life insurance market and the information of the determinants of Lithuanian non-life insurance market are analyzed in the first part of the final work. The model of the investigation are shaped in the second part of the Master`s work as well as the reasons are explained, why expert evaluation method is selected. The third part of the work includes the analysis of the Lithuanian non-life insurance market, the econometric models which describe the non-life insurance market are composed and the determinants which effect Lithuanian non-life insurance market are indicated. Furthermore, other Lithuanian non-life insurance market determinants are indicated in this part, by using the experts’ evaluation method. Conclusions and suggestions are laid in the end of the final work.</w:t>
      </w:r>
    </w:p>
    <w:p w:rsidR="00B168E4" w:rsidRDefault="008A3B57" w:rsidP="008A3B57">
      <w:pPr>
        <w:spacing w:line="360" w:lineRule="auto"/>
        <w:ind w:firstLine="567"/>
        <w:jc w:val="both"/>
      </w:pPr>
      <w:r w:rsidRPr="008A3B57">
        <w:rPr>
          <w:b/>
        </w:rPr>
        <w:t>Key words</w:t>
      </w:r>
      <w:r w:rsidRPr="008A3B57">
        <w:t>: insurance, non-life insurance market, economic factors, experts’ evaluation.</w:t>
      </w:r>
      <w:r w:rsidR="00B168E4">
        <w:br w:type="page"/>
      </w:r>
    </w:p>
    <w:p w:rsidR="00751EDD" w:rsidRPr="00751EDD" w:rsidRDefault="00751EDD" w:rsidP="00B168E4"/>
    <w:p w:rsidR="00632775" w:rsidRDefault="00632775" w:rsidP="00632775">
      <w:pPr>
        <w:spacing w:line="360" w:lineRule="auto"/>
        <w:ind w:firstLine="567"/>
        <w:rPr>
          <w:lang w:val="lt-LT"/>
        </w:rPr>
      </w:pPr>
      <w:r w:rsidRPr="00FC2A34">
        <w:rPr>
          <w:b/>
          <w:lang w:val="lt-LT"/>
        </w:rPr>
        <w:t>Stokaitė T</w:t>
      </w:r>
      <w:r>
        <w:rPr>
          <w:lang w:val="lt-LT"/>
        </w:rPr>
        <w:t>. Lietuvos ne gyvybės draudimo rinkai įtaką darančių veiksnių vertinimas / Finansų rinkų magistro baigiamasis darbas. Vadovas doc. dr. St. Taraila. – Vilnius: Mykolo Riomerio universitetas, Ekonomikos ir finans</w:t>
      </w:r>
      <w:r w:rsidR="00C02F45">
        <w:rPr>
          <w:lang w:val="lt-LT"/>
        </w:rPr>
        <w:t>ų valdymo fakultetas, 2011. – 63</w:t>
      </w:r>
      <w:r>
        <w:rPr>
          <w:lang w:val="lt-LT"/>
        </w:rPr>
        <w:t xml:space="preserve"> p.</w:t>
      </w:r>
    </w:p>
    <w:p w:rsidR="004C3AD6" w:rsidRPr="00303A5A" w:rsidRDefault="004C3AD6" w:rsidP="005D4E5F">
      <w:pPr>
        <w:pStyle w:val="Style1-h1"/>
      </w:pPr>
      <w:bookmarkStart w:id="250" w:name="_Toc311971371"/>
      <w:bookmarkStart w:id="251" w:name="_Toc311971560"/>
      <w:bookmarkStart w:id="252" w:name="_Toc311971706"/>
      <w:r w:rsidRPr="00303A5A">
        <w:t>SANTRAUKA</w:t>
      </w:r>
      <w:bookmarkEnd w:id="246"/>
      <w:bookmarkEnd w:id="250"/>
      <w:bookmarkEnd w:id="251"/>
      <w:bookmarkEnd w:id="252"/>
    </w:p>
    <w:p w:rsidR="00632775" w:rsidRPr="004C6278" w:rsidRDefault="00632775" w:rsidP="00632775">
      <w:pPr>
        <w:autoSpaceDE w:val="0"/>
        <w:autoSpaceDN w:val="0"/>
        <w:adjustRightInd w:val="0"/>
        <w:spacing w:line="360" w:lineRule="auto"/>
        <w:ind w:firstLine="567"/>
        <w:jc w:val="both"/>
        <w:rPr>
          <w:lang w:val="lt-LT"/>
        </w:rPr>
      </w:pPr>
      <w:r>
        <w:rPr>
          <w:lang w:val="lt-LT"/>
        </w:rPr>
        <w:t>Ekonomikos pakilimo laikotarpiu,</w:t>
      </w:r>
      <w:r w:rsidRPr="004C6278">
        <w:rPr>
          <w:lang w:val="lt-LT"/>
        </w:rPr>
        <w:t xml:space="preserve"> </w:t>
      </w:r>
      <w:r>
        <w:rPr>
          <w:lang w:val="lt-LT"/>
        </w:rPr>
        <w:t>Lietuvos ne gyvybės draudimo rinka augo sparčiau, tačiau prasidėjus globaliai ekonominei krizei, ne gyvybės draudimo rinkos smukimas Lietuvoje buvo žymiai didesnis nei visos ekonomikos. Nors 2010 metais kitose sferose jau buvo galima matyti atsigavimo požymių, Lietuvos ne gyvybės draudimo rinka toliau traukėsi ir tik 2011 metų pradžioje pradėtas fiksuoti teigiamas augimas.</w:t>
      </w:r>
      <w:r w:rsidR="00061383">
        <w:rPr>
          <w:lang w:val="lt-LT"/>
        </w:rPr>
        <w:t xml:space="preserve"> </w:t>
      </w:r>
      <w:r>
        <w:rPr>
          <w:lang w:val="lt-LT"/>
        </w:rPr>
        <w:t>Šių pokyčių akivaizdoje aktualu tampa išsiaiškinti, kokie makroekonominiai veiksniai lemia pokyčius Lietuvos ne gyvybės draudimo rinkoje ir kaip galima juos įvertinti..</w:t>
      </w:r>
    </w:p>
    <w:p w:rsidR="00632775" w:rsidRPr="004C6278" w:rsidRDefault="00632775" w:rsidP="00632775">
      <w:pPr>
        <w:autoSpaceDE w:val="0"/>
        <w:autoSpaceDN w:val="0"/>
        <w:adjustRightInd w:val="0"/>
        <w:spacing w:line="360" w:lineRule="auto"/>
        <w:ind w:firstLine="567"/>
        <w:jc w:val="both"/>
        <w:rPr>
          <w:lang w:val="lt-LT"/>
        </w:rPr>
      </w:pPr>
      <w:r w:rsidRPr="004C6278">
        <w:rPr>
          <w:b/>
          <w:bCs/>
          <w:lang w:val="lt-LT"/>
        </w:rPr>
        <w:t>Tyrimo problema</w:t>
      </w:r>
      <w:r w:rsidRPr="004C6278">
        <w:rPr>
          <w:lang w:val="lt-LT"/>
        </w:rPr>
        <w:t>. Kokie makroekonominiai veiksniai ir kaip veik</w:t>
      </w:r>
      <w:r>
        <w:rPr>
          <w:lang w:val="lt-LT"/>
        </w:rPr>
        <w:t xml:space="preserve">ia ne gyvybės draudimo rinką? </w:t>
      </w:r>
      <w:r w:rsidRPr="004C6278">
        <w:rPr>
          <w:lang w:val="lt-LT"/>
        </w:rPr>
        <w:t>Kaip nustatyti</w:t>
      </w:r>
      <w:r>
        <w:rPr>
          <w:lang w:val="lt-LT"/>
        </w:rPr>
        <w:t xml:space="preserve"> ir </w:t>
      </w:r>
      <w:r w:rsidRPr="004C6278">
        <w:rPr>
          <w:lang w:val="lt-LT"/>
        </w:rPr>
        <w:t xml:space="preserve"> įvertinti </w:t>
      </w:r>
      <w:r>
        <w:rPr>
          <w:lang w:val="lt-LT"/>
        </w:rPr>
        <w:t>veiksnių reikšmingumą?</w:t>
      </w:r>
    </w:p>
    <w:p w:rsidR="00632775" w:rsidRPr="004C6278" w:rsidRDefault="00632775" w:rsidP="00632775">
      <w:pPr>
        <w:autoSpaceDE w:val="0"/>
        <w:autoSpaceDN w:val="0"/>
        <w:adjustRightInd w:val="0"/>
        <w:spacing w:line="360" w:lineRule="auto"/>
        <w:ind w:firstLine="567"/>
        <w:jc w:val="both"/>
        <w:rPr>
          <w:lang w:val="lt-LT"/>
        </w:rPr>
      </w:pPr>
      <w:r w:rsidRPr="004C6278">
        <w:rPr>
          <w:b/>
          <w:bCs/>
          <w:lang w:val="lt-LT"/>
        </w:rPr>
        <w:t xml:space="preserve">Tyrimo objektas </w:t>
      </w:r>
      <w:r w:rsidRPr="004C6278">
        <w:rPr>
          <w:lang w:val="lt-LT"/>
        </w:rPr>
        <w:t>– Lietuvos ne gyvybės draudimo rinka – pasirašytos įmokos.</w:t>
      </w:r>
    </w:p>
    <w:p w:rsidR="00632775" w:rsidRPr="004C6278" w:rsidRDefault="00632775" w:rsidP="00632775">
      <w:pPr>
        <w:autoSpaceDE w:val="0"/>
        <w:autoSpaceDN w:val="0"/>
        <w:adjustRightInd w:val="0"/>
        <w:spacing w:line="360" w:lineRule="auto"/>
        <w:ind w:firstLine="567"/>
        <w:jc w:val="both"/>
        <w:rPr>
          <w:lang w:val="lt-LT"/>
        </w:rPr>
      </w:pPr>
      <w:r w:rsidRPr="004C6278">
        <w:rPr>
          <w:b/>
          <w:bCs/>
          <w:lang w:val="lt-LT"/>
        </w:rPr>
        <w:t xml:space="preserve">Tyrimo tikslas </w:t>
      </w:r>
      <w:r w:rsidRPr="004C6278">
        <w:rPr>
          <w:lang w:val="lt-LT"/>
        </w:rPr>
        <w:t>– įvertinti kokie veiksniai daro įtaką Lietuvos ne gyvybės draudimo rink</w:t>
      </w:r>
      <w:r>
        <w:rPr>
          <w:lang w:val="lt-LT"/>
        </w:rPr>
        <w:t>ai, sudaryti modelį aprašantį Lietuvos ne gyvybės draudimo rinką</w:t>
      </w:r>
      <w:r w:rsidRPr="004C6278">
        <w:rPr>
          <w:lang w:val="lt-LT"/>
        </w:rPr>
        <w:t xml:space="preserve">.  </w:t>
      </w:r>
    </w:p>
    <w:p w:rsidR="00632775" w:rsidRPr="004C6278" w:rsidRDefault="00632775" w:rsidP="00632775">
      <w:pPr>
        <w:autoSpaceDE w:val="0"/>
        <w:autoSpaceDN w:val="0"/>
        <w:adjustRightInd w:val="0"/>
        <w:spacing w:line="360" w:lineRule="auto"/>
        <w:ind w:firstLine="567"/>
        <w:jc w:val="both"/>
        <w:rPr>
          <w:b/>
          <w:bCs/>
          <w:lang w:val="lt-LT"/>
        </w:rPr>
      </w:pPr>
      <w:r w:rsidRPr="004C6278">
        <w:rPr>
          <w:lang w:val="lt-LT"/>
        </w:rPr>
        <w:t xml:space="preserve">Norint </w:t>
      </w:r>
      <w:r w:rsidRPr="004C6278">
        <w:rPr>
          <w:rFonts w:eastAsia="TTE1799C40t00"/>
          <w:lang w:val="lt-LT"/>
        </w:rPr>
        <w:t>į</w:t>
      </w:r>
      <w:r w:rsidRPr="004C6278">
        <w:rPr>
          <w:lang w:val="lt-LT"/>
        </w:rPr>
        <w:t>gyvendinti užsibr</w:t>
      </w:r>
      <w:r w:rsidRPr="004C6278">
        <w:rPr>
          <w:rFonts w:eastAsia="TTE1799C40t00"/>
          <w:lang w:val="lt-LT"/>
        </w:rPr>
        <w:t>ė</w:t>
      </w:r>
      <w:r w:rsidRPr="004C6278">
        <w:rPr>
          <w:lang w:val="lt-LT"/>
        </w:rPr>
        <w:t>žt</w:t>
      </w:r>
      <w:r w:rsidRPr="004C6278">
        <w:rPr>
          <w:rFonts w:eastAsia="TTE1799C40t00"/>
          <w:lang w:val="lt-LT"/>
        </w:rPr>
        <w:t xml:space="preserve">ą </w:t>
      </w:r>
      <w:r w:rsidRPr="004C6278">
        <w:rPr>
          <w:lang w:val="lt-LT"/>
        </w:rPr>
        <w:t>tiksl</w:t>
      </w:r>
      <w:r w:rsidRPr="004C6278">
        <w:rPr>
          <w:rFonts w:eastAsia="TTE1799C40t00"/>
          <w:lang w:val="lt-LT"/>
        </w:rPr>
        <w:t>ą</w:t>
      </w:r>
      <w:r w:rsidRPr="004C6278">
        <w:rPr>
          <w:lang w:val="lt-LT"/>
        </w:rPr>
        <w:t xml:space="preserve">, buvo iškelti šie </w:t>
      </w:r>
      <w:r w:rsidRPr="004C6278">
        <w:rPr>
          <w:b/>
          <w:bCs/>
          <w:lang w:val="lt-LT"/>
        </w:rPr>
        <w:t>uždaviniai:</w:t>
      </w:r>
    </w:p>
    <w:p w:rsidR="00632775" w:rsidRPr="004C6278" w:rsidRDefault="00632775" w:rsidP="00632775">
      <w:pPr>
        <w:autoSpaceDE w:val="0"/>
        <w:autoSpaceDN w:val="0"/>
        <w:adjustRightInd w:val="0"/>
        <w:spacing w:line="360" w:lineRule="auto"/>
        <w:ind w:firstLine="567"/>
        <w:jc w:val="both"/>
        <w:rPr>
          <w:lang w:val="lt-LT"/>
        </w:rPr>
      </w:pPr>
      <w:r w:rsidRPr="004C6278">
        <w:rPr>
          <w:lang w:val="lt-LT"/>
        </w:rPr>
        <w:t>1. Atlikti mokslin</w:t>
      </w:r>
      <w:r w:rsidRPr="004C6278">
        <w:rPr>
          <w:rFonts w:eastAsia="TTE1799C40t00"/>
          <w:lang w:val="lt-LT"/>
        </w:rPr>
        <w:t>ė</w:t>
      </w:r>
      <w:r w:rsidRPr="004C6278">
        <w:rPr>
          <w:lang w:val="lt-LT"/>
        </w:rPr>
        <w:t>s literat</w:t>
      </w:r>
      <w:r w:rsidRPr="004C6278">
        <w:rPr>
          <w:rFonts w:eastAsia="TTE1799C40t00"/>
          <w:lang w:val="lt-LT"/>
        </w:rPr>
        <w:t>ū</w:t>
      </w:r>
      <w:r w:rsidRPr="004C6278">
        <w:rPr>
          <w:lang w:val="lt-LT"/>
        </w:rPr>
        <w:t>ros analiz</w:t>
      </w:r>
      <w:r w:rsidRPr="004C6278">
        <w:rPr>
          <w:rFonts w:eastAsia="TTE1799C40t00"/>
          <w:lang w:val="lt-LT"/>
        </w:rPr>
        <w:t>ę</w:t>
      </w:r>
      <w:r w:rsidRPr="004C6278">
        <w:rPr>
          <w:lang w:val="lt-LT"/>
        </w:rPr>
        <w:t xml:space="preserve">: </w:t>
      </w:r>
      <w:r>
        <w:rPr>
          <w:lang w:val="lt-LT"/>
        </w:rPr>
        <w:t xml:space="preserve">apžvelgti </w:t>
      </w:r>
      <w:r w:rsidRPr="004C6278">
        <w:rPr>
          <w:lang w:val="lt-LT"/>
        </w:rPr>
        <w:t>ne gyvybės draudimo rinką teoriniu aspektu.</w:t>
      </w:r>
    </w:p>
    <w:p w:rsidR="00632775" w:rsidRPr="004C6278" w:rsidRDefault="00632775" w:rsidP="00632775">
      <w:pPr>
        <w:autoSpaceDE w:val="0"/>
        <w:autoSpaceDN w:val="0"/>
        <w:adjustRightInd w:val="0"/>
        <w:spacing w:line="360" w:lineRule="auto"/>
        <w:ind w:firstLine="567"/>
        <w:jc w:val="both"/>
        <w:rPr>
          <w:lang w:val="lt-LT"/>
        </w:rPr>
      </w:pPr>
      <w:r w:rsidRPr="004C6278">
        <w:rPr>
          <w:lang w:val="lt-LT"/>
        </w:rPr>
        <w:t>2. Išanalizuoti Lietuvos ne gyvybės dr</w:t>
      </w:r>
      <w:r>
        <w:rPr>
          <w:lang w:val="lt-LT"/>
        </w:rPr>
        <w:t>audimo rinkos tendencijas</w:t>
      </w:r>
      <w:r w:rsidRPr="004C6278">
        <w:rPr>
          <w:lang w:val="lt-LT"/>
        </w:rPr>
        <w:t>.</w:t>
      </w:r>
    </w:p>
    <w:p w:rsidR="00632775" w:rsidRPr="004C6278" w:rsidRDefault="00632775" w:rsidP="00632775">
      <w:pPr>
        <w:autoSpaceDE w:val="0"/>
        <w:autoSpaceDN w:val="0"/>
        <w:adjustRightInd w:val="0"/>
        <w:spacing w:line="360" w:lineRule="auto"/>
        <w:ind w:firstLine="567"/>
        <w:jc w:val="both"/>
        <w:rPr>
          <w:lang w:val="lt-LT"/>
        </w:rPr>
      </w:pPr>
      <w:r w:rsidRPr="004C6278">
        <w:rPr>
          <w:lang w:val="lt-LT"/>
        </w:rPr>
        <w:t>3. Sudaryti Lietuvos ne gyvybės draudimo rinkos pasirašytas įmokas aprašantį modelį.</w:t>
      </w:r>
    </w:p>
    <w:p w:rsidR="00632775" w:rsidRPr="004C6278" w:rsidRDefault="00632775" w:rsidP="00632775">
      <w:pPr>
        <w:autoSpaceDE w:val="0"/>
        <w:autoSpaceDN w:val="0"/>
        <w:adjustRightInd w:val="0"/>
        <w:spacing w:line="360" w:lineRule="auto"/>
        <w:ind w:firstLine="567"/>
        <w:jc w:val="both"/>
        <w:rPr>
          <w:lang w:val="lt-LT"/>
        </w:rPr>
      </w:pPr>
      <w:r w:rsidRPr="004C6278">
        <w:rPr>
          <w:lang w:val="lt-LT"/>
        </w:rPr>
        <w:t>4. Atlikti ekspertinį vertinimą ir nustatyti veiksnius darančius įtaką ne gyvybės draudimo rinkai.</w:t>
      </w:r>
    </w:p>
    <w:p w:rsidR="00632775" w:rsidRDefault="00632775" w:rsidP="00632775">
      <w:pPr>
        <w:autoSpaceDE w:val="0"/>
        <w:autoSpaceDN w:val="0"/>
        <w:adjustRightInd w:val="0"/>
        <w:spacing w:line="360" w:lineRule="auto"/>
        <w:ind w:firstLine="567"/>
        <w:jc w:val="both"/>
        <w:rPr>
          <w:lang w:val="lt-LT"/>
        </w:rPr>
      </w:pPr>
      <w:r w:rsidRPr="004C6278">
        <w:rPr>
          <w:lang w:val="lt-LT"/>
        </w:rPr>
        <w:t>Mag</w:t>
      </w:r>
      <w:r>
        <w:rPr>
          <w:lang w:val="lt-LT"/>
        </w:rPr>
        <w:t>istro baigiamajame darbe iškeltos dvi hipotezės:</w:t>
      </w:r>
    </w:p>
    <w:p w:rsidR="00632775" w:rsidRDefault="00632775" w:rsidP="00632775">
      <w:pPr>
        <w:autoSpaceDE w:val="0"/>
        <w:autoSpaceDN w:val="0"/>
        <w:adjustRightInd w:val="0"/>
        <w:spacing w:line="360" w:lineRule="auto"/>
        <w:ind w:firstLine="567"/>
        <w:jc w:val="both"/>
        <w:rPr>
          <w:rFonts w:eastAsia="TTE1BE0508t00"/>
          <w:lang w:val="lt-LT"/>
        </w:rPr>
      </w:pPr>
      <w:r>
        <w:rPr>
          <w:b/>
          <w:bCs/>
          <w:lang w:val="lt-LT"/>
        </w:rPr>
        <w:t>H</w:t>
      </w:r>
      <w:r w:rsidRPr="003622F9">
        <w:rPr>
          <w:b/>
          <w:bCs/>
          <w:lang w:val="lt-LT"/>
        </w:rPr>
        <w:t>ipotezė</w:t>
      </w:r>
      <w:r>
        <w:rPr>
          <w:b/>
          <w:bCs/>
          <w:lang w:val="lt-LT"/>
        </w:rPr>
        <w:t>:</w:t>
      </w:r>
      <w:r w:rsidRPr="004C6278">
        <w:rPr>
          <w:rFonts w:eastAsia="TTE1BE0508t00"/>
          <w:lang w:val="lt-LT"/>
        </w:rPr>
        <w:t xml:space="preserve"> </w:t>
      </w:r>
      <w:r w:rsidRPr="003622F9">
        <w:rPr>
          <w:rFonts w:eastAsia="TTE1BE0508t00"/>
          <w:b/>
          <w:lang w:val="lt-LT"/>
        </w:rPr>
        <w:t>H</w:t>
      </w:r>
      <w:r>
        <w:rPr>
          <w:rFonts w:eastAsia="TTE1BE0508t00"/>
          <w:b/>
          <w:vertAlign w:val="subscript"/>
          <w:lang w:val="lt-LT"/>
        </w:rPr>
        <w:t xml:space="preserve">1 </w:t>
      </w:r>
      <w:r>
        <w:rPr>
          <w:rFonts w:eastAsia="TTE1BE0508t00"/>
          <w:lang w:val="lt-LT"/>
        </w:rPr>
        <w:t>–</w:t>
      </w:r>
      <w:r w:rsidRPr="004C6278">
        <w:rPr>
          <w:rFonts w:eastAsia="TTE1BE0508t00"/>
          <w:lang w:val="lt-LT"/>
        </w:rPr>
        <w:t xml:space="preserve"> </w:t>
      </w:r>
      <w:r>
        <w:rPr>
          <w:rFonts w:eastAsia="TTE1BE0508t00"/>
          <w:lang w:val="lt-LT"/>
        </w:rPr>
        <w:t>Lietuvos ne gyvybės draudimo pasirašytoms įmokoms įtaką daro pirmą kartą užregistruotų automobilių skaičius šalyje.</w:t>
      </w:r>
    </w:p>
    <w:p w:rsidR="00632775" w:rsidRPr="004C6278" w:rsidRDefault="00632775" w:rsidP="00632775">
      <w:pPr>
        <w:autoSpaceDE w:val="0"/>
        <w:autoSpaceDN w:val="0"/>
        <w:adjustRightInd w:val="0"/>
        <w:spacing w:line="360" w:lineRule="auto"/>
        <w:ind w:firstLine="567"/>
        <w:jc w:val="both"/>
        <w:rPr>
          <w:lang w:val="lt-LT"/>
        </w:rPr>
      </w:pPr>
      <w:r w:rsidRPr="003622F9">
        <w:rPr>
          <w:rFonts w:eastAsia="TTE1BE0508t00"/>
          <w:b/>
          <w:lang w:val="lt-LT"/>
        </w:rPr>
        <w:t>Hipotezė: H</w:t>
      </w:r>
      <w:r w:rsidRPr="003622F9">
        <w:rPr>
          <w:rFonts w:eastAsia="TTE1BE0508t00"/>
          <w:b/>
          <w:vertAlign w:val="subscript"/>
          <w:lang w:val="lt-LT"/>
        </w:rPr>
        <w:t>2</w:t>
      </w:r>
      <w:r>
        <w:rPr>
          <w:rFonts w:eastAsia="TTE1BE0508t00"/>
          <w:lang w:val="lt-LT"/>
        </w:rPr>
        <w:t xml:space="preserve"> – Lietuvos ne gyvybės draudimo rinkai įtaką daro ne</w:t>
      </w:r>
      <w:r w:rsidR="001C2282">
        <w:rPr>
          <w:rFonts w:eastAsia="TTE1BE0508t00"/>
          <w:lang w:val="lt-LT"/>
        </w:rPr>
        <w:t xml:space="preserve"> tik makroekonominiai veiksniai, bet ir </w:t>
      </w:r>
      <w:r w:rsidR="006E673D">
        <w:rPr>
          <w:rFonts w:eastAsia="TTE1BE0508t00"/>
          <w:lang w:val="lt-LT"/>
        </w:rPr>
        <w:t>teisiniai bei socialiniai</w:t>
      </w:r>
      <w:r w:rsidR="001C2282">
        <w:rPr>
          <w:rFonts w:eastAsia="TTE1BE0508t00"/>
          <w:lang w:val="lt-LT"/>
        </w:rPr>
        <w:t xml:space="preserve"> veiksniai.</w:t>
      </w:r>
    </w:p>
    <w:p w:rsidR="00632775" w:rsidRPr="004C6278" w:rsidRDefault="00632775" w:rsidP="00632775">
      <w:pPr>
        <w:autoSpaceDE w:val="0"/>
        <w:autoSpaceDN w:val="0"/>
        <w:adjustRightInd w:val="0"/>
        <w:spacing w:line="360" w:lineRule="auto"/>
        <w:ind w:firstLine="567"/>
        <w:jc w:val="both"/>
        <w:rPr>
          <w:lang w:val="lt-LT"/>
        </w:rPr>
      </w:pPr>
      <w:r w:rsidRPr="004C6278">
        <w:rPr>
          <w:b/>
          <w:bCs/>
          <w:lang w:val="lt-LT"/>
        </w:rPr>
        <w:t>Tyrimo metodai</w:t>
      </w:r>
      <w:r w:rsidRPr="004C6278">
        <w:rPr>
          <w:lang w:val="lt-LT"/>
        </w:rPr>
        <w:t>. Sistemin</w:t>
      </w:r>
      <w:r w:rsidRPr="004C6278">
        <w:rPr>
          <w:rFonts w:eastAsia="TTE1799C40t00"/>
          <w:lang w:val="lt-LT"/>
        </w:rPr>
        <w:t xml:space="preserve">ė </w:t>
      </w:r>
      <w:r w:rsidRPr="004C6278">
        <w:rPr>
          <w:lang w:val="lt-LT"/>
        </w:rPr>
        <w:t>mokslin</w:t>
      </w:r>
      <w:r w:rsidRPr="004C6278">
        <w:rPr>
          <w:rFonts w:eastAsia="TTE1799C40t00"/>
          <w:lang w:val="lt-LT"/>
        </w:rPr>
        <w:t>ė</w:t>
      </w:r>
      <w:r w:rsidRPr="004C6278">
        <w:rPr>
          <w:lang w:val="lt-LT"/>
        </w:rPr>
        <w:t>s literat</w:t>
      </w:r>
      <w:r w:rsidRPr="004C6278">
        <w:rPr>
          <w:rFonts w:eastAsia="TTE1799C40t00"/>
          <w:lang w:val="lt-LT"/>
        </w:rPr>
        <w:t>ū</w:t>
      </w:r>
      <w:r w:rsidRPr="004C6278">
        <w:rPr>
          <w:lang w:val="lt-LT"/>
        </w:rPr>
        <w:t xml:space="preserve">ros, </w:t>
      </w:r>
      <w:r w:rsidRPr="004C6278">
        <w:rPr>
          <w:rFonts w:eastAsia="TTE1799C40t00"/>
          <w:lang w:val="lt-LT"/>
        </w:rPr>
        <w:t xml:space="preserve">Lietuvos ne gyvybės draudimo rinkos tendencijų </w:t>
      </w:r>
      <w:r w:rsidRPr="004C6278">
        <w:rPr>
          <w:lang w:val="lt-LT"/>
        </w:rPr>
        <w:t>analiz</w:t>
      </w:r>
      <w:r w:rsidRPr="004C6278">
        <w:rPr>
          <w:rFonts w:eastAsia="TTE1799C40t00"/>
          <w:lang w:val="lt-LT"/>
        </w:rPr>
        <w:t xml:space="preserve">ė </w:t>
      </w:r>
      <w:r w:rsidRPr="004C6278">
        <w:rPr>
          <w:lang w:val="lt-LT"/>
        </w:rPr>
        <w:t>ir apibendrinimas, koreliacin</w:t>
      </w:r>
      <w:r w:rsidRPr="004C6278">
        <w:rPr>
          <w:rFonts w:eastAsia="TTE1799C40t00"/>
          <w:lang w:val="lt-LT"/>
        </w:rPr>
        <w:t xml:space="preserve">ė - </w:t>
      </w:r>
      <w:r w:rsidRPr="004C6278">
        <w:rPr>
          <w:lang w:val="lt-LT"/>
        </w:rPr>
        <w:t>regresin</w:t>
      </w:r>
      <w:r w:rsidRPr="004C6278">
        <w:rPr>
          <w:rFonts w:eastAsia="TTE1799C40t00"/>
          <w:lang w:val="lt-LT"/>
        </w:rPr>
        <w:t xml:space="preserve">ė </w:t>
      </w:r>
      <w:r w:rsidRPr="004C6278">
        <w:rPr>
          <w:lang w:val="lt-LT"/>
        </w:rPr>
        <w:t>analiz</w:t>
      </w:r>
      <w:r w:rsidRPr="004C6278">
        <w:rPr>
          <w:rFonts w:eastAsia="TTE1799C40t00"/>
          <w:lang w:val="lt-LT"/>
        </w:rPr>
        <w:t>ė</w:t>
      </w:r>
      <w:r>
        <w:rPr>
          <w:lang w:val="lt-LT"/>
        </w:rPr>
        <w:t>, ekspertinio vertinimo metodas.</w:t>
      </w:r>
    </w:p>
    <w:p w:rsidR="00632775" w:rsidRDefault="00632775" w:rsidP="00577784">
      <w:pPr>
        <w:autoSpaceDE w:val="0"/>
        <w:autoSpaceDN w:val="0"/>
        <w:adjustRightInd w:val="0"/>
        <w:spacing w:line="360" w:lineRule="auto"/>
        <w:ind w:firstLine="567"/>
        <w:jc w:val="both"/>
        <w:rPr>
          <w:lang w:val="lt-LT"/>
        </w:rPr>
      </w:pPr>
      <w:r w:rsidRPr="004C6278">
        <w:rPr>
          <w:b/>
          <w:bCs/>
          <w:lang w:val="lt-LT"/>
        </w:rPr>
        <w:t xml:space="preserve">Darbo </w:t>
      </w:r>
      <w:r w:rsidR="00577784">
        <w:rPr>
          <w:b/>
          <w:bCs/>
          <w:lang w:val="lt-LT"/>
        </w:rPr>
        <w:t>rezultatai.</w:t>
      </w:r>
      <w:r w:rsidRPr="004C6278">
        <w:rPr>
          <w:b/>
          <w:bCs/>
          <w:lang w:val="lt-LT"/>
        </w:rPr>
        <w:t xml:space="preserve"> </w:t>
      </w:r>
      <w:r w:rsidR="00577784">
        <w:rPr>
          <w:lang w:val="lt-LT"/>
        </w:rPr>
        <w:t>A</w:t>
      </w:r>
      <w:r>
        <w:rPr>
          <w:lang w:val="lt-LT"/>
        </w:rPr>
        <w:t>pibrėžta</w:t>
      </w:r>
      <w:r w:rsidRPr="004C6278">
        <w:rPr>
          <w:lang w:val="lt-LT"/>
        </w:rPr>
        <w:t xml:space="preserve"> draudimo ir draudimo rinkos sampratos, klasifikavimas bei pagrindiniai bruožai, </w:t>
      </w:r>
      <w:r>
        <w:rPr>
          <w:lang w:val="lt-LT"/>
        </w:rPr>
        <w:t xml:space="preserve">išanalizuota informacija </w:t>
      </w:r>
      <w:r w:rsidRPr="004C6278">
        <w:rPr>
          <w:lang w:val="lt-LT"/>
        </w:rPr>
        <w:t xml:space="preserve">apie atliktus tyrimus ne gyvybės draudimo srityje bei </w:t>
      </w:r>
      <w:r w:rsidR="00577784">
        <w:rPr>
          <w:lang w:val="lt-LT"/>
        </w:rPr>
        <w:t xml:space="preserve">nustatyta, kad </w:t>
      </w:r>
      <w:r w:rsidRPr="004C6278">
        <w:rPr>
          <w:lang w:val="lt-LT"/>
        </w:rPr>
        <w:t>ne gyvybės draudimo rinkai</w:t>
      </w:r>
      <w:r w:rsidR="00577784">
        <w:rPr>
          <w:lang w:val="lt-LT"/>
        </w:rPr>
        <w:t xml:space="preserve"> </w:t>
      </w:r>
      <w:r w:rsidR="00577784" w:rsidRPr="004C6278">
        <w:rPr>
          <w:lang w:val="lt-LT"/>
        </w:rPr>
        <w:t>darantys įtaką</w:t>
      </w:r>
      <w:r w:rsidR="00577784" w:rsidRPr="00577784">
        <w:rPr>
          <w:lang w:val="lt-LT"/>
        </w:rPr>
        <w:t xml:space="preserve"> </w:t>
      </w:r>
      <w:r w:rsidR="00577784" w:rsidRPr="004C6278">
        <w:rPr>
          <w:lang w:val="lt-LT"/>
        </w:rPr>
        <w:t>veiksniai</w:t>
      </w:r>
      <w:r w:rsidR="00577784">
        <w:rPr>
          <w:lang w:val="lt-LT"/>
        </w:rPr>
        <w:t xml:space="preserve"> yra ekonominiai, teisiniai, politiniai</w:t>
      </w:r>
      <w:r w:rsidRPr="004C6278">
        <w:rPr>
          <w:lang w:val="lt-LT"/>
        </w:rPr>
        <w:t>. Analitin</w:t>
      </w:r>
      <w:r w:rsidRPr="004C6278">
        <w:rPr>
          <w:rFonts w:eastAsia="TTE1799C40t00"/>
          <w:lang w:val="lt-LT"/>
        </w:rPr>
        <w:t>ė</w:t>
      </w:r>
      <w:r w:rsidRPr="004C6278">
        <w:rPr>
          <w:lang w:val="lt-LT"/>
        </w:rPr>
        <w:t>je darbo dalyje apžvelgtos Lietuvos ne gyvy</w:t>
      </w:r>
      <w:r>
        <w:rPr>
          <w:lang w:val="lt-LT"/>
        </w:rPr>
        <w:t>bės draudimo rinkos tendencijos</w:t>
      </w:r>
      <w:r w:rsidR="00577784">
        <w:rPr>
          <w:lang w:val="lt-LT"/>
        </w:rPr>
        <w:t>, nustatyta, kad Lietuvos ne gyvybės draudimo rinka atsigauna po nuosmukio laikotarpio.</w:t>
      </w:r>
      <w:r w:rsidRPr="004C6278">
        <w:rPr>
          <w:lang w:val="lt-LT"/>
        </w:rPr>
        <w:t xml:space="preserve"> </w:t>
      </w:r>
      <w:r w:rsidR="00577784">
        <w:rPr>
          <w:lang w:val="lt-LT"/>
        </w:rPr>
        <w:t xml:space="preserve">Sudaryti </w:t>
      </w:r>
      <w:r w:rsidR="00577784">
        <w:rPr>
          <w:lang w:val="lt-LT"/>
        </w:rPr>
        <w:lastRenderedPageBreak/>
        <w:t>ekonometriniai modeliai parodė, kad svarbiausias veikinys, nuo kurio priklauso ne gyvybės draudimo rinka – BVP vienam gyventojui. Atliktas ekspertinis vertinimas parodė, kad didelę įtaką Lietuvos draudimo rinkai turi požiūris į draudimą.</w:t>
      </w:r>
    </w:p>
    <w:p w:rsidR="00577784" w:rsidRPr="00577784" w:rsidRDefault="00577784" w:rsidP="00577784">
      <w:pPr>
        <w:autoSpaceDE w:val="0"/>
        <w:autoSpaceDN w:val="0"/>
        <w:adjustRightInd w:val="0"/>
        <w:spacing w:line="360" w:lineRule="auto"/>
        <w:ind w:firstLine="567"/>
        <w:jc w:val="both"/>
        <w:rPr>
          <w:sz w:val="23"/>
          <w:szCs w:val="23"/>
          <w:lang w:val="lt-LT"/>
        </w:rPr>
      </w:pPr>
      <w:r w:rsidRPr="00577784">
        <w:rPr>
          <w:b/>
          <w:lang w:val="lt-LT"/>
        </w:rPr>
        <w:t>Darbo struktūra.</w:t>
      </w:r>
      <w:r>
        <w:rPr>
          <w:lang w:val="lt-LT"/>
        </w:rPr>
        <w:t xml:space="preserve"> </w:t>
      </w:r>
      <w:r w:rsidRPr="00577784">
        <w:rPr>
          <w:sz w:val="23"/>
          <w:szCs w:val="23"/>
          <w:lang w:val="lt-LT"/>
        </w:rPr>
        <w:t>Baigiam</w:t>
      </w:r>
      <w:r w:rsidRPr="00577784">
        <w:rPr>
          <w:rFonts w:ascii="TTE1799C40t00" w:eastAsia="TTE1799C40t00" w:cs="TTE1799C40t00" w:hint="eastAsia"/>
          <w:sz w:val="23"/>
          <w:szCs w:val="23"/>
          <w:lang w:val="lt-LT"/>
        </w:rPr>
        <w:t>ą</w:t>
      </w:r>
      <w:r w:rsidRPr="00577784">
        <w:rPr>
          <w:sz w:val="23"/>
          <w:szCs w:val="23"/>
          <w:lang w:val="lt-LT"/>
        </w:rPr>
        <w:t>j</w:t>
      </w:r>
      <w:r w:rsidRPr="00577784">
        <w:rPr>
          <w:rFonts w:ascii="TTE1799C40t00" w:eastAsia="TTE1799C40t00" w:cs="TTE1799C40t00" w:hint="eastAsia"/>
          <w:sz w:val="23"/>
          <w:szCs w:val="23"/>
          <w:lang w:val="lt-LT"/>
        </w:rPr>
        <w:t>į</w:t>
      </w:r>
      <w:r w:rsidRPr="00577784">
        <w:rPr>
          <w:rFonts w:ascii="TTE1799C40t00" w:eastAsia="TTE1799C40t00" w:cs="TTE1799C40t00"/>
          <w:sz w:val="23"/>
          <w:szCs w:val="23"/>
          <w:lang w:val="lt-LT"/>
        </w:rPr>
        <w:t xml:space="preserve"> </w:t>
      </w:r>
      <w:r w:rsidRPr="00577784">
        <w:rPr>
          <w:sz w:val="23"/>
          <w:szCs w:val="23"/>
          <w:lang w:val="lt-LT"/>
        </w:rPr>
        <w:t>magistro darb</w:t>
      </w:r>
      <w:r w:rsidRPr="00577784">
        <w:rPr>
          <w:rFonts w:ascii="TTE1799C40t00" w:eastAsia="TTE1799C40t00" w:cs="TTE1799C40t00" w:hint="eastAsia"/>
          <w:sz w:val="23"/>
          <w:szCs w:val="23"/>
          <w:lang w:val="lt-LT"/>
        </w:rPr>
        <w:t>ą</w:t>
      </w:r>
      <w:r w:rsidRPr="00577784">
        <w:rPr>
          <w:rFonts w:ascii="TTE1799C40t00" w:eastAsia="TTE1799C40t00" w:cs="TTE1799C40t00"/>
          <w:sz w:val="23"/>
          <w:szCs w:val="23"/>
          <w:lang w:val="lt-LT"/>
        </w:rPr>
        <w:t xml:space="preserve"> </w:t>
      </w:r>
      <w:r w:rsidRPr="00577784">
        <w:rPr>
          <w:sz w:val="23"/>
          <w:szCs w:val="23"/>
          <w:lang w:val="lt-LT"/>
        </w:rPr>
        <w:t>sudaro turinys, lenteli</w:t>
      </w:r>
      <w:r w:rsidRPr="00577784">
        <w:rPr>
          <w:rFonts w:ascii="TTE1799C40t00" w:eastAsia="TTE1799C40t00" w:cs="TTE1799C40t00" w:hint="eastAsia"/>
          <w:sz w:val="23"/>
          <w:szCs w:val="23"/>
          <w:lang w:val="lt-LT"/>
        </w:rPr>
        <w:t>ų</w:t>
      </w:r>
      <w:r w:rsidRPr="00577784">
        <w:rPr>
          <w:rFonts w:ascii="TTE1799C40t00" w:eastAsia="TTE1799C40t00" w:cs="TTE1799C40t00"/>
          <w:sz w:val="23"/>
          <w:szCs w:val="23"/>
          <w:lang w:val="lt-LT"/>
        </w:rPr>
        <w:t xml:space="preserve"> </w:t>
      </w:r>
      <w:r w:rsidRPr="00577784">
        <w:rPr>
          <w:sz w:val="23"/>
          <w:szCs w:val="23"/>
          <w:lang w:val="lt-LT"/>
        </w:rPr>
        <w:t>ir paveiksl</w:t>
      </w:r>
      <w:r w:rsidRPr="00577784">
        <w:rPr>
          <w:rFonts w:ascii="TTE1799C40t00" w:eastAsia="TTE1799C40t00" w:cs="TTE1799C40t00" w:hint="eastAsia"/>
          <w:sz w:val="23"/>
          <w:szCs w:val="23"/>
          <w:lang w:val="lt-LT"/>
        </w:rPr>
        <w:t>ų</w:t>
      </w:r>
      <w:r w:rsidRPr="00577784">
        <w:rPr>
          <w:rFonts w:ascii="TTE1799C40t00" w:eastAsia="TTE1799C40t00" w:cs="TTE1799C40t00"/>
          <w:sz w:val="23"/>
          <w:szCs w:val="23"/>
          <w:lang w:val="lt-LT"/>
        </w:rPr>
        <w:t xml:space="preserve"> </w:t>
      </w:r>
      <w:r w:rsidRPr="00577784">
        <w:rPr>
          <w:sz w:val="23"/>
          <w:szCs w:val="23"/>
          <w:lang w:val="lt-LT"/>
        </w:rPr>
        <w:t>s</w:t>
      </w:r>
      <w:r w:rsidRPr="00577784">
        <w:rPr>
          <w:rFonts w:ascii="TTE1799C40t00" w:eastAsia="TTE1799C40t00" w:cs="TTE1799C40t00" w:hint="eastAsia"/>
          <w:sz w:val="23"/>
          <w:szCs w:val="23"/>
          <w:lang w:val="lt-LT"/>
        </w:rPr>
        <w:t>ą</w:t>
      </w:r>
      <w:r w:rsidRPr="00577784">
        <w:rPr>
          <w:sz w:val="23"/>
          <w:szCs w:val="23"/>
          <w:lang w:val="lt-LT"/>
        </w:rPr>
        <w:t xml:space="preserve">rašai, </w:t>
      </w:r>
      <w:r w:rsidRPr="00577784">
        <w:rPr>
          <w:rFonts w:ascii="TTE1799C40t00" w:eastAsia="TTE1799C40t00" w:cs="TTE1799C40t00" w:hint="eastAsia"/>
          <w:sz w:val="23"/>
          <w:szCs w:val="23"/>
          <w:lang w:val="lt-LT"/>
        </w:rPr>
        <w:t>į</w:t>
      </w:r>
      <w:r w:rsidRPr="00577784">
        <w:rPr>
          <w:sz w:val="23"/>
          <w:szCs w:val="23"/>
          <w:lang w:val="lt-LT"/>
        </w:rPr>
        <w:t>vadas,</w:t>
      </w:r>
      <w:r>
        <w:rPr>
          <w:sz w:val="23"/>
          <w:szCs w:val="23"/>
          <w:lang w:val="lt-LT"/>
        </w:rPr>
        <w:t xml:space="preserve"> </w:t>
      </w:r>
      <w:r w:rsidRPr="00577784">
        <w:rPr>
          <w:sz w:val="23"/>
          <w:szCs w:val="23"/>
          <w:lang w:val="lt-LT"/>
        </w:rPr>
        <w:t xml:space="preserve">trys skyriai, išvados ir </w:t>
      </w:r>
      <w:r>
        <w:rPr>
          <w:sz w:val="23"/>
          <w:szCs w:val="23"/>
          <w:lang w:val="lt-LT"/>
        </w:rPr>
        <w:t>rekomendacijos</w:t>
      </w:r>
      <w:r w:rsidRPr="00577784">
        <w:rPr>
          <w:sz w:val="23"/>
          <w:szCs w:val="23"/>
          <w:lang w:val="lt-LT"/>
        </w:rPr>
        <w:t>, literat</w:t>
      </w:r>
      <w:r w:rsidRPr="00577784">
        <w:rPr>
          <w:rFonts w:ascii="TTE1799C40t00" w:eastAsia="TTE1799C40t00" w:cs="TTE1799C40t00" w:hint="eastAsia"/>
          <w:sz w:val="23"/>
          <w:szCs w:val="23"/>
          <w:lang w:val="lt-LT"/>
        </w:rPr>
        <w:t>ū</w:t>
      </w:r>
      <w:r w:rsidRPr="00577784">
        <w:rPr>
          <w:sz w:val="23"/>
          <w:szCs w:val="23"/>
          <w:lang w:val="lt-LT"/>
        </w:rPr>
        <w:t>ros šaltini</w:t>
      </w:r>
      <w:r w:rsidRPr="00577784">
        <w:rPr>
          <w:rFonts w:ascii="TTE1799C40t00" w:eastAsia="TTE1799C40t00" w:cs="TTE1799C40t00" w:hint="eastAsia"/>
          <w:sz w:val="23"/>
          <w:szCs w:val="23"/>
          <w:lang w:val="lt-LT"/>
        </w:rPr>
        <w:t>ų</w:t>
      </w:r>
      <w:r w:rsidRPr="00577784">
        <w:rPr>
          <w:rFonts w:ascii="TTE1799C40t00" w:eastAsia="TTE1799C40t00" w:cs="TTE1799C40t00"/>
          <w:sz w:val="23"/>
          <w:szCs w:val="23"/>
          <w:lang w:val="lt-LT"/>
        </w:rPr>
        <w:t xml:space="preserve"> </w:t>
      </w:r>
      <w:r w:rsidRPr="00577784">
        <w:rPr>
          <w:sz w:val="23"/>
          <w:szCs w:val="23"/>
          <w:lang w:val="lt-LT"/>
        </w:rPr>
        <w:t>s</w:t>
      </w:r>
      <w:r w:rsidRPr="00577784">
        <w:rPr>
          <w:rFonts w:ascii="TTE1799C40t00" w:eastAsia="TTE1799C40t00" w:cs="TTE1799C40t00" w:hint="eastAsia"/>
          <w:sz w:val="23"/>
          <w:szCs w:val="23"/>
          <w:lang w:val="lt-LT"/>
        </w:rPr>
        <w:t>ą</w:t>
      </w:r>
      <w:r w:rsidRPr="00577784">
        <w:rPr>
          <w:sz w:val="23"/>
          <w:szCs w:val="23"/>
          <w:lang w:val="lt-LT"/>
        </w:rPr>
        <w:t>rašas, anotacija lietuvi</w:t>
      </w:r>
      <w:r w:rsidRPr="00577784">
        <w:rPr>
          <w:rFonts w:ascii="TTE1799C40t00" w:eastAsia="TTE1799C40t00" w:cs="TTE1799C40t00" w:hint="eastAsia"/>
          <w:sz w:val="23"/>
          <w:szCs w:val="23"/>
          <w:lang w:val="lt-LT"/>
        </w:rPr>
        <w:t>ų</w:t>
      </w:r>
      <w:r w:rsidRPr="00577784">
        <w:rPr>
          <w:rFonts w:ascii="TTE1799C40t00" w:eastAsia="TTE1799C40t00" w:cs="TTE1799C40t00"/>
          <w:sz w:val="23"/>
          <w:szCs w:val="23"/>
          <w:lang w:val="lt-LT"/>
        </w:rPr>
        <w:t xml:space="preserve"> </w:t>
      </w:r>
      <w:r w:rsidRPr="00577784">
        <w:rPr>
          <w:sz w:val="23"/>
          <w:szCs w:val="23"/>
          <w:lang w:val="lt-LT"/>
        </w:rPr>
        <w:t>ir angl</w:t>
      </w:r>
      <w:r w:rsidRPr="00577784">
        <w:rPr>
          <w:rFonts w:ascii="TTE1799C40t00" w:eastAsia="TTE1799C40t00" w:cs="TTE1799C40t00" w:hint="eastAsia"/>
          <w:sz w:val="23"/>
          <w:szCs w:val="23"/>
          <w:lang w:val="lt-LT"/>
        </w:rPr>
        <w:t>ų</w:t>
      </w:r>
      <w:r w:rsidRPr="00577784">
        <w:rPr>
          <w:rFonts w:ascii="TTE1799C40t00" w:eastAsia="TTE1799C40t00" w:cs="TTE1799C40t00"/>
          <w:sz w:val="23"/>
          <w:szCs w:val="23"/>
          <w:lang w:val="lt-LT"/>
        </w:rPr>
        <w:t xml:space="preserve"> </w:t>
      </w:r>
      <w:r>
        <w:rPr>
          <w:sz w:val="23"/>
          <w:szCs w:val="23"/>
          <w:lang w:val="lt-LT"/>
        </w:rPr>
        <w:t xml:space="preserve">kalbomis, santrauka </w:t>
      </w:r>
      <w:r w:rsidRPr="00577784">
        <w:rPr>
          <w:sz w:val="23"/>
          <w:szCs w:val="23"/>
          <w:lang w:val="lt-LT"/>
        </w:rPr>
        <w:t>lietuvi</w:t>
      </w:r>
      <w:r w:rsidRPr="00577784">
        <w:rPr>
          <w:rFonts w:ascii="TTE1799C40t00" w:eastAsia="TTE1799C40t00" w:cs="TTE1799C40t00" w:hint="eastAsia"/>
          <w:sz w:val="23"/>
          <w:szCs w:val="23"/>
          <w:lang w:val="lt-LT"/>
        </w:rPr>
        <w:t>ų</w:t>
      </w:r>
      <w:r w:rsidRPr="00577784">
        <w:rPr>
          <w:rFonts w:ascii="TTE1799C40t00" w:eastAsia="TTE1799C40t00" w:cs="TTE1799C40t00"/>
          <w:sz w:val="23"/>
          <w:szCs w:val="23"/>
          <w:lang w:val="lt-LT"/>
        </w:rPr>
        <w:t xml:space="preserve"> </w:t>
      </w:r>
      <w:r w:rsidRPr="00577784">
        <w:rPr>
          <w:sz w:val="23"/>
          <w:szCs w:val="23"/>
          <w:lang w:val="lt-LT"/>
        </w:rPr>
        <w:t>ir angl</w:t>
      </w:r>
      <w:r w:rsidRPr="00577784">
        <w:rPr>
          <w:rFonts w:ascii="TTE1799C40t00" w:eastAsia="TTE1799C40t00" w:cs="TTE1799C40t00" w:hint="eastAsia"/>
          <w:sz w:val="23"/>
          <w:szCs w:val="23"/>
          <w:lang w:val="lt-LT"/>
        </w:rPr>
        <w:t>ų</w:t>
      </w:r>
      <w:r w:rsidRPr="00577784">
        <w:rPr>
          <w:rFonts w:ascii="TTE1799C40t00" w:eastAsia="TTE1799C40t00" w:cs="TTE1799C40t00"/>
          <w:sz w:val="23"/>
          <w:szCs w:val="23"/>
          <w:lang w:val="lt-LT"/>
        </w:rPr>
        <w:t xml:space="preserve"> </w:t>
      </w:r>
      <w:r w:rsidRPr="00577784">
        <w:rPr>
          <w:sz w:val="23"/>
          <w:szCs w:val="23"/>
          <w:lang w:val="lt-LT"/>
        </w:rPr>
        <w:t>kalbomis.</w:t>
      </w:r>
    </w:p>
    <w:p w:rsidR="004C3AD6" w:rsidRPr="00303A5A" w:rsidRDefault="004C3AD6" w:rsidP="005D4E5F">
      <w:pPr>
        <w:pStyle w:val="Style1-h2"/>
      </w:pPr>
      <w:r w:rsidRPr="00303A5A">
        <w:br w:type="page"/>
      </w:r>
    </w:p>
    <w:p w:rsidR="00577784" w:rsidRDefault="00577784" w:rsidP="00577784">
      <w:pPr>
        <w:spacing w:line="360" w:lineRule="auto"/>
        <w:ind w:firstLine="567"/>
        <w:jc w:val="both"/>
      </w:pPr>
      <w:bookmarkStart w:id="253" w:name="_Toc309559999"/>
      <w:r w:rsidRPr="00577784">
        <w:rPr>
          <w:b/>
        </w:rPr>
        <w:lastRenderedPageBreak/>
        <w:t>Stokaitė T.</w:t>
      </w:r>
      <w:r w:rsidRPr="00577784">
        <w:t xml:space="preserve">  </w:t>
      </w:r>
      <w:r w:rsidRPr="00751EDD">
        <w:t xml:space="preserve">The evaluation of determinants </w:t>
      </w:r>
      <w:r w:rsidR="007B51D7">
        <w:t xml:space="preserve">which influence </w:t>
      </w:r>
      <w:r>
        <w:t>Lithuanian non-life insurance market / Master’s Work in Finance Markets. Supervisor doc. dr. St. Taraila. – Vilnius: Faculty of Economics and Finance Management, Mykolas</w:t>
      </w:r>
      <w:r w:rsidR="00C02F45">
        <w:t xml:space="preserve"> Riomeris University, 2011. – 63</w:t>
      </w:r>
      <w:r>
        <w:t xml:space="preserve"> p.</w:t>
      </w:r>
    </w:p>
    <w:p w:rsidR="00577784" w:rsidRPr="00577784" w:rsidRDefault="00577784" w:rsidP="005D4E5F">
      <w:pPr>
        <w:pStyle w:val="Style1-h1"/>
        <w:rPr>
          <w:lang w:val="en-US"/>
        </w:rPr>
      </w:pPr>
    </w:p>
    <w:p w:rsidR="00C704D7" w:rsidRPr="00577784" w:rsidRDefault="00560579" w:rsidP="00577784">
      <w:pPr>
        <w:pStyle w:val="Style1-h1"/>
      </w:pPr>
      <w:bookmarkStart w:id="254" w:name="_Toc311971372"/>
      <w:bookmarkStart w:id="255" w:name="_Toc311971561"/>
      <w:bookmarkStart w:id="256" w:name="_Toc311971707"/>
      <w:bookmarkEnd w:id="253"/>
      <w:r>
        <w:t>SUMMARY</w:t>
      </w:r>
      <w:bookmarkEnd w:id="254"/>
      <w:bookmarkEnd w:id="255"/>
      <w:bookmarkEnd w:id="256"/>
    </w:p>
    <w:p w:rsidR="008A3B57" w:rsidRPr="008A3B57" w:rsidRDefault="008A3B57" w:rsidP="008A3B57">
      <w:pPr>
        <w:autoSpaceDE w:val="0"/>
        <w:autoSpaceDN w:val="0"/>
        <w:adjustRightInd w:val="0"/>
        <w:spacing w:line="360" w:lineRule="auto"/>
        <w:ind w:firstLine="567"/>
        <w:jc w:val="both"/>
        <w:rPr>
          <w:color w:val="000000" w:themeColor="text1"/>
        </w:rPr>
      </w:pPr>
      <w:r w:rsidRPr="008A3B57">
        <w:rPr>
          <w:color w:val="000000" w:themeColor="text1"/>
        </w:rPr>
        <w:t xml:space="preserve">The Lithuanian non-life insurance market grew rapidly in </w:t>
      </w:r>
      <w:r w:rsidRPr="008A3B57">
        <w:rPr>
          <w:rStyle w:val="en"/>
          <w:rFonts w:ascii="Times New Roman" w:hAnsi="Times New Roman" w:cs="Times New Roman"/>
          <w:b w:val="0"/>
          <w:i w:val="0"/>
          <w:color w:val="000000" w:themeColor="text1"/>
          <w:sz w:val="24"/>
          <w:szCs w:val="24"/>
        </w:rPr>
        <w:t>the health of the economy, but in the global economic crisis period the decline of non-life insurance market was significantly higher</w:t>
      </w:r>
      <w:r w:rsidRPr="008A3B57">
        <w:rPr>
          <w:color w:val="000000" w:themeColor="text1"/>
        </w:rPr>
        <w:t xml:space="preserve"> than the one in the </w:t>
      </w:r>
      <w:r>
        <w:rPr>
          <w:color w:val="000000" w:themeColor="text1"/>
        </w:rPr>
        <w:t xml:space="preserve">economy. </w:t>
      </w:r>
      <w:r w:rsidRPr="008A3B57">
        <w:rPr>
          <w:color w:val="000000" w:themeColor="text1"/>
        </w:rPr>
        <w:t xml:space="preserve">The possible signs of recovery have been seen in other fields in 2010. While the Lithuanian non-life insurance market continued shrinking and only in 2011 began to record positive grow. It is relevant to find out, what macroeconomics factors influence the changes of Lithuanian non-life insurance market and how to evaluate them, in time of these changes. </w:t>
      </w:r>
    </w:p>
    <w:p w:rsidR="008A3B57" w:rsidRPr="008A3B57" w:rsidRDefault="008A3B57" w:rsidP="008A3B57">
      <w:pPr>
        <w:autoSpaceDE w:val="0"/>
        <w:autoSpaceDN w:val="0"/>
        <w:adjustRightInd w:val="0"/>
        <w:spacing w:line="360" w:lineRule="auto"/>
        <w:ind w:firstLine="567"/>
        <w:jc w:val="both"/>
      </w:pPr>
      <w:r w:rsidRPr="008A3B57">
        <w:rPr>
          <w:b/>
          <w:bCs/>
        </w:rPr>
        <w:t xml:space="preserve">Main problems of final Master‘s work – </w:t>
      </w:r>
      <w:r w:rsidRPr="008A3B57">
        <w:rPr>
          <w:bCs/>
        </w:rPr>
        <w:t>How the macroeconomic</w:t>
      </w:r>
      <w:r w:rsidRPr="008A3B57">
        <w:t xml:space="preserve"> determinants influence the non-life insurance market. How to identify and evaluate the significance of determinants?  </w:t>
      </w:r>
    </w:p>
    <w:p w:rsidR="008A3B57" w:rsidRPr="008A3B57" w:rsidRDefault="008A3B57" w:rsidP="008A3B57">
      <w:pPr>
        <w:autoSpaceDE w:val="0"/>
        <w:autoSpaceDN w:val="0"/>
        <w:adjustRightInd w:val="0"/>
        <w:spacing w:line="360" w:lineRule="auto"/>
        <w:ind w:firstLine="567"/>
        <w:jc w:val="both"/>
      </w:pPr>
      <w:r w:rsidRPr="008A3B57">
        <w:rPr>
          <w:b/>
          <w:bCs/>
        </w:rPr>
        <w:t xml:space="preserve">The object of research </w:t>
      </w:r>
      <w:r w:rsidRPr="008A3B57">
        <w:t>– Lithuanian non-life insurance market (written premiums).</w:t>
      </w:r>
    </w:p>
    <w:p w:rsidR="008A3B57" w:rsidRPr="008A3B57" w:rsidRDefault="008A3B57" w:rsidP="008A3B57">
      <w:pPr>
        <w:autoSpaceDE w:val="0"/>
        <w:autoSpaceDN w:val="0"/>
        <w:adjustRightInd w:val="0"/>
        <w:spacing w:line="360" w:lineRule="auto"/>
        <w:ind w:firstLine="567"/>
        <w:jc w:val="both"/>
      </w:pPr>
      <w:r w:rsidRPr="008A3B57">
        <w:rPr>
          <w:b/>
          <w:bCs/>
        </w:rPr>
        <w:t xml:space="preserve">The purpose of work </w:t>
      </w:r>
      <w:r w:rsidRPr="008A3B57">
        <w:t xml:space="preserve">– evaluate which determinants influence Lithuanian non – life insurance market and compose the model for Lithuanian non-life insurance market.  </w:t>
      </w:r>
    </w:p>
    <w:p w:rsidR="008A3B57" w:rsidRPr="008A3B57" w:rsidRDefault="008A3B57" w:rsidP="008A3B57">
      <w:pPr>
        <w:autoSpaceDE w:val="0"/>
        <w:autoSpaceDN w:val="0"/>
        <w:adjustRightInd w:val="0"/>
        <w:spacing w:line="360" w:lineRule="auto"/>
        <w:ind w:firstLine="567"/>
        <w:jc w:val="both"/>
        <w:rPr>
          <w:b/>
          <w:bCs/>
        </w:rPr>
      </w:pPr>
      <w:r w:rsidRPr="008A3B57">
        <w:rPr>
          <w:b/>
          <w:bCs/>
        </w:rPr>
        <w:t>Tasks of the work:</w:t>
      </w:r>
    </w:p>
    <w:p w:rsidR="008A3B57" w:rsidRPr="004C6278" w:rsidRDefault="008A3B57" w:rsidP="008A3B57">
      <w:pPr>
        <w:autoSpaceDE w:val="0"/>
        <w:autoSpaceDN w:val="0"/>
        <w:adjustRightInd w:val="0"/>
        <w:spacing w:line="360" w:lineRule="auto"/>
        <w:ind w:firstLine="567"/>
        <w:jc w:val="both"/>
        <w:rPr>
          <w:lang w:val="lt-LT"/>
        </w:rPr>
      </w:pPr>
      <w:r w:rsidRPr="004C6278">
        <w:rPr>
          <w:lang w:val="lt-LT"/>
        </w:rPr>
        <w:t>1.</w:t>
      </w:r>
      <w:r>
        <w:rPr>
          <w:lang w:val="lt-LT"/>
        </w:rPr>
        <w:t xml:space="preserve"> To </w:t>
      </w:r>
      <w:r>
        <w:t>p</w:t>
      </w:r>
      <w:r w:rsidRPr="000A09B6">
        <w:t>erform an analysis of scientific literature: an overview of non-life insurance market in the theoretical aspect.</w:t>
      </w:r>
      <w:r>
        <w:rPr>
          <w:lang w:val="lt-LT"/>
        </w:rPr>
        <w:t xml:space="preserve"> </w:t>
      </w:r>
      <w:r w:rsidRPr="004C6278">
        <w:rPr>
          <w:lang w:val="lt-LT"/>
        </w:rPr>
        <w:t xml:space="preserve"> </w:t>
      </w:r>
    </w:p>
    <w:p w:rsidR="008A3B57" w:rsidRPr="004C6278" w:rsidRDefault="008A3B57" w:rsidP="008A3B57">
      <w:pPr>
        <w:autoSpaceDE w:val="0"/>
        <w:autoSpaceDN w:val="0"/>
        <w:adjustRightInd w:val="0"/>
        <w:spacing w:line="360" w:lineRule="auto"/>
        <w:ind w:firstLine="567"/>
        <w:jc w:val="both"/>
        <w:rPr>
          <w:lang w:val="lt-LT"/>
        </w:rPr>
      </w:pPr>
      <w:r w:rsidRPr="004C6278">
        <w:rPr>
          <w:lang w:val="lt-LT"/>
        </w:rPr>
        <w:t xml:space="preserve">2. </w:t>
      </w:r>
      <w:r w:rsidRPr="000A09B6">
        <w:t>To analyze the trends of Lithuanian non-life insurance market.</w:t>
      </w:r>
    </w:p>
    <w:p w:rsidR="008A3B57" w:rsidRPr="004C6278" w:rsidRDefault="008A3B57" w:rsidP="008A3B57">
      <w:pPr>
        <w:autoSpaceDE w:val="0"/>
        <w:autoSpaceDN w:val="0"/>
        <w:adjustRightInd w:val="0"/>
        <w:spacing w:line="360" w:lineRule="auto"/>
        <w:ind w:firstLine="567"/>
        <w:jc w:val="both"/>
        <w:rPr>
          <w:lang w:val="lt-LT"/>
        </w:rPr>
      </w:pPr>
      <w:r w:rsidRPr="004C6278">
        <w:rPr>
          <w:lang w:val="lt-LT"/>
        </w:rPr>
        <w:t xml:space="preserve">3. </w:t>
      </w:r>
      <w:r w:rsidRPr="000A09B6">
        <w:t xml:space="preserve">To </w:t>
      </w:r>
      <w:r>
        <w:t xml:space="preserve">make a model for the </w:t>
      </w:r>
      <w:r w:rsidRPr="000A09B6">
        <w:t>written premiums</w:t>
      </w:r>
      <w:r>
        <w:t xml:space="preserve"> of Lithuanian non-</w:t>
      </w:r>
      <w:r w:rsidRPr="000A09B6">
        <w:t>life insurance market.</w:t>
      </w:r>
      <w:r>
        <w:rPr>
          <w:lang w:val="lt-LT"/>
        </w:rPr>
        <w:t xml:space="preserve"> </w:t>
      </w:r>
    </w:p>
    <w:p w:rsidR="008A3B57" w:rsidRPr="004C6278" w:rsidRDefault="008A3B57" w:rsidP="008A3B57">
      <w:pPr>
        <w:autoSpaceDE w:val="0"/>
        <w:autoSpaceDN w:val="0"/>
        <w:adjustRightInd w:val="0"/>
        <w:spacing w:line="360" w:lineRule="auto"/>
        <w:ind w:firstLine="567"/>
        <w:jc w:val="both"/>
        <w:rPr>
          <w:lang w:val="lt-LT"/>
        </w:rPr>
      </w:pPr>
      <w:r w:rsidRPr="004C6278">
        <w:rPr>
          <w:lang w:val="lt-LT"/>
        </w:rPr>
        <w:t>4.</w:t>
      </w:r>
      <w:r>
        <w:rPr>
          <w:lang w:val="lt-LT"/>
        </w:rPr>
        <w:t xml:space="preserve"> </w:t>
      </w:r>
      <w:r w:rsidRPr="000A09B6">
        <w:t>To perform an expert evaluation and ide</w:t>
      </w:r>
      <w:r>
        <w:t xml:space="preserve">ntify the determinants which influence </w:t>
      </w:r>
      <w:r w:rsidRPr="000A09B6">
        <w:t>Lithuanian non-life insurance market.</w:t>
      </w:r>
    </w:p>
    <w:p w:rsidR="008A3B57" w:rsidRDefault="008A3B57" w:rsidP="008A3B57">
      <w:pPr>
        <w:autoSpaceDE w:val="0"/>
        <w:autoSpaceDN w:val="0"/>
        <w:adjustRightInd w:val="0"/>
        <w:spacing w:line="360" w:lineRule="auto"/>
        <w:ind w:firstLine="567"/>
        <w:jc w:val="both"/>
        <w:rPr>
          <w:rFonts w:eastAsia="TTE1BE0508t00"/>
        </w:rPr>
      </w:pPr>
      <w:r w:rsidRPr="009B3DE5">
        <w:rPr>
          <w:sz w:val="23"/>
          <w:szCs w:val="23"/>
        </w:rPr>
        <w:t xml:space="preserve">The </w:t>
      </w:r>
      <w:r w:rsidRPr="009B3DE5">
        <w:rPr>
          <w:b/>
          <w:bCs/>
          <w:sz w:val="23"/>
          <w:szCs w:val="23"/>
        </w:rPr>
        <w:t xml:space="preserve">hypothesis </w:t>
      </w:r>
      <w:r w:rsidRPr="009B3DE5">
        <w:rPr>
          <w:sz w:val="23"/>
          <w:szCs w:val="23"/>
        </w:rPr>
        <w:t>of the paper</w:t>
      </w:r>
      <w:r>
        <w:rPr>
          <w:b/>
          <w:bCs/>
        </w:rPr>
        <w:t>:</w:t>
      </w:r>
      <w:r w:rsidRPr="009B3DE5">
        <w:rPr>
          <w:rFonts w:eastAsia="TTE1BE0508t00"/>
        </w:rPr>
        <w:t xml:space="preserve"> </w:t>
      </w:r>
    </w:p>
    <w:p w:rsidR="008A3B57" w:rsidRPr="009B3DE5" w:rsidRDefault="008A3B57" w:rsidP="008A3B57">
      <w:pPr>
        <w:autoSpaceDE w:val="0"/>
        <w:autoSpaceDN w:val="0"/>
        <w:adjustRightInd w:val="0"/>
        <w:spacing w:line="360" w:lineRule="auto"/>
        <w:ind w:firstLine="567"/>
        <w:jc w:val="both"/>
        <w:rPr>
          <w:rFonts w:eastAsia="TTE1BE0508t00"/>
        </w:rPr>
      </w:pPr>
      <w:r w:rsidRPr="009B3DE5">
        <w:rPr>
          <w:rFonts w:eastAsia="TTE1BE0508t00"/>
          <w:b/>
        </w:rPr>
        <w:t>H</w:t>
      </w:r>
      <w:r w:rsidRPr="009B3DE5">
        <w:rPr>
          <w:rFonts w:eastAsia="TTE1BE0508t00"/>
          <w:b/>
          <w:vertAlign w:val="subscript"/>
        </w:rPr>
        <w:t xml:space="preserve">1 </w:t>
      </w:r>
      <w:r w:rsidRPr="009B3DE5">
        <w:rPr>
          <w:rFonts w:eastAsia="TTE1BE0508t00"/>
        </w:rPr>
        <w:t>–</w:t>
      </w:r>
      <w:r>
        <w:rPr>
          <w:rFonts w:eastAsia="TTE1BE0508t00"/>
        </w:rPr>
        <w:t xml:space="preserve"> the</w:t>
      </w:r>
      <w:r w:rsidRPr="009B3DE5">
        <w:rPr>
          <w:rFonts w:eastAsia="TTE1BE0508t00"/>
        </w:rPr>
        <w:t xml:space="preserve"> number of </w:t>
      </w:r>
      <w:r>
        <w:rPr>
          <w:rFonts w:eastAsia="TTE1BE0508t00"/>
        </w:rPr>
        <w:t xml:space="preserve">newly </w:t>
      </w:r>
      <w:r w:rsidRPr="009B3DE5">
        <w:rPr>
          <w:rFonts w:eastAsia="TTE1BE0508t00"/>
        </w:rPr>
        <w:t>car</w:t>
      </w:r>
      <w:r>
        <w:rPr>
          <w:rFonts w:eastAsia="TTE1BE0508t00"/>
        </w:rPr>
        <w:t>s</w:t>
      </w:r>
      <w:r w:rsidRPr="009B3DE5">
        <w:rPr>
          <w:rFonts w:eastAsia="TTE1BE0508t00"/>
        </w:rPr>
        <w:t xml:space="preserve"> in the country</w:t>
      </w:r>
      <w:r>
        <w:rPr>
          <w:rFonts w:eastAsia="TTE1BE0508t00"/>
        </w:rPr>
        <w:t xml:space="preserve"> influences </w:t>
      </w:r>
      <w:r w:rsidRPr="009B3DE5">
        <w:rPr>
          <w:rFonts w:eastAsia="TTE1BE0508t00"/>
        </w:rPr>
        <w:t>Lithuanian non-life insurance marke</w:t>
      </w:r>
      <w:r>
        <w:rPr>
          <w:rFonts w:eastAsia="TTE1BE0508t00"/>
        </w:rPr>
        <w:t>t</w:t>
      </w:r>
      <w:r w:rsidRPr="009B3DE5">
        <w:rPr>
          <w:rFonts w:eastAsia="TTE1BE0508t00"/>
        </w:rPr>
        <w:t xml:space="preserve">.  </w:t>
      </w:r>
    </w:p>
    <w:p w:rsidR="008A3B57" w:rsidRPr="004C6278" w:rsidRDefault="008A3B57" w:rsidP="008A3B57">
      <w:pPr>
        <w:autoSpaceDE w:val="0"/>
        <w:autoSpaceDN w:val="0"/>
        <w:adjustRightInd w:val="0"/>
        <w:spacing w:line="360" w:lineRule="auto"/>
        <w:ind w:firstLine="567"/>
        <w:jc w:val="both"/>
        <w:rPr>
          <w:lang w:val="lt-LT"/>
        </w:rPr>
      </w:pPr>
      <w:r w:rsidRPr="003622F9">
        <w:rPr>
          <w:rFonts w:eastAsia="TTE1BE0508t00"/>
          <w:b/>
          <w:lang w:val="lt-LT"/>
        </w:rPr>
        <w:t>H</w:t>
      </w:r>
      <w:r w:rsidRPr="003622F9">
        <w:rPr>
          <w:rFonts w:eastAsia="TTE1BE0508t00"/>
          <w:b/>
          <w:vertAlign w:val="subscript"/>
          <w:lang w:val="lt-LT"/>
        </w:rPr>
        <w:t>2</w:t>
      </w:r>
      <w:r>
        <w:rPr>
          <w:rFonts w:eastAsia="TTE1BE0508t00"/>
          <w:lang w:val="lt-LT"/>
        </w:rPr>
        <w:t xml:space="preserve"> </w:t>
      </w:r>
      <w:r w:rsidRPr="00A25535">
        <w:rPr>
          <w:rFonts w:eastAsia="TTE1BE0508t00"/>
        </w:rPr>
        <w:t>– social and legal environment factors</w:t>
      </w:r>
      <w:r>
        <w:rPr>
          <w:rFonts w:eastAsia="TTE1BE0508t00"/>
        </w:rPr>
        <w:t xml:space="preserve"> influences </w:t>
      </w:r>
      <w:r w:rsidRPr="00A25535">
        <w:rPr>
          <w:rFonts w:eastAsia="TTE1BE0508t00"/>
        </w:rPr>
        <w:t xml:space="preserve"> Lithuanian non-life insurance market.</w:t>
      </w:r>
      <w:r>
        <w:rPr>
          <w:rFonts w:eastAsia="TTE1BE0508t00"/>
          <w:lang w:val="lt-LT"/>
        </w:rPr>
        <w:t xml:space="preserve"> </w:t>
      </w:r>
    </w:p>
    <w:p w:rsidR="008A3B57" w:rsidRDefault="008A3B57" w:rsidP="008A3B57">
      <w:pPr>
        <w:autoSpaceDE w:val="0"/>
        <w:autoSpaceDN w:val="0"/>
        <w:adjustRightInd w:val="0"/>
        <w:spacing w:line="360" w:lineRule="auto"/>
        <w:ind w:firstLine="567"/>
        <w:jc w:val="both"/>
        <w:rPr>
          <w:lang w:val="lt-LT"/>
        </w:rPr>
      </w:pPr>
      <w:r>
        <w:rPr>
          <w:sz w:val="23"/>
          <w:szCs w:val="23"/>
        </w:rPr>
        <w:t xml:space="preserve">These </w:t>
      </w:r>
      <w:r>
        <w:rPr>
          <w:b/>
          <w:bCs/>
          <w:sz w:val="23"/>
          <w:szCs w:val="23"/>
        </w:rPr>
        <w:t xml:space="preserve">methods </w:t>
      </w:r>
      <w:r>
        <w:rPr>
          <w:sz w:val="23"/>
          <w:szCs w:val="23"/>
        </w:rPr>
        <w:t>are used in Master‘s work there</w:t>
      </w:r>
      <w:r>
        <w:rPr>
          <w:b/>
          <w:bCs/>
          <w:sz w:val="23"/>
          <w:szCs w:val="23"/>
        </w:rPr>
        <w:t xml:space="preserve">: </w:t>
      </w:r>
      <w:r>
        <w:rPr>
          <w:sz w:val="23"/>
          <w:szCs w:val="23"/>
        </w:rPr>
        <w:t>systematic analysis of scientific literature,</w:t>
      </w:r>
      <w:r w:rsidRPr="004C6278">
        <w:rPr>
          <w:lang w:val="lt-LT"/>
        </w:rPr>
        <w:t xml:space="preserve"> </w:t>
      </w:r>
      <w:r>
        <w:rPr>
          <w:sz w:val="23"/>
          <w:szCs w:val="23"/>
        </w:rPr>
        <w:t>comparative analysis of Lithuanian non-life insurance market</w:t>
      </w:r>
      <w:r w:rsidRPr="004C6278">
        <w:rPr>
          <w:lang w:val="lt-LT"/>
        </w:rPr>
        <w:t xml:space="preserve">, </w:t>
      </w:r>
      <w:r>
        <w:rPr>
          <w:sz w:val="23"/>
          <w:szCs w:val="23"/>
        </w:rPr>
        <w:t>analysis of correlation – multiple regression,</w:t>
      </w:r>
      <w:r>
        <w:rPr>
          <w:lang w:val="lt-LT"/>
        </w:rPr>
        <w:t xml:space="preserve"> </w:t>
      </w:r>
      <w:r>
        <w:t>expert evaluation method</w:t>
      </w:r>
      <w:r>
        <w:rPr>
          <w:lang w:val="lt-LT"/>
        </w:rPr>
        <w:t>.</w:t>
      </w:r>
    </w:p>
    <w:p w:rsidR="008A3B57" w:rsidRDefault="008A3B57" w:rsidP="008A3B57">
      <w:pPr>
        <w:autoSpaceDE w:val="0"/>
        <w:autoSpaceDN w:val="0"/>
        <w:adjustRightInd w:val="0"/>
        <w:spacing w:line="360" w:lineRule="auto"/>
        <w:ind w:firstLine="567"/>
        <w:jc w:val="both"/>
        <w:rPr>
          <w:bCs/>
          <w:sz w:val="23"/>
          <w:szCs w:val="23"/>
          <w:lang w:val="lt-LT"/>
        </w:rPr>
      </w:pPr>
      <w:r w:rsidRPr="00927E3B">
        <w:rPr>
          <w:b/>
          <w:bCs/>
          <w:sz w:val="23"/>
          <w:szCs w:val="23"/>
        </w:rPr>
        <w:t xml:space="preserve">The results of the final Master‘s work: </w:t>
      </w:r>
      <w:r>
        <w:rPr>
          <w:bCs/>
          <w:sz w:val="23"/>
          <w:szCs w:val="23"/>
        </w:rPr>
        <w:t>T</w:t>
      </w:r>
      <w:r w:rsidRPr="00927E3B">
        <w:rPr>
          <w:bCs/>
          <w:sz w:val="23"/>
          <w:szCs w:val="23"/>
        </w:rPr>
        <w:t>he concept and the classification and main features of insurance market</w:t>
      </w:r>
      <w:r w:rsidRPr="00AD4FA9">
        <w:rPr>
          <w:bCs/>
          <w:sz w:val="23"/>
          <w:szCs w:val="23"/>
        </w:rPr>
        <w:t xml:space="preserve"> </w:t>
      </w:r>
      <w:r w:rsidRPr="00927E3B">
        <w:rPr>
          <w:bCs/>
          <w:sz w:val="23"/>
          <w:szCs w:val="23"/>
        </w:rPr>
        <w:t xml:space="preserve">is defined </w:t>
      </w:r>
      <w:r>
        <w:rPr>
          <w:bCs/>
          <w:sz w:val="23"/>
          <w:szCs w:val="23"/>
        </w:rPr>
        <w:t>i</w:t>
      </w:r>
      <w:r w:rsidRPr="00927E3B">
        <w:rPr>
          <w:bCs/>
          <w:sz w:val="23"/>
          <w:szCs w:val="23"/>
        </w:rPr>
        <w:t>n the work. Using the empirical research in non-life insurance market was found, that the main areas of investigation have been economic, legal and social factors.</w:t>
      </w:r>
      <w:r>
        <w:rPr>
          <w:bCs/>
          <w:sz w:val="23"/>
          <w:szCs w:val="23"/>
        </w:rPr>
        <w:t xml:space="preserve"> The conclusion that Lithuanian non-life insurance market is </w:t>
      </w:r>
      <w:r w:rsidRPr="00A87E7E">
        <w:rPr>
          <w:bCs/>
          <w:sz w:val="23"/>
          <w:szCs w:val="23"/>
        </w:rPr>
        <w:t>recovering from decline</w:t>
      </w:r>
      <w:r>
        <w:rPr>
          <w:bCs/>
          <w:sz w:val="23"/>
          <w:szCs w:val="23"/>
        </w:rPr>
        <w:t xml:space="preserve"> is identified in the second part of final work</w:t>
      </w:r>
      <w:r w:rsidRPr="00A87E7E">
        <w:rPr>
          <w:bCs/>
          <w:sz w:val="23"/>
          <w:szCs w:val="23"/>
        </w:rPr>
        <w:t xml:space="preserve">. The econometric analysis showed, that the main determinant, which has influence for non-life </w:t>
      </w:r>
      <w:r w:rsidRPr="00A87E7E">
        <w:rPr>
          <w:bCs/>
          <w:sz w:val="23"/>
          <w:szCs w:val="23"/>
        </w:rPr>
        <w:lastRenderedPageBreak/>
        <w:t xml:space="preserve">insurance market is GDP per capita. The expert </w:t>
      </w:r>
      <w:r>
        <w:rPr>
          <w:bCs/>
          <w:sz w:val="23"/>
          <w:szCs w:val="23"/>
        </w:rPr>
        <w:t>eva</w:t>
      </w:r>
      <w:r w:rsidRPr="00A87E7E">
        <w:rPr>
          <w:bCs/>
          <w:sz w:val="23"/>
          <w:szCs w:val="23"/>
        </w:rPr>
        <w:t>lu</w:t>
      </w:r>
      <w:r>
        <w:rPr>
          <w:bCs/>
          <w:sz w:val="23"/>
          <w:szCs w:val="23"/>
        </w:rPr>
        <w:t>a</w:t>
      </w:r>
      <w:r w:rsidRPr="00A87E7E">
        <w:rPr>
          <w:bCs/>
          <w:sz w:val="23"/>
          <w:szCs w:val="23"/>
        </w:rPr>
        <w:t>tion showed that the approach to insurance is very important factor for Lithuanian non- life insurance market.</w:t>
      </w:r>
      <w:r>
        <w:rPr>
          <w:bCs/>
          <w:sz w:val="23"/>
          <w:szCs w:val="23"/>
          <w:lang w:val="lt-LT"/>
        </w:rPr>
        <w:t xml:space="preserve"> </w:t>
      </w:r>
    </w:p>
    <w:p w:rsidR="008A3B57" w:rsidRPr="00A87E7E" w:rsidRDefault="008A3B57" w:rsidP="008A3B57">
      <w:pPr>
        <w:autoSpaceDE w:val="0"/>
        <w:autoSpaceDN w:val="0"/>
        <w:adjustRightInd w:val="0"/>
        <w:spacing w:line="360" w:lineRule="auto"/>
        <w:ind w:firstLine="567"/>
        <w:jc w:val="both"/>
        <w:rPr>
          <w:bCs/>
          <w:sz w:val="23"/>
          <w:szCs w:val="23"/>
          <w:lang w:val="lt-LT"/>
        </w:rPr>
      </w:pPr>
      <w:r>
        <w:rPr>
          <w:b/>
          <w:bCs/>
          <w:sz w:val="23"/>
          <w:szCs w:val="23"/>
        </w:rPr>
        <w:t xml:space="preserve">The work consist of: </w:t>
      </w:r>
      <w:r>
        <w:rPr>
          <w:sz w:val="23"/>
          <w:szCs w:val="23"/>
        </w:rPr>
        <w:t>content, lists of tables and pictures, introduction, three chapters, conclusions and suggestions, the list of literature, annotation in lithuanian and english languages, summary in lithuanian and english languages.</w:t>
      </w:r>
    </w:p>
    <w:p w:rsidR="004C3AD6" w:rsidRPr="00B168E4" w:rsidRDefault="004C3AD6">
      <w:pPr>
        <w:rPr>
          <w:lang w:val="lt-LT"/>
        </w:rPr>
      </w:pPr>
    </w:p>
    <w:sectPr w:rsidR="004C3AD6" w:rsidRPr="00B168E4" w:rsidSect="007D0B31">
      <w:headerReference w:type="default" r:id="rId39"/>
      <w:type w:val="continuous"/>
      <w:pgSz w:w="11907" w:h="16839" w:code="9"/>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C52" w:rsidRDefault="00B12C52" w:rsidP="002C66CB">
      <w:r>
        <w:separator/>
      </w:r>
    </w:p>
  </w:endnote>
  <w:endnote w:type="continuationSeparator" w:id="1">
    <w:p w:rsidR="00B12C52" w:rsidRDefault="00B12C52" w:rsidP="002C66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TimesNewRomanPSMT">
    <w:altName w:val="Times New Roman"/>
    <w:panose1 w:val="00000000000000000000"/>
    <w:charset w:val="EE"/>
    <w:family w:val="auto"/>
    <w:notTrueType/>
    <w:pitch w:val="default"/>
    <w:sig w:usb0="00000007" w:usb1="08070000" w:usb2="00000010" w:usb3="00000000" w:csb0="00020003"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20002A87" w:usb1="80000000" w:usb2="00000008" w:usb3="00000000" w:csb0="000001FF" w:csb1="00000000"/>
  </w:font>
  <w:font w:name="TrebuchetMS">
    <w:altName w:val="MS Mincho"/>
    <w:panose1 w:val="00000000000000000000"/>
    <w:charset w:val="80"/>
    <w:family w:val="auto"/>
    <w:notTrueType/>
    <w:pitch w:val="default"/>
    <w:sig w:usb0="00000001" w:usb1="08070000" w:usb2="00000010" w:usb3="00000000" w:csb0="00020000" w:csb1="00000000"/>
  </w:font>
  <w:font w:name="TTE1799C40t00">
    <w:altName w:val="MS Mincho"/>
    <w:panose1 w:val="00000000000000000000"/>
    <w:charset w:val="80"/>
    <w:family w:val="auto"/>
    <w:notTrueType/>
    <w:pitch w:val="default"/>
    <w:sig w:usb0="00000001" w:usb1="08070000" w:usb2="00000010" w:usb3="00000000" w:csb0="00020000" w:csb1="00000000"/>
  </w:font>
  <w:font w:name="TTE1BE0508t00">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A00002EF" w:usb1="420020E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C52" w:rsidRDefault="00B12C52" w:rsidP="002C66CB">
      <w:r>
        <w:separator/>
      </w:r>
    </w:p>
  </w:footnote>
  <w:footnote w:type="continuationSeparator" w:id="1">
    <w:p w:rsidR="00B12C52" w:rsidRDefault="00B12C52" w:rsidP="002C66CB">
      <w:r>
        <w:continuationSeparator/>
      </w:r>
    </w:p>
  </w:footnote>
  <w:footnote w:id="2">
    <w:p w:rsidR="00835E7C" w:rsidRPr="00D132B0" w:rsidRDefault="00835E7C">
      <w:pPr>
        <w:pStyle w:val="FootnoteText"/>
        <w:rPr>
          <w:lang w:val="lt-LT"/>
        </w:rPr>
      </w:pPr>
      <w:r>
        <w:rPr>
          <w:rStyle w:val="FootnoteReference"/>
        </w:rPr>
        <w:footnoteRef/>
      </w:r>
      <w:r w:rsidRPr="00B4098B">
        <w:rPr>
          <w:lang w:val="fr-FR"/>
        </w:rPr>
        <w:t xml:space="preserve"> </w:t>
      </w:r>
      <w:r>
        <w:rPr>
          <w:lang w:val="lt-LT"/>
        </w:rPr>
        <w:t>ES – Europos Sąjunga</w:t>
      </w:r>
    </w:p>
  </w:footnote>
  <w:footnote w:id="3">
    <w:p w:rsidR="00835E7C" w:rsidRPr="00D132B0" w:rsidRDefault="00835E7C">
      <w:pPr>
        <w:pStyle w:val="FootnoteText"/>
        <w:rPr>
          <w:lang w:val="lt-LT"/>
        </w:rPr>
      </w:pPr>
      <w:r>
        <w:rPr>
          <w:rStyle w:val="FootnoteReference"/>
        </w:rPr>
        <w:footnoteRef/>
      </w:r>
      <w:r w:rsidRPr="00B4098B">
        <w:rPr>
          <w:lang w:val="fr-FR"/>
        </w:rPr>
        <w:t xml:space="preserve"> </w:t>
      </w:r>
      <w:r>
        <w:rPr>
          <w:lang w:val="lt-LT"/>
        </w:rPr>
        <w:t>EEE - Europos ekonominė erdvė</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815"/>
      <w:docPartObj>
        <w:docPartGallery w:val="Page Numbers (Top of Page)"/>
        <w:docPartUnique/>
      </w:docPartObj>
    </w:sdtPr>
    <w:sdtContent>
      <w:p w:rsidR="00835E7C" w:rsidRDefault="00C20A22">
        <w:pPr>
          <w:pStyle w:val="Header"/>
          <w:jc w:val="right"/>
        </w:pPr>
      </w:p>
    </w:sdtContent>
  </w:sdt>
  <w:p w:rsidR="00835E7C" w:rsidRDefault="00835E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E7C" w:rsidRDefault="00C20A22">
    <w:pPr>
      <w:pStyle w:val="Header"/>
      <w:jc w:val="right"/>
    </w:pPr>
    <w:fldSimple w:instr=" PAGE   \* MERGEFORMAT ">
      <w:r w:rsidR="006E1428">
        <w:rPr>
          <w:noProof/>
        </w:rPr>
        <w:t>55</w:t>
      </w:r>
    </w:fldSimple>
  </w:p>
  <w:p w:rsidR="00835E7C" w:rsidRDefault="00835E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3644"/>
    <w:multiLevelType w:val="hybridMultilevel"/>
    <w:tmpl w:val="C08AE0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9BA42F3"/>
    <w:multiLevelType w:val="hybridMultilevel"/>
    <w:tmpl w:val="7076FE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37CF7"/>
    <w:multiLevelType w:val="hybridMultilevel"/>
    <w:tmpl w:val="CAB64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E6663"/>
    <w:multiLevelType w:val="multilevel"/>
    <w:tmpl w:val="6D1055D2"/>
    <w:lvl w:ilvl="0">
      <w:start w:val="1"/>
      <w:numFmt w:val="decimal"/>
      <w:lvlText w:val="%1."/>
      <w:lvlJc w:val="left"/>
      <w:pPr>
        <w:ind w:left="360" w:hanging="360"/>
      </w:pPr>
      <w:rPr>
        <w:rFonts w:ascii="TimesNewRomanPSMT" w:hAnsi="TimesNewRomanPSMT" w:cs="TimesNewRomanPSMT" w:hint="default"/>
        <w:b w:val="0"/>
      </w:rPr>
    </w:lvl>
    <w:lvl w:ilvl="1">
      <w:start w:val="1"/>
      <w:numFmt w:val="decimal"/>
      <w:lvlText w:val="%1.%2."/>
      <w:lvlJc w:val="left"/>
      <w:pPr>
        <w:ind w:left="360" w:hanging="360"/>
      </w:pPr>
      <w:rPr>
        <w:rFonts w:ascii="TimesNewRomanPSMT" w:hAnsi="TimesNewRomanPSMT" w:cs="TimesNewRomanPSMT" w:hint="default"/>
        <w:b w:val="0"/>
      </w:rPr>
    </w:lvl>
    <w:lvl w:ilvl="2">
      <w:start w:val="1"/>
      <w:numFmt w:val="decimal"/>
      <w:lvlText w:val="%1.%2.%3."/>
      <w:lvlJc w:val="left"/>
      <w:pPr>
        <w:ind w:left="720" w:hanging="720"/>
      </w:pPr>
      <w:rPr>
        <w:rFonts w:ascii="TimesNewRomanPSMT" w:hAnsi="TimesNewRomanPSMT" w:cs="TimesNewRomanPSMT" w:hint="default"/>
        <w:b w:val="0"/>
      </w:rPr>
    </w:lvl>
    <w:lvl w:ilvl="3">
      <w:start w:val="1"/>
      <w:numFmt w:val="decimal"/>
      <w:lvlText w:val="%1.%2.%3.%4."/>
      <w:lvlJc w:val="left"/>
      <w:pPr>
        <w:ind w:left="720" w:hanging="720"/>
      </w:pPr>
      <w:rPr>
        <w:rFonts w:ascii="TimesNewRomanPSMT" w:hAnsi="TimesNewRomanPSMT" w:cs="TimesNewRomanPSMT" w:hint="default"/>
        <w:b w:val="0"/>
      </w:rPr>
    </w:lvl>
    <w:lvl w:ilvl="4">
      <w:start w:val="1"/>
      <w:numFmt w:val="decimal"/>
      <w:lvlText w:val="%1.%2.%3.%4.%5."/>
      <w:lvlJc w:val="left"/>
      <w:pPr>
        <w:ind w:left="1080" w:hanging="1080"/>
      </w:pPr>
      <w:rPr>
        <w:rFonts w:ascii="TimesNewRomanPSMT" w:hAnsi="TimesNewRomanPSMT" w:cs="TimesNewRomanPSMT" w:hint="default"/>
        <w:b w:val="0"/>
      </w:rPr>
    </w:lvl>
    <w:lvl w:ilvl="5">
      <w:start w:val="1"/>
      <w:numFmt w:val="decimal"/>
      <w:lvlText w:val="%1.%2.%3.%4.%5.%6."/>
      <w:lvlJc w:val="left"/>
      <w:pPr>
        <w:ind w:left="1080" w:hanging="1080"/>
      </w:pPr>
      <w:rPr>
        <w:rFonts w:ascii="TimesNewRomanPSMT" w:hAnsi="TimesNewRomanPSMT" w:cs="TimesNewRomanPSMT" w:hint="default"/>
        <w:b w:val="0"/>
      </w:rPr>
    </w:lvl>
    <w:lvl w:ilvl="6">
      <w:start w:val="1"/>
      <w:numFmt w:val="decimal"/>
      <w:lvlText w:val="%1.%2.%3.%4.%5.%6.%7."/>
      <w:lvlJc w:val="left"/>
      <w:pPr>
        <w:ind w:left="1440" w:hanging="1440"/>
      </w:pPr>
      <w:rPr>
        <w:rFonts w:ascii="TimesNewRomanPSMT" w:hAnsi="TimesNewRomanPSMT" w:cs="TimesNewRomanPSMT" w:hint="default"/>
        <w:b w:val="0"/>
      </w:rPr>
    </w:lvl>
    <w:lvl w:ilvl="7">
      <w:start w:val="1"/>
      <w:numFmt w:val="decimal"/>
      <w:lvlText w:val="%1.%2.%3.%4.%5.%6.%7.%8."/>
      <w:lvlJc w:val="left"/>
      <w:pPr>
        <w:ind w:left="1440" w:hanging="1440"/>
      </w:pPr>
      <w:rPr>
        <w:rFonts w:ascii="TimesNewRomanPSMT" w:hAnsi="TimesNewRomanPSMT" w:cs="TimesNewRomanPSMT" w:hint="default"/>
        <w:b w:val="0"/>
      </w:rPr>
    </w:lvl>
    <w:lvl w:ilvl="8">
      <w:start w:val="1"/>
      <w:numFmt w:val="decimal"/>
      <w:lvlText w:val="%1.%2.%3.%4.%5.%6.%7.%8.%9."/>
      <w:lvlJc w:val="left"/>
      <w:pPr>
        <w:ind w:left="1800" w:hanging="1800"/>
      </w:pPr>
      <w:rPr>
        <w:rFonts w:ascii="TimesNewRomanPSMT" w:hAnsi="TimesNewRomanPSMT" w:cs="TimesNewRomanPSMT" w:hint="default"/>
        <w:b w:val="0"/>
      </w:rPr>
    </w:lvl>
  </w:abstractNum>
  <w:abstractNum w:abstractNumId="4">
    <w:nsid w:val="2252601F"/>
    <w:multiLevelType w:val="hybridMultilevel"/>
    <w:tmpl w:val="C2D04B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2D9264ED"/>
    <w:multiLevelType w:val="hybridMultilevel"/>
    <w:tmpl w:val="C08AE0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E425553"/>
    <w:multiLevelType w:val="hybridMultilevel"/>
    <w:tmpl w:val="4666060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E58BD"/>
    <w:multiLevelType w:val="hybridMultilevel"/>
    <w:tmpl w:val="139C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9365A1"/>
    <w:multiLevelType w:val="hybridMultilevel"/>
    <w:tmpl w:val="5B821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2458D2"/>
    <w:multiLevelType w:val="hybridMultilevel"/>
    <w:tmpl w:val="6428D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C5618D"/>
    <w:multiLevelType w:val="hybridMultilevel"/>
    <w:tmpl w:val="42E6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F5741D"/>
    <w:multiLevelType w:val="hybridMultilevel"/>
    <w:tmpl w:val="AA2A9CA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673E7618"/>
    <w:multiLevelType w:val="hybridMultilevel"/>
    <w:tmpl w:val="871228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76821DDB"/>
    <w:multiLevelType w:val="multilevel"/>
    <w:tmpl w:val="6590B562"/>
    <w:lvl w:ilvl="0">
      <w:start w:val="1"/>
      <w:numFmt w:val="decimal"/>
      <w:lvlText w:val="%1."/>
      <w:lvlJc w:val="left"/>
      <w:pPr>
        <w:ind w:left="405" w:hanging="405"/>
      </w:pPr>
      <w:rPr>
        <w:rFonts w:ascii="TimesNewRomanPSMT" w:hAnsi="TimesNewRomanPSMT" w:cs="TimesNewRomanPSMT" w:hint="default"/>
        <w:b w:val="0"/>
      </w:rPr>
    </w:lvl>
    <w:lvl w:ilvl="1">
      <w:start w:val="1"/>
      <w:numFmt w:val="decimal"/>
      <w:lvlText w:val="%1.%2."/>
      <w:lvlJc w:val="left"/>
      <w:pPr>
        <w:ind w:left="405" w:hanging="405"/>
      </w:pPr>
      <w:rPr>
        <w:rFonts w:ascii="TimesNewRomanPSMT" w:hAnsi="TimesNewRomanPSMT" w:cs="TimesNewRomanPSMT" w:hint="default"/>
        <w:b w:val="0"/>
      </w:rPr>
    </w:lvl>
    <w:lvl w:ilvl="2">
      <w:start w:val="1"/>
      <w:numFmt w:val="decimal"/>
      <w:lvlText w:val="%1.%2.%3."/>
      <w:lvlJc w:val="left"/>
      <w:pPr>
        <w:ind w:left="720" w:hanging="720"/>
      </w:pPr>
      <w:rPr>
        <w:rFonts w:ascii="TimesNewRomanPSMT" w:hAnsi="TimesNewRomanPSMT" w:cs="TimesNewRomanPSMT" w:hint="default"/>
        <w:b w:val="0"/>
      </w:rPr>
    </w:lvl>
    <w:lvl w:ilvl="3">
      <w:start w:val="1"/>
      <w:numFmt w:val="decimal"/>
      <w:lvlText w:val="%1.%2.%3.%4."/>
      <w:lvlJc w:val="left"/>
      <w:pPr>
        <w:ind w:left="720" w:hanging="720"/>
      </w:pPr>
      <w:rPr>
        <w:rFonts w:ascii="TimesNewRomanPSMT" w:hAnsi="TimesNewRomanPSMT" w:cs="TimesNewRomanPSMT" w:hint="default"/>
        <w:b w:val="0"/>
      </w:rPr>
    </w:lvl>
    <w:lvl w:ilvl="4">
      <w:start w:val="1"/>
      <w:numFmt w:val="decimal"/>
      <w:lvlText w:val="%1.%2.%3.%4.%5."/>
      <w:lvlJc w:val="left"/>
      <w:pPr>
        <w:ind w:left="1080" w:hanging="1080"/>
      </w:pPr>
      <w:rPr>
        <w:rFonts w:ascii="TimesNewRomanPSMT" w:hAnsi="TimesNewRomanPSMT" w:cs="TimesNewRomanPSMT" w:hint="default"/>
        <w:b w:val="0"/>
      </w:rPr>
    </w:lvl>
    <w:lvl w:ilvl="5">
      <w:start w:val="1"/>
      <w:numFmt w:val="decimal"/>
      <w:lvlText w:val="%1.%2.%3.%4.%5.%6."/>
      <w:lvlJc w:val="left"/>
      <w:pPr>
        <w:ind w:left="1080" w:hanging="1080"/>
      </w:pPr>
      <w:rPr>
        <w:rFonts w:ascii="TimesNewRomanPSMT" w:hAnsi="TimesNewRomanPSMT" w:cs="TimesNewRomanPSMT" w:hint="default"/>
        <w:b w:val="0"/>
      </w:rPr>
    </w:lvl>
    <w:lvl w:ilvl="6">
      <w:start w:val="1"/>
      <w:numFmt w:val="decimal"/>
      <w:lvlText w:val="%1.%2.%3.%4.%5.%6.%7."/>
      <w:lvlJc w:val="left"/>
      <w:pPr>
        <w:ind w:left="1440" w:hanging="1440"/>
      </w:pPr>
      <w:rPr>
        <w:rFonts w:ascii="TimesNewRomanPSMT" w:hAnsi="TimesNewRomanPSMT" w:cs="TimesNewRomanPSMT" w:hint="default"/>
        <w:b w:val="0"/>
      </w:rPr>
    </w:lvl>
    <w:lvl w:ilvl="7">
      <w:start w:val="1"/>
      <w:numFmt w:val="decimal"/>
      <w:lvlText w:val="%1.%2.%3.%4.%5.%6.%7.%8."/>
      <w:lvlJc w:val="left"/>
      <w:pPr>
        <w:ind w:left="1440" w:hanging="1440"/>
      </w:pPr>
      <w:rPr>
        <w:rFonts w:ascii="TimesNewRomanPSMT" w:hAnsi="TimesNewRomanPSMT" w:cs="TimesNewRomanPSMT" w:hint="default"/>
        <w:b w:val="0"/>
      </w:rPr>
    </w:lvl>
    <w:lvl w:ilvl="8">
      <w:start w:val="1"/>
      <w:numFmt w:val="decimal"/>
      <w:lvlText w:val="%1.%2.%3.%4.%5.%6.%7.%8.%9."/>
      <w:lvlJc w:val="left"/>
      <w:pPr>
        <w:ind w:left="1800" w:hanging="1800"/>
      </w:pPr>
      <w:rPr>
        <w:rFonts w:ascii="TimesNewRomanPSMT" w:hAnsi="TimesNewRomanPSMT" w:cs="TimesNewRomanPSMT" w:hint="default"/>
        <w:b w:val="0"/>
      </w:rPr>
    </w:lvl>
  </w:abstractNum>
  <w:abstractNum w:abstractNumId="14">
    <w:nsid w:val="7AF314D6"/>
    <w:multiLevelType w:val="hybridMultilevel"/>
    <w:tmpl w:val="C09A47BE"/>
    <w:lvl w:ilvl="0" w:tplc="5DACE3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42094A"/>
    <w:multiLevelType w:val="hybridMultilevel"/>
    <w:tmpl w:val="F9E8DE86"/>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num w:numId="1">
    <w:abstractNumId w:val="13"/>
  </w:num>
  <w:num w:numId="2">
    <w:abstractNumId w:val="3"/>
  </w:num>
  <w:num w:numId="3">
    <w:abstractNumId w:val="14"/>
  </w:num>
  <w:num w:numId="4">
    <w:abstractNumId w:val="8"/>
  </w:num>
  <w:num w:numId="5">
    <w:abstractNumId w:val="1"/>
  </w:num>
  <w:num w:numId="6">
    <w:abstractNumId w:val="9"/>
  </w:num>
  <w:num w:numId="7">
    <w:abstractNumId w:val="2"/>
  </w:num>
  <w:num w:numId="8">
    <w:abstractNumId w:val="7"/>
  </w:num>
  <w:num w:numId="9">
    <w:abstractNumId w:val="11"/>
  </w:num>
  <w:num w:numId="10">
    <w:abstractNumId w:val="12"/>
  </w:num>
  <w:num w:numId="11">
    <w:abstractNumId w:val="0"/>
  </w:num>
  <w:num w:numId="12">
    <w:abstractNumId w:val="15"/>
  </w:num>
  <w:num w:numId="13">
    <w:abstractNumId w:val="10"/>
  </w:num>
  <w:num w:numId="14">
    <w:abstractNumId w:val="4"/>
  </w:num>
  <w:num w:numId="15">
    <w:abstractNumId w:val="6"/>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2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9803D7"/>
    <w:rsid w:val="00004484"/>
    <w:rsid w:val="00006084"/>
    <w:rsid w:val="000115B6"/>
    <w:rsid w:val="0001163A"/>
    <w:rsid w:val="0001343F"/>
    <w:rsid w:val="0002314D"/>
    <w:rsid w:val="00047944"/>
    <w:rsid w:val="00061383"/>
    <w:rsid w:val="000630D7"/>
    <w:rsid w:val="00063EA7"/>
    <w:rsid w:val="00073E14"/>
    <w:rsid w:val="00076E62"/>
    <w:rsid w:val="00083877"/>
    <w:rsid w:val="0009404B"/>
    <w:rsid w:val="00096564"/>
    <w:rsid w:val="000B1351"/>
    <w:rsid w:val="000C403A"/>
    <w:rsid w:val="000C7F42"/>
    <w:rsid w:val="000D2310"/>
    <w:rsid w:val="000E483C"/>
    <w:rsid w:val="000E73C3"/>
    <w:rsid w:val="000E792A"/>
    <w:rsid w:val="000F5AB5"/>
    <w:rsid w:val="0010630E"/>
    <w:rsid w:val="0010733C"/>
    <w:rsid w:val="00122B46"/>
    <w:rsid w:val="00133E12"/>
    <w:rsid w:val="0013443F"/>
    <w:rsid w:val="00136E46"/>
    <w:rsid w:val="001558E5"/>
    <w:rsid w:val="0015630E"/>
    <w:rsid w:val="00176418"/>
    <w:rsid w:val="001A65B4"/>
    <w:rsid w:val="001B48BD"/>
    <w:rsid w:val="001B7A5F"/>
    <w:rsid w:val="001C090B"/>
    <w:rsid w:val="001C1B8C"/>
    <w:rsid w:val="001C2282"/>
    <w:rsid w:val="001C55CA"/>
    <w:rsid w:val="001C5B96"/>
    <w:rsid w:val="001C6962"/>
    <w:rsid w:val="001D1031"/>
    <w:rsid w:val="001D1B3C"/>
    <w:rsid w:val="001D76E7"/>
    <w:rsid w:val="001F1042"/>
    <w:rsid w:val="00207402"/>
    <w:rsid w:val="0021312D"/>
    <w:rsid w:val="00227E41"/>
    <w:rsid w:val="00240207"/>
    <w:rsid w:val="00247492"/>
    <w:rsid w:val="00247A22"/>
    <w:rsid w:val="00255FE3"/>
    <w:rsid w:val="002655FC"/>
    <w:rsid w:val="00266D4A"/>
    <w:rsid w:val="002672E2"/>
    <w:rsid w:val="00267C43"/>
    <w:rsid w:val="00270B1A"/>
    <w:rsid w:val="00274141"/>
    <w:rsid w:val="00282ECA"/>
    <w:rsid w:val="00284269"/>
    <w:rsid w:val="002848CB"/>
    <w:rsid w:val="00286068"/>
    <w:rsid w:val="00295D35"/>
    <w:rsid w:val="00297B9A"/>
    <w:rsid w:val="002A3C78"/>
    <w:rsid w:val="002B7A08"/>
    <w:rsid w:val="002C4CA2"/>
    <w:rsid w:val="002C59FC"/>
    <w:rsid w:val="002C66CB"/>
    <w:rsid w:val="002E2F72"/>
    <w:rsid w:val="0030341A"/>
    <w:rsid w:val="00303A5A"/>
    <w:rsid w:val="00304577"/>
    <w:rsid w:val="00304E2D"/>
    <w:rsid w:val="00310363"/>
    <w:rsid w:val="00311762"/>
    <w:rsid w:val="0031281A"/>
    <w:rsid w:val="00324ECA"/>
    <w:rsid w:val="00331D94"/>
    <w:rsid w:val="0034340D"/>
    <w:rsid w:val="0034573D"/>
    <w:rsid w:val="00360B6E"/>
    <w:rsid w:val="003622F9"/>
    <w:rsid w:val="00362B45"/>
    <w:rsid w:val="00363E64"/>
    <w:rsid w:val="003911D5"/>
    <w:rsid w:val="00391DEF"/>
    <w:rsid w:val="00392602"/>
    <w:rsid w:val="003A4F07"/>
    <w:rsid w:val="003C1DC6"/>
    <w:rsid w:val="003F0AC6"/>
    <w:rsid w:val="00402261"/>
    <w:rsid w:val="00416800"/>
    <w:rsid w:val="00420B78"/>
    <w:rsid w:val="0042469C"/>
    <w:rsid w:val="004473CE"/>
    <w:rsid w:val="004714EE"/>
    <w:rsid w:val="00472A3C"/>
    <w:rsid w:val="004730F1"/>
    <w:rsid w:val="00496026"/>
    <w:rsid w:val="004C0E5F"/>
    <w:rsid w:val="004C2C41"/>
    <w:rsid w:val="004C3AD0"/>
    <w:rsid w:val="004C3AD6"/>
    <w:rsid w:val="004C4026"/>
    <w:rsid w:val="004C79C1"/>
    <w:rsid w:val="004D5A21"/>
    <w:rsid w:val="00500C0A"/>
    <w:rsid w:val="00533D37"/>
    <w:rsid w:val="00536855"/>
    <w:rsid w:val="00537EB0"/>
    <w:rsid w:val="00544931"/>
    <w:rsid w:val="00560579"/>
    <w:rsid w:val="005631C3"/>
    <w:rsid w:val="00563B7E"/>
    <w:rsid w:val="00577784"/>
    <w:rsid w:val="0058507F"/>
    <w:rsid w:val="005A1970"/>
    <w:rsid w:val="005A2023"/>
    <w:rsid w:val="005B5BE5"/>
    <w:rsid w:val="005B65FA"/>
    <w:rsid w:val="005D3A3E"/>
    <w:rsid w:val="005D4E5F"/>
    <w:rsid w:val="005D617C"/>
    <w:rsid w:val="005D6E60"/>
    <w:rsid w:val="005E5891"/>
    <w:rsid w:val="005F4FCB"/>
    <w:rsid w:val="00603EE9"/>
    <w:rsid w:val="00604F2A"/>
    <w:rsid w:val="006137E4"/>
    <w:rsid w:val="00625F6D"/>
    <w:rsid w:val="00632775"/>
    <w:rsid w:val="00641F10"/>
    <w:rsid w:val="00657059"/>
    <w:rsid w:val="00663145"/>
    <w:rsid w:val="00670E82"/>
    <w:rsid w:val="006756D6"/>
    <w:rsid w:val="006773FC"/>
    <w:rsid w:val="00677DAE"/>
    <w:rsid w:val="00687901"/>
    <w:rsid w:val="00697728"/>
    <w:rsid w:val="006A493F"/>
    <w:rsid w:val="006B7CDF"/>
    <w:rsid w:val="006C19F1"/>
    <w:rsid w:val="006C4C65"/>
    <w:rsid w:val="006D2BFE"/>
    <w:rsid w:val="006D37F9"/>
    <w:rsid w:val="006D49D4"/>
    <w:rsid w:val="006D5A04"/>
    <w:rsid w:val="006D6A53"/>
    <w:rsid w:val="006D715B"/>
    <w:rsid w:val="006E1428"/>
    <w:rsid w:val="006E673D"/>
    <w:rsid w:val="00701E02"/>
    <w:rsid w:val="0072006A"/>
    <w:rsid w:val="00720EB7"/>
    <w:rsid w:val="0073430C"/>
    <w:rsid w:val="00740DB6"/>
    <w:rsid w:val="00743EDB"/>
    <w:rsid w:val="0075013B"/>
    <w:rsid w:val="0075071B"/>
    <w:rsid w:val="00751EDD"/>
    <w:rsid w:val="00756359"/>
    <w:rsid w:val="00762B43"/>
    <w:rsid w:val="007708B1"/>
    <w:rsid w:val="0078159D"/>
    <w:rsid w:val="00792852"/>
    <w:rsid w:val="00793542"/>
    <w:rsid w:val="00795852"/>
    <w:rsid w:val="007B51D7"/>
    <w:rsid w:val="007C464F"/>
    <w:rsid w:val="007D0B31"/>
    <w:rsid w:val="007D0C09"/>
    <w:rsid w:val="007D31C4"/>
    <w:rsid w:val="007E7FE7"/>
    <w:rsid w:val="00802DE0"/>
    <w:rsid w:val="0081285E"/>
    <w:rsid w:val="008141A4"/>
    <w:rsid w:val="00821E82"/>
    <w:rsid w:val="00823749"/>
    <w:rsid w:val="00835E7C"/>
    <w:rsid w:val="0084036F"/>
    <w:rsid w:val="00841B08"/>
    <w:rsid w:val="008844D9"/>
    <w:rsid w:val="0088708F"/>
    <w:rsid w:val="008936DC"/>
    <w:rsid w:val="00896091"/>
    <w:rsid w:val="008A3B57"/>
    <w:rsid w:val="008A6C02"/>
    <w:rsid w:val="008B0582"/>
    <w:rsid w:val="008B2D90"/>
    <w:rsid w:val="008D3B36"/>
    <w:rsid w:val="008E7D6D"/>
    <w:rsid w:val="008F32E9"/>
    <w:rsid w:val="0090156B"/>
    <w:rsid w:val="009015FE"/>
    <w:rsid w:val="00912619"/>
    <w:rsid w:val="00922938"/>
    <w:rsid w:val="00926EF1"/>
    <w:rsid w:val="00936CB2"/>
    <w:rsid w:val="00942803"/>
    <w:rsid w:val="00946112"/>
    <w:rsid w:val="0095072E"/>
    <w:rsid w:val="00972ADA"/>
    <w:rsid w:val="009803D7"/>
    <w:rsid w:val="00982ED2"/>
    <w:rsid w:val="00984056"/>
    <w:rsid w:val="00987FCF"/>
    <w:rsid w:val="00993DAE"/>
    <w:rsid w:val="009A0ECE"/>
    <w:rsid w:val="009A2764"/>
    <w:rsid w:val="009A6390"/>
    <w:rsid w:val="009D1E96"/>
    <w:rsid w:val="009D20A4"/>
    <w:rsid w:val="009D2699"/>
    <w:rsid w:val="009D7975"/>
    <w:rsid w:val="009E2C48"/>
    <w:rsid w:val="009E31AB"/>
    <w:rsid w:val="009F353E"/>
    <w:rsid w:val="00A00C38"/>
    <w:rsid w:val="00A203EC"/>
    <w:rsid w:val="00A4245B"/>
    <w:rsid w:val="00A60CE6"/>
    <w:rsid w:val="00A80F4A"/>
    <w:rsid w:val="00A86DD0"/>
    <w:rsid w:val="00A87887"/>
    <w:rsid w:val="00AB0896"/>
    <w:rsid w:val="00AB1C81"/>
    <w:rsid w:val="00AC28EB"/>
    <w:rsid w:val="00AD21AE"/>
    <w:rsid w:val="00AE1F22"/>
    <w:rsid w:val="00AF1F8A"/>
    <w:rsid w:val="00AF280E"/>
    <w:rsid w:val="00B12AEB"/>
    <w:rsid w:val="00B12C52"/>
    <w:rsid w:val="00B14512"/>
    <w:rsid w:val="00B168E4"/>
    <w:rsid w:val="00B20A57"/>
    <w:rsid w:val="00B237E1"/>
    <w:rsid w:val="00B26708"/>
    <w:rsid w:val="00B32856"/>
    <w:rsid w:val="00B4098B"/>
    <w:rsid w:val="00B43937"/>
    <w:rsid w:val="00B54962"/>
    <w:rsid w:val="00B641C8"/>
    <w:rsid w:val="00B71912"/>
    <w:rsid w:val="00BA7499"/>
    <w:rsid w:val="00BB1A11"/>
    <w:rsid w:val="00BB3704"/>
    <w:rsid w:val="00BC0220"/>
    <w:rsid w:val="00BC79D7"/>
    <w:rsid w:val="00C02F45"/>
    <w:rsid w:val="00C16006"/>
    <w:rsid w:val="00C20A22"/>
    <w:rsid w:val="00C270CB"/>
    <w:rsid w:val="00C31889"/>
    <w:rsid w:val="00C45E38"/>
    <w:rsid w:val="00C57F8A"/>
    <w:rsid w:val="00C60678"/>
    <w:rsid w:val="00C61067"/>
    <w:rsid w:val="00C704D7"/>
    <w:rsid w:val="00C7231E"/>
    <w:rsid w:val="00C82267"/>
    <w:rsid w:val="00C861CE"/>
    <w:rsid w:val="00C94861"/>
    <w:rsid w:val="00C94E53"/>
    <w:rsid w:val="00CA1508"/>
    <w:rsid w:val="00CA6368"/>
    <w:rsid w:val="00CB0171"/>
    <w:rsid w:val="00CC44DD"/>
    <w:rsid w:val="00CC4DA5"/>
    <w:rsid w:val="00CD3F4F"/>
    <w:rsid w:val="00CE0852"/>
    <w:rsid w:val="00CE6830"/>
    <w:rsid w:val="00CE762A"/>
    <w:rsid w:val="00CF02FA"/>
    <w:rsid w:val="00D04C80"/>
    <w:rsid w:val="00D10019"/>
    <w:rsid w:val="00D132B0"/>
    <w:rsid w:val="00D138E3"/>
    <w:rsid w:val="00D33460"/>
    <w:rsid w:val="00D428D9"/>
    <w:rsid w:val="00D749A4"/>
    <w:rsid w:val="00D81550"/>
    <w:rsid w:val="00D81CA5"/>
    <w:rsid w:val="00D84103"/>
    <w:rsid w:val="00D86F0C"/>
    <w:rsid w:val="00D90FF1"/>
    <w:rsid w:val="00D977BF"/>
    <w:rsid w:val="00DA4C05"/>
    <w:rsid w:val="00DE073A"/>
    <w:rsid w:val="00DF2F54"/>
    <w:rsid w:val="00E042E6"/>
    <w:rsid w:val="00E04B0C"/>
    <w:rsid w:val="00E12CFF"/>
    <w:rsid w:val="00E206F8"/>
    <w:rsid w:val="00E25985"/>
    <w:rsid w:val="00E30FC0"/>
    <w:rsid w:val="00E34A50"/>
    <w:rsid w:val="00E7428A"/>
    <w:rsid w:val="00E773A4"/>
    <w:rsid w:val="00E91198"/>
    <w:rsid w:val="00E91E8A"/>
    <w:rsid w:val="00E9306F"/>
    <w:rsid w:val="00E9535B"/>
    <w:rsid w:val="00EA1659"/>
    <w:rsid w:val="00EA40DD"/>
    <w:rsid w:val="00EC00F4"/>
    <w:rsid w:val="00EE58BE"/>
    <w:rsid w:val="00EF0FB6"/>
    <w:rsid w:val="00EF2979"/>
    <w:rsid w:val="00EF5C11"/>
    <w:rsid w:val="00EF6402"/>
    <w:rsid w:val="00F11847"/>
    <w:rsid w:val="00F15CAD"/>
    <w:rsid w:val="00F22712"/>
    <w:rsid w:val="00F332D6"/>
    <w:rsid w:val="00F44C61"/>
    <w:rsid w:val="00F559E2"/>
    <w:rsid w:val="00F55F3D"/>
    <w:rsid w:val="00F63DE5"/>
    <w:rsid w:val="00F76197"/>
    <w:rsid w:val="00F84386"/>
    <w:rsid w:val="00F86AD4"/>
    <w:rsid w:val="00F87655"/>
    <w:rsid w:val="00FA2779"/>
    <w:rsid w:val="00FB132C"/>
    <w:rsid w:val="00FB3C8B"/>
    <w:rsid w:val="00FC2A34"/>
    <w:rsid w:val="00FD30C9"/>
    <w:rsid w:val="00FD3908"/>
    <w:rsid w:val="00FE6B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33C"/>
    <w:rPr>
      <w:sz w:val="24"/>
      <w:szCs w:val="24"/>
    </w:rPr>
  </w:style>
  <w:style w:type="paragraph" w:styleId="Heading1">
    <w:name w:val="heading 1"/>
    <w:basedOn w:val="Normal"/>
    <w:next w:val="Normal"/>
    <w:link w:val="Heading1Char"/>
    <w:qFormat/>
    <w:rsid w:val="00A60C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60C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4C0E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3D7"/>
    <w:pPr>
      <w:ind w:left="720"/>
      <w:contextualSpacing/>
    </w:pPr>
  </w:style>
  <w:style w:type="paragraph" w:customStyle="1" w:styleId="statymopavad">
    <w:name w:val="statymopavad"/>
    <w:basedOn w:val="Normal"/>
    <w:rsid w:val="009803D7"/>
    <w:pPr>
      <w:spacing w:before="100" w:beforeAutospacing="1" w:after="100" w:afterAutospacing="1"/>
    </w:pPr>
  </w:style>
  <w:style w:type="character" w:customStyle="1" w:styleId="datametai">
    <w:name w:val="datametai"/>
    <w:basedOn w:val="DefaultParagraphFont"/>
    <w:rsid w:val="009803D7"/>
  </w:style>
  <w:style w:type="character" w:customStyle="1" w:styleId="datamnuo">
    <w:name w:val="datamnuo"/>
    <w:basedOn w:val="DefaultParagraphFont"/>
    <w:rsid w:val="009803D7"/>
  </w:style>
  <w:style w:type="character" w:customStyle="1" w:styleId="datadiena">
    <w:name w:val="datadiena"/>
    <w:basedOn w:val="DefaultParagraphFont"/>
    <w:rsid w:val="009803D7"/>
  </w:style>
  <w:style w:type="character" w:customStyle="1" w:styleId="statymonr">
    <w:name w:val="statymonr"/>
    <w:basedOn w:val="DefaultParagraphFont"/>
    <w:rsid w:val="009803D7"/>
  </w:style>
  <w:style w:type="character" w:styleId="Emphasis">
    <w:name w:val="Emphasis"/>
    <w:basedOn w:val="DefaultParagraphFont"/>
    <w:uiPriority w:val="20"/>
    <w:qFormat/>
    <w:rsid w:val="009803D7"/>
    <w:rPr>
      <w:i/>
      <w:iCs/>
    </w:rPr>
  </w:style>
  <w:style w:type="character" w:customStyle="1" w:styleId="apple-style-span">
    <w:name w:val="apple-style-span"/>
    <w:basedOn w:val="DefaultParagraphFont"/>
    <w:rsid w:val="009803D7"/>
  </w:style>
  <w:style w:type="table" w:styleId="TableGrid">
    <w:name w:val="Table Grid"/>
    <w:basedOn w:val="TableNormal"/>
    <w:rsid w:val="009803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95072E"/>
    <w:rPr>
      <w:rFonts w:ascii="Tahoma" w:hAnsi="Tahoma" w:cs="Tahoma"/>
      <w:sz w:val="16"/>
      <w:szCs w:val="16"/>
    </w:rPr>
  </w:style>
  <w:style w:type="character" w:customStyle="1" w:styleId="BalloonTextChar">
    <w:name w:val="Balloon Text Char"/>
    <w:basedOn w:val="DefaultParagraphFont"/>
    <w:link w:val="BalloonText"/>
    <w:rsid w:val="0095072E"/>
    <w:rPr>
      <w:rFonts w:ascii="Tahoma" w:hAnsi="Tahoma" w:cs="Tahoma"/>
      <w:sz w:val="16"/>
      <w:szCs w:val="16"/>
    </w:rPr>
  </w:style>
  <w:style w:type="table" w:styleId="TableGrid1">
    <w:name w:val="Table Grid 1"/>
    <w:basedOn w:val="TableNormal"/>
    <w:rsid w:val="005A202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DocumentMapChar">
    <w:name w:val="Document Map Char"/>
    <w:basedOn w:val="DefaultParagraphFont"/>
    <w:link w:val="DocumentMap"/>
    <w:rsid w:val="005A2023"/>
    <w:rPr>
      <w:rFonts w:ascii="Tahoma" w:hAnsi="Tahoma" w:cs="Tahoma"/>
      <w:sz w:val="16"/>
      <w:szCs w:val="16"/>
    </w:rPr>
  </w:style>
  <w:style w:type="paragraph" w:styleId="DocumentMap">
    <w:name w:val="Document Map"/>
    <w:basedOn w:val="Normal"/>
    <w:link w:val="DocumentMapChar"/>
    <w:rsid w:val="005A2023"/>
    <w:rPr>
      <w:rFonts w:ascii="Tahoma" w:hAnsi="Tahoma" w:cs="Tahoma"/>
      <w:sz w:val="16"/>
      <w:szCs w:val="16"/>
    </w:rPr>
  </w:style>
  <w:style w:type="character" w:customStyle="1" w:styleId="Heading1Char">
    <w:name w:val="Heading 1 Char"/>
    <w:basedOn w:val="DefaultParagraphFont"/>
    <w:link w:val="Heading1"/>
    <w:rsid w:val="00A60C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60CE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BA7499"/>
    <w:pPr>
      <w:spacing w:line="276" w:lineRule="auto"/>
      <w:outlineLvl w:val="9"/>
    </w:pPr>
  </w:style>
  <w:style w:type="paragraph" w:styleId="TOC1">
    <w:name w:val="toc 1"/>
    <w:basedOn w:val="Normal"/>
    <w:next w:val="Normal"/>
    <w:autoRedefine/>
    <w:uiPriority w:val="39"/>
    <w:qFormat/>
    <w:rsid w:val="00720EB7"/>
    <w:pPr>
      <w:tabs>
        <w:tab w:val="right" w:leader="dot" w:pos="9912"/>
      </w:tabs>
    </w:pPr>
    <w:rPr>
      <w:rFonts w:asciiTheme="majorHAnsi" w:hAnsiTheme="majorHAnsi"/>
      <w:b/>
      <w:bCs/>
      <w:caps/>
    </w:rPr>
  </w:style>
  <w:style w:type="paragraph" w:styleId="TOC2">
    <w:name w:val="toc 2"/>
    <w:basedOn w:val="Normal"/>
    <w:next w:val="Normal"/>
    <w:autoRedefine/>
    <w:uiPriority w:val="39"/>
    <w:qFormat/>
    <w:rsid w:val="00BA7499"/>
    <w:pPr>
      <w:spacing w:before="240"/>
    </w:pPr>
    <w:rPr>
      <w:rFonts w:asciiTheme="minorHAnsi" w:hAnsiTheme="minorHAnsi"/>
      <w:b/>
      <w:bCs/>
      <w:sz w:val="20"/>
      <w:szCs w:val="20"/>
    </w:rPr>
  </w:style>
  <w:style w:type="character" w:styleId="Hyperlink">
    <w:name w:val="Hyperlink"/>
    <w:basedOn w:val="DefaultParagraphFont"/>
    <w:uiPriority w:val="99"/>
    <w:unhideWhenUsed/>
    <w:rsid w:val="00BA7499"/>
    <w:rPr>
      <w:color w:val="0000FF" w:themeColor="hyperlink"/>
      <w:u w:val="single"/>
    </w:rPr>
  </w:style>
  <w:style w:type="paragraph" w:styleId="TOC3">
    <w:name w:val="toc 3"/>
    <w:basedOn w:val="Normal"/>
    <w:next w:val="Normal"/>
    <w:autoRedefine/>
    <w:uiPriority w:val="39"/>
    <w:unhideWhenUsed/>
    <w:qFormat/>
    <w:rsid w:val="00A4245B"/>
    <w:pPr>
      <w:ind w:left="240"/>
    </w:pPr>
    <w:rPr>
      <w:rFonts w:asciiTheme="minorHAnsi" w:hAnsiTheme="minorHAnsi"/>
      <w:sz w:val="20"/>
      <w:szCs w:val="20"/>
    </w:rPr>
  </w:style>
  <w:style w:type="paragraph" w:styleId="TOC6">
    <w:name w:val="toc 6"/>
    <w:basedOn w:val="Normal"/>
    <w:next w:val="Normal"/>
    <w:autoRedefine/>
    <w:rsid w:val="0084036F"/>
    <w:pPr>
      <w:ind w:left="960"/>
    </w:pPr>
    <w:rPr>
      <w:rFonts w:asciiTheme="minorHAnsi" w:hAnsiTheme="minorHAnsi"/>
      <w:sz w:val="20"/>
      <w:szCs w:val="20"/>
    </w:rPr>
  </w:style>
  <w:style w:type="paragraph" w:customStyle="1" w:styleId="lentels">
    <w:name w:val="lentelės"/>
    <w:basedOn w:val="Heading1"/>
    <w:link w:val="lentelsChar"/>
    <w:qFormat/>
    <w:rsid w:val="00A4245B"/>
    <w:pPr>
      <w:spacing w:before="120" w:after="120"/>
      <w:jc w:val="center"/>
    </w:pPr>
    <w:rPr>
      <w:rFonts w:ascii="Times New Roman" w:hAnsi="Times New Roman"/>
      <w:bCs w:val="0"/>
      <w:color w:val="000000" w:themeColor="text1"/>
      <w:sz w:val="24"/>
      <w:lang w:val="lt-LT"/>
    </w:rPr>
  </w:style>
  <w:style w:type="character" w:customStyle="1" w:styleId="lentelsChar">
    <w:name w:val="lentelės Char"/>
    <w:basedOn w:val="Heading1Char"/>
    <w:link w:val="lentels"/>
    <w:rsid w:val="00A4245B"/>
    <w:rPr>
      <w:b/>
      <w:color w:val="000000" w:themeColor="text1"/>
      <w:sz w:val="24"/>
      <w:lang w:val="lt-LT"/>
    </w:rPr>
  </w:style>
  <w:style w:type="paragraph" w:customStyle="1" w:styleId="Paveikslai">
    <w:name w:val="Paveikslai"/>
    <w:basedOn w:val="Heading1"/>
    <w:link w:val="PaveikslaiChar"/>
    <w:qFormat/>
    <w:rsid w:val="0010733C"/>
    <w:pPr>
      <w:spacing w:before="120"/>
      <w:jc w:val="center"/>
    </w:pPr>
    <w:rPr>
      <w:rFonts w:ascii="Times New Roman" w:hAnsi="Times New Roman"/>
      <w:bCs w:val="0"/>
      <w:color w:val="000000" w:themeColor="text1"/>
      <w:sz w:val="24"/>
      <w:lang w:val="lt-LT"/>
    </w:rPr>
  </w:style>
  <w:style w:type="character" w:customStyle="1" w:styleId="PaveikslaiChar">
    <w:name w:val="Paveikslai Char"/>
    <w:basedOn w:val="Heading1Char"/>
    <w:link w:val="Paveikslai"/>
    <w:rsid w:val="0010733C"/>
    <w:rPr>
      <w:b/>
      <w:color w:val="000000" w:themeColor="text1"/>
      <w:sz w:val="24"/>
      <w:lang w:val="lt-LT"/>
    </w:rPr>
  </w:style>
  <w:style w:type="paragraph" w:customStyle="1" w:styleId="Style1-h1">
    <w:name w:val="Style1-h1"/>
    <w:basedOn w:val="Normal"/>
    <w:qFormat/>
    <w:rsid w:val="005D4E5F"/>
    <w:pPr>
      <w:autoSpaceDE w:val="0"/>
      <w:autoSpaceDN w:val="0"/>
      <w:adjustRightInd w:val="0"/>
      <w:spacing w:before="120" w:after="120" w:line="360" w:lineRule="auto"/>
      <w:ind w:firstLine="567"/>
      <w:jc w:val="center"/>
    </w:pPr>
    <w:rPr>
      <w:b/>
      <w:caps/>
      <w:lang w:val="lt-LT"/>
    </w:rPr>
  </w:style>
  <w:style w:type="paragraph" w:customStyle="1" w:styleId="Style1-h2">
    <w:name w:val="Style1-h2"/>
    <w:basedOn w:val="Normal"/>
    <w:qFormat/>
    <w:rsid w:val="005D4E5F"/>
    <w:pPr>
      <w:spacing w:before="120" w:after="120" w:line="360" w:lineRule="auto"/>
      <w:jc w:val="center"/>
    </w:pPr>
    <w:rPr>
      <w:b/>
      <w:lang w:val="lt-LT"/>
    </w:rPr>
  </w:style>
  <w:style w:type="paragraph" w:customStyle="1" w:styleId="Style1-h3">
    <w:name w:val="Style1-h3"/>
    <w:basedOn w:val="Style1-h2"/>
    <w:qFormat/>
    <w:rsid w:val="004C0E5F"/>
  </w:style>
  <w:style w:type="character" w:customStyle="1" w:styleId="Heading3Char">
    <w:name w:val="Heading 3 Char"/>
    <w:basedOn w:val="DefaultParagraphFont"/>
    <w:link w:val="Heading3"/>
    <w:semiHidden/>
    <w:rsid w:val="004C0E5F"/>
    <w:rPr>
      <w:rFonts w:asciiTheme="majorHAnsi" w:eastAsiaTheme="majorEastAsia" w:hAnsiTheme="majorHAnsi" w:cstheme="majorBidi"/>
      <w:b/>
      <w:bCs/>
      <w:color w:val="4F81BD" w:themeColor="accent1"/>
      <w:sz w:val="24"/>
      <w:szCs w:val="24"/>
    </w:rPr>
  </w:style>
  <w:style w:type="character" w:customStyle="1" w:styleId="apple-converted-space">
    <w:name w:val="apple-converted-space"/>
    <w:basedOn w:val="DefaultParagraphFont"/>
    <w:rsid w:val="0034340D"/>
  </w:style>
  <w:style w:type="paragraph" w:styleId="Header">
    <w:name w:val="header"/>
    <w:basedOn w:val="Normal"/>
    <w:link w:val="HeaderChar"/>
    <w:uiPriority w:val="99"/>
    <w:rsid w:val="002C66CB"/>
    <w:pPr>
      <w:tabs>
        <w:tab w:val="center" w:pos="4986"/>
        <w:tab w:val="right" w:pos="9972"/>
      </w:tabs>
    </w:pPr>
  </w:style>
  <w:style w:type="character" w:customStyle="1" w:styleId="HeaderChar">
    <w:name w:val="Header Char"/>
    <w:basedOn w:val="DefaultParagraphFont"/>
    <w:link w:val="Header"/>
    <w:uiPriority w:val="99"/>
    <w:rsid w:val="002C66CB"/>
    <w:rPr>
      <w:sz w:val="24"/>
      <w:szCs w:val="24"/>
    </w:rPr>
  </w:style>
  <w:style w:type="paragraph" w:styleId="Footer">
    <w:name w:val="footer"/>
    <w:basedOn w:val="Normal"/>
    <w:link w:val="FooterChar"/>
    <w:uiPriority w:val="99"/>
    <w:rsid w:val="002C66CB"/>
    <w:pPr>
      <w:tabs>
        <w:tab w:val="center" w:pos="4986"/>
        <w:tab w:val="right" w:pos="9972"/>
      </w:tabs>
    </w:pPr>
  </w:style>
  <w:style w:type="character" w:customStyle="1" w:styleId="FooterChar">
    <w:name w:val="Footer Char"/>
    <w:basedOn w:val="DefaultParagraphFont"/>
    <w:link w:val="Footer"/>
    <w:uiPriority w:val="99"/>
    <w:rsid w:val="002C66CB"/>
    <w:rPr>
      <w:sz w:val="24"/>
      <w:szCs w:val="24"/>
    </w:rPr>
  </w:style>
  <w:style w:type="paragraph" w:styleId="Caption">
    <w:name w:val="caption"/>
    <w:basedOn w:val="Normal"/>
    <w:next w:val="Normal"/>
    <w:unhideWhenUsed/>
    <w:qFormat/>
    <w:rsid w:val="00472A3C"/>
    <w:pPr>
      <w:spacing w:after="200"/>
    </w:pPr>
    <w:rPr>
      <w:b/>
      <w:bCs/>
      <w:color w:val="4F81BD" w:themeColor="accent1"/>
      <w:sz w:val="18"/>
      <w:szCs w:val="18"/>
    </w:rPr>
  </w:style>
  <w:style w:type="paragraph" w:styleId="FootnoteText">
    <w:name w:val="footnote text"/>
    <w:basedOn w:val="Normal"/>
    <w:link w:val="FootnoteTextChar"/>
    <w:rsid w:val="00D132B0"/>
    <w:rPr>
      <w:sz w:val="20"/>
      <w:szCs w:val="20"/>
    </w:rPr>
  </w:style>
  <w:style w:type="character" w:customStyle="1" w:styleId="FootnoteTextChar">
    <w:name w:val="Footnote Text Char"/>
    <w:basedOn w:val="DefaultParagraphFont"/>
    <w:link w:val="FootnoteText"/>
    <w:rsid w:val="00D132B0"/>
  </w:style>
  <w:style w:type="character" w:styleId="FootnoteReference">
    <w:name w:val="footnote reference"/>
    <w:basedOn w:val="DefaultParagraphFont"/>
    <w:rsid w:val="00D132B0"/>
    <w:rPr>
      <w:vertAlign w:val="superscript"/>
    </w:rPr>
  </w:style>
  <w:style w:type="character" w:styleId="FollowedHyperlink">
    <w:name w:val="FollowedHyperlink"/>
    <w:basedOn w:val="DefaultParagraphFont"/>
    <w:rsid w:val="00936CB2"/>
    <w:rPr>
      <w:color w:val="800080" w:themeColor="followedHyperlink"/>
      <w:u w:val="single"/>
    </w:rPr>
  </w:style>
  <w:style w:type="character" w:customStyle="1" w:styleId="en">
    <w:name w:val="en"/>
    <w:basedOn w:val="DefaultParagraphFont"/>
    <w:rsid w:val="00B168E4"/>
    <w:rPr>
      <w:rFonts w:ascii="Arial" w:hAnsi="Arial" w:cs="Arial" w:hint="default"/>
      <w:b/>
      <w:bCs/>
      <w:i/>
      <w:iCs/>
      <w:color w:val="008000"/>
      <w:sz w:val="22"/>
      <w:szCs w:val="22"/>
    </w:rPr>
  </w:style>
  <w:style w:type="paragraph" w:styleId="TOC4">
    <w:name w:val="toc 4"/>
    <w:basedOn w:val="Normal"/>
    <w:next w:val="Normal"/>
    <w:autoRedefine/>
    <w:rsid w:val="000D2310"/>
    <w:pPr>
      <w:ind w:left="480"/>
    </w:pPr>
    <w:rPr>
      <w:rFonts w:asciiTheme="minorHAnsi" w:hAnsiTheme="minorHAnsi"/>
      <w:sz w:val="20"/>
      <w:szCs w:val="20"/>
    </w:rPr>
  </w:style>
  <w:style w:type="paragraph" w:styleId="TOC5">
    <w:name w:val="toc 5"/>
    <w:basedOn w:val="Normal"/>
    <w:next w:val="Normal"/>
    <w:autoRedefine/>
    <w:rsid w:val="000D2310"/>
    <w:pPr>
      <w:ind w:left="720"/>
    </w:pPr>
    <w:rPr>
      <w:rFonts w:asciiTheme="minorHAnsi" w:hAnsiTheme="minorHAnsi"/>
      <w:sz w:val="20"/>
      <w:szCs w:val="20"/>
    </w:rPr>
  </w:style>
  <w:style w:type="paragraph" w:styleId="TOC7">
    <w:name w:val="toc 7"/>
    <w:basedOn w:val="Normal"/>
    <w:next w:val="Normal"/>
    <w:autoRedefine/>
    <w:rsid w:val="000D2310"/>
    <w:pPr>
      <w:ind w:left="1200"/>
    </w:pPr>
    <w:rPr>
      <w:rFonts w:asciiTheme="minorHAnsi" w:hAnsiTheme="minorHAnsi"/>
      <w:sz w:val="20"/>
      <w:szCs w:val="20"/>
    </w:rPr>
  </w:style>
  <w:style w:type="paragraph" w:styleId="TOC8">
    <w:name w:val="toc 8"/>
    <w:basedOn w:val="Normal"/>
    <w:next w:val="Normal"/>
    <w:autoRedefine/>
    <w:rsid w:val="000D2310"/>
    <w:pPr>
      <w:ind w:left="1440"/>
    </w:pPr>
    <w:rPr>
      <w:rFonts w:asciiTheme="minorHAnsi" w:hAnsiTheme="minorHAnsi"/>
      <w:sz w:val="20"/>
      <w:szCs w:val="20"/>
    </w:rPr>
  </w:style>
  <w:style w:type="paragraph" w:styleId="TOC9">
    <w:name w:val="toc 9"/>
    <w:basedOn w:val="Normal"/>
    <w:next w:val="Normal"/>
    <w:autoRedefine/>
    <w:rsid w:val="000D2310"/>
    <w:pPr>
      <w:ind w:left="1680"/>
    </w:pPr>
    <w:rPr>
      <w:rFonts w:asciiTheme="minorHAnsi" w:hAnsiTheme="minorHAnsi"/>
      <w:sz w:val="20"/>
      <w:szCs w:val="20"/>
    </w:rPr>
  </w:style>
</w:styles>
</file>

<file path=word/webSettings.xml><?xml version="1.0" encoding="utf-8"?>
<w:webSettings xmlns:r="http://schemas.openxmlformats.org/officeDocument/2006/relationships" xmlns:w="http://schemas.openxmlformats.org/wordprocessingml/2006/main">
  <w:divs>
    <w:div w:id="189492425">
      <w:bodyDiv w:val="1"/>
      <w:marLeft w:val="0"/>
      <w:marRight w:val="0"/>
      <w:marTop w:val="0"/>
      <w:marBottom w:val="0"/>
      <w:divBdr>
        <w:top w:val="none" w:sz="0" w:space="0" w:color="auto"/>
        <w:left w:val="none" w:sz="0" w:space="0" w:color="auto"/>
        <w:bottom w:val="none" w:sz="0" w:space="0" w:color="auto"/>
        <w:right w:val="none" w:sz="0" w:space="0" w:color="auto"/>
      </w:divBdr>
    </w:div>
    <w:div w:id="828327376">
      <w:bodyDiv w:val="1"/>
      <w:marLeft w:val="0"/>
      <w:marRight w:val="0"/>
      <w:marTop w:val="0"/>
      <w:marBottom w:val="0"/>
      <w:divBdr>
        <w:top w:val="none" w:sz="0" w:space="0" w:color="auto"/>
        <w:left w:val="none" w:sz="0" w:space="0" w:color="auto"/>
        <w:bottom w:val="none" w:sz="0" w:space="0" w:color="auto"/>
        <w:right w:val="none" w:sz="0" w:space="0" w:color="auto"/>
      </w:divBdr>
    </w:div>
    <w:div w:id="1201892512">
      <w:bodyDiv w:val="1"/>
      <w:marLeft w:val="0"/>
      <w:marRight w:val="0"/>
      <w:marTop w:val="0"/>
      <w:marBottom w:val="0"/>
      <w:divBdr>
        <w:top w:val="none" w:sz="0" w:space="0" w:color="auto"/>
        <w:left w:val="none" w:sz="0" w:space="0" w:color="auto"/>
        <w:bottom w:val="none" w:sz="0" w:space="0" w:color="auto"/>
        <w:right w:val="none" w:sz="0" w:space="0" w:color="auto"/>
      </w:divBdr>
    </w:div>
    <w:div w:id="1303542769">
      <w:bodyDiv w:val="1"/>
      <w:marLeft w:val="0"/>
      <w:marRight w:val="0"/>
      <w:marTop w:val="0"/>
      <w:marBottom w:val="0"/>
      <w:divBdr>
        <w:top w:val="none" w:sz="0" w:space="0" w:color="auto"/>
        <w:left w:val="none" w:sz="0" w:space="0" w:color="auto"/>
        <w:bottom w:val="none" w:sz="0" w:space="0" w:color="auto"/>
        <w:right w:val="none" w:sz="0" w:space="0" w:color="auto"/>
      </w:divBdr>
    </w:div>
    <w:div w:id="142776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hyperlink" Target="http://www.dpk.lt/files/apzvalga/apzvalga2005.pdf"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hyperlink" Target="http://www.dpk.lt/files/apzvalga/apzvalga2006.pdf" TargetMode="External"/><Relationship Id="rId38" Type="http://schemas.openxmlformats.org/officeDocument/2006/relationships/hyperlink" Target="http://www3.lrs.lt/pls/inter3/dok%20paieska.%20showdoc_l?%20p_id=%20218739%20%5b%20&#382;i&#363;r&#279;ta"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yperlink" Target="http://www.dpk.lt/files/apzvalga/apzvalga2010.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chart" Target="charts/chart12.xml"/><Relationship Id="rId32" Type="http://schemas.openxmlformats.org/officeDocument/2006/relationships/hyperlink" Target="http://www.dpk.lt/files/apzvalga/apzvalga2007.pdf" TargetMode="External"/><Relationship Id="rId37" Type="http://schemas.openxmlformats.org/officeDocument/2006/relationships/hyperlink" Target="http://www.dpk.lt/files/apzvalga/apzvalga2002.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hyperlink" Target="http://www.dpk.lt/files/apzvalga/apzvalga2003.pdf" TargetMode="External"/><Relationship Id="rId10" Type="http://schemas.openxmlformats.org/officeDocument/2006/relationships/diagramLayout" Target="diagrams/layout1.xml"/><Relationship Id="rId19" Type="http://schemas.openxmlformats.org/officeDocument/2006/relationships/chart" Target="charts/chart7.xml"/><Relationship Id="rId31" Type="http://schemas.openxmlformats.org/officeDocument/2006/relationships/hyperlink" Target="http://www.dpk.lt/files/apzvalga/apzvalga2008.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hyperlink" Target="http://www.dpk.lt/files/apzvalga/apzvalga2009.pdf" TargetMode="External"/><Relationship Id="rId35" Type="http://schemas.openxmlformats.org/officeDocument/2006/relationships/hyperlink" Target="http://www.dpk.lt/files/apzvalga/apzvalga2004.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Owner\Desktop\Magistras\duomenys\rodiklia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Owner\Desktop\Magistras\duomenys\turta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Owner\Desktop\Magistras\duomenys\turta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Owner\Desktop\Magistras\duomenys\ne%20gyvybe%20eviews\ne%20gyvybe%202004%20iiiketv.%202011%20ii%20ket%20_paskolos%20pataisyta.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Owner\Desktop\Magistras\duomenys\kasko%20eviews\kasko%20ir%20visi%20duomenys%202004%20i%20ketv.%20-%202011%20ii%20ketv..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Owner\Desktop\Magistras\duomenys\turtas-eviews\dalinti.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Owner\Desktop\Magistras\duomenys\rodiklia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Owner\Desktop\Magistras\duomenys\rodikli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Owner\Desktop\Magistras\duomenys\rodikli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Owner\Desktop\Magistras\duomenys\rodiklia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Owner\Desktop\Magistras\duomenys\ne%20gyvybe.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Owner\Desktop\Magistras\duomenys\TPVCAP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Owner\Desktop\Magistras\duomenys\kask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1"/>
          <c:order val="1"/>
          <c:tx>
            <c:strRef>
              <c:f>imoniu_sk.!$B$2</c:f>
            </c:strRef>
          </c:tx>
          <c:cat>
            <c:multiLvlStrRef>
              <c:f>imoniu_sk.!$A$9:$A$22</c:f>
            </c:multiLvlStrRef>
          </c:cat>
          <c:val>
            <c:numRef>
              <c:f>imoniu_sk.!$B$9:$B$22</c:f>
            </c:numRef>
          </c:val>
        </c:ser>
        <c:ser>
          <c:idx val="2"/>
          <c:order val="2"/>
          <c:tx>
            <c:strRef>
              <c:f>[rodikliai.xlsx]imoniu_sk.!$B$2</c:f>
            </c:strRef>
          </c:tx>
          <c:cat>
            <c:multiLvlStrRef>
              <c:f>[rodikliai.xlsx]imoniu_sk.!$A$9:$A$22</c:f>
            </c:multiLvlStrRef>
          </c:cat>
          <c:val>
            <c:numRef>
              <c:f>[rodikliai.xlsx]imoniu_sk.!$B$9:$B$22</c:f>
            </c:numRef>
          </c:val>
        </c:ser>
        <c:ser>
          <c:idx val="0"/>
          <c:order val="0"/>
          <c:tx>
            <c:strRef>
              <c:f>[rodikliai.xlsx]imoniu_sk.!$B$2</c:f>
              <c:strCache>
                <c:ptCount val="1"/>
                <c:pt idx="0">
                  <c:v>Skaičius</c:v>
                </c:pt>
              </c:strCache>
            </c:strRef>
          </c:tx>
          <c:dLbls>
            <c:dLblPos val="inEnd"/>
            <c:showVal val="1"/>
          </c:dLbls>
          <c:cat>
            <c:numRef>
              <c:f>[rodikliai.xlsx]imoniu_sk.!$A$9:$A$23</c:f>
              <c:numCache>
                <c:formatCode>General</c:formatCode>
                <c:ptCount val="1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numCache>
            </c:numRef>
          </c:cat>
          <c:val>
            <c:numRef>
              <c:f>[rodikliai.xlsx]imoniu_sk.!$B$9:$B$23</c:f>
              <c:numCache>
                <c:formatCode>General</c:formatCode>
                <c:ptCount val="15"/>
                <c:pt idx="0">
                  <c:v>32</c:v>
                </c:pt>
                <c:pt idx="1">
                  <c:v>26</c:v>
                </c:pt>
                <c:pt idx="2">
                  <c:v>27</c:v>
                </c:pt>
                <c:pt idx="3">
                  <c:v>27</c:v>
                </c:pt>
                <c:pt idx="4">
                  <c:v>22</c:v>
                </c:pt>
                <c:pt idx="5">
                  <c:v>22</c:v>
                </c:pt>
                <c:pt idx="6">
                  <c:v>19</c:v>
                </c:pt>
                <c:pt idx="7">
                  <c:v>19</c:v>
                </c:pt>
                <c:pt idx="8">
                  <c:v>19</c:v>
                </c:pt>
                <c:pt idx="9">
                  <c:v>20</c:v>
                </c:pt>
                <c:pt idx="10">
                  <c:v>18</c:v>
                </c:pt>
                <c:pt idx="11">
                  <c:v>19</c:v>
                </c:pt>
                <c:pt idx="12">
                  <c:v>16</c:v>
                </c:pt>
                <c:pt idx="13">
                  <c:v>17</c:v>
                </c:pt>
                <c:pt idx="14">
                  <c:v>15</c:v>
                </c:pt>
              </c:numCache>
            </c:numRef>
          </c:val>
        </c:ser>
        <c:gapWidth val="46"/>
        <c:overlap val="38"/>
        <c:axId val="120620544"/>
        <c:axId val="120622080"/>
      </c:barChart>
      <c:dateAx>
        <c:axId val="120620544"/>
        <c:scaling>
          <c:orientation val="minMax"/>
        </c:scaling>
        <c:axPos val="b"/>
        <c:numFmt formatCode="General" sourceLinked="1"/>
        <c:tickLblPos val="nextTo"/>
        <c:crossAx val="120622080"/>
        <c:crosses val="autoZero"/>
        <c:lblOffset val="100"/>
        <c:baseTimeUnit val="days"/>
        <c:minorUnit val="1"/>
      </c:dateAx>
      <c:valAx>
        <c:axId val="120622080"/>
        <c:scaling>
          <c:orientation val="minMax"/>
        </c:scaling>
        <c:axPos val="l"/>
        <c:majorGridlines/>
        <c:numFmt formatCode="General" sourceLinked="1"/>
        <c:tickLblPos val="nextTo"/>
        <c:crossAx val="120620544"/>
        <c:crosses val="autoZero"/>
        <c:crossBetween val="between"/>
      </c:valAx>
    </c:plotArea>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Sheet1!$A$13</c:f>
              <c:strCache>
                <c:ptCount val="1"/>
                <c:pt idx="0">
                  <c:v>Įmokos mln. Lt</c:v>
                </c:pt>
              </c:strCache>
            </c:strRef>
          </c:tx>
          <c:dLbls>
            <c:dLbl>
              <c:idx val="6"/>
              <c:dLblPos val="ctr"/>
              <c:showVal val="1"/>
            </c:dLbl>
            <c:numFmt formatCode="#,##0.00" sourceLinked="0"/>
            <c:dLblPos val="inEnd"/>
            <c:showVal val="1"/>
          </c:dLbls>
          <c:cat>
            <c:numRef>
              <c:f>Sheet1!$B$1:$J$1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Sheet1!$B$13:$J$13</c:f>
              <c:numCache>
                <c:formatCode>###,##0</c:formatCode>
                <c:ptCount val="9"/>
                <c:pt idx="0" formatCode="#,##0">
                  <c:v>95017900.840000004</c:v>
                </c:pt>
                <c:pt idx="1">
                  <c:v>103911079.81</c:v>
                </c:pt>
                <c:pt idx="2">
                  <c:v>103376944.76000002</c:v>
                </c:pt>
                <c:pt idx="3">
                  <c:v>123440489.23</c:v>
                </c:pt>
                <c:pt idx="4">
                  <c:v>162967844.50999999</c:v>
                </c:pt>
                <c:pt idx="5">
                  <c:v>215951965.08000001</c:v>
                </c:pt>
                <c:pt idx="6" formatCode="#,##0.00">
                  <c:v>342163226.13999999</c:v>
                </c:pt>
                <c:pt idx="7" formatCode="#,##0.00">
                  <c:v>222604847.02000001</c:v>
                </c:pt>
                <c:pt idx="8" formatCode="#,##0.00">
                  <c:v>208680774.72999999</c:v>
                </c:pt>
              </c:numCache>
            </c:numRef>
          </c:val>
        </c:ser>
        <c:gapWidth val="75"/>
        <c:overlap val="-25"/>
        <c:axId val="117863168"/>
        <c:axId val="117864704"/>
      </c:barChart>
      <c:lineChart>
        <c:grouping val="standard"/>
        <c:ser>
          <c:idx val="1"/>
          <c:order val="1"/>
          <c:tx>
            <c:strRef>
              <c:f>Sheet1!$A$14</c:f>
              <c:strCache>
                <c:ptCount val="1"/>
                <c:pt idx="0">
                  <c:v>Augimo tempas %</c:v>
                </c:pt>
              </c:strCache>
            </c:strRef>
          </c:tx>
          <c:dLbls>
            <c:showVal val="1"/>
          </c:dLbls>
          <c:cat>
            <c:numRef>
              <c:f>Sheet1!$B$1:$J$1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Sheet1!$B$14:$J$14</c:f>
              <c:numCache>
                <c:formatCode>0.00%</c:formatCode>
                <c:ptCount val="9"/>
                <c:pt idx="1">
                  <c:v>9.3594774157084823E-2</c:v>
                </c:pt>
                <c:pt idx="2">
                  <c:v>-5.140308915821663E-3</c:v>
                </c:pt>
                <c:pt idx="3">
                  <c:v>0.19408142228017611</c:v>
                </c:pt>
                <c:pt idx="4">
                  <c:v>0.32021385792105039</c:v>
                </c:pt>
                <c:pt idx="5">
                  <c:v>0.32512009181510165</c:v>
                </c:pt>
                <c:pt idx="6">
                  <c:v>0.58444136413968106</c:v>
                </c:pt>
                <c:pt idx="7">
                  <c:v>-0.34941913679257081</c:v>
                </c:pt>
                <c:pt idx="8">
                  <c:v>-6.2550624914061798E-2</c:v>
                </c:pt>
              </c:numCache>
            </c:numRef>
          </c:val>
        </c:ser>
        <c:marker val="1"/>
        <c:axId val="117950336"/>
        <c:axId val="117948800"/>
      </c:lineChart>
      <c:catAx>
        <c:axId val="117863168"/>
        <c:scaling>
          <c:orientation val="minMax"/>
        </c:scaling>
        <c:axPos val="b"/>
        <c:numFmt formatCode="General" sourceLinked="1"/>
        <c:majorTickMark val="none"/>
        <c:tickLblPos val="nextTo"/>
        <c:crossAx val="117864704"/>
        <c:crosses val="autoZero"/>
        <c:auto val="1"/>
        <c:lblAlgn val="ctr"/>
        <c:lblOffset val="100"/>
      </c:catAx>
      <c:valAx>
        <c:axId val="117864704"/>
        <c:scaling>
          <c:orientation val="minMax"/>
        </c:scaling>
        <c:axPos val="l"/>
        <c:majorGridlines/>
        <c:numFmt formatCode="#,##0" sourceLinked="1"/>
        <c:majorTickMark val="none"/>
        <c:tickLblPos val="nextTo"/>
        <c:crossAx val="117863168"/>
        <c:crosses val="autoZero"/>
        <c:crossBetween val="between"/>
        <c:majorUnit val="100000000"/>
        <c:dispUnits>
          <c:builtInUnit val="millions"/>
        </c:dispUnits>
      </c:valAx>
      <c:valAx>
        <c:axId val="117948800"/>
        <c:scaling>
          <c:orientation val="minMax"/>
        </c:scaling>
        <c:axPos val="r"/>
        <c:numFmt formatCode="0%" sourceLinked="0"/>
        <c:tickLblPos val="nextTo"/>
        <c:crossAx val="117950336"/>
        <c:crosses val="max"/>
        <c:crossBetween val="between"/>
      </c:valAx>
      <c:catAx>
        <c:axId val="117950336"/>
        <c:scaling>
          <c:orientation val="minMax"/>
        </c:scaling>
        <c:delete val="1"/>
        <c:axPos val="b"/>
        <c:numFmt formatCode="General" sourceLinked="1"/>
        <c:tickLblPos val="nextTo"/>
        <c:crossAx val="117948800"/>
        <c:crosses val="autoZero"/>
        <c:auto val="1"/>
        <c:lblAlgn val="ctr"/>
        <c:lblOffset val="100"/>
      </c:catAx>
    </c:plotArea>
    <c:legend>
      <c:legendPos val="b"/>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'Sutarciu sk.'!$A$20</c:f>
              <c:strCache>
                <c:ptCount val="1"/>
                <c:pt idx="0">
                  <c:v>Sutarčių sk.</c:v>
                </c:pt>
              </c:strCache>
            </c:strRef>
          </c:tx>
          <c:dLbls>
            <c:dLbl>
              <c:idx val="8"/>
              <c:dLblPos val="ctr"/>
              <c:showVal val="1"/>
            </c:dLbl>
            <c:numFmt formatCode="#,##0.00" sourceLinked="0"/>
            <c:dLblPos val="inEnd"/>
            <c:showVal val="1"/>
          </c:dLbls>
          <c:cat>
            <c:numRef>
              <c:f>'Sutarciu sk.'!$B$3:$J$3</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'Sutarciu sk.'!$B$20:$J$20</c:f>
              <c:numCache>
                <c:formatCode>###,##0</c:formatCode>
                <c:ptCount val="9"/>
                <c:pt idx="0" formatCode="#,##0">
                  <c:v>341125</c:v>
                </c:pt>
                <c:pt idx="1">
                  <c:v>330555</c:v>
                </c:pt>
                <c:pt idx="2">
                  <c:v>355683</c:v>
                </c:pt>
                <c:pt idx="3">
                  <c:v>386622</c:v>
                </c:pt>
                <c:pt idx="4">
                  <c:v>425491</c:v>
                </c:pt>
                <c:pt idx="5">
                  <c:v>491047</c:v>
                </c:pt>
                <c:pt idx="6" formatCode="#,##0">
                  <c:v>493007</c:v>
                </c:pt>
                <c:pt idx="7" formatCode="#,##0">
                  <c:v>848744</c:v>
                </c:pt>
                <c:pt idx="8" formatCode="#,##0">
                  <c:v>952316</c:v>
                </c:pt>
              </c:numCache>
            </c:numRef>
          </c:val>
        </c:ser>
        <c:gapWidth val="75"/>
        <c:overlap val="-25"/>
        <c:axId val="118173696"/>
        <c:axId val="118175232"/>
      </c:barChart>
      <c:lineChart>
        <c:grouping val="standard"/>
        <c:ser>
          <c:idx val="1"/>
          <c:order val="1"/>
          <c:tx>
            <c:strRef>
              <c:f>'Sutarciu sk.'!$A$21</c:f>
              <c:strCache>
                <c:ptCount val="1"/>
                <c:pt idx="0">
                  <c:v>Augimo tempas %</c:v>
                </c:pt>
              </c:strCache>
            </c:strRef>
          </c:tx>
          <c:dLbls>
            <c:showVal val="1"/>
          </c:dLbls>
          <c:val>
            <c:numRef>
              <c:f>'Sutarciu sk.'!$B$21:$J$21</c:f>
              <c:numCache>
                <c:formatCode>0.00%</c:formatCode>
                <c:ptCount val="9"/>
                <c:pt idx="1">
                  <c:v>-3.0985709050934451E-2</c:v>
                </c:pt>
                <c:pt idx="2">
                  <c:v>7.6017606752280434E-2</c:v>
                </c:pt>
                <c:pt idx="3">
                  <c:v>8.6984758900481518E-2</c:v>
                </c:pt>
                <c:pt idx="4">
                  <c:v>0.10053488937515202</c:v>
                </c:pt>
                <c:pt idx="5">
                  <c:v>0.15407141396645296</c:v>
                </c:pt>
                <c:pt idx="6">
                  <c:v>3.9914712848261391E-3</c:v>
                </c:pt>
                <c:pt idx="7">
                  <c:v>0.72156581955225751</c:v>
                </c:pt>
                <c:pt idx="8">
                  <c:v>0.12202972863431152</c:v>
                </c:pt>
              </c:numCache>
            </c:numRef>
          </c:val>
        </c:ser>
        <c:marker val="1"/>
        <c:axId val="118224000"/>
        <c:axId val="118177152"/>
      </c:lineChart>
      <c:catAx>
        <c:axId val="118173696"/>
        <c:scaling>
          <c:orientation val="minMax"/>
        </c:scaling>
        <c:axPos val="b"/>
        <c:numFmt formatCode="General" sourceLinked="1"/>
        <c:majorTickMark val="none"/>
        <c:tickLblPos val="nextTo"/>
        <c:crossAx val="118175232"/>
        <c:crosses val="autoZero"/>
        <c:auto val="1"/>
        <c:lblAlgn val="ctr"/>
        <c:lblOffset val="100"/>
      </c:catAx>
      <c:valAx>
        <c:axId val="118175232"/>
        <c:scaling>
          <c:orientation val="minMax"/>
        </c:scaling>
        <c:axPos val="l"/>
        <c:majorGridlines/>
        <c:numFmt formatCode="#,##0" sourceLinked="1"/>
        <c:majorTickMark val="none"/>
        <c:tickLblPos val="nextTo"/>
        <c:crossAx val="118173696"/>
        <c:crosses val="autoZero"/>
        <c:crossBetween val="between"/>
        <c:majorUnit val="200000"/>
        <c:dispUnits>
          <c:builtInUnit val="thousands"/>
        </c:dispUnits>
      </c:valAx>
      <c:valAx>
        <c:axId val="118177152"/>
        <c:scaling>
          <c:orientation val="minMax"/>
        </c:scaling>
        <c:axPos val="r"/>
        <c:numFmt formatCode="0%" sourceLinked="0"/>
        <c:tickLblPos val="nextTo"/>
        <c:crossAx val="118224000"/>
        <c:crosses val="max"/>
        <c:crossBetween val="between"/>
      </c:valAx>
      <c:catAx>
        <c:axId val="118224000"/>
        <c:scaling>
          <c:orientation val="minMax"/>
        </c:scaling>
        <c:delete val="1"/>
        <c:axPos val="b"/>
        <c:tickLblPos val="nextTo"/>
        <c:crossAx val="118177152"/>
        <c:crosses val="autoZero"/>
        <c:auto val="1"/>
        <c:lblAlgn val="ctr"/>
        <c:lblOffset val="100"/>
      </c:catAx>
    </c:plotArea>
    <c:legend>
      <c:legendPos val="b"/>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Sheet1!$B$1</c:f>
              <c:strCache>
                <c:ptCount val="1"/>
                <c:pt idx="0">
                  <c:v>Y</c:v>
                </c:pt>
              </c:strCache>
            </c:strRef>
          </c:tx>
          <c:cat>
            <c:strRef>
              <c:f>Sheet1!$A$2:$A$28</c:f>
              <c:strCache>
                <c:ptCount val="27"/>
                <c:pt idx="0">
                  <c:v>2004 IV ketv.</c:v>
                </c:pt>
                <c:pt idx="1">
                  <c:v>2005 I ketv.</c:v>
                </c:pt>
                <c:pt idx="2">
                  <c:v>2005 II ketv.</c:v>
                </c:pt>
                <c:pt idx="3">
                  <c:v>2005 III ketv.</c:v>
                </c:pt>
                <c:pt idx="4">
                  <c:v>2005 IV ketv.</c:v>
                </c:pt>
                <c:pt idx="5">
                  <c:v>2006 I ketv.</c:v>
                </c:pt>
                <c:pt idx="6">
                  <c:v>2006 II ketv.</c:v>
                </c:pt>
                <c:pt idx="7">
                  <c:v>2006 III ketv.</c:v>
                </c:pt>
                <c:pt idx="8">
                  <c:v>2006 IV ketv.</c:v>
                </c:pt>
                <c:pt idx="9">
                  <c:v>2007 I ketv.</c:v>
                </c:pt>
                <c:pt idx="10">
                  <c:v>2007 II ketv.</c:v>
                </c:pt>
                <c:pt idx="11">
                  <c:v>2007 III ketv.</c:v>
                </c:pt>
                <c:pt idx="12">
                  <c:v>2007 IV ketv.</c:v>
                </c:pt>
                <c:pt idx="13">
                  <c:v>2008 I ketv.</c:v>
                </c:pt>
                <c:pt idx="14">
                  <c:v>2008 II ketv.</c:v>
                </c:pt>
                <c:pt idx="15">
                  <c:v>2008 III ketv.</c:v>
                </c:pt>
                <c:pt idx="16">
                  <c:v>2008 IV ketv.</c:v>
                </c:pt>
                <c:pt idx="17">
                  <c:v>2009 I ketv.</c:v>
                </c:pt>
                <c:pt idx="18">
                  <c:v>2009 II ketv.</c:v>
                </c:pt>
                <c:pt idx="19">
                  <c:v>2009 III ketv.</c:v>
                </c:pt>
                <c:pt idx="20">
                  <c:v>2009 IV ketv.</c:v>
                </c:pt>
                <c:pt idx="21">
                  <c:v>2010 I ketv.</c:v>
                </c:pt>
                <c:pt idx="22">
                  <c:v>2010 II ketv.</c:v>
                </c:pt>
                <c:pt idx="23">
                  <c:v>2010 III ketv.</c:v>
                </c:pt>
                <c:pt idx="24">
                  <c:v>2010 IV ketv.</c:v>
                </c:pt>
                <c:pt idx="25">
                  <c:v>2011 I ketv.</c:v>
                </c:pt>
                <c:pt idx="26">
                  <c:v>2011 II ketv.</c:v>
                </c:pt>
              </c:strCache>
            </c:strRef>
          </c:cat>
          <c:val>
            <c:numRef>
              <c:f>Sheet1!$B$2:$B$28</c:f>
              <c:numCache>
                <c:formatCode>0.00</c:formatCode>
                <c:ptCount val="27"/>
                <c:pt idx="0">
                  <c:v>135.96440859000003</c:v>
                </c:pt>
                <c:pt idx="1">
                  <c:v>162.38697093000007</c:v>
                </c:pt>
                <c:pt idx="2">
                  <c:v>247.02362726999999</c:v>
                </c:pt>
                <c:pt idx="3">
                  <c:v>161.03207214000005</c:v>
                </c:pt>
                <c:pt idx="4">
                  <c:v>184.37511928999999</c:v>
                </c:pt>
                <c:pt idx="5">
                  <c:v>195.67854658000007</c:v>
                </c:pt>
                <c:pt idx="6">
                  <c:v>303.72011875999425</c:v>
                </c:pt>
                <c:pt idx="7">
                  <c:v>241.49784328000004</c:v>
                </c:pt>
                <c:pt idx="8">
                  <c:v>241.30119917000007</c:v>
                </c:pt>
                <c:pt idx="9">
                  <c:v>267.83414683999996</c:v>
                </c:pt>
                <c:pt idx="10">
                  <c:v>367.08407702999995</c:v>
                </c:pt>
                <c:pt idx="11">
                  <c:v>297.76687953999993</c:v>
                </c:pt>
                <c:pt idx="12">
                  <c:v>317.57734607000003</c:v>
                </c:pt>
                <c:pt idx="13">
                  <c:v>341.92764188999996</c:v>
                </c:pt>
                <c:pt idx="14">
                  <c:v>432.70014699999899</c:v>
                </c:pt>
                <c:pt idx="15">
                  <c:v>356.91137682999869</c:v>
                </c:pt>
                <c:pt idx="16">
                  <c:v>323.55142354999964</c:v>
                </c:pt>
                <c:pt idx="17">
                  <c:v>296.59682379000003</c:v>
                </c:pt>
                <c:pt idx="18">
                  <c:v>286.18761913999992</c:v>
                </c:pt>
                <c:pt idx="19">
                  <c:v>238.92002363</c:v>
                </c:pt>
                <c:pt idx="20">
                  <c:v>236.48828747000206</c:v>
                </c:pt>
                <c:pt idx="21">
                  <c:v>239.29955973999751</c:v>
                </c:pt>
                <c:pt idx="22">
                  <c:v>278.39336119999996</c:v>
                </c:pt>
                <c:pt idx="23">
                  <c:v>245.50702441000001</c:v>
                </c:pt>
                <c:pt idx="24">
                  <c:v>249.09484938000139</c:v>
                </c:pt>
                <c:pt idx="25">
                  <c:v>266.20176021999993</c:v>
                </c:pt>
                <c:pt idx="26">
                  <c:v>312.01029190999969</c:v>
                </c:pt>
              </c:numCache>
            </c:numRef>
          </c:val>
        </c:ser>
        <c:axId val="118248960"/>
        <c:axId val="118250496"/>
      </c:barChart>
      <c:catAx>
        <c:axId val="118248960"/>
        <c:scaling>
          <c:orientation val="minMax"/>
        </c:scaling>
        <c:axPos val="b"/>
        <c:tickLblPos val="nextTo"/>
        <c:crossAx val="118250496"/>
        <c:crosses val="autoZero"/>
        <c:auto val="1"/>
        <c:lblAlgn val="ctr"/>
        <c:lblOffset val="100"/>
      </c:catAx>
      <c:valAx>
        <c:axId val="118250496"/>
        <c:scaling>
          <c:orientation val="minMax"/>
          <c:max val="500"/>
          <c:min val="0"/>
        </c:scaling>
        <c:axPos val="l"/>
        <c:majorGridlines/>
        <c:numFmt formatCode="0" sourceLinked="0"/>
        <c:tickLblPos val="nextTo"/>
        <c:crossAx val="118248960"/>
        <c:crosses val="autoZero"/>
        <c:crossBetween val="between"/>
        <c:majorUnit val="100"/>
      </c:valAx>
    </c:plotArea>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cat>
            <c:strRef>
              <c:f>Sheet2!$A$2:$A$31</c:f>
              <c:strCache>
                <c:ptCount val="30"/>
                <c:pt idx="0">
                  <c:v>2004 I ketv.</c:v>
                </c:pt>
                <c:pt idx="1">
                  <c:v>2004 II ketv.</c:v>
                </c:pt>
                <c:pt idx="2">
                  <c:v>2004 III ketv.</c:v>
                </c:pt>
                <c:pt idx="3">
                  <c:v>2004 IV ketv.</c:v>
                </c:pt>
                <c:pt idx="4">
                  <c:v>2005 I ketv.</c:v>
                </c:pt>
                <c:pt idx="5">
                  <c:v>2005 II ketv.</c:v>
                </c:pt>
                <c:pt idx="6">
                  <c:v>2005 III ketv.</c:v>
                </c:pt>
                <c:pt idx="7">
                  <c:v>2005 IV ketv.</c:v>
                </c:pt>
                <c:pt idx="8">
                  <c:v>2006 I ketv.</c:v>
                </c:pt>
                <c:pt idx="9">
                  <c:v>2006 II ketv.</c:v>
                </c:pt>
                <c:pt idx="10">
                  <c:v>2006 III ketv.</c:v>
                </c:pt>
                <c:pt idx="11">
                  <c:v>2006 IV ketv.</c:v>
                </c:pt>
                <c:pt idx="12">
                  <c:v>2007 I ketv.</c:v>
                </c:pt>
                <c:pt idx="13">
                  <c:v>2007 II ketv.</c:v>
                </c:pt>
                <c:pt idx="14">
                  <c:v>2007 III ketv.</c:v>
                </c:pt>
                <c:pt idx="15">
                  <c:v>2007 IV ketv.</c:v>
                </c:pt>
                <c:pt idx="16">
                  <c:v>2008 I ketv.</c:v>
                </c:pt>
                <c:pt idx="17">
                  <c:v>2008 II ketv.</c:v>
                </c:pt>
                <c:pt idx="18">
                  <c:v>2008 III ketv.</c:v>
                </c:pt>
                <c:pt idx="19">
                  <c:v>2008 IV ketv.</c:v>
                </c:pt>
                <c:pt idx="20">
                  <c:v>2009 I ketv.</c:v>
                </c:pt>
                <c:pt idx="21">
                  <c:v>2009 II ketv.</c:v>
                </c:pt>
                <c:pt idx="22">
                  <c:v>2009 III ketv.</c:v>
                </c:pt>
                <c:pt idx="23">
                  <c:v>2009 IV ketv.</c:v>
                </c:pt>
                <c:pt idx="24">
                  <c:v>2010 I ketv.</c:v>
                </c:pt>
                <c:pt idx="25">
                  <c:v>2010 II ketv.</c:v>
                </c:pt>
                <c:pt idx="26">
                  <c:v>2010 III ketv.</c:v>
                </c:pt>
                <c:pt idx="27">
                  <c:v>2010 IV ketv.</c:v>
                </c:pt>
                <c:pt idx="28">
                  <c:v>2011 I ketv.</c:v>
                </c:pt>
                <c:pt idx="29">
                  <c:v>2011 II ketv.</c:v>
                </c:pt>
              </c:strCache>
            </c:strRef>
          </c:cat>
          <c:val>
            <c:numRef>
              <c:f>Sheet2!$B$2:$B$31</c:f>
              <c:numCache>
                <c:formatCode>0.00</c:formatCode>
                <c:ptCount val="30"/>
                <c:pt idx="0">
                  <c:v>38.117210180000001</c:v>
                </c:pt>
                <c:pt idx="1">
                  <c:v>49.945308210000213</c:v>
                </c:pt>
                <c:pt idx="2">
                  <c:v>45.874790010000005</c:v>
                </c:pt>
                <c:pt idx="3">
                  <c:v>52.733589930000313</c:v>
                </c:pt>
                <c:pt idx="4">
                  <c:v>48.985414779999999</c:v>
                </c:pt>
                <c:pt idx="5">
                  <c:v>59.406863539999975</c:v>
                </c:pt>
                <c:pt idx="6">
                  <c:v>55.345640259999996</c:v>
                </c:pt>
                <c:pt idx="7">
                  <c:v>70.692571999999558</c:v>
                </c:pt>
                <c:pt idx="8">
                  <c:v>63.910096809999999</c:v>
                </c:pt>
                <c:pt idx="9">
                  <c:v>76.579409729999981</c:v>
                </c:pt>
                <c:pt idx="10">
                  <c:v>74.907138599999982</c:v>
                </c:pt>
                <c:pt idx="11">
                  <c:v>85.332813129999948</c:v>
                </c:pt>
                <c:pt idx="12">
                  <c:v>86.570516819998858</c:v>
                </c:pt>
                <c:pt idx="13">
                  <c:v>104.1919181</c:v>
                </c:pt>
                <c:pt idx="14">
                  <c:v>102.28689879</c:v>
                </c:pt>
                <c:pt idx="15">
                  <c:v>112.82105353000003</c:v>
                </c:pt>
                <c:pt idx="16">
                  <c:v>105.41265554000101</c:v>
                </c:pt>
                <c:pt idx="17">
                  <c:v>110.13063454</c:v>
                </c:pt>
                <c:pt idx="18">
                  <c:v>95.390886559999558</c:v>
                </c:pt>
                <c:pt idx="19">
                  <c:v>90.098118199999988</c:v>
                </c:pt>
                <c:pt idx="20">
                  <c:v>66.323122659999981</c:v>
                </c:pt>
                <c:pt idx="21">
                  <c:v>64.308067929999979</c:v>
                </c:pt>
                <c:pt idx="22">
                  <c:v>56.606351330000543</c:v>
                </c:pt>
                <c:pt idx="23">
                  <c:v>58.086542230000063</c:v>
                </c:pt>
                <c:pt idx="24">
                  <c:v>52.800321659999994</c:v>
                </c:pt>
                <c:pt idx="25">
                  <c:v>55.643895520000008</c:v>
                </c:pt>
                <c:pt idx="26">
                  <c:v>53.114208529999999</c:v>
                </c:pt>
                <c:pt idx="27">
                  <c:v>61.744002380000012</c:v>
                </c:pt>
                <c:pt idx="28">
                  <c:v>55.818616150000004</c:v>
                </c:pt>
                <c:pt idx="29">
                  <c:v>64.844704129999982</c:v>
                </c:pt>
              </c:numCache>
            </c:numRef>
          </c:val>
        </c:ser>
        <c:axId val="118368128"/>
        <c:axId val="118369664"/>
      </c:barChart>
      <c:catAx>
        <c:axId val="118368128"/>
        <c:scaling>
          <c:orientation val="minMax"/>
        </c:scaling>
        <c:axPos val="b"/>
        <c:tickLblPos val="nextTo"/>
        <c:crossAx val="118369664"/>
        <c:crosses val="autoZero"/>
        <c:auto val="1"/>
        <c:lblAlgn val="ctr"/>
        <c:lblOffset val="100"/>
      </c:catAx>
      <c:valAx>
        <c:axId val="118369664"/>
        <c:scaling>
          <c:orientation val="minMax"/>
          <c:min val="0"/>
        </c:scaling>
        <c:axPos val="l"/>
        <c:majorGridlines/>
        <c:numFmt formatCode="0" sourceLinked="0"/>
        <c:tickLblPos val="nextTo"/>
        <c:crossAx val="118368128"/>
        <c:crosses val="autoZero"/>
        <c:crossBetween val="between"/>
      </c:valAx>
    </c:plotArea>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col"/>
        <c:grouping val="clustered"/>
        <c:ser>
          <c:idx val="0"/>
          <c:order val="0"/>
          <c:cat>
            <c:strRef>
              <c:f>Sheet1!$A$2:$A$28</c:f>
              <c:strCache>
                <c:ptCount val="27"/>
                <c:pt idx="0">
                  <c:v>2004 IV ketv.</c:v>
                </c:pt>
                <c:pt idx="1">
                  <c:v>2005 I ketv.</c:v>
                </c:pt>
                <c:pt idx="2">
                  <c:v>2005 II ketv.</c:v>
                </c:pt>
                <c:pt idx="3">
                  <c:v>2005 III ketv.</c:v>
                </c:pt>
                <c:pt idx="4">
                  <c:v>2005 IV ketv.</c:v>
                </c:pt>
                <c:pt idx="5">
                  <c:v>2006 I ketv.</c:v>
                </c:pt>
                <c:pt idx="6">
                  <c:v>2006 II ketv.</c:v>
                </c:pt>
                <c:pt idx="7">
                  <c:v>2006 III ketv.</c:v>
                </c:pt>
                <c:pt idx="8">
                  <c:v>2006 IV ketv.</c:v>
                </c:pt>
                <c:pt idx="9">
                  <c:v>2007 I ketv.</c:v>
                </c:pt>
                <c:pt idx="10">
                  <c:v>2007 II ketv.</c:v>
                </c:pt>
                <c:pt idx="11">
                  <c:v>2007 III ketv.</c:v>
                </c:pt>
                <c:pt idx="12">
                  <c:v>2007 IV ketv.</c:v>
                </c:pt>
                <c:pt idx="13">
                  <c:v>2008 I ketv.</c:v>
                </c:pt>
                <c:pt idx="14">
                  <c:v>2008 II ketv.</c:v>
                </c:pt>
                <c:pt idx="15">
                  <c:v>2008 III ketv.</c:v>
                </c:pt>
                <c:pt idx="16">
                  <c:v>2008 IV ketv.</c:v>
                </c:pt>
                <c:pt idx="17">
                  <c:v>2009 I ketv.</c:v>
                </c:pt>
                <c:pt idx="18">
                  <c:v>2009 II ketv.</c:v>
                </c:pt>
                <c:pt idx="19">
                  <c:v>2009 III ketv.</c:v>
                </c:pt>
                <c:pt idx="20">
                  <c:v>2009 IV ketv.</c:v>
                </c:pt>
                <c:pt idx="21">
                  <c:v>2010 I ketv.</c:v>
                </c:pt>
                <c:pt idx="22">
                  <c:v>2010 II ketv.</c:v>
                </c:pt>
                <c:pt idx="23">
                  <c:v>2010 III ketv.</c:v>
                </c:pt>
                <c:pt idx="24">
                  <c:v>2010 IV ketv.</c:v>
                </c:pt>
                <c:pt idx="25">
                  <c:v>2011 I ketv.</c:v>
                </c:pt>
                <c:pt idx="26">
                  <c:v>2011 II ketv.</c:v>
                </c:pt>
              </c:strCache>
            </c:strRef>
          </c:cat>
          <c:val>
            <c:numRef>
              <c:f>Sheet1!$B$2:$B$28</c:f>
              <c:numCache>
                <c:formatCode>0.00</c:formatCode>
                <c:ptCount val="27"/>
                <c:pt idx="0">
                  <c:v>27.98794711</c:v>
                </c:pt>
                <c:pt idx="1">
                  <c:v>29.909043569999785</c:v>
                </c:pt>
                <c:pt idx="2">
                  <c:v>29.269533369999778</c:v>
                </c:pt>
                <c:pt idx="3">
                  <c:v>30.258628199999986</c:v>
                </c:pt>
                <c:pt idx="4">
                  <c:v>34.005289090000005</c:v>
                </c:pt>
                <c:pt idx="5">
                  <c:v>39.064878540000002</c:v>
                </c:pt>
                <c:pt idx="6">
                  <c:v>39.314139649999994</c:v>
                </c:pt>
                <c:pt idx="7">
                  <c:v>40.358814769999995</c:v>
                </c:pt>
                <c:pt idx="8">
                  <c:v>44.232017550000009</c:v>
                </c:pt>
                <c:pt idx="9">
                  <c:v>51.255416250000003</c:v>
                </c:pt>
                <c:pt idx="10">
                  <c:v>52.291495810000313</c:v>
                </c:pt>
                <c:pt idx="11">
                  <c:v>51.773806659999998</c:v>
                </c:pt>
                <c:pt idx="12">
                  <c:v>60.633253360000012</c:v>
                </c:pt>
                <c:pt idx="13">
                  <c:v>72.544932549999999</c:v>
                </c:pt>
                <c:pt idx="14">
                  <c:v>99.160529679999996</c:v>
                </c:pt>
                <c:pt idx="15">
                  <c:v>91.886918369999989</c:v>
                </c:pt>
                <c:pt idx="16">
                  <c:v>78.572853539999358</c:v>
                </c:pt>
                <c:pt idx="17">
                  <c:v>83.69311501</c:v>
                </c:pt>
                <c:pt idx="18">
                  <c:v>45.431589679999995</c:v>
                </c:pt>
                <c:pt idx="19">
                  <c:v>47.789022710000012</c:v>
                </c:pt>
                <c:pt idx="20">
                  <c:v>45.693128620000437</c:v>
                </c:pt>
                <c:pt idx="21">
                  <c:v>54.771391250000001</c:v>
                </c:pt>
                <c:pt idx="22">
                  <c:v>53.160785780000012</c:v>
                </c:pt>
                <c:pt idx="23">
                  <c:v>50.305329280000002</c:v>
                </c:pt>
                <c:pt idx="24">
                  <c:v>50.445278419999987</c:v>
                </c:pt>
                <c:pt idx="25">
                  <c:v>66.545239780000784</c:v>
                </c:pt>
                <c:pt idx="26">
                  <c:v>69.791003450000886</c:v>
                </c:pt>
              </c:numCache>
            </c:numRef>
          </c:val>
        </c:ser>
        <c:axId val="118597120"/>
        <c:axId val="118598656"/>
      </c:barChart>
      <c:catAx>
        <c:axId val="118597120"/>
        <c:scaling>
          <c:orientation val="minMax"/>
        </c:scaling>
        <c:axPos val="b"/>
        <c:tickLblPos val="nextTo"/>
        <c:crossAx val="118598656"/>
        <c:crosses val="autoZero"/>
        <c:auto val="1"/>
        <c:lblAlgn val="ctr"/>
        <c:lblOffset val="100"/>
      </c:catAx>
      <c:valAx>
        <c:axId val="118598656"/>
        <c:scaling>
          <c:orientation val="minMax"/>
          <c:max val="100"/>
        </c:scaling>
        <c:axPos val="l"/>
        <c:majorGridlines/>
        <c:numFmt formatCode="0" sourceLinked="0"/>
        <c:tickLblPos val="nextTo"/>
        <c:crossAx val="118597120"/>
        <c:crosses val="autoZero"/>
        <c:crossBetween val="between"/>
        <c:majorUnit val="20"/>
      </c:valAx>
    </c:plotArea>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lineChart>
        <c:grouping val="standard"/>
        <c:ser>
          <c:idx val="0"/>
          <c:order val="0"/>
          <c:val>
            <c:numRef>
              <c:f>Sheet1!$A$1:$A$22</c:f>
              <c:numCache>
                <c:formatCode>General</c:formatCode>
                <c:ptCount val="22"/>
                <c:pt idx="0">
                  <c:v>27</c:v>
                </c:pt>
                <c:pt idx="1">
                  <c:v>55</c:v>
                </c:pt>
                <c:pt idx="2">
                  <c:v>68</c:v>
                </c:pt>
                <c:pt idx="3">
                  <c:v>75</c:v>
                </c:pt>
                <c:pt idx="4">
                  <c:v>80</c:v>
                </c:pt>
                <c:pt idx="5">
                  <c:v>82</c:v>
                </c:pt>
                <c:pt idx="6">
                  <c:v>84</c:v>
                </c:pt>
                <c:pt idx="7">
                  <c:v>85</c:v>
                </c:pt>
                <c:pt idx="8">
                  <c:v>86</c:v>
                </c:pt>
                <c:pt idx="9">
                  <c:v>87</c:v>
                </c:pt>
                <c:pt idx="10">
                  <c:v>88</c:v>
                </c:pt>
                <c:pt idx="11">
                  <c:v>89</c:v>
                </c:pt>
                <c:pt idx="12">
                  <c:v>90</c:v>
                </c:pt>
                <c:pt idx="13">
                  <c:v>91</c:v>
                </c:pt>
                <c:pt idx="14">
                  <c:v>91.5</c:v>
                </c:pt>
                <c:pt idx="15">
                  <c:v>92</c:v>
                </c:pt>
                <c:pt idx="16">
                  <c:v>92.5</c:v>
                </c:pt>
                <c:pt idx="17">
                  <c:v>93</c:v>
                </c:pt>
                <c:pt idx="18">
                  <c:v>93.5</c:v>
                </c:pt>
                <c:pt idx="19">
                  <c:v>94</c:v>
                </c:pt>
                <c:pt idx="20">
                  <c:v>94.5</c:v>
                </c:pt>
                <c:pt idx="21">
                  <c:v>95</c:v>
                </c:pt>
              </c:numCache>
            </c:numRef>
          </c:val>
        </c:ser>
        <c:hiLowLines/>
        <c:marker val="1"/>
        <c:axId val="118692096"/>
        <c:axId val="118698368"/>
      </c:lineChart>
      <c:catAx>
        <c:axId val="118692096"/>
        <c:scaling>
          <c:orientation val="minMax"/>
        </c:scaling>
        <c:axPos val="b"/>
        <c:title>
          <c:tx>
            <c:rich>
              <a:bodyPr/>
              <a:lstStyle/>
              <a:p>
                <a:pPr>
                  <a:defRPr/>
                </a:pPr>
                <a:r>
                  <a:rPr lang="en-US"/>
                  <a:t>Ekspert</a:t>
                </a:r>
                <a:r>
                  <a:rPr lang="lt-LT"/>
                  <a:t>ų skaičius</a:t>
                </a:r>
                <a:endParaRPr lang="en-US"/>
              </a:p>
            </c:rich>
          </c:tx>
          <c:layout>
            <c:manualLayout>
              <c:xMode val="edge"/>
              <c:yMode val="edge"/>
              <c:x val="0.75652183537299589"/>
              <c:y val="0.87868037328668158"/>
            </c:manualLayout>
          </c:layout>
        </c:title>
        <c:majorTickMark val="none"/>
        <c:tickLblPos val="nextTo"/>
        <c:crossAx val="118698368"/>
        <c:crosses val="autoZero"/>
        <c:auto val="1"/>
        <c:lblAlgn val="ctr"/>
        <c:lblOffset val="100"/>
      </c:catAx>
      <c:valAx>
        <c:axId val="118698368"/>
        <c:scaling>
          <c:orientation val="minMax"/>
          <c:max val="100"/>
        </c:scaling>
        <c:axPos val="l"/>
        <c:majorGridlines/>
        <c:title>
          <c:tx>
            <c:rich>
              <a:bodyPr/>
              <a:lstStyle/>
              <a:p>
                <a:pPr>
                  <a:defRPr/>
                </a:pPr>
                <a:r>
                  <a:rPr lang="en-US"/>
                  <a:t>Sprendinio patikimumas</a:t>
                </a:r>
                <a:r>
                  <a:rPr lang="lt-LT"/>
                  <a:t> </a:t>
                </a:r>
                <a:r>
                  <a:rPr lang="en-US"/>
                  <a:t>%</a:t>
                </a:r>
              </a:p>
            </c:rich>
          </c:tx>
        </c:title>
        <c:numFmt formatCode="General" sourceLinked="1"/>
        <c:tickLblPos val="nextTo"/>
        <c:crossAx val="118692096"/>
        <c:crosses val="autoZero"/>
        <c:crossBetween val="between"/>
        <c:majorUnit val="25"/>
      </c:valAx>
    </c:plotArea>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style val="1"/>
  <c:chart>
    <c:plotArea>
      <c:layout/>
      <c:barChart>
        <c:barDir val="bar"/>
        <c:grouping val="clustered"/>
        <c:ser>
          <c:idx val="0"/>
          <c:order val="0"/>
          <c:dLbls>
            <c:numFmt formatCode="#,##0.00" sourceLinked="0"/>
            <c:showVal val="1"/>
          </c:dLbls>
          <c:cat>
            <c:strRef>
              <c:f>Sheet1!$A$2:$A$16</c:f>
              <c:strCache>
                <c:ptCount val="15"/>
                <c:pt idx="0">
                  <c:v>Užsienio draudikų egzistavimas Lietuvos rinkoje</c:v>
                </c:pt>
                <c:pt idx="1">
                  <c:v>Didelė draudimo įmonių koncentracija rinkoje</c:v>
                </c:pt>
                <c:pt idx="2">
                  <c:v>Šalies klimato kaita</c:v>
                </c:pt>
                <c:pt idx="3">
                  <c:v>Valstybės kontrolė draudikams</c:v>
                </c:pt>
                <c:pt idx="4">
                  <c:v>Draudimo brokerių bendrovių gausa Lietuvoje.</c:v>
                </c:pt>
                <c:pt idx="5">
                  <c:v>Papildomos paslaugos prie draudimo produktų</c:v>
                </c:pt>
                <c:pt idx="6">
                  <c:v>Prieinama informacija apie draudimo produktus. </c:v>
                </c:pt>
                <c:pt idx="7">
                  <c:v>Informacinių technologijų panaudojimas pardavimams</c:v>
                </c:pt>
                <c:pt idx="8">
                  <c:v>Naujų draudimo produktų atsiradimas</c:v>
                </c:pt>
                <c:pt idx="9">
                  <c:v>Nuostolių tikimybė </c:v>
                </c:pt>
                <c:pt idx="10">
                  <c:v>Palankios sąlygos kreditui bei lizingui</c:v>
                </c:pt>
                <c:pt idx="11">
                  <c:v>Pasitikėjimas draudimo kompanijomis</c:v>
                </c:pt>
                <c:pt idx="12">
                  <c:v>Aiškios ir suprantamos draudimo taisyklės</c:v>
                </c:pt>
                <c:pt idx="13">
                  <c:v>Egzistuojantis požiūris į draudimą</c:v>
                </c:pt>
                <c:pt idx="14">
                  <c:v>Išsilavinimo lygis šalyje</c:v>
                </c:pt>
              </c:strCache>
            </c:strRef>
          </c:cat>
          <c:val>
            <c:numRef>
              <c:f>Sheet1!$K$2:$K$16</c:f>
              <c:numCache>
                <c:formatCode>General</c:formatCode>
                <c:ptCount val="15"/>
                <c:pt idx="0">
                  <c:v>2.75</c:v>
                </c:pt>
                <c:pt idx="1">
                  <c:v>3</c:v>
                </c:pt>
                <c:pt idx="2">
                  <c:v>3</c:v>
                </c:pt>
                <c:pt idx="3">
                  <c:v>3.25</c:v>
                </c:pt>
                <c:pt idx="4">
                  <c:v>3.5</c:v>
                </c:pt>
                <c:pt idx="5">
                  <c:v>3.8749999999999987</c:v>
                </c:pt>
                <c:pt idx="6">
                  <c:v>3.8749999999999987</c:v>
                </c:pt>
                <c:pt idx="7">
                  <c:v>4</c:v>
                </c:pt>
                <c:pt idx="8">
                  <c:v>4</c:v>
                </c:pt>
                <c:pt idx="9">
                  <c:v>4</c:v>
                </c:pt>
                <c:pt idx="10">
                  <c:v>4.1249999999999645</c:v>
                </c:pt>
                <c:pt idx="11">
                  <c:v>4.1249999999999645</c:v>
                </c:pt>
                <c:pt idx="12">
                  <c:v>4.375</c:v>
                </c:pt>
                <c:pt idx="13">
                  <c:v>4.5</c:v>
                </c:pt>
                <c:pt idx="14">
                  <c:v>4.5</c:v>
                </c:pt>
              </c:numCache>
            </c:numRef>
          </c:val>
        </c:ser>
        <c:axId val="119131520"/>
        <c:axId val="119235712"/>
      </c:barChart>
      <c:catAx>
        <c:axId val="119131520"/>
        <c:scaling>
          <c:orientation val="minMax"/>
        </c:scaling>
        <c:axPos val="l"/>
        <c:tickLblPos val="nextTo"/>
        <c:crossAx val="119235712"/>
        <c:crosses val="autoZero"/>
        <c:auto val="1"/>
        <c:lblAlgn val="ctr"/>
        <c:lblOffset val="100"/>
      </c:catAx>
      <c:valAx>
        <c:axId val="119235712"/>
        <c:scaling>
          <c:orientation val="minMax"/>
        </c:scaling>
        <c:axPos val="b"/>
        <c:majorGridlines/>
        <c:numFmt formatCode="General" sourceLinked="1"/>
        <c:tickLblPos val="nextTo"/>
        <c:crossAx val="119131520"/>
        <c:crosses val="autoZero"/>
        <c:crossBetween val="between"/>
        <c:majorUnit val="1"/>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Koncentracija!$B$2</c:f>
              <c:strCache>
                <c:ptCount val="1"/>
                <c:pt idx="0">
                  <c:v>koncentracija %</c:v>
                </c:pt>
              </c:strCache>
            </c:strRef>
          </c:tx>
          <c:dLbls>
            <c:dLblPos val="inEnd"/>
            <c:showVal val="1"/>
          </c:dLbls>
          <c:cat>
            <c:numRef>
              <c:f>Koncentracija!$A$3:$A$15</c:f>
              <c:numCache>
                <c:formatCode>General</c:formatCode>
                <c:ptCount val="13"/>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numCache>
            </c:numRef>
          </c:cat>
          <c:val>
            <c:numRef>
              <c:f>Koncentracija!$B$3:$B$15</c:f>
              <c:numCache>
                <c:formatCode>General</c:formatCode>
                <c:ptCount val="13"/>
                <c:pt idx="0">
                  <c:v>67.489999999999995</c:v>
                </c:pt>
                <c:pt idx="1">
                  <c:v>64.599999999999994</c:v>
                </c:pt>
                <c:pt idx="2">
                  <c:v>63.3</c:v>
                </c:pt>
                <c:pt idx="3">
                  <c:v>66.8</c:v>
                </c:pt>
                <c:pt idx="4">
                  <c:v>64.2</c:v>
                </c:pt>
                <c:pt idx="5">
                  <c:v>58.1</c:v>
                </c:pt>
                <c:pt idx="6">
                  <c:v>54.2</c:v>
                </c:pt>
                <c:pt idx="7">
                  <c:v>63.6</c:v>
                </c:pt>
                <c:pt idx="8">
                  <c:v>60.3</c:v>
                </c:pt>
                <c:pt idx="9">
                  <c:v>62</c:v>
                </c:pt>
                <c:pt idx="10">
                  <c:v>62.4</c:v>
                </c:pt>
                <c:pt idx="11">
                  <c:v>58</c:v>
                </c:pt>
                <c:pt idx="12">
                  <c:v>59</c:v>
                </c:pt>
              </c:numCache>
            </c:numRef>
          </c:val>
        </c:ser>
        <c:gapWidth val="75"/>
        <c:overlap val="-25"/>
        <c:axId val="140643328"/>
        <c:axId val="140681984"/>
      </c:barChart>
      <c:catAx>
        <c:axId val="140643328"/>
        <c:scaling>
          <c:orientation val="minMax"/>
        </c:scaling>
        <c:axPos val="b"/>
        <c:numFmt formatCode="General" sourceLinked="1"/>
        <c:majorTickMark val="none"/>
        <c:tickLblPos val="nextTo"/>
        <c:crossAx val="140681984"/>
        <c:crosses val="autoZero"/>
        <c:auto val="1"/>
        <c:lblAlgn val="ctr"/>
        <c:lblOffset val="100"/>
      </c:catAx>
      <c:valAx>
        <c:axId val="140681984"/>
        <c:scaling>
          <c:orientation val="minMax"/>
          <c:min val="50"/>
        </c:scaling>
        <c:axPos val="l"/>
        <c:majorGridlines/>
        <c:numFmt formatCode="General" sourceLinked="1"/>
        <c:majorTickMark val="none"/>
        <c:tickLblPos val="nextTo"/>
        <c:crossAx val="140643328"/>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dLbls>
            <c:numFmt formatCode="0.0%" sourceLinked="0"/>
            <c:showPercent val="1"/>
            <c:showLeaderLines val="1"/>
          </c:dLbls>
          <c:cat>
            <c:strRef>
              <c:f>Sheet1!$A$1:$A$9</c:f>
              <c:strCache>
                <c:ptCount val="9"/>
                <c:pt idx="0">
                  <c:v>Lietuvos draudimas </c:v>
                </c:pt>
                <c:pt idx="1">
                  <c:v>BTA draudimas </c:v>
                </c:pt>
                <c:pt idx="2">
                  <c:v>PZU Lietuva </c:v>
                </c:pt>
                <c:pt idx="3">
                  <c:v>ERGO Lietuva </c:v>
                </c:pt>
                <c:pt idx="4">
                  <c:v>If P&amp;C Insurance AS</c:v>
                </c:pt>
                <c:pt idx="5">
                  <c:v>Gjensidige Baltic </c:v>
                </c:pt>
                <c:pt idx="6">
                  <c:v>Seesam Lietuva </c:v>
                </c:pt>
                <c:pt idx="7">
                  <c:v>Industrijos garantas </c:v>
                </c:pt>
                <c:pt idx="8">
                  <c:v>Kiti draudikai </c:v>
                </c:pt>
              </c:strCache>
            </c:strRef>
          </c:cat>
          <c:val>
            <c:numRef>
              <c:f>Sheet1!$B$1:$B$9</c:f>
              <c:numCache>
                <c:formatCode>General</c:formatCode>
                <c:ptCount val="9"/>
                <c:pt idx="0">
                  <c:v>33.700000000000003</c:v>
                </c:pt>
                <c:pt idx="1">
                  <c:v>12.2</c:v>
                </c:pt>
                <c:pt idx="2">
                  <c:v>12.4</c:v>
                </c:pt>
                <c:pt idx="3">
                  <c:v>12.9</c:v>
                </c:pt>
                <c:pt idx="4">
                  <c:v>9.4</c:v>
                </c:pt>
                <c:pt idx="5">
                  <c:v>6.6</c:v>
                </c:pt>
                <c:pt idx="6">
                  <c:v>3.4</c:v>
                </c:pt>
                <c:pt idx="7">
                  <c:v>2.2999999999999998</c:v>
                </c:pt>
                <c:pt idx="8">
                  <c:v>7.1</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percentStacked"/>
        <c:ser>
          <c:idx val="0"/>
          <c:order val="0"/>
          <c:tx>
            <c:strRef>
              <c:f>'draudimo rinka'!$B$1</c:f>
              <c:strCache>
                <c:ptCount val="1"/>
                <c:pt idx="0">
                  <c:v>Gyvybės draudimas</c:v>
                </c:pt>
              </c:strCache>
            </c:strRef>
          </c:tx>
          <c:dLbls>
            <c:showVal val="1"/>
          </c:dLbls>
          <c:cat>
            <c:numRef>
              <c:f>'draudimo rinka'!$A$2:$A$6</c:f>
              <c:numCache>
                <c:formatCode>General</c:formatCode>
                <c:ptCount val="5"/>
                <c:pt idx="0">
                  <c:v>2006</c:v>
                </c:pt>
                <c:pt idx="1">
                  <c:v>2007</c:v>
                </c:pt>
                <c:pt idx="2">
                  <c:v>2008</c:v>
                </c:pt>
                <c:pt idx="3">
                  <c:v>2009</c:v>
                </c:pt>
                <c:pt idx="4">
                  <c:v>2010</c:v>
                </c:pt>
              </c:numCache>
            </c:numRef>
          </c:cat>
          <c:val>
            <c:numRef>
              <c:f>'draudimo rinka'!$B$2:$B$6</c:f>
              <c:numCache>
                <c:formatCode>General</c:formatCode>
                <c:ptCount val="5"/>
                <c:pt idx="0">
                  <c:v>31</c:v>
                </c:pt>
                <c:pt idx="1">
                  <c:v>38</c:v>
                </c:pt>
                <c:pt idx="2">
                  <c:v>26</c:v>
                </c:pt>
                <c:pt idx="3">
                  <c:v>31</c:v>
                </c:pt>
                <c:pt idx="4">
                  <c:v>35</c:v>
                </c:pt>
              </c:numCache>
            </c:numRef>
          </c:val>
        </c:ser>
        <c:ser>
          <c:idx val="1"/>
          <c:order val="1"/>
          <c:tx>
            <c:strRef>
              <c:f>'draudimo rinka'!$C$1</c:f>
              <c:strCache>
                <c:ptCount val="1"/>
                <c:pt idx="0">
                  <c:v>Ne gyvybės draudimas</c:v>
                </c:pt>
              </c:strCache>
            </c:strRef>
          </c:tx>
          <c:dLbls>
            <c:showVal val="1"/>
          </c:dLbls>
          <c:cat>
            <c:numRef>
              <c:f>'draudimo rinka'!$A$2:$A$6</c:f>
              <c:numCache>
                <c:formatCode>General</c:formatCode>
                <c:ptCount val="5"/>
                <c:pt idx="0">
                  <c:v>2006</c:v>
                </c:pt>
                <c:pt idx="1">
                  <c:v>2007</c:v>
                </c:pt>
                <c:pt idx="2">
                  <c:v>2008</c:v>
                </c:pt>
                <c:pt idx="3">
                  <c:v>2009</c:v>
                </c:pt>
                <c:pt idx="4">
                  <c:v>2010</c:v>
                </c:pt>
              </c:numCache>
            </c:numRef>
          </c:cat>
          <c:val>
            <c:numRef>
              <c:f>'draudimo rinka'!$C$2:$C$6</c:f>
              <c:numCache>
                <c:formatCode>General</c:formatCode>
                <c:ptCount val="5"/>
                <c:pt idx="0">
                  <c:v>69</c:v>
                </c:pt>
                <c:pt idx="1">
                  <c:v>62</c:v>
                </c:pt>
                <c:pt idx="2">
                  <c:v>74</c:v>
                </c:pt>
                <c:pt idx="3">
                  <c:v>69</c:v>
                </c:pt>
                <c:pt idx="4">
                  <c:v>65</c:v>
                </c:pt>
              </c:numCache>
            </c:numRef>
          </c:val>
        </c:ser>
        <c:gapWidth val="75"/>
        <c:overlap val="100"/>
        <c:axId val="53683712"/>
        <c:axId val="53685248"/>
      </c:barChart>
      <c:catAx>
        <c:axId val="53683712"/>
        <c:scaling>
          <c:orientation val="minMax"/>
        </c:scaling>
        <c:axPos val="b"/>
        <c:numFmt formatCode="General" sourceLinked="1"/>
        <c:majorTickMark val="none"/>
        <c:tickLblPos val="nextTo"/>
        <c:crossAx val="53685248"/>
        <c:crosses val="autoZero"/>
        <c:auto val="1"/>
        <c:lblAlgn val="ctr"/>
        <c:lblOffset val="100"/>
      </c:catAx>
      <c:valAx>
        <c:axId val="53685248"/>
        <c:scaling>
          <c:orientation val="minMax"/>
        </c:scaling>
        <c:axPos val="l"/>
        <c:majorGridlines/>
        <c:numFmt formatCode="0%" sourceLinked="1"/>
        <c:majorTickMark val="none"/>
        <c:tickLblPos val="nextTo"/>
        <c:crossAx val="53683712"/>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tankis!$B$4</c:f>
              <c:strCache>
                <c:ptCount val="1"/>
                <c:pt idx="0">
                  <c:v>Tankis</c:v>
                </c:pt>
              </c:strCache>
            </c:strRef>
          </c:tx>
          <c:dLbls>
            <c:dLblPos val="ctr"/>
            <c:showVal val="1"/>
          </c:dLbls>
          <c:cat>
            <c:numRef>
              <c:f>tankis!$A$5:$A$16</c:f>
              <c:numCache>
                <c:formatCode>General</c:formatCode>
                <c:ptCount val="12"/>
                <c:pt idx="0">
                  <c:v>1999</c:v>
                </c:pt>
                <c:pt idx="1">
                  <c:v>2000</c:v>
                </c:pt>
                <c:pt idx="2">
                  <c:v>2001</c:v>
                </c:pt>
                <c:pt idx="3">
                  <c:v>2002</c:v>
                </c:pt>
                <c:pt idx="4">
                  <c:v>2003</c:v>
                </c:pt>
                <c:pt idx="5">
                  <c:v>2004</c:v>
                </c:pt>
                <c:pt idx="6">
                  <c:v>2005</c:v>
                </c:pt>
                <c:pt idx="7">
                  <c:v>2006</c:v>
                </c:pt>
                <c:pt idx="8">
                  <c:v>2007</c:v>
                </c:pt>
                <c:pt idx="9">
                  <c:v>2008</c:v>
                </c:pt>
                <c:pt idx="10">
                  <c:v>2009</c:v>
                </c:pt>
                <c:pt idx="11">
                  <c:v>2010</c:v>
                </c:pt>
              </c:numCache>
            </c:numRef>
          </c:cat>
          <c:val>
            <c:numRef>
              <c:f>tankis!$B$5:$B$16</c:f>
              <c:numCache>
                <c:formatCode>0.00</c:formatCode>
                <c:ptCount val="12"/>
                <c:pt idx="0">
                  <c:v>106.1</c:v>
                </c:pt>
                <c:pt idx="1">
                  <c:v>111.7</c:v>
                </c:pt>
                <c:pt idx="2">
                  <c:v>120.3</c:v>
                </c:pt>
                <c:pt idx="3">
                  <c:v>183</c:v>
                </c:pt>
                <c:pt idx="4">
                  <c:v>180.3</c:v>
                </c:pt>
                <c:pt idx="5">
                  <c:v>202.7</c:v>
                </c:pt>
                <c:pt idx="6">
                  <c:v>232.2</c:v>
                </c:pt>
                <c:pt idx="7">
                  <c:v>299.3</c:v>
                </c:pt>
                <c:pt idx="8">
                  <c:v>387</c:v>
                </c:pt>
                <c:pt idx="9">
                  <c:v>448.7</c:v>
                </c:pt>
                <c:pt idx="10">
                  <c:v>318.89999999999969</c:v>
                </c:pt>
                <c:pt idx="11">
                  <c:v>307</c:v>
                </c:pt>
              </c:numCache>
            </c:numRef>
          </c:val>
        </c:ser>
        <c:gapWidth val="75"/>
        <c:axId val="53703808"/>
        <c:axId val="53705344"/>
      </c:barChart>
      <c:lineChart>
        <c:grouping val="standard"/>
        <c:ser>
          <c:idx val="1"/>
          <c:order val="1"/>
          <c:tx>
            <c:strRef>
              <c:f>tankis!$C$4</c:f>
              <c:strCache>
                <c:ptCount val="1"/>
                <c:pt idx="0">
                  <c:v>Skvarba</c:v>
                </c:pt>
              </c:strCache>
            </c:strRef>
          </c:tx>
          <c:dLbls>
            <c:showVal val="1"/>
          </c:dLbls>
          <c:cat>
            <c:numRef>
              <c:f>tankis!$A$5:$A$16</c:f>
              <c:numCache>
                <c:formatCode>General</c:formatCode>
                <c:ptCount val="12"/>
                <c:pt idx="0">
                  <c:v>1999</c:v>
                </c:pt>
                <c:pt idx="1">
                  <c:v>2000</c:v>
                </c:pt>
                <c:pt idx="2">
                  <c:v>2001</c:v>
                </c:pt>
                <c:pt idx="3">
                  <c:v>2002</c:v>
                </c:pt>
                <c:pt idx="4">
                  <c:v>2003</c:v>
                </c:pt>
                <c:pt idx="5">
                  <c:v>2004</c:v>
                </c:pt>
                <c:pt idx="6">
                  <c:v>2005</c:v>
                </c:pt>
                <c:pt idx="7">
                  <c:v>2006</c:v>
                </c:pt>
                <c:pt idx="8">
                  <c:v>2007</c:v>
                </c:pt>
                <c:pt idx="9">
                  <c:v>2008</c:v>
                </c:pt>
                <c:pt idx="10">
                  <c:v>2009</c:v>
                </c:pt>
                <c:pt idx="11">
                  <c:v>2010</c:v>
                </c:pt>
              </c:numCache>
            </c:numRef>
          </c:cat>
          <c:val>
            <c:numRef>
              <c:f>tankis!$C$5:$C$16</c:f>
              <c:numCache>
                <c:formatCode>General</c:formatCode>
                <c:ptCount val="12"/>
                <c:pt idx="0">
                  <c:v>0.86000000000000065</c:v>
                </c:pt>
                <c:pt idx="1">
                  <c:v>0.8</c:v>
                </c:pt>
                <c:pt idx="2">
                  <c:v>0.81</c:v>
                </c:pt>
                <c:pt idx="3">
                  <c:v>1.22</c:v>
                </c:pt>
                <c:pt idx="4">
                  <c:v>1.1000000000000001</c:v>
                </c:pt>
                <c:pt idx="5">
                  <c:v>1.1000000000000001</c:v>
                </c:pt>
                <c:pt idx="6">
                  <c:v>1.1000000000000001</c:v>
                </c:pt>
                <c:pt idx="7">
                  <c:v>1.2</c:v>
                </c:pt>
                <c:pt idx="8">
                  <c:v>1.3</c:v>
                </c:pt>
                <c:pt idx="9">
                  <c:v>1.3</c:v>
                </c:pt>
                <c:pt idx="10">
                  <c:v>1.2</c:v>
                </c:pt>
                <c:pt idx="11">
                  <c:v>1.1000000000000001</c:v>
                </c:pt>
              </c:numCache>
            </c:numRef>
          </c:val>
        </c:ser>
        <c:marker val="1"/>
        <c:axId val="53708672"/>
        <c:axId val="53707136"/>
      </c:lineChart>
      <c:catAx>
        <c:axId val="53703808"/>
        <c:scaling>
          <c:orientation val="minMax"/>
        </c:scaling>
        <c:axPos val="b"/>
        <c:numFmt formatCode="General" sourceLinked="1"/>
        <c:majorTickMark val="none"/>
        <c:tickLblPos val="nextTo"/>
        <c:crossAx val="53705344"/>
        <c:crosses val="autoZero"/>
        <c:auto val="1"/>
        <c:lblAlgn val="ctr"/>
        <c:lblOffset val="100"/>
      </c:catAx>
      <c:valAx>
        <c:axId val="53705344"/>
        <c:scaling>
          <c:orientation val="minMax"/>
        </c:scaling>
        <c:axPos val="l"/>
        <c:majorGridlines/>
        <c:numFmt formatCode="0" sourceLinked="0"/>
        <c:majorTickMark val="none"/>
        <c:tickLblPos val="nextTo"/>
        <c:crossAx val="53703808"/>
        <c:crosses val="autoZero"/>
        <c:crossBetween val="between"/>
      </c:valAx>
      <c:valAx>
        <c:axId val="53707136"/>
        <c:scaling>
          <c:orientation val="minMax"/>
        </c:scaling>
        <c:axPos val="r"/>
        <c:numFmt formatCode="General" sourceLinked="1"/>
        <c:tickLblPos val="nextTo"/>
        <c:crossAx val="53708672"/>
        <c:crosses val="max"/>
        <c:crossBetween val="between"/>
      </c:valAx>
      <c:catAx>
        <c:axId val="53708672"/>
        <c:scaling>
          <c:orientation val="minMax"/>
        </c:scaling>
        <c:delete val="1"/>
        <c:axPos val="b"/>
        <c:numFmt formatCode="General" sourceLinked="1"/>
        <c:tickLblPos val="nextTo"/>
        <c:crossAx val="53707136"/>
        <c:crosses val="autoZero"/>
        <c:auto val="1"/>
        <c:lblAlgn val="ctr"/>
        <c:lblOffset val="100"/>
      </c:catAx>
    </c:plotArea>
    <c:legend>
      <c:legendPos val="b"/>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Imokos!$B$3</c:f>
              <c:strCache>
                <c:ptCount val="1"/>
                <c:pt idx="0">
                  <c:v>Įmokos mln. Lt</c:v>
                </c:pt>
              </c:strCache>
            </c:strRef>
          </c:tx>
          <c:dLbls>
            <c:dLbl>
              <c:idx val="8"/>
              <c:dLblPos val="inBase"/>
              <c:showVal val="1"/>
            </c:dLbl>
            <c:dLbl>
              <c:idx val="10"/>
              <c:dLblPos val="inEnd"/>
              <c:showVal val="1"/>
            </c:dLbl>
            <c:numFmt formatCode="#,##0.00" sourceLinked="0"/>
            <c:dLblPos val="ctr"/>
            <c:showVal val="1"/>
          </c:dLbls>
          <c:cat>
            <c:numRef>
              <c:f>Imokos!$A$6:$A$16</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Imokos!$B$6:$B$16</c:f>
              <c:numCache>
                <c:formatCode>General</c:formatCode>
                <c:ptCount val="11"/>
                <c:pt idx="0">
                  <c:v>360.78187000000003</c:v>
                </c:pt>
                <c:pt idx="1">
                  <c:v>384.94690299999894</c:v>
                </c:pt>
                <c:pt idx="2">
                  <c:v>635.68866100000002</c:v>
                </c:pt>
                <c:pt idx="3">
                  <c:v>620.69635600000004</c:v>
                </c:pt>
                <c:pt idx="4">
                  <c:v>694.47518000000002</c:v>
                </c:pt>
                <c:pt idx="5">
                  <c:v>782.62818900000002</c:v>
                </c:pt>
                <c:pt idx="6">
                  <c:v>993.77301500000351</c:v>
                </c:pt>
                <c:pt idx="7">
                  <c:v>1302.6231939999998</c:v>
                </c:pt>
                <c:pt idx="8">
                  <c:v>1503.097379</c:v>
                </c:pt>
                <c:pt idx="9">
                  <c:v>1061.6105110000001</c:v>
                </c:pt>
                <c:pt idx="10">
                  <c:v>1009.1371869999994</c:v>
                </c:pt>
              </c:numCache>
            </c:numRef>
          </c:val>
        </c:ser>
        <c:gapWidth val="75"/>
        <c:overlap val="-25"/>
        <c:axId val="54349824"/>
        <c:axId val="54351360"/>
      </c:barChart>
      <c:lineChart>
        <c:grouping val="standard"/>
        <c:ser>
          <c:idx val="1"/>
          <c:order val="1"/>
          <c:tx>
            <c:strRef>
              <c:f>Imokos!$E$3</c:f>
              <c:strCache>
                <c:ptCount val="1"/>
                <c:pt idx="0">
                  <c:v>Augimo tempas %</c:v>
                </c:pt>
              </c:strCache>
            </c:strRef>
          </c:tx>
          <c:dLbls>
            <c:showVal val="1"/>
          </c:dLbls>
          <c:cat>
            <c:numRef>
              <c:f>Imokos!$A$6:$A$16</c:f>
              <c:numCache>
                <c:formatCode>General</c:formatCode>
                <c:ptCount val="11"/>
                <c:pt idx="0">
                  <c:v>2000</c:v>
                </c:pt>
                <c:pt idx="1">
                  <c:v>2001</c:v>
                </c:pt>
                <c:pt idx="2">
                  <c:v>2002</c:v>
                </c:pt>
                <c:pt idx="3">
                  <c:v>2003</c:v>
                </c:pt>
                <c:pt idx="4">
                  <c:v>2004</c:v>
                </c:pt>
                <c:pt idx="5">
                  <c:v>2005</c:v>
                </c:pt>
                <c:pt idx="6">
                  <c:v>2006</c:v>
                </c:pt>
                <c:pt idx="7">
                  <c:v>2007</c:v>
                </c:pt>
                <c:pt idx="8">
                  <c:v>2008</c:v>
                </c:pt>
                <c:pt idx="9">
                  <c:v>2009</c:v>
                </c:pt>
                <c:pt idx="10">
                  <c:v>2010</c:v>
                </c:pt>
              </c:numCache>
            </c:numRef>
          </c:cat>
          <c:val>
            <c:numRef>
              <c:f>Imokos!$D$6:$D$16</c:f>
              <c:numCache>
                <c:formatCode>0.00%</c:formatCode>
                <c:ptCount val="11"/>
                <c:pt idx="0">
                  <c:v>-1.2E-2</c:v>
                </c:pt>
                <c:pt idx="1">
                  <c:v>6.7000000000000004E-2</c:v>
                </c:pt>
                <c:pt idx="2">
                  <c:v>0.65000000000000524</c:v>
                </c:pt>
                <c:pt idx="3">
                  <c:v>-2.4E-2</c:v>
                </c:pt>
                <c:pt idx="4">
                  <c:v>0.12100000000000002</c:v>
                </c:pt>
                <c:pt idx="5">
                  <c:v>0.27200000000000002</c:v>
                </c:pt>
                <c:pt idx="6">
                  <c:v>0.27</c:v>
                </c:pt>
                <c:pt idx="7">
                  <c:v>0.28600000000000031</c:v>
                </c:pt>
                <c:pt idx="8">
                  <c:v>0.15400000000000041</c:v>
                </c:pt>
                <c:pt idx="9">
                  <c:v>-0.29500000000000032</c:v>
                </c:pt>
                <c:pt idx="10">
                  <c:v>-4.7000000000000014E-2</c:v>
                </c:pt>
              </c:numCache>
            </c:numRef>
          </c:val>
        </c:ser>
        <c:marker val="1"/>
        <c:axId val="54358784"/>
        <c:axId val="54352896"/>
      </c:lineChart>
      <c:catAx>
        <c:axId val="54349824"/>
        <c:scaling>
          <c:orientation val="minMax"/>
        </c:scaling>
        <c:axPos val="b"/>
        <c:numFmt formatCode="General" sourceLinked="1"/>
        <c:majorTickMark val="none"/>
        <c:tickLblPos val="nextTo"/>
        <c:crossAx val="54351360"/>
        <c:crosses val="autoZero"/>
        <c:auto val="1"/>
        <c:lblAlgn val="ctr"/>
        <c:lblOffset val="100"/>
      </c:catAx>
      <c:valAx>
        <c:axId val="54351360"/>
        <c:scaling>
          <c:orientation val="minMax"/>
        </c:scaling>
        <c:axPos val="l"/>
        <c:majorGridlines/>
        <c:numFmt formatCode="General" sourceLinked="1"/>
        <c:majorTickMark val="none"/>
        <c:tickLblPos val="nextTo"/>
        <c:crossAx val="54349824"/>
        <c:crosses val="autoZero"/>
        <c:crossBetween val="between"/>
        <c:majorUnit val="500"/>
      </c:valAx>
      <c:valAx>
        <c:axId val="54352896"/>
        <c:scaling>
          <c:orientation val="minMax"/>
        </c:scaling>
        <c:axPos val="r"/>
        <c:numFmt formatCode="0%" sourceLinked="0"/>
        <c:tickLblPos val="nextTo"/>
        <c:crossAx val="54358784"/>
        <c:crosses val="max"/>
        <c:crossBetween val="between"/>
      </c:valAx>
      <c:catAx>
        <c:axId val="54358784"/>
        <c:scaling>
          <c:orientation val="minMax"/>
        </c:scaling>
        <c:delete val="1"/>
        <c:axPos val="b"/>
        <c:numFmt formatCode="General" sourceLinked="1"/>
        <c:tickLblPos val="nextTo"/>
        <c:crossAx val="54352896"/>
        <c:crosses val="autoZero"/>
        <c:auto val="1"/>
        <c:lblAlgn val="ctr"/>
        <c:lblOffset val="100"/>
      </c:catAx>
    </c:plotArea>
    <c:legend>
      <c:legendPos val="b"/>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'sutarciu sk.'!$B$22</c:f>
              <c:strCache>
                <c:ptCount val="1"/>
                <c:pt idx="0">
                  <c:v>Sutarčių sk. mln.</c:v>
                </c:pt>
              </c:strCache>
            </c:strRef>
          </c:tx>
          <c:dLbls>
            <c:numFmt formatCode="#,##0.00" sourceLinked="0"/>
            <c:dLblPos val="inEnd"/>
            <c:showVal val="1"/>
          </c:dLbls>
          <c:cat>
            <c:numRef>
              <c:f>'sutarciu sk.'!$A$23:$A$31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'sutarciu sk.'!$B$23:$B$31</c:f>
              <c:numCache>
                <c:formatCode>General</c:formatCode>
                <c:ptCount val="9"/>
                <c:pt idx="0">
                  <c:v>3329400</c:v>
                </c:pt>
                <c:pt idx="1">
                  <c:v>3563329</c:v>
                </c:pt>
                <c:pt idx="2">
                  <c:v>3742120</c:v>
                </c:pt>
                <c:pt idx="3">
                  <c:v>3462056</c:v>
                </c:pt>
                <c:pt idx="4">
                  <c:v>4103472</c:v>
                </c:pt>
                <c:pt idx="5">
                  <c:v>4483073</c:v>
                </c:pt>
                <c:pt idx="6">
                  <c:v>4380587</c:v>
                </c:pt>
                <c:pt idx="7">
                  <c:v>4317294</c:v>
                </c:pt>
                <c:pt idx="8">
                  <c:v>4654551</c:v>
                </c:pt>
              </c:numCache>
            </c:numRef>
          </c:val>
        </c:ser>
        <c:gapWidth val="75"/>
        <c:overlap val="-25"/>
        <c:axId val="77499008"/>
        <c:axId val="111210880"/>
      </c:barChart>
      <c:lineChart>
        <c:grouping val="standard"/>
        <c:ser>
          <c:idx val="1"/>
          <c:order val="1"/>
          <c:tx>
            <c:strRef>
              <c:f>'sutarciu sk.'!$C$22</c:f>
              <c:strCache>
                <c:ptCount val="1"/>
                <c:pt idx="0">
                  <c:v>Augimo tempas %</c:v>
                </c:pt>
              </c:strCache>
            </c:strRef>
          </c:tx>
          <c:dLbls>
            <c:numFmt formatCode="0.00%" sourceLinked="0"/>
            <c:showVal val="1"/>
          </c:dLbls>
          <c:cat>
            <c:numRef>
              <c:f>'sutarciu sk.'!$A$23:$A$31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'sutarciu sk.'!$C$23:$C$31</c:f>
              <c:numCache>
                <c:formatCode>0%</c:formatCode>
                <c:ptCount val="9"/>
                <c:pt idx="1">
                  <c:v>7.0261608698263908E-2</c:v>
                </c:pt>
                <c:pt idx="2">
                  <c:v>5.0175271494717462E-2</c:v>
                </c:pt>
                <c:pt idx="3">
                  <c:v>-7.4840999219693824E-2</c:v>
                </c:pt>
                <c:pt idx="4">
                  <c:v>0.18527025559378596</c:v>
                </c:pt>
                <c:pt idx="5">
                  <c:v>9.2507271890730491E-2</c:v>
                </c:pt>
                <c:pt idx="6">
                  <c:v>-2.286065830290963E-2</c:v>
                </c:pt>
                <c:pt idx="7">
                  <c:v>-1.4448520255390463E-2</c:v>
                </c:pt>
                <c:pt idx="8">
                  <c:v>7.8117682048060869E-2</c:v>
                </c:pt>
              </c:numCache>
            </c:numRef>
          </c:val>
        </c:ser>
        <c:marker val="1"/>
        <c:axId val="111546368"/>
        <c:axId val="111212800"/>
      </c:lineChart>
      <c:catAx>
        <c:axId val="77499008"/>
        <c:scaling>
          <c:orientation val="minMax"/>
        </c:scaling>
        <c:axPos val="b"/>
        <c:numFmt formatCode="General" sourceLinked="1"/>
        <c:majorTickMark val="none"/>
        <c:tickLblPos val="nextTo"/>
        <c:crossAx val="111210880"/>
        <c:crosses val="autoZero"/>
        <c:auto val="1"/>
        <c:lblAlgn val="ctr"/>
        <c:lblOffset val="100"/>
      </c:catAx>
      <c:valAx>
        <c:axId val="111210880"/>
        <c:scaling>
          <c:orientation val="minMax"/>
        </c:scaling>
        <c:axPos val="l"/>
        <c:majorGridlines/>
        <c:numFmt formatCode="General" sourceLinked="1"/>
        <c:majorTickMark val="none"/>
        <c:tickLblPos val="nextTo"/>
        <c:crossAx val="77499008"/>
        <c:crosses val="autoZero"/>
        <c:crossBetween val="between"/>
        <c:dispUnits>
          <c:builtInUnit val="millions"/>
        </c:dispUnits>
      </c:valAx>
      <c:valAx>
        <c:axId val="111212800"/>
        <c:scaling>
          <c:orientation val="minMax"/>
        </c:scaling>
        <c:axPos val="r"/>
        <c:numFmt formatCode="0%" sourceLinked="0"/>
        <c:tickLblPos val="nextTo"/>
        <c:crossAx val="111546368"/>
        <c:crosses val="max"/>
        <c:crossBetween val="between"/>
      </c:valAx>
      <c:catAx>
        <c:axId val="111546368"/>
        <c:scaling>
          <c:orientation val="minMax"/>
        </c:scaling>
        <c:delete val="1"/>
        <c:axPos val="b"/>
        <c:numFmt formatCode="General" sourceLinked="1"/>
        <c:tickLblPos val="nextTo"/>
        <c:crossAx val="111212800"/>
        <c:crosses val="autoZero"/>
        <c:auto val="1"/>
        <c:lblAlgn val="ctr"/>
        <c:lblOffset val="100"/>
      </c:catAx>
    </c:plotArea>
    <c:legend>
      <c:legendPos val="b"/>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barChart>
        <c:barDir val="col"/>
        <c:grouping val="clustered"/>
        <c:ser>
          <c:idx val="0"/>
          <c:order val="0"/>
          <c:tx>
            <c:strRef>
              <c:f>Sheet1!$A$13</c:f>
              <c:strCache>
                <c:ptCount val="1"/>
                <c:pt idx="0">
                  <c:v>Įmokos mln. Lt</c:v>
                </c:pt>
              </c:strCache>
            </c:strRef>
          </c:tx>
          <c:dLbls>
            <c:dLblPos val="inEnd"/>
            <c:showVal val="1"/>
          </c:dLbls>
          <c:cat>
            <c:numRef>
              <c:f>Sheet1!$B$1:$K$1</c:f>
              <c:numCache>
                <c:formatCode>General</c:formatCode>
                <c:ptCount val="10"/>
                <c:pt idx="0">
                  <c:v>2002</c:v>
                </c:pt>
                <c:pt idx="1">
                  <c:v>2003</c:v>
                </c:pt>
                <c:pt idx="2">
                  <c:v>2004</c:v>
                </c:pt>
                <c:pt idx="3">
                  <c:v>2005</c:v>
                </c:pt>
                <c:pt idx="4">
                  <c:v>2006</c:v>
                </c:pt>
                <c:pt idx="5">
                  <c:v>2007</c:v>
                </c:pt>
                <c:pt idx="6">
                  <c:v>2008</c:v>
                </c:pt>
                <c:pt idx="7">
                  <c:v>2009</c:v>
                </c:pt>
                <c:pt idx="8">
                  <c:v>2010</c:v>
                </c:pt>
                <c:pt idx="9">
                  <c:v>2011</c:v>
                </c:pt>
              </c:numCache>
            </c:numRef>
          </c:cat>
          <c:val>
            <c:numRef>
              <c:f>Sheet1!$B$13:$J$13</c:f>
              <c:numCache>
                <c:formatCode>0.00</c:formatCode>
                <c:ptCount val="9"/>
                <c:pt idx="0">
                  <c:v>229993787.35000011</c:v>
                </c:pt>
                <c:pt idx="1">
                  <c:v>195144446.65000001</c:v>
                </c:pt>
                <c:pt idx="2">
                  <c:v>240288193.09</c:v>
                </c:pt>
                <c:pt idx="3">
                  <c:v>239339396.8900001</c:v>
                </c:pt>
                <c:pt idx="4">
                  <c:v>340597660.72999924</c:v>
                </c:pt>
                <c:pt idx="5">
                  <c:v>412969472.42999923</c:v>
                </c:pt>
                <c:pt idx="6">
                  <c:v>441381796.68000001</c:v>
                </c:pt>
                <c:pt idx="7">
                  <c:v>364724270.12</c:v>
                </c:pt>
                <c:pt idx="8" formatCode="#,##0.00">
                  <c:v>361370541.60000002</c:v>
                </c:pt>
              </c:numCache>
            </c:numRef>
          </c:val>
        </c:ser>
        <c:gapWidth val="75"/>
        <c:overlap val="-25"/>
        <c:axId val="111556480"/>
        <c:axId val="111558016"/>
      </c:barChart>
      <c:lineChart>
        <c:grouping val="standard"/>
        <c:ser>
          <c:idx val="1"/>
          <c:order val="1"/>
          <c:tx>
            <c:strRef>
              <c:f>Sheet1!$A$14</c:f>
              <c:strCache>
                <c:ptCount val="1"/>
                <c:pt idx="0">
                  <c:v>Augimo tempas %</c:v>
                </c:pt>
              </c:strCache>
            </c:strRef>
          </c:tx>
          <c:dLbls>
            <c:showVal val="1"/>
          </c:dLbls>
          <c:val>
            <c:numRef>
              <c:f>Sheet1!$B$14:$J$14</c:f>
              <c:numCache>
                <c:formatCode>0.00%</c:formatCode>
                <c:ptCount val="9"/>
                <c:pt idx="1">
                  <c:v>-0.15152296547457156</c:v>
                </c:pt>
                <c:pt idx="2">
                  <c:v>0.23133503010191891</c:v>
                </c:pt>
                <c:pt idx="3">
                  <c:v>-3.9485760319677553E-3</c:v>
                </c:pt>
                <c:pt idx="4">
                  <c:v>0.42307394919415814</c:v>
                </c:pt>
                <c:pt idx="5">
                  <c:v>0.21248475854146007</c:v>
                </c:pt>
                <c:pt idx="6">
                  <c:v>6.8800059439783512E-2</c:v>
                </c:pt>
                <c:pt idx="7">
                  <c:v>-0.17367623027638446</c:v>
                </c:pt>
                <c:pt idx="8">
                  <c:v>-9.195243625812366E-3</c:v>
                </c:pt>
              </c:numCache>
            </c:numRef>
          </c:val>
        </c:ser>
        <c:marker val="1"/>
        <c:axId val="111582208"/>
        <c:axId val="111580672"/>
      </c:lineChart>
      <c:catAx>
        <c:axId val="111556480"/>
        <c:scaling>
          <c:orientation val="minMax"/>
        </c:scaling>
        <c:axPos val="b"/>
        <c:numFmt formatCode="General" sourceLinked="1"/>
        <c:majorTickMark val="none"/>
        <c:tickLblPos val="nextTo"/>
        <c:crossAx val="111558016"/>
        <c:crosses val="autoZero"/>
        <c:auto val="1"/>
        <c:lblAlgn val="ctr"/>
        <c:lblOffset val="100"/>
      </c:catAx>
      <c:valAx>
        <c:axId val="111558016"/>
        <c:scaling>
          <c:orientation val="minMax"/>
          <c:max val="450000000"/>
          <c:min val="0"/>
        </c:scaling>
        <c:axPos val="l"/>
        <c:majorGridlines/>
        <c:numFmt formatCode="0" sourceLinked="0"/>
        <c:majorTickMark val="none"/>
        <c:tickLblPos val="nextTo"/>
        <c:crossAx val="111556480"/>
        <c:crosses val="autoZero"/>
        <c:crossBetween val="between"/>
        <c:dispUnits>
          <c:builtInUnit val="millions"/>
        </c:dispUnits>
      </c:valAx>
      <c:valAx>
        <c:axId val="111580672"/>
        <c:scaling>
          <c:orientation val="minMax"/>
        </c:scaling>
        <c:axPos val="r"/>
        <c:numFmt formatCode="0%" sourceLinked="0"/>
        <c:tickLblPos val="nextTo"/>
        <c:crossAx val="111582208"/>
        <c:crosses val="max"/>
        <c:crossBetween val="between"/>
      </c:valAx>
      <c:catAx>
        <c:axId val="111582208"/>
        <c:scaling>
          <c:orientation val="minMax"/>
        </c:scaling>
        <c:delete val="1"/>
        <c:axPos val="b"/>
        <c:tickLblPos val="nextTo"/>
        <c:crossAx val="111580672"/>
        <c:crosses val="autoZero"/>
        <c:auto val="1"/>
        <c:lblAlgn val="ctr"/>
        <c:lblOffset val="100"/>
      </c:catAx>
    </c:plotArea>
    <c:legend>
      <c:legendPos val="b"/>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
  <c:chart>
    <c:autoTitleDeleted val="1"/>
    <c:plotArea>
      <c:layout>
        <c:manualLayout>
          <c:layoutTarget val="inner"/>
          <c:xMode val="edge"/>
          <c:yMode val="edge"/>
          <c:x val="0.10018202614379086"/>
          <c:y val="2.8057551612796949E-2"/>
          <c:w val="0.83567826797386269"/>
          <c:h val="0.68889069096182864"/>
        </c:manualLayout>
      </c:layout>
      <c:barChart>
        <c:barDir val="col"/>
        <c:grouping val="clustered"/>
        <c:ser>
          <c:idx val="0"/>
          <c:order val="0"/>
          <c:tx>
            <c:strRef>
              <c:f>Imokos_LT!$A$13</c:f>
              <c:strCache>
                <c:ptCount val="1"/>
                <c:pt idx="0">
                  <c:v>Įmokos mln. Lt</c:v>
                </c:pt>
              </c:strCache>
            </c:strRef>
          </c:tx>
          <c:dLbls>
            <c:dLblPos val="ctr"/>
            <c:showVal val="1"/>
          </c:dLbls>
          <c:cat>
            <c:numRef>
              <c:f>Imokos_LT!$B$1:$J$1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Imokos_LT!$B$13:$J$13</c:f>
              <c:numCache>
                <c:formatCode>###,##0</c:formatCode>
                <c:ptCount val="9"/>
                <c:pt idx="0" formatCode="#,##0">
                  <c:v>124069832.86</c:v>
                </c:pt>
                <c:pt idx="1">
                  <c:v>148159376.56</c:v>
                </c:pt>
                <c:pt idx="2">
                  <c:v>186668894.33000001</c:v>
                </c:pt>
                <c:pt idx="3">
                  <c:v>234428485.58000001</c:v>
                </c:pt>
                <c:pt idx="4">
                  <c:v>300727452.26999974</c:v>
                </c:pt>
                <c:pt idx="5">
                  <c:v>405868380.24000001</c:v>
                </c:pt>
                <c:pt idx="6" formatCode="#,##0.00">
                  <c:v>401030286.83999979</c:v>
                </c:pt>
                <c:pt idx="7" formatCode="#,##0.00">
                  <c:v>245322075.15000001</c:v>
                </c:pt>
                <c:pt idx="8" formatCode="#,##0.00">
                  <c:v>223300418.09</c:v>
                </c:pt>
              </c:numCache>
            </c:numRef>
          </c:val>
        </c:ser>
        <c:gapWidth val="75"/>
        <c:overlap val="-25"/>
        <c:axId val="111598592"/>
        <c:axId val="111596672"/>
      </c:barChart>
      <c:lineChart>
        <c:grouping val="standard"/>
        <c:ser>
          <c:idx val="1"/>
          <c:order val="1"/>
          <c:tx>
            <c:strRef>
              <c:f>Imokos_LT!$A$14</c:f>
              <c:strCache>
                <c:ptCount val="1"/>
                <c:pt idx="0">
                  <c:v>Sutarčių skaičius</c:v>
                </c:pt>
              </c:strCache>
            </c:strRef>
          </c:tx>
          <c:dLbls>
            <c:numFmt formatCode="#,##0.00" sourceLinked="0"/>
            <c:showVal val="1"/>
          </c:dLbls>
          <c:val>
            <c:numRef>
              <c:f>Imokos_LT!$B$14:$J$14</c:f>
              <c:numCache>
                <c:formatCode>###,##0</c:formatCode>
                <c:ptCount val="9"/>
                <c:pt idx="0" formatCode="#,##0">
                  <c:v>66209</c:v>
                </c:pt>
                <c:pt idx="1">
                  <c:v>74284</c:v>
                </c:pt>
                <c:pt idx="2">
                  <c:v>99789</c:v>
                </c:pt>
                <c:pt idx="3">
                  <c:v>122546</c:v>
                </c:pt>
                <c:pt idx="4">
                  <c:v>140534</c:v>
                </c:pt>
                <c:pt idx="5">
                  <c:v>173512</c:v>
                </c:pt>
                <c:pt idx="6" formatCode="#,##0">
                  <c:v>186320</c:v>
                </c:pt>
                <c:pt idx="7" formatCode="#,##0">
                  <c:v>167552</c:v>
                </c:pt>
                <c:pt idx="8" formatCode="#,##0">
                  <c:v>169795</c:v>
                </c:pt>
              </c:numCache>
            </c:numRef>
          </c:val>
        </c:ser>
        <c:marker val="1"/>
        <c:axId val="117820032"/>
        <c:axId val="117818112"/>
      </c:lineChart>
      <c:valAx>
        <c:axId val="111596672"/>
        <c:scaling>
          <c:orientation val="minMax"/>
        </c:scaling>
        <c:axPos val="r"/>
        <c:majorGridlines/>
        <c:numFmt formatCode="#,##0" sourceLinked="1"/>
        <c:majorTickMark val="none"/>
        <c:tickLblPos val="nextTo"/>
        <c:crossAx val="111598592"/>
        <c:crosses val="max"/>
        <c:crossBetween val="between"/>
        <c:dispUnits>
          <c:builtInUnit val="millions"/>
          <c:dispUnitsLbl/>
        </c:dispUnits>
      </c:valAx>
      <c:catAx>
        <c:axId val="111598592"/>
        <c:scaling>
          <c:orientation val="minMax"/>
        </c:scaling>
        <c:axPos val="b"/>
        <c:numFmt formatCode="General" sourceLinked="1"/>
        <c:majorTickMark val="none"/>
        <c:tickLblPos val="nextTo"/>
        <c:crossAx val="111596672"/>
        <c:crosses val="autoZero"/>
        <c:auto val="1"/>
        <c:lblAlgn val="ctr"/>
        <c:lblOffset val="100"/>
      </c:catAx>
      <c:valAx>
        <c:axId val="117818112"/>
        <c:scaling>
          <c:orientation val="minMax"/>
        </c:scaling>
        <c:axPos val="l"/>
        <c:numFmt formatCode="#,##0" sourceLinked="1"/>
        <c:tickLblPos val="nextTo"/>
        <c:crossAx val="117820032"/>
        <c:crosses val="autoZero"/>
        <c:crossBetween val="between"/>
        <c:dispUnits>
          <c:builtInUnit val="thousands"/>
        </c:dispUnits>
      </c:valAx>
      <c:catAx>
        <c:axId val="117820032"/>
        <c:scaling>
          <c:orientation val="minMax"/>
        </c:scaling>
        <c:delete val="1"/>
        <c:axPos val="b"/>
        <c:tickLblPos val="nextTo"/>
        <c:crossAx val="117818112"/>
        <c:crosses val="autoZero"/>
        <c:auto val="1"/>
        <c:lblAlgn val="ctr"/>
        <c:lblOffset val="100"/>
      </c:catAx>
    </c:plotArea>
    <c:legend>
      <c:legendPos val="b"/>
    </c:legend>
    <c:plotVisOnly val="1"/>
    <c:dispBlanksAs val="gap"/>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E78B59-ABC6-4CEF-A9EF-600B0EF1DAA5}" type="doc">
      <dgm:prSet loTypeId="urn:microsoft.com/office/officeart/2005/8/layout/radial4" loCatId="relationship" qsTypeId="urn:microsoft.com/office/officeart/2005/8/quickstyle/simple3" qsCatId="simple" csTypeId="urn:microsoft.com/office/officeart/2005/8/colors/accent0_1" csCatId="mainScheme" phldr="1"/>
      <dgm:spPr/>
      <dgm:t>
        <a:bodyPr/>
        <a:lstStyle/>
        <a:p>
          <a:endParaRPr lang="en-US"/>
        </a:p>
      </dgm:t>
    </dgm:pt>
    <dgm:pt modelId="{233F9653-19CC-430F-AE3F-4CAB992D40E0}">
      <dgm:prSet phldrT="[Text]"/>
      <dgm:spPr/>
      <dgm:t>
        <a:bodyPr/>
        <a:lstStyle/>
        <a:p>
          <a:pPr algn="ctr"/>
          <a:r>
            <a:rPr lang="lt-LT" b="1"/>
            <a:t>Draudimo veikla</a:t>
          </a:r>
          <a:endParaRPr lang="en-US" b="1"/>
        </a:p>
      </dgm:t>
    </dgm:pt>
    <dgm:pt modelId="{E5D271DB-5510-4B7E-8E35-C9066C59D0E6}" type="parTrans" cxnId="{B1983C7A-1B6E-4747-890C-5B31B9C9418A}">
      <dgm:prSet/>
      <dgm:spPr/>
      <dgm:t>
        <a:bodyPr/>
        <a:lstStyle/>
        <a:p>
          <a:pPr algn="ctr"/>
          <a:endParaRPr lang="en-US"/>
        </a:p>
      </dgm:t>
    </dgm:pt>
    <dgm:pt modelId="{D3DBD087-9571-4269-B047-A8D1E879FB6C}" type="sibTrans" cxnId="{B1983C7A-1B6E-4747-890C-5B31B9C9418A}">
      <dgm:prSet/>
      <dgm:spPr/>
      <dgm:t>
        <a:bodyPr/>
        <a:lstStyle/>
        <a:p>
          <a:pPr algn="ctr"/>
          <a:endParaRPr lang="en-US"/>
        </a:p>
      </dgm:t>
    </dgm:pt>
    <dgm:pt modelId="{BE9A4DD1-9AEC-41E0-AB64-FCD29DDF5BB5}">
      <dgm:prSet phldrT="[Text]" custT="1"/>
      <dgm:spPr/>
      <dgm:t>
        <a:bodyPr/>
        <a:lstStyle/>
        <a:p>
          <a:pPr algn="ctr"/>
          <a:r>
            <a:rPr lang="lt-LT" sz="1000" b="1"/>
            <a:t>Tos pačios rizikos egzitavimas</a:t>
          </a:r>
          <a:endParaRPr lang="en-US" sz="1000" b="1"/>
        </a:p>
      </dgm:t>
    </dgm:pt>
    <dgm:pt modelId="{4CA179E6-4062-43DF-8C1B-5744F5E8D366}" type="parTrans" cxnId="{CE9E64B7-046E-471A-8915-F73D4236E2BB}">
      <dgm:prSet/>
      <dgm:spPr/>
      <dgm:t>
        <a:bodyPr/>
        <a:lstStyle/>
        <a:p>
          <a:pPr algn="ctr"/>
          <a:endParaRPr lang="en-US"/>
        </a:p>
      </dgm:t>
    </dgm:pt>
    <dgm:pt modelId="{BA2DDFC5-800C-4A8F-B726-61D973E7C94D}" type="sibTrans" cxnId="{CE9E64B7-046E-471A-8915-F73D4236E2BB}">
      <dgm:prSet/>
      <dgm:spPr/>
      <dgm:t>
        <a:bodyPr/>
        <a:lstStyle/>
        <a:p>
          <a:pPr algn="ctr"/>
          <a:endParaRPr lang="en-US"/>
        </a:p>
      </dgm:t>
    </dgm:pt>
    <dgm:pt modelId="{7D8BA889-0B21-4214-8B93-BD1D58C573CD}">
      <dgm:prSet phldrT="[Text]" custT="1"/>
      <dgm:spPr/>
      <dgm:t>
        <a:bodyPr/>
        <a:lstStyle/>
        <a:p>
          <a:pPr algn="ctr"/>
          <a:r>
            <a:rPr lang="lt-LT" sz="1000" b="1"/>
            <a:t>Išmatuojamumas</a:t>
          </a:r>
          <a:endParaRPr lang="en-US" sz="1000" b="1"/>
        </a:p>
      </dgm:t>
    </dgm:pt>
    <dgm:pt modelId="{4DD90BCE-344B-4096-B504-2271F337838B}" type="parTrans" cxnId="{D3FFFAEA-C5F3-4F28-B604-4A8CB54854BC}">
      <dgm:prSet/>
      <dgm:spPr/>
      <dgm:t>
        <a:bodyPr/>
        <a:lstStyle/>
        <a:p>
          <a:pPr algn="ctr"/>
          <a:endParaRPr lang="en-US"/>
        </a:p>
      </dgm:t>
    </dgm:pt>
    <dgm:pt modelId="{5B0EFB3C-E7C5-4A35-A073-268E1579EB95}" type="sibTrans" cxnId="{D3FFFAEA-C5F3-4F28-B604-4A8CB54854BC}">
      <dgm:prSet/>
      <dgm:spPr/>
      <dgm:t>
        <a:bodyPr/>
        <a:lstStyle/>
        <a:p>
          <a:pPr algn="ctr"/>
          <a:endParaRPr lang="en-US"/>
        </a:p>
      </dgm:t>
    </dgm:pt>
    <dgm:pt modelId="{92A046C0-CA25-4AFA-BB29-514D6D54D59A}">
      <dgm:prSet phldrT="[Text]"/>
      <dgm:spPr/>
      <dgm:t>
        <a:bodyPr/>
        <a:lstStyle/>
        <a:p>
          <a:pPr algn="ctr"/>
          <a:r>
            <a:rPr lang="lt-LT" b="1"/>
            <a:t>Atsitiktinumas</a:t>
          </a:r>
          <a:endParaRPr lang="en-US" b="1"/>
        </a:p>
      </dgm:t>
    </dgm:pt>
    <dgm:pt modelId="{A3EF438E-CE70-4F48-AAC3-3A33757FE591}" type="parTrans" cxnId="{F2003235-7494-4158-9EF6-7D0F4D81B99F}">
      <dgm:prSet/>
      <dgm:spPr/>
      <dgm:t>
        <a:bodyPr/>
        <a:lstStyle/>
        <a:p>
          <a:pPr algn="ctr"/>
          <a:endParaRPr lang="en-US"/>
        </a:p>
      </dgm:t>
    </dgm:pt>
    <dgm:pt modelId="{5B09FFE7-BBD4-4571-9150-84437A8EE505}" type="sibTrans" cxnId="{F2003235-7494-4158-9EF6-7D0F4D81B99F}">
      <dgm:prSet/>
      <dgm:spPr/>
      <dgm:t>
        <a:bodyPr/>
        <a:lstStyle/>
        <a:p>
          <a:pPr algn="ctr"/>
          <a:endParaRPr lang="en-US"/>
        </a:p>
      </dgm:t>
    </dgm:pt>
    <dgm:pt modelId="{9B043DC4-3955-4CFB-A5C4-E81DC5B334CB}">
      <dgm:prSet custT="1"/>
      <dgm:spPr/>
      <dgm:t>
        <a:bodyPr/>
        <a:lstStyle/>
        <a:p>
          <a:pPr algn="ctr"/>
          <a:r>
            <a:rPr lang="lt-LT" sz="1000" b="1"/>
            <a:t>Kolektyviškumas</a:t>
          </a:r>
          <a:endParaRPr lang="en-US" sz="1000" b="1"/>
        </a:p>
      </dgm:t>
    </dgm:pt>
    <dgm:pt modelId="{DDBC4FD5-06AC-4CFA-8FF2-B46C0ABF1289}" type="parTrans" cxnId="{225AD8FC-89BD-4469-820F-14E529B69F72}">
      <dgm:prSet/>
      <dgm:spPr/>
      <dgm:t>
        <a:bodyPr/>
        <a:lstStyle/>
        <a:p>
          <a:pPr algn="ctr"/>
          <a:endParaRPr lang="en-US"/>
        </a:p>
      </dgm:t>
    </dgm:pt>
    <dgm:pt modelId="{E158E6FC-CD18-4A13-8405-49F850113E8B}" type="sibTrans" cxnId="{225AD8FC-89BD-4469-820F-14E529B69F72}">
      <dgm:prSet/>
      <dgm:spPr/>
      <dgm:t>
        <a:bodyPr/>
        <a:lstStyle/>
        <a:p>
          <a:pPr algn="ctr"/>
          <a:endParaRPr lang="en-US"/>
        </a:p>
      </dgm:t>
    </dgm:pt>
    <dgm:pt modelId="{60EF3B22-8ECF-47A6-BAC4-BE5BDE6E44DF}">
      <dgm:prSet custT="1"/>
      <dgm:spPr/>
      <dgm:t>
        <a:bodyPr/>
        <a:lstStyle/>
        <a:p>
          <a:pPr algn="ctr"/>
          <a:r>
            <a:rPr lang="lt-LT" sz="1000" b="1"/>
            <a:t>Ekonomiškumas</a:t>
          </a:r>
          <a:endParaRPr lang="en-US" sz="1000" b="1"/>
        </a:p>
      </dgm:t>
    </dgm:pt>
    <dgm:pt modelId="{01303868-BFA0-4BC4-8906-9592414F7379}" type="parTrans" cxnId="{CCE47010-0F0D-4A18-8B06-70D7A2EA8F06}">
      <dgm:prSet/>
      <dgm:spPr/>
      <dgm:t>
        <a:bodyPr/>
        <a:lstStyle/>
        <a:p>
          <a:pPr algn="ctr"/>
          <a:endParaRPr lang="en-US"/>
        </a:p>
      </dgm:t>
    </dgm:pt>
    <dgm:pt modelId="{D862BB00-CD55-47A1-A403-8A573E210214}" type="sibTrans" cxnId="{CCE47010-0F0D-4A18-8B06-70D7A2EA8F06}">
      <dgm:prSet/>
      <dgm:spPr/>
      <dgm:t>
        <a:bodyPr/>
        <a:lstStyle/>
        <a:p>
          <a:pPr algn="ctr"/>
          <a:endParaRPr lang="en-US"/>
        </a:p>
      </dgm:t>
    </dgm:pt>
    <dgm:pt modelId="{69AC4479-FBAE-40E5-A760-71257EDCC38D}">
      <dgm:prSet custT="1"/>
      <dgm:spPr/>
      <dgm:t>
        <a:bodyPr/>
        <a:lstStyle/>
        <a:p>
          <a:pPr algn="ctr"/>
          <a:r>
            <a:rPr lang="lt-LT" sz="1000" b="1"/>
            <a:t>Poreikio egzistavimas</a:t>
          </a:r>
          <a:endParaRPr lang="en-US" sz="1000" b="1"/>
        </a:p>
      </dgm:t>
    </dgm:pt>
    <dgm:pt modelId="{B62AA6EC-9CB9-4B2B-BB85-02D47F35E855}" type="parTrans" cxnId="{A2A39158-5D43-42BB-B37B-65F974C0EFD6}">
      <dgm:prSet/>
      <dgm:spPr/>
      <dgm:t>
        <a:bodyPr/>
        <a:lstStyle/>
        <a:p>
          <a:pPr algn="ctr"/>
          <a:endParaRPr lang="en-US"/>
        </a:p>
      </dgm:t>
    </dgm:pt>
    <dgm:pt modelId="{E9E2B910-5BB5-404B-9E08-1143ABF66A25}" type="sibTrans" cxnId="{A2A39158-5D43-42BB-B37B-65F974C0EFD6}">
      <dgm:prSet/>
      <dgm:spPr/>
      <dgm:t>
        <a:bodyPr/>
        <a:lstStyle/>
        <a:p>
          <a:pPr algn="ctr"/>
          <a:endParaRPr lang="en-US"/>
        </a:p>
      </dgm:t>
    </dgm:pt>
    <dgm:pt modelId="{4BB8DA75-7903-4533-BFAD-059D3B10AFC6}" type="pres">
      <dgm:prSet presAssocID="{B3E78B59-ABC6-4CEF-A9EF-600B0EF1DAA5}" presName="cycle" presStyleCnt="0">
        <dgm:presLayoutVars>
          <dgm:chMax val="1"/>
          <dgm:dir/>
          <dgm:animLvl val="ctr"/>
          <dgm:resizeHandles val="exact"/>
        </dgm:presLayoutVars>
      </dgm:prSet>
      <dgm:spPr/>
      <dgm:t>
        <a:bodyPr/>
        <a:lstStyle/>
        <a:p>
          <a:endParaRPr lang="en-US"/>
        </a:p>
      </dgm:t>
    </dgm:pt>
    <dgm:pt modelId="{7B2C1609-0F11-47D6-B047-E5FFC5CA2DE4}" type="pres">
      <dgm:prSet presAssocID="{233F9653-19CC-430F-AE3F-4CAB992D40E0}" presName="centerShape" presStyleLbl="node0" presStyleIdx="0" presStyleCnt="1" custScaleX="109943" custScaleY="101979"/>
      <dgm:spPr/>
      <dgm:t>
        <a:bodyPr/>
        <a:lstStyle/>
        <a:p>
          <a:endParaRPr lang="en-US"/>
        </a:p>
      </dgm:t>
    </dgm:pt>
    <dgm:pt modelId="{89FED9B0-68E3-4E68-8DB4-3423489305AF}" type="pres">
      <dgm:prSet presAssocID="{4CA179E6-4062-43DF-8C1B-5744F5E8D366}" presName="parTrans" presStyleLbl="bgSibTrans2D1" presStyleIdx="0" presStyleCnt="6"/>
      <dgm:spPr/>
      <dgm:t>
        <a:bodyPr/>
        <a:lstStyle/>
        <a:p>
          <a:endParaRPr lang="en-US"/>
        </a:p>
      </dgm:t>
    </dgm:pt>
    <dgm:pt modelId="{B525AF26-AFB9-43CF-99BF-84E488A759AC}" type="pres">
      <dgm:prSet presAssocID="{BE9A4DD1-9AEC-41E0-AB64-FCD29DDF5BB5}" presName="node" presStyleLbl="node1" presStyleIdx="0" presStyleCnt="6" custScaleX="184702" custScaleY="75071" custRadScaleRad="127152" custRadScaleInc="971">
        <dgm:presLayoutVars>
          <dgm:bulletEnabled val="1"/>
        </dgm:presLayoutVars>
      </dgm:prSet>
      <dgm:spPr/>
      <dgm:t>
        <a:bodyPr/>
        <a:lstStyle/>
        <a:p>
          <a:endParaRPr lang="en-US"/>
        </a:p>
      </dgm:t>
    </dgm:pt>
    <dgm:pt modelId="{AB3F0F76-5E46-452F-A5FC-A8A402764705}" type="pres">
      <dgm:prSet presAssocID="{4DD90BCE-344B-4096-B504-2271F337838B}" presName="parTrans" presStyleLbl="bgSibTrans2D1" presStyleIdx="1" presStyleCnt="6"/>
      <dgm:spPr/>
      <dgm:t>
        <a:bodyPr/>
        <a:lstStyle/>
        <a:p>
          <a:endParaRPr lang="en-US"/>
        </a:p>
      </dgm:t>
    </dgm:pt>
    <dgm:pt modelId="{C4D637E2-D8F3-44E3-8D97-E88E4C645967}" type="pres">
      <dgm:prSet presAssocID="{7D8BA889-0B21-4214-8B93-BD1D58C573CD}" presName="node" presStyleLbl="node1" presStyleIdx="1" presStyleCnt="6" custScaleX="145395" custScaleY="43712">
        <dgm:presLayoutVars>
          <dgm:bulletEnabled val="1"/>
        </dgm:presLayoutVars>
      </dgm:prSet>
      <dgm:spPr/>
      <dgm:t>
        <a:bodyPr/>
        <a:lstStyle/>
        <a:p>
          <a:endParaRPr lang="en-US"/>
        </a:p>
      </dgm:t>
    </dgm:pt>
    <dgm:pt modelId="{178557C3-DDD8-489E-B769-F79C8F517BD0}" type="pres">
      <dgm:prSet presAssocID="{A3EF438E-CE70-4F48-AAC3-3A33757FE591}" presName="parTrans" presStyleLbl="bgSibTrans2D1" presStyleIdx="2" presStyleCnt="6"/>
      <dgm:spPr/>
      <dgm:t>
        <a:bodyPr/>
        <a:lstStyle/>
        <a:p>
          <a:endParaRPr lang="en-US"/>
        </a:p>
      </dgm:t>
    </dgm:pt>
    <dgm:pt modelId="{F24DF57F-0A27-4F09-904B-7EC94B687EE9}" type="pres">
      <dgm:prSet presAssocID="{92A046C0-CA25-4AFA-BB29-514D6D54D59A}" presName="node" presStyleLbl="node1" presStyleIdx="2" presStyleCnt="6" custScaleX="142989" custScaleY="44667" custRadScaleRad="111741" custRadScaleInc="-26701">
        <dgm:presLayoutVars>
          <dgm:bulletEnabled val="1"/>
        </dgm:presLayoutVars>
      </dgm:prSet>
      <dgm:spPr/>
      <dgm:t>
        <a:bodyPr/>
        <a:lstStyle/>
        <a:p>
          <a:endParaRPr lang="en-US"/>
        </a:p>
      </dgm:t>
    </dgm:pt>
    <dgm:pt modelId="{F1910331-5ED0-44D1-B305-0BD94E78B61E}" type="pres">
      <dgm:prSet presAssocID="{DDBC4FD5-06AC-4CFA-8FF2-B46C0ABF1289}" presName="parTrans" presStyleLbl="bgSibTrans2D1" presStyleIdx="3" presStyleCnt="6"/>
      <dgm:spPr/>
      <dgm:t>
        <a:bodyPr/>
        <a:lstStyle/>
        <a:p>
          <a:endParaRPr lang="en-US"/>
        </a:p>
      </dgm:t>
    </dgm:pt>
    <dgm:pt modelId="{9125A5B3-B7A6-43EF-9246-540DC2E1760C}" type="pres">
      <dgm:prSet presAssocID="{9B043DC4-3955-4CFB-A5C4-E81DC5B334CB}" presName="node" presStyleLbl="node1" presStyleIdx="3" presStyleCnt="6" custScaleX="146812" custScaleY="50083">
        <dgm:presLayoutVars>
          <dgm:bulletEnabled val="1"/>
        </dgm:presLayoutVars>
      </dgm:prSet>
      <dgm:spPr/>
      <dgm:t>
        <a:bodyPr/>
        <a:lstStyle/>
        <a:p>
          <a:endParaRPr lang="en-US"/>
        </a:p>
      </dgm:t>
    </dgm:pt>
    <dgm:pt modelId="{51D64862-A37D-4536-BFCD-C58FD070421E}" type="pres">
      <dgm:prSet presAssocID="{01303868-BFA0-4BC4-8906-9592414F7379}" presName="parTrans" presStyleLbl="bgSibTrans2D1" presStyleIdx="4" presStyleCnt="6"/>
      <dgm:spPr/>
      <dgm:t>
        <a:bodyPr/>
        <a:lstStyle/>
        <a:p>
          <a:endParaRPr lang="en-US"/>
        </a:p>
      </dgm:t>
    </dgm:pt>
    <dgm:pt modelId="{26DB063C-BA6B-4714-A822-C45D42D70874}" type="pres">
      <dgm:prSet presAssocID="{60EF3B22-8ECF-47A6-BAC4-BE5BDE6E44DF}" presName="node" presStyleLbl="node1" presStyleIdx="4" presStyleCnt="6" custScaleX="182680" custScaleY="69188">
        <dgm:presLayoutVars>
          <dgm:bulletEnabled val="1"/>
        </dgm:presLayoutVars>
      </dgm:prSet>
      <dgm:spPr/>
      <dgm:t>
        <a:bodyPr/>
        <a:lstStyle/>
        <a:p>
          <a:endParaRPr lang="en-US"/>
        </a:p>
      </dgm:t>
    </dgm:pt>
    <dgm:pt modelId="{457927F9-715E-4C1E-B6EB-6022CF47E012}" type="pres">
      <dgm:prSet presAssocID="{B62AA6EC-9CB9-4B2B-BB85-02D47F35E855}" presName="parTrans" presStyleLbl="bgSibTrans2D1" presStyleIdx="5" presStyleCnt="6"/>
      <dgm:spPr/>
      <dgm:t>
        <a:bodyPr/>
        <a:lstStyle/>
        <a:p>
          <a:endParaRPr lang="en-US"/>
        </a:p>
      </dgm:t>
    </dgm:pt>
    <dgm:pt modelId="{4D2E37F6-6B1B-4153-858A-5103DB6EF8A4}" type="pres">
      <dgm:prSet presAssocID="{69AC4479-FBAE-40E5-A760-71257EDCC38D}" presName="node" presStyleLbl="node1" presStyleIdx="5" presStyleCnt="6" custScaleX="176766" custScaleY="48218" custRadScaleRad="126511" custRadScaleInc="-1952">
        <dgm:presLayoutVars>
          <dgm:bulletEnabled val="1"/>
        </dgm:presLayoutVars>
      </dgm:prSet>
      <dgm:spPr/>
      <dgm:t>
        <a:bodyPr/>
        <a:lstStyle/>
        <a:p>
          <a:endParaRPr lang="en-US"/>
        </a:p>
      </dgm:t>
    </dgm:pt>
  </dgm:ptLst>
  <dgm:cxnLst>
    <dgm:cxn modelId="{033E7793-2A97-461E-9E48-C04301BA2639}" type="presOf" srcId="{7D8BA889-0B21-4214-8B93-BD1D58C573CD}" destId="{C4D637E2-D8F3-44E3-8D97-E88E4C645967}" srcOrd="0" destOrd="0" presId="urn:microsoft.com/office/officeart/2005/8/layout/radial4"/>
    <dgm:cxn modelId="{85D142DD-06E8-4C6F-A6F2-F57BC16A8F51}" type="presOf" srcId="{A3EF438E-CE70-4F48-AAC3-3A33757FE591}" destId="{178557C3-DDD8-489E-B769-F79C8F517BD0}" srcOrd="0" destOrd="0" presId="urn:microsoft.com/office/officeart/2005/8/layout/radial4"/>
    <dgm:cxn modelId="{F4D39E71-CF9C-45EE-A9B9-3DAFCF8C7709}" type="presOf" srcId="{69AC4479-FBAE-40E5-A760-71257EDCC38D}" destId="{4D2E37F6-6B1B-4153-858A-5103DB6EF8A4}" srcOrd="0" destOrd="0" presId="urn:microsoft.com/office/officeart/2005/8/layout/radial4"/>
    <dgm:cxn modelId="{F7F03A34-5CFB-4363-B002-105956C9565B}" type="presOf" srcId="{4CA179E6-4062-43DF-8C1B-5744F5E8D366}" destId="{89FED9B0-68E3-4E68-8DB4-3423489305AF}" srcOrd="0" destOrd="0" presId="urn:microsoft.com/office/officeart/2005/8/layout/radial4"/>
    <dgm:cxn modelId="{A2A39158-5D43-42BB-B37B-65F974C0EFD6}" srcId="{233F9653-19CC-430F-AE3F-4CAB992D40E0}" destId="{69AC4479-FBAE-40E5-A760-71257EDCC38D}" srcOrd="5" destOrd="0" parTransId="{B62AA6EC-9CB9-4B2B-BB85-02D47F35E855}" sibTransId="{E9E2B910-5BB5-404B-9E08-1143ABF66A25}"/>
    <dgm:cxn modelId="{F44F76E6-BFAF-4E15-B13D-7049ADA52FE9}" type="presOf" srcId="{9B043DC4-3955-4CFB-A5C4-E81DC5B334CB}" destId="{9125A5B3-B7A6-43EF-9246-540DC2E1760C}" srcOrd="0" destOrd="0" presId="urn:microsoft.com/office/officeart/2005/8/layout/radial4"/>
    <dgm:cxn modelId="{ACF97441-CDC5-44FC-881C-79DAD617CDED}" type="presOf" srcId="{BE9A4DD1-9AEC-41E0-AB64-FCD29DDF5BB5}" destId="{B525AF26-AFB9-43CF-99BF-84E488A759AC}" srcOrd="0" destOrd="0" presId="urn:microsoft.com/office/officeart/2005/8/layout/radial4"/>
    <dgm:cxn modelId="{75DE6E10-E256-4101-A00A-9148A54EA751}" type="presOf" srcId="{B62AA6EC-9CB9-4B2B-BB85-02D47F35E855}" destId="{457927F9-715E-4C1E-B6EB-6022CF47E012}" srcOrd="0" destOrd="0" presId="urn:microsoft.com/office/officeart/2005/8/layout/radial4"/>
    <dgm:cxn modelId="{CCE47010-0F0D-4A18-8B06-70D7A2EA8F06}" srcId="{233F9653-19CC-430F-AE3F-4CAB992D40E0}" destId="{60EF3B22-8ECF-47A6-BAC4-BE5BDE6E44DF}" srcOrd="4" destOrd="0" parTransId="{01303868-BFA0-4BC4-8906-9592414F7379}" sibTransId="{D862BB00-CD55-47A1-A403-8A573E210214}"/>
    <dgm:cxn modelId="{B1983C7A-1B6E-4747-890C-5B31B9C9418A}" srcId="{B3E78B59-ABC6-4CEF-A9EF-600B0EF1DAA5}" destId="{233F9653-19CC-430F-AE3F-4CAB992D40E0}" srcOrd="0" destOrd="0" parTransId="{E5D271DB-5510-4B7E-8E35-C9066C59D0E6}" sibTransId="{D3DBD087-9571-4269-B047-A8D1E879FB6C}"/>
    <dgm:cxn modelId="{4929A079-9FE1-4927-9B23-6D699CDFADEB}" type="presOf" srcId="{60EF3B22-8ECF-47A6-BAC4-BE5BDE6E44DF}" destId="{26DB063C-BA6B-4714-A822-C45D42D70874}" srcOrd="0" destOrd="0" presId="urn:microsoft.com/office/officeart/2005/8/layout/radial4"/>
    <dgm:cxn modelId="{5C3D0E3C-256C-4A9A-B2DD-F8AED2303E39}" type="presOf" srcId="{DDBC4FD5-06AC-4CFA-8FF2-B46C0ABF1289}" destId="{F1910331-5ED0-44D1-B305-0BD94E78B61E}" srcOrd="0" destOrd="0" presId="urn:microsoft.com/office/officeart/2005/8/layout/radial4"/>
    <dgm:cxn modelId="{F86E4E8E-CD7A-4D27-9EEB-D9A0062DC929}" type="presOf" srcId="{92A046C0-CA25-4AFA-BB29-514D6D54D59A}" destId="{F24DF57F-0A27-4F09-904B-7EC94B687EE9}" srcOrd="0" destOrd="0" presId="urn:microsoft.com/office/officeart/2005/8/layout/radial4"/>
    <dgm:cxn modelId="{CE9E64B7-046E-471A-8915-F73D4236E2BB}" srcId="{233F9653-19CC-430F-AE3F-4CAB992D40E0}" destId="{BE9A4DD1-9AEC-41E0-AB64-FCD29DDF5BB5}" srcOrd="0" destOrd="0" parTransId="{4CA179E6-4062-43DF-8C1B-5744F5E8D366}" sibTransId="{BA2DDFC5-800C-4A8F-B726-61D973E7C94D}"/>
    <dgm:cxn modelId="{225AD8FC-89BD-4469-820F-14E529B69F72}" srcId="{233F9653-19CC-430F-AE3F-4CAB992D40E0}" destId="{9B043DC4-3955-4CFB-A5C4-E81DC5B334CB}" srcOrd="3" destOrd="0" parTransId="{DDBC4FD5-06AC-4CFA-8FF2-B46C0ABF1289}" sibTransId="{E158E6FC-CD18-4A13-8405-49F850113E8B}"/>
    <dgm:cxn modelId="{E8CC7D7E-24EF-4009-BEDE-8C83CCDB059D}" type="presOf" srcId="{4DD90BCE-344B-4096-B504-2271F337838B}" destId="{AB3F0F76-5E46-452F-A5FC-A8A402764705}" srcOrd="0" destOrd="0" presId="urn:microsoft.com/office/officeart/2005/8/layout/radial4"/>
    <dgm:cxn modelId="{43CEBE4D-EB69-42FB-86E5-135E51ABB159}" type="presOf" srcId="{233F9653-19CC-430F-AE3F-4CAB992D40E0}" destId="{7B2C1609-0F11-47D6-B047-E5FFC5CA2DE4}" srcOrd="0" destOrd="0" presId="urn:microsoft.com/office/officeart/2005/8/layout/radial4"/>
    <dgm:cxn modelId="{FB45CDBF-F863-4958-BB46-A649E609E296}" type="presOf" srcId="{B3E78B59-ABC6-4CEF-A9EF-600B0EF1DAA5}" destId="{4BB8DA75-7903-4533-BFAD-059D3B10AFC6}" srcOrd="0" destOrd="0" presId="urn:microsoft.com/office/officeart/2005/8/layout/radial4"/>
    <dgm:cxn modelId="{F2003235-7494-4158-9EF6-7D0F4D81B99F}" srcId="{233F9653-19CC-430F-AE3F-4CAB992D40E0}" destId="{92A046C0-CA25-4AFA-BB29-514D6D54D59A}" srcOrd="2" destOrd="0" parTransId="{A3EF438E-CE70-4F48-AAC3-3A33757FE591}" sibTransId="{5B09FFE7-BBD4-4571-9150-84437A8EE505}"/>
    <dgm:cxn modelId="{6F415FA2-079F-4A51-8835-88C5A3D3FA39}" type="presOf" srcId="{01303868-BFA0-4BC4-8906-9592414F7379}" destId="{51D64862-A37D-4536-BFCD-C58FD070421E}" srcOrd="0" destOrd="0" presId="urn:microsoft.com/office/officeart/2005/8/layout/radial4"/>
    <dgm:cxn modelId="{D3FFFAEA-C5F3-4F28-B604-4A8CB54854BC}" srcId="{233F9653-19CC-430F-AE3F-4CAB992D40E0}" destId="{7D8BA889-0B21-4214-8B93-BD1D58C573CD}" srcOrd="1" destOrd="0" parTransId="{4DD90BCE-344B-4096-B504-2271F337838B}" sibTransId="{5B0EFB3C-E7C5-4A35-A073-268E1579EB95}"/>
    <dgm:cxn modelId="{10A7B7AB-409B-4AB1-A36C-FD2112069D8C}" type="presParOf" srcId="{4BB8DA75-7903-4533-BFAD-059D3B10AFC6}" destId="{7B2C1609-0F11-47D6-B047-E5FFC5CA2DE4}" srcOrd="0" destOrd="0" presId="urn:microsoft.com/office/officeart/2005/8/layout/radial4"/>
    <dgm:cxn modelId="{F82EDF50-13E8-4497-BD54-F8EBA2F5E1E7}" type="presParOf" srcId="{4BB8DA75-7903-4533-BFAD-059D3B10AFC6}" destId="{89FED9B0-68E3-4E68-8DB4-3423489305AF}" srcOrd="1" destOrd="0" presId="urn:microsoft.com/office/officeart/2005/8/layout/radial4"/>
    <dgm:cxn modelId="{6ACB2519-0647-44EE-910D-080129C5181C}" type="presParOf" srcId="{4BB8DA75-7903-4533-BFAD-059D3B10AFC6}" destId="{B525AF26-AFB9-43CF-99BF-84E488A759AC}" srcOrd="2" destOrd="0" presId="urn:microsoft.com/office/officeart/2005/8/layout/radial4"/>
    <dgm:cxn modelId="{184FEA7A-2170-4444-99FB-1727863B78EC}" type="presParOf" srcId="{4BB8DA75-7903-4533-BFAD-059D3B10AFC6}" destId="{AB3F0F76-5E46-452F-A5FC-A8A402764705}" srcOrd="3" destOrd="0" presId="urn:microsoft.com/office/officeart/2005/8/layout/radial4"/>
    <dgm:cxn modelId="{D7F78939-B637-47F6-926B-BBFCD1648446}" type="presParOf" srcId="{4BB8DA75-7903-4533-BFAD-059D3B10AFC6}" destId="{C4D637E2-D8F3-44E3-8D97-E88E4C645967}" srcOrd="4" destOrd="0" presId="urn:microsoft.com/office/officeart/2005/8/layout/radial4"/>
    <dgm:cxn modelId="{E42AECC3-5EC4-4B9E-90DE-C0959D712E55}" type="presParOf" srcId="{4BB8DA75-7903-4533-BFAD-059D3B10AFC6}" destId="{178557C3-DDD8-489E-B769-F79C8F517BD0}" srcOrd="5" destOrd="0" presId="urn:microsoft.com/office/officeart/2005/8/layout/radial4"/>
    <dgm:cxn modelId="{6CD9E8A0-15DD-4030-AEAA-F46A1F447BCC}" type="presParOf" srcId="{4BB8DA75-7903-4533-BFAD-059D3B10AFC6}" destId="{F24DF57F-0A27-4F09-904B-7EC94B687EE9}" srcOrd="6" destOrd="0" presId="urn:microsoft.com/office/officeart/2005/8/layout/radial4"/>
    <dgm:cxn modelId="{8EB430B1-FF6C-4791-AFDA-A1B083AA113A}" type="presParOf" srcId="{4BB8DA75-7903-4533-BFAD-059D3B10AFC6}" destId="{F1910331-5ED0-44D1-B305-0BD94E78B61E}" srcOrd="7" destOrd="0" presId="urn:microsoft.com/office/officeart/2005/8/layout/radial4"/>
    <dgm:cxn modelId="{F642361B-0CF5-4A30-A404-F4646369866E}" type="presParOf" srcId="{4BB8DA75-7903-4533-BFAD-059D3B10AFC6}" destId="{9125A5B3-B7A6-43EF-9246-540DC2E1760C}" srcOrd="8" destOrd="0" presId="urn:microsoft.com/office/officeart/2005/8/layout/radial4"/>
    <dgm:cxn modelId="{AA616868-7A4A-44C4-8A37-F662AE83F0AB}" type="presParOf" srcId="{4BB8DA75-7903-4533-BFAD-059D3B10AFC6}" destId="{51D64862-A37D-4536-BFCD-C58FD070421E}" srcOrd="9" destOrd="0" presId="urn:microsoft.com/office/officeart/2005/8/layout/radial4"/>
    <dgm:cxn modelId="{CA307559-887A-4ACF-A509-40E5843F2B84}" type="presParOf" srcId="{4BB8DA75-7903-4533-BFAD-059D3B10AFC6}" destId="{26DB063C-BA6B-4714-A822-C45D42D70874}" srcOrd="10" destOrd="0" presId="urn:microsoft.com/office/officeart/2005/8/layout/radial4"/>
    <dgm:cxn modelId="{EFC814C8-3169-49BC-9176-BA6C6DD1D6E8}" type="presParOf" srcId="{4BB8DA75-7903-4533-BFAD-059D3B10AFC6}" destId="{457927F9-715E-4C1E-B6EB-6022CF47E012}" srcOrd="11" destOrd="0" presId="urn:microsoft.com/office/officeart/2005/8/layout/radial4"/>
    <dgm:cxn modelId="{024D76FF-C44F-4E14-A597-3FC5DD7E1719}" type="presParOf" srcId="{4BB8DA75-7903-4533-BFAD-059D3B10AFC6}" destId="{4D2E37F6-6B1B-4153-858A-5103DB6EF8A4}" srcOrd="12" destOrd="0" presId="urn:microsoft.com/office/officeart/2005/8/layout/radial4"/>
  </dgm:cxnLst>
  <dgm:bg/>
  <dgm:whole/>
</dgm:dataModel>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4CB71F4-AB39-4691-96A5-55A69315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19223</Words>
  <Characters>109572</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14</cp:revision>
  <cp:lastPrinted>2012-01-07T09:08:00Z</cp:lastPrinted>
  <dcterms:created xsi:type="dcterms:W3CDTF">2011-12-18T10:48:00Z</dcterms:created>
  <dcterms:modified xsi:type="dcterms:W3CDTF">2012-01-07T09:08:00Z</dcterms:modified>
</cp:coreProperties>
</file>