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Knygospavadinimas"/>
          <w:rFonts w:ascii="Times New Roman" w:eastAsia="MS Mincho" w:hAnsi="Times New Roman" w:cs="Times New Roman"/>
          <w:b/>
          <w:bCs/>
          <w:sz w:val="24"/>
          <w:szCs w:val="24"/>
        </w:rPr>
        <w:id w:val="-710880834"/>
        <w:docPartObj>
          <w:docPartGallery w:val="Table of Contents"/>
          <w:docPartUnique/>
        </w:docPartObj>
      </w:sdtPr>
      <w:sdtEndPr>
        <w:rPr>
          <w:rStyle w:val="Knygospavadinimas"/>
          <w:rFonts w:eastAsiaTheme="minorEastAsia"/>
          <w:b w:val="0"/>
          <w:bCs w:val="0"/>
        </w:rPr>
      </w:sdtEndPr>
      <w:sdtContent>
        <w:p w:rsidR="00952E74" w:rsidRPr="00A91E83" w:rsidRDefault="00952E74" w:rsidP="00952E74">
          <w:pPr>
            <w:tabs>
              <w:tab w:val="left" w:pos="851"/>
              <w:tab w:val="left" w:pos="1701"/>
            </w:tabs>
            <w:spacing w:after="0" w:line="360" w:lineRule="auto"/>
            <w:jc w:val="center"/>
            <w:rPr>
              <w:rFonts w:ascii="Times New Roman" w:hAnsi="Times New Roman" w:cs="Times New Roman"/>
              <w:sz w:val="24"/>
              <w:szCs w:val="24"/>
            </w:rPr>
          </w:pPr>
          <w:r w:rsidRPr="00A91E83">
            <w:rPr>
              <w:rFonts w:ascii="Times New Roman" w:hAnsi="Times New Roman" w:cs="Times New Roman"/>
              <w:sz w:val="24"/>
              <w:szCs w:val="24"/>
            </w:rPr>
            <w:t>MYKOLO ROMERIO UNIVERSITETO</w:t>
          </w:r>
        </w:p>
        <w:p w:rsidR="00952E74" w:rsidRPr="00A91E83" w:rsidRDefault="00952E74" w:rsidP="00952E74">
          <w:pPr>
            <w:tabs>
              <w:tab w:val="left" w:pos="851"/>
              <w:tab w:val="left" w:pos="1701"/>
            </w:tabs>
            <w:spacing w:after="0" w:line="360" w:lineRule="auto"/>
            <w:jc w:val="center"/>
            <w:rPr>
              <w:rFonts w:ascii="Times New Roman" w:hAnsi="Times New Roman" w:cs="Times New Roman"/>
              <w:sz w:val="24"/>
              <w:szCs w:val="24"/>
            </w:rPr>
          </w:pPr>
          <w:r w:rsidRPr="00A91E83">
            <w:rPr>
              <w:rFonts w:ascii="Times New Roman" w:hAnsi="Times New Roman" w:cs="Times New Roman"/>
              <w:sz w:val="24"/>
              <w:szCs w:val="24"/>
            </w:rPr>
            <w:t>TEISĖS FAKULTETO</w:t>
          </w:r>
        </w:p>
        <w:p w:rsidR="00952E74" w:rsidRPr="00A91E83" w:rsidRDefault="00952E74" w:rsidP="00952E74">
          <w:pPr>
            <w:tabs>
              <w:tab w:val="left" w:pos="851"/>
              <w:tab w:val="left" w:pos="1701"/>
            </w:tabs>
            <w:spacing w:after="0" w:line="360" w:lineRule="auto"/>
            <w:jc w:val="center"/>
            <w:rPr>
              <w:rFonts w:ascii="Times New Roman" w:hAnsi="Times New Roman" w:cs="Times New Roman"/>
              <w:sz w:val="24"/>
              <w:szCs w:val="24"/>
            </w:rPr>
          </w:pPr>
          <w:r w:rsidRPr="00A91E83">
            <w:rPr>
              <w:rFonts w:ascii="Times New Roman" w:hAnsi="Times New Roman" w:cs="Times New Roman"/>
              <w:sz w:val="24"/>
              <w:szCs w:val="24"/>
            </w:rPr>
            <w:t>CIVILINĖS IR KOMERCINĖS TEISĖS KATEDRA</w:t>
          </w:r>
        </w:p>
        <w:p w:rsidR="00952E74" w:rsidRPr="00A91E83" w:rsidRDefault="00952E74" w:rsidP="00952E74">
          <w:pPr>
            <w:tabs>
              <w:tab w:val="left" w:pos="851"/>
              <w:tab w:val="left" w:pos="1701"/>
            </w:tabs>
            <w:spacing w:after="0" w:line="360" w:lineRule="auto"/>
            <w:jc w:val="center"/>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jc w:val="center"/>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jc w:val="center"/>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jc w:val="center"/>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jc w:val="center"/>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jc w:val="center"/>
            <w:rPr>
              <w:rFonts w:ascii="Times New Roman" w:hAnsi="Times New Roman" w:cs="Times New Roman"/>
              <w:sz w:val="24"/>
              <w:szCs w:val="24"/>
            </w:rPr>
          </w:pPr>
          <w:r w:rsidRPr="00A91E83">
            <w:rPr>
              <w:rFonts w:ascii="Times New Roman" w:hAnsi="Times New Roman" w:cs="Times New Roman"/>
              <w:sz w:val="24"/>
              <w:szCs w:val="24"/>
            </w:rPr>
            <w:t>MARIUS LUKMINAS</w:t>
          </w:r>
        </w:p>
        <w:p w:rsidR="00952E74" w:rsidRPr="00A91E83" w:rsidRDefault="00952E74" w:rsidP="00952E74">
          <w:pPr>
            <w:tabs>
              <w:tab w:val="left" w:pos="851"/>
              <w:tab w:val="left" w:pos="1701"/>
            </w:tabs>
            <w:spacing w:after="0" w:line="360" w:lineRule="auto"/>
            <w:jc w:val="center"/>
            <w:rPr>
              <w:rFonts w:ascii="Times New Roman" w:hAnsi="Times New Roman" w:cs="Times New Roman"/>
              <w:sz w:val="24"/>
              <w:szCs w:val="24"/>
            </w:rPr>
          </w:pPr>
          <w:r w:rsidRPr="00A91E83">
            <w:rPr>
              <w:rFonts w:ascii="Times New Roman" w:hAnsi="Times New Roman" w:cs="Times New Roman"/>
              <w:sz w:val="24"/>
              <w:szCs w:val="24"/>
            </w:rPr>
            <w:t>(verslo teisės studijų programa)</w:t>
          </w:r>
        </w:p>
        <w:p w:rsidR="00952E74" w:rsidRPr="00A91E83" w:rsidRDefault="00952E74" w:rsidP="00952E74">
          <w:pPr>
            <w:tabs>
              <w:tab w:val="left" w:pos="851"/>
              <w:tab w:val="left" w:pos="1701"/>
            </w:tabs>
            <w:spacing w:after="0" w:line="360" w:lineRule="auto"/>
            <w:jc w:val="center"/>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jc w:val="center"/>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jc w:val="center"/>
            <w:rPr>
              <w:rFonts w:ascii="Times New Roman" w:hAnsi="Times New Roman" w:cs="Times New Roman"/>
              <w:sz w:val="24"/>
              <w:szCs w:val="24"/>
            </w:rPr>
          </w:pPr>
          <w:r w:rsidRPr="00A91E83">
            <w:rPr>
              <w:rFonts w:ascii="Times New Roman" w:hAnsi="Times New Roman" w:cs="Times New Roman"/>
              <w:sz w:val="24"/>
              <w:szCs w:val="24"/>
            </w:rPr>
            <w:t xml:space="preserve">UŽSKAITOS </w:t>
          </w:r>
          <w:r w:rsidR="00D31077" w:rsidRPr="00A91E83">
            <w:rPr>
              <w:rFonts w:ascii="Times New Roman" w:hAnsi="Times New Roman" w:cs="Times New Roman"/>
              <w:sz w:val="24"/>
              <w:szCs w:val="24"/>
            </w:rPr>
            <w:t>SAMPRATA IR</w:t>
          </w:r>
          <w:r w:rsidRPr="00A91E83">
            <w:rPr>
              <w:rFonts w:ascii="Times New Roman" w:hAnsi="Times New Roman" w:cs="Times New Roman"/>
              <w:sz w:val="24"/>
              <w:szCs w:val="24"/>
            </w:rPr>
            <w:t xml:space="preserve"> </w:t>
          </w:r>
          <w:r w:rsidR="005F1420" w:rsidRPr="00A91E83">
            <w:rPr>
              <w:rFonts w:ascii="Times New Roman" w:hAnsi="Times New Roman" w:cs="Times New Roman"/>
              <w:sz w:val="24"/>
              <w:szCs w:val="24"/>
            </w:rPr>
            <w:t>JOS TAIKYMO PROBLEMOS</w:t>
          </w:r>
          <w:r w:rsidRPr="00A91E83">
            <w:rPr>
              <w:rFonts w:ascii="Times New Roman" w:hAnsi="Times New Roman" w:cs="Times New Roman"/>
              <w:sz w:val="24"/>
              <w:szCs w:val="24"/>
            </w:rPr>
            <w:t xml:space="preserve"> </w:t>
          </w:r>
          <w:r w:rsidR="004B0F99" w:rsidRPr="00A91E83">
            <w:rPr>
              <w:rFonts w:ascii="Times New Roman" w:hAnsi="Times New Roman" w:cs="Times New Roman"/>
              <w:sz w:val="24"/>
              <w:szCs w:val="24"/>
            </w:rPr>
            <w:t>BANKROTO</w:t>
          </w:r>
          <w:r w:rsidRPr="00A91E83">
            <w:rPr>
              <w:rFonts w:ascii="Times New Roman" w:hAnsi="Times New Roman" w:cs="Times New Roman"/>
              <w:sz w:val="24"/>
              <w:szCs w:val="24"/>
            </w:rPr>
            <w:t xml:space="preserve"> KONTEKSTE</w:t>
          </w:r>
        </w:p>
        <w:p w:rsidR="00952E74" w:rsidRPr="00A91E83" w:rsidRDefault="00952E74" w:rsidP="00952E74">
          <w:pPr>
            <w:tabs>
              <w:tab w:val="left" w:pos="851"/>
              <w:tab w:val="left" w:pos="1701"/>
            </w:tabs>
            <w:spacing w:after="0" w:line="360" w:lineRule="auto"/>
            <w:jc w:val="center"/>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jc w:val="center"/>
            <w:rPr>
              <w:rFonts w:ascii="Times New Roman" w:hAnsi="Times New Roman" w:cs="Times New Roman"/>
              <w:sz w:val="24"/>
              <w:szCs w:val="24"/>
            </w:rPr>
          </w:pPr>
          <w:r w:rsidRPr="00A91E83">
            <w:rPr>
              <w:rFonts w:ascii="Times New Roman" w:hAnsi="Times New Roman" w:cs="Times New Roman"/>
              <w:sz w:val="24"/>
              <w:szCs w:val="24"/>
            </w:rPr>
            <w:t>Magistro baigiamasis darbas</w:t>
          </w:r>
        </w:p>
        <w:p w:rsidR="00952E74" w:rsidRPr="00A91E83" w:rsidRDefault="00952E74" w:rsidP="00952E74">
          <w:pPr>
            <w:tabs>
              <w:tab w:val="left" w:pos="851"/>
              <w:tab w:val="left" w:pos="1701"/>
            </w:tabs>
            <w:spacing w:after="0" w:line="360" w:lineRule="auto"/>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jc w:val="right"/>
            <w:rPr>
              <w:rFonts w:ascii="Times New Roman" w:hAnsi="Times New Roman" w:cs="Times New Roman"/>
              <w:sz w:val="24"/>
              <w:szCs w:val="24"/>
            </w:rPr>
          </w:pPr>
          <w:r w:rsidRPr="00A91E83">
            <w:rPr>
              <w:rFonts w:ascii="Times New Roman" w:hAnsi="Times New Roman" w:cs="Times New Roman"/>
              <w:sz w:val="24"/>
              <w:szCs w:val="24"/>
            </w:rPr>
            <w:t>Darbo vadovas</w:t>
          </w:r>
        </w:p>
        <w:p w:rsidR="00952E74" w:rsidRPr="00A91E83" w:rsidRDefault="00952E74" w:rsidP="00952E74">
          <w:pPr>
            <w:tabs>
              <w:tab w:val="left" w:pos="851"/>
              <w:tab w:val="left" w:pos="1701"/>
            </w:tabs>
            <w:spacing w:after="0" w:line="360" w:lineRule="auto"/>
            <w:jc w:val="right"/>
            <w:rPr>
              <w:rFonts w:ascii="Times New Roman" w:hAnsi="Times New Roman" w:cs="Times New Roman"/>
              <w:sz w:val="24"/>
              <w:szCs w:val="24"/>
            </w:rPr>
          </w:pPr>
          <w:r w:rsidRPr="00A91E83">
            <w:rPr>
              <w:rFonts w:ascii="Times New Roman" w:hAnsi="Times New Roman" w:cs="Times New Roman"/>
              <w:sz w:val="24"/>
              <w:szCs w:val="24"/>
            </w:rPr>
            <w:t xml:space="preserve">Lektorius </w:t>
          </w:r>
          <w:proofErr w:type="spellStart"/>
          <w:r w:rsidRPr="00A91E83">
            <w:rPr>
              <w:rFonts w:ascii="Times New Roman" w:hAnsi="Times New Roman" w:cs="Times New Roman"/>
              <w:sz w:val="24"/>
              <w:szCs w:val="24"/>
            </w:rPr>
            <w:t>dr</w:t>
          </w:r>
          <w:proofErr w:type="spellEnd"/>
          <w:r w:rsidRPr="00A91E83">
            <w:rPr>
              <w:rFonts w:ascii="Times New Roman" w:hAnsi="Times New Roman" w:cs="Times New Roman"/>
              <w:sz w:val="24"/>
              <w:szCs w:val="24"/>
            </w:rPr>
            <w:t>. Kazimieras Zaveckas</w:t>
          </w:r>
        </w:p>
        <w:p w:rsidR="00952E74" w:rsidRPr="00A91E83" w:rsidRDefault="00952E74" w:rsidP="00952E74">
          <w:pPr>
            <w:tabs>
              <w:tab w:val="left" w:pos="851"/>
              <w:tab w:val="left" w:pos="1701"/>
            </w:tabs>
            <w:spacing w:after="0" w:line="360" w:lineRule="auto"/>
            <w:jc w:val="right"/>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jc w:val="right"/>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jc w:val="right"/>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jc w:val="right"/>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jc w:val="right"/>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rPr>
              <w:rFonts w:ascii="Times New Roman" w:hAnsi="Times New Roman" w:cs="Times New Roman"/>
              <w:sz w:val="24"/>
              <w:szCs w:val="24"/>
            </w:rPr>
          </w:pPr>
        </w:p>
        <w:p w:rsidR="00952E74" w:rsidRPr="00A91E83" w:rsidRDefault="00952E74" w:rsidP="00952E74">
          <w:pPr>
            <w:tabs>
              <w:tab w:val="left" w:pos="851"/>
              <w:tab w:val="left" w:pos="1701"/>
            </w:tabs>
            <w:spacing w:after="0" w:line="360" w:lineRule="auto"/>
            <w:jc w:val="center"/>
            <w:rPr>
              <w:rFonts w:ascii="Times New Roman" w:hAnsi="Times New Roman" w:cs="Times New Roman"/>
              <w:sz w:val="24"/>
              <w:szCs w:val="24"/>
            </w:rPr>
          </w:pPr>
          <w:r w:rsidRPr="00A91E83">
            <w:rPr>
              <w:rFonts w:ascii="Times New Roman" w:hAnsi="Times New Roman" w:cs="Times New Roman"/>
              <w:sz w:val="24"/>
              <w:szCs w:val="24"/>
            </w:rPr>
            <w:t>Vilnius, 2010</w:t>
          </w:r>
        </w:p>
        <w:p w:rsidR="00440CCE" w:rsidRPr="00A91E83" w:rsidRDefault="00D56E99" w:rsidP="00D56E99">
          <w:pPr>
            <w:pStyle w:val="Turinioantrat"/>
            <w:jc w:val="center"/>
            <w:rPr>
              <w:rStyle w:val="Knygospavadinimas"/>
              <w:rFonts w:ascii="Times New Roman" w:hAnsi="Times New Roman" w:cs="Times New Roman"/>
              <w:i w:val="0"/>
              <w:caps/>
              <w:smallCaps w:val="0"/>
              <w:sz w:val="24"/>
              <w:szCs w:val="24"/>
            </w:rPr>
          </w:pPr>
          <w:r w:rsidRPr="00A91E83">
            <w:rPr>
              <w:rStyle w:val="Knygospavadinimas"/>
              <w:rFonts w:ascii="Times New Roman" w:hAnsi="Times New Roman" w:cs="Times New Roman"/>
              <w:i w:val="0"/>
              <w:caps/>
              <w:smallCaps w:val="0"/>
              <w:sz w:val="24"/>
              <w:szCs w:val="24"/>
            </w:rPr>
            <w:lastRenderedPageBreak/>
            <w:t>Turinys</w:t>
          </w:r>
        </w:p>
        <w:p w:rsidR="00D56E99" w:rsidRPr="00A91E83" w:rsidRDefault="00D56E99" w:rsidP="00D56E99">
          <w:pPr>
            <w:rPr>
              <w:rFonts w:ascii="Times New Roman" w:hAnsi="Times New Roman" w:cs="Times New Roman"/>
              <w:sz w:val="24"/>
              <w:szCs w:val="24"/>
              <w:lang w:bidi="en-US"/>
            </w:rPr>
          </w:pPr>
        </w:p>
        <w:p w:rsidR="00524C49" w:rsidRDefault="00440CCE">
          <w:pPr>
            <w:pStyle w:val="Turinys1"/>
            <w:tabs>
              <w:tab w:val="right" w:leader="dot" w:pos="9344"/>
            </w:tabs>
            <w:rPr>
              <w:noProof/>
              <w:lang w:eastAsia="zh-CN"/>
            </w:rPr>
          </w:pPr>
          <w:r w:rsidRPr="00A91E83">
            <w:rPr>
              <w:rStyle w:val="Knygospavadinimas"/>
              <w:rFonts w:ascii="Times New Roman" w:hAnsi="Times New Roman" w:cs="Times New Roman"/>
              <w:sz w:val="24"/>
              <w:szCs w:val="24"/>
            </w:rPr>
            <w:fldChar w:fldCharType="begin"/>
          </w:r>
          <w:r w:rsidRPr="00A91E83">
            <w:rPr>
              <w:rStyle w:val="Knygospavadinimas"/>
              <w:rFonts w:ascii="Times New Roman" w:hAnsi="Times New Roman" w:cs="Times New Roman"/>
              <w:sz w:val="24"/>
              <w:szCs w:val="24"/>
            </w:rPr>
            <w:instrText xml:space="preserve"> TOC \o "1-3" \h \z \u </w:instrText>
          </w:r>
          <w:r w:rsidRPr="00A91E83">
            <w:rPr>
              <w:rStyle w:val="Knygospavadinimas"/>
              <w:rFonts w:ascii="Times New Roman" w:hAnsi="Times New Roman" w:cs="Times New Roman"/>
              <w:sz w:val="24"/>
              <w:szCs w:val="24"/>
            </w:rPr>
            <w:fldChar w:fldCharType="separate"/>
          </w:r>
          <w:hyperlink w:anchor="_Toc280546440" w:history="1">
            <w:r w:rsidR="00524C49" w:rsidRPr="00BC5ECC">
              <w:rPr>
                <w:rStyle w:val="Hipersaitas"/>
                <w:rFonts w:ascii="Times New Roman" w:hAnsi="Times New Roman" w:cs="Times New Roman"/>
                <w:noProof/>
              </w:rPr>
              <w:t>ĮVADAS</w:t>
            </w:r>
            <w:r w:rsidR="00524C49">
              <w:rPr>
                <w:noProof/>
                <w:webHidden/>
              </w:rPr>
              <w:tab/>
            </w:r>
            <w:r w:rsidR="00524C49">
              <w:rPr>
                <w:noProof/>
                <w:webHidden/>
              </w:rPr>
              <w:fldChar w:fldCharType="begin"/>
            </w:r>
            <w:r w:rsidR="00524C49">
              <w:rPr>
                <w:noProof/>
                <w:webHidden/>
              </w:rPr>
              <w:instrText xml:space="preserve"> PAGEREF _Toc280546440 \h </w:instrText>
            </w:r>
            <w:r w:rsidR="00524C49">
              <w:rPr>
                <w:noProof/>
                <w:webHidden/>
              </w:rPr>
            </w:r>
            <w:r w:rsidR="00524C49">
              <w:rPr>
                <w:noProof/>
                <w:webHidden/>
              </w:rPr>
              <w:fldChar w:fldCharType="separate"/>
            </w:r>
            <w:r w:rsidR="000C7E01">
              <w:rPr>
                <w:noProof/>
                <w:webHidden/>
              </w:rPr>
              <w:t>4</w:t>
            </w:r>
            <w:r w:rsidR="00524C49">
              <w:rPr>
                <w:noProof/>
                <w:webHidden/>
              </w:rPr>
              <w:fldChar w:fldCharType="end"/>
            </w:r>
          </w:hyperlink>
        </w:p>
        <w:p w:rsidR="00524C49" w:rsidRDefault="00E05E27">
          <w:pPr>
            <w:pStyle w:val="Turinys1"/>
            <w:tabs>
              <w:tab w:val="left" w:pos="440"/>
              <w:tab w:val="right" w:leader="dot" w:pos="9344"/>
            </w:tabs>
            <w:rPr>
              <w:noProof/>
              <w:lang w:eastAsia="zh-CN"/>
            </w:rPr>
          </w:pPr>
          <w:hyperlink w:anchor="_Toc280546441" w:history="1">
            <w:r w:rsidR="00524C49" w:rsidRPr="00BC5ECC">
              <w:rPr>
                <w:rStyle w:val="Hipersaitas"/>
                <w:rFonts w:ascii="Times New Roman" w:hAnsi="Times New Roman" w:cs="Times New Roman"/>
                <w:b/>
                <w:smallCaps/>
                <w:noProof/>
              </w:rPr>
              <w:t>1.</w:t>
            </w:r>
            <w:r w:rsidR="00524C49">
              <w:rPr>
                <w:noProof/>
                <w:lang w:eastAsia="zh-CN"/>
              </w:rPr>
              <w:tab/>
            </w:r>
            <w:r w:rsidR="00524C49" w:rsidRPr="00BC5ECC">
              <w:rPr>
                <w:rStyle w:val="Hipersaitas"/>
                <w:rFonts w:ascii="Times New Roman" w:hAnsi="Times New Roman" w:cs="Times New Roman"/>
                <w:b/>
                <w:smallCaps/>
                <w:noProof/>
              </w:rPr>
              <w:t>sandoriai dėl išvestinių finansinių priemonių sudaryti už biržos ribų</w:t>
            </w:r>
            <w:r w:rsidR="00524C49">
              <w:rPr>
                <w:noProof/>
                <w:webHidden/>
              </w:rPr>
              <w:tab/>
            </w:r>
            <w:r w:rsidR="00524C49">
              <w:rPr>
                <w:noProof/>
                <w:webHidden/>
              </w:rPr>
              <w:fldChar w:fldCharType="begin"/>
            </w:r>
            <w:r w:rsidR="00524C49">
              <w:rPr>
                <w:noProof/>
                <w:webHidden/>
              </w:rPr>
              <w:instrText xml:space="preserve"> PAGEREF _Toc280546441 \h </w:instrText>
            </w:r>
            <w:r w:rsidR="00524C49">
              <w:rPr>
                <w:noProof/>
                <w:webHidden/>
              </w:rPr>
            </w:r>
            <w:r w:rsidR="00524C49">
              <w:rPr>
                <w:noProof/>
                <w:webHidden/>
              </w:rPr>
              <w:fldChar w:fldCharType="separate"/>
            </w:r>
            <w:r w:rsidR="000C7E01">
              <w:rPr>
                <w:noProof/>
                <w:webHidden/>
              </w:rPr>
              <w:t>10</w:t>
            </w:r>
            <w:r w:rsidR="00524C49">
              <w:rPr>
                <w:noProof/>
                <w:webHidden/>
              </w:rPr>
              <w:fldChar w:fldCharType="end"/>
            </w:r>
          </w:hyperlink>
        </w:p>
        <w:p w:rsidR="00524C49" w:rsidRDefault="00E05E27">
          <w:pPr>
            <w:pStyle w:val="Turinys2"/>
            <w:tabs>
              <w:tab w:val="left" w:pos="880"/>
              <w:tab w:val="right" w:leader="dot" w:pos="9344"/>
            </w:tabs>
            <w:rPr>
              <w:noProof/>
              <w:lang w:eastAsia="zh-CN"/>
            </w:rPr>
          </w:pPr>
          <w:hyperlink w:anchor="_Toc280546442" w:history="1">
            <w:r w:rsidR="00524C49" w:rsidRPr="00BC5ECC">
              <w:rPr>
                <w:rStyle w:val="Hipersaitas"/>
                <w:rFonts w:ascii="Times New Roman" w:hAnsi="Times New Roman" w:cs="Times New Roman"/>
                <w:b/>
                <w:noProof/>
              </w:rPr>
              <w:t>1.1</w:t>
            </w:r>
            <w:r w:rsidR="00524C49">
              <w:rPr>
                <w:noProof/>
                <w:lang w:eastAsia="zh-CN"/>
              </w:rPr>
              <w:tab/>
            </w:r>
            <w:r w:rsidR="00524C49" w:rsidRPr="00BC5ECC">
              <w:rPr>
                <w:rStyle w:val="Hipersaitas"/>
                <w:rFonts w:ascii="Times New Roman" w:hAnsi="Times New Roman" w:cs="Times New Roman"/>
                <w:b/>
                <w:noProof/>
              </w:rPr>
              <w:t>Finansinių priemonių ir išvestinių finansinių priemonių santykis</w:t>
            </w:r>
            <w:r w:rsidR="00524C49">
              <w:rPr>
                <w:noProof/>
                <w:webHidden/>
              </w:rPr>
              <w:tab/>
            </w:r>
            <w:r w:rsidR="00524C49">
              <w:rPr>
                <w:noProof/>
                <w:webHidden/>
              </w:rPr>
              <w:fldChar w:fldCharType="begin"/>
            </w:r>
            <w:r w:rsidR="00524C49">
              <w:rPr>
                <w:noProof/>
                <w:webHidden/>
              </w:rPr>
              <w:instrText xml:space="preserve"> PAGEREF _Toc280546442 \h </w:instrText>
            </w:r>
            <w:r w:rsidR="00524C49">
              <w:rPr>
                <w:noProof/>
                <w:webHidden/>
              </w:rPr>
            </w:r>
            <w:r w:rsidR="00524C49">
              <w:rPr>
                <w:noProof/>
                <w:webHidden/>
              </w:rPr>
              <w:fldChar w:fldCharType="separate"/>
            </w:r>
            <w:r w:rsidR="000C7E01">
              <w:rPr>
                <w:noProof/>
                <w:webHidden/>
              </w:rPr>
              <w:t>10</w:t>
            </w:r>
            <w:r w:rsidR="00524C49">
              <w:rPr>
                <w:noProof/>
                <w:webHidden/>
              </w:rPr>
              <w:fldChar w:fldCharType="end"/>
            </w:r>
          </w:hyperlink>
        </w:p>
        <w:p w:rsidR="00524C49" w:rsidRDefault="00E05E27">
          <w:pPr>
            <w:pStyle w:val="Turinys2"/>
            <w:tabs>
              <w:tab w:val="left" w:pos="880"/>
              <w:tab w:val="right" w:leader="dot" w:pos="9344"/>
            </w:tabs>
            <w:rPr>
              <w:noProof/>
              <w:lang w:eastAsia="zh-CN"/>
            </w:rPr>
          </w:pPr>
          <w:hyperlink w:anchor="_Toc280546443" w:history="1">
            <w:r w:rsidR="00524C49" w:rsidRPr="00BC5ECC">
              <w:rPr>
                <w:rStyle w:val="Hipersaitas"/>
                <w:rFonts w:ascii="Times New Roman" w:hAnsi="Times New Roman" w:cs="Times New Roman"/>
                <w:b/>
                <w:noProof/>
              </w:rPr>
              <w:t>1.2</w:t>
            </w:r>
            <w:r w:rsidR="00524C49">
              <w:rPr>
                <w:noProof/>
                <w:lang w:eastAsia="zh-CN"/>
              </w:rPr>
              <w:tab/>
            </w:r>
            <w:r w:rsidR="00524C49" w:rsidRPr="00BC5ECC">
              <w:rPr>
                <w:rStyle w:val="Hipersaitas"/>
                <w:rFonts w:ascii="Times New Roman" w:hAnsi="Times New Roman" w:cs="Times New Roman"/>
                <w:b/>
                <w:noProof/>
              </w:rPr>
              <w:t>Esminiai užbiržinių sandorių dėl išvestinių finansinių priemonių bruožai</w:t>
            </w:r>
            <w:r w:rsidR="00524C49">
              <w:rPr>
                <w:noProof/>
                <w:webHidden/>
              </w:rPr>
              <w:tab/>
            </w:r>
            <w:r w:rsidR="00524C49">
              <w:rPr>
                <w:noProof/>
                <w:webHidden/>
              </w:rPr>
              <w:fldChar w:fldCharType="begin"/>
            </w:r>
            <w:r w:rsidR="00524C49">
              <w:rPr>
                <w:noProof/>
                <w:webHidden/>
              </w:rPr>
              <w:instrText xml:space="preserve"> PAGEREF _Toc280546443 \h </w:instrText>
            </w:r>
            <w:r w:rsidR="00524C49">
              <w:rPr>
                <w:noProof/>
                <w:webHidden/>
              </w:rPr>
            </w:r>
            <w:r w:rsidR="00524C49">
              <w:rPr>
                <w:noProof/>
                <w:webHidden/>
              </w:rPr>
              <w:fldChar w:fldCharType="separate"/>
            </w:r>
            <w:r w:rsidR="000C7E01">
              <w:rPr>
                <w:noProof/>
                <w:webHidden/>
              </w:rPr>
              <w:t>11</w:t>
            </w:r>
            <w:r w:rsidR="00524C49">
              <w:rPr>
                <w:noProof/>
                <w:webHidden/>
              </w:rPr>
              <w:fldChar w:fldCharType="end"/>
            </w:r>
          </w:hyperlink>
        </w:p>
        <w:p w:rsidR="00524C49" w:rsidRDefault="00E05E27">
          <w:pPr>
            <w:pStyle w:val="Turinys2"/>
            <w:tabs>
              <w:tab w:val="left" w:pos="880"/>
              <w:tab w:val="right" w:leader="dot" w:pos="9344"/>
            </w:tabs>
            <w:rPr>
              <w:noProof/>
              <w:lang w:eastAsia="zh-CN"/>
            </w:rPr>
          </w:pPr>
          <w:hyperlink w:anchor="_Toc280546444" w:history="1">
            <w:r w:rsidR="00524C49" w:rsidRPr="00BC5ECC">
              <w:rPr>
                <w:rStyle w:val="Hipersaitas"/>
                <w:rFonts w:ascii="Times New Roman" w:hAnsi="Times New Roman" w:cs="Times New Roman"/>
                <w:b/>
                <w:noProof/>
              </w:rPr>
              <w:t>1.3</w:t>
            </w:r>
            <w:r w:rsidR="00524C49">
              <w:rPr>
                <w:noProof/>
                <w:lang w:eastAsia="zh-CN"/>
              </w:rPr>
              <w:tab/>
            </w:r>
            <w:r w:rsidR="00524C49" w:rsidRPr="00BC5ECC">
              <w:rPr>
                <w:rStyle w:val="Hipersaitas"/>
                <w:rFonts w:ascii="Times New Roman" w:hAnsi="Times New Roman" w:cs="Times New Roman"/>
                <w:b/>
                <w:noProof/>
              </w:rPr>
              <w:t>Apsikeitimo sandorių reikšmė ir bruožai</w:t>
            </w:r>
            <w:r w:rsidR="00524C49">
              <w:rPr>
                <w:noProof/>
                <w:webHidden/>
              </w:rPr>
              <w:tab/>
            </w:r>
            <w:r w:rsidR="00524C49">
              <w:rPr>
                <w:noProof/>
                <w:webHidden/>
              </w:rPr>
              <w:fldChar w:fldCharType="begin"/>
            </w:r>
            <w:r w:rsidR="00524C49">
              <w:rPr>
                <w:noProof/>
                <w:webHidden/>
              </w:rPr>
              <w:instrText xml:space="preserve"> PAGEREF _Toc280546444 \h </w:instrText>
            </w:r>
            <w:r w:rsidR="00524C49">
              <w:rPr>
                <w:noProof/>
                <w:webHidden/>
              </w:rPr>
            </w:r>
            <w:r w:rsidR="00524C49">
              <w:rPr>
                <w:noProof/>
                <w:webHidden/>
              </w:rPr>
              <w:fldChar w:fldCharType="separate"/>
            </w:r>
            <w:r w:rsidR="000C7E01">
              <w:rPr>
                <w:noProof/>
                <w:webHidden/>
              </w:rPr>
              <w:t>12</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45" w:history="1">
            <w:r w:rsidR="00524C49" w:rsidRPr="00BC5ECC">
              <w:rPr>
                <w:rStyle w:val="Hipersaitas"/>
                <w:rFonts w:ascii="Times New Roman" w:hAnsi="Times New Roman" w:cs="Times New Roman"/>
                <w:b/>
                <w:noProof/>
              </w:rPr>
              <w:t>1.3.1</w:t>
            </w:r>
            <w:r w:rsidR="00524C49">
              <w:rPr>
                <w:noProof/>
                <w:lang w:eastAsia="zh-CN"/>
              </w:rPr>
              <w:tab/>
            </w:r>
            <w:r w:rsidR="00524C49" w:rsidRPr="00BC5ECC">
              <w:rPr>
                <w:rStyle w:val="Hipersaitas"/>
                <w:rFonts w:ascii="Times New Roman" w:hAnsi="Times New Roman" w:cs="Times New Roman"/>
                <w:b/>
                <w:noProof/>
              </w:rPr>
              <w:t>Palūkanų normų apsikeitimo sandorių samprata</w:t>
            </w:r>
            <w:r w:rsidR="00524C49">
              <w:rPr>
                <w:noProof/>
                <w:webHidden/>
              </w:rPr>
              <w:tab/>
            </w:r>
            <w:r w:rsidR="00524C49">
              <w:rPr>
                <w:noProof/>
                <w:webHidden/>
              </w:rPr>
              <w:fldChar w:fldCharType="begin"/>
            </w:r>
            <w:r w:rsidR="00524C49">
              <w:rPr>
                <w:noProof/>
                <w:webHidden/>
              </w:rPr>
              <w:instrText xml:space="preserve"> PAGEREF _Toc280546445 \h </w:instrText>
            </w:r>
            <w:r w:rsidR="00524C49">
              <w:rPr>
                <w:noProof/>
                <w:webHidden/>
              </w:rPr>
            </w:r>
            <w:r w:rsidR="00524C49">
              <w:rPr>
                <w:noProof/>
                <w:webHidden/>
              </w:rPr>
              <w:fldChar w:fldCharType="separate"/>
            </w:r>
            <w:r w:rsidR="000C7E01">
              <w:rPr>
                <w:noProof/>
                <w:webHidden/>
              </w:rPr>
              <w:t>13</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46" w:history="1">
            <w:r w:rsidR="00524C49" w:rsidRPr="00BC5ECC">
              <w:rPr>
                <w:rStyle w:val="Hipersaitas"/>
                <w:rFonts w:ascii="Times New Roman" w:hAnsi="Times New Roman" w:cs="Times New Roman"/>
                <w:b/>
                <w:noProof/>
              </w:rPr>
              <w:t>1.3.2</w:t>
            </w:r>
            <w:r w:rsidR="00524C49">
              <w:rPr>
                <w:noProof/>
                <w:lang w:eastAsia="zh-CN"/>
              </w:rPr>
              <w:tab/>
            </w:r>
            <w:r w:rsidR="00524C49" w:rsidRPr="00BC5ECC">
              <w:rPr>
                <w:rStyle w:val="Hipersaitas"/>
                <w:rFonts w:ascii="Times New Roman" w:hAnsi="Times New Roman" w:cs="Times New Roman"/>
                <w:b/>
                <w:noProof/>
              </w:rPr>
              <w:t>Kredito įsipareigojimų nevykdymo apsikeitimo sandoriai</w:t>
            </w:r>
            <w:r w:rsidR="00524C49">
              <w:rPr>
                <w:noProof/>
                <w:webHidden/>
              </w:rPr>
              <w:tab/>
            </w:r>
            <w:r w:rsidR="00524C49">
              <w:rPr>
                <w:noProof/>
                <w:webHidden/>
              </w:rPr>
              <w:fldChar w:fldCharType="begin"/>
            </w:r>
            <w:r w:rsidR="00524C49">
              <w:rPr>
                <w:noProof/>
                <w:webHidden/>
              </w:rPr>
              <w:instrText xml:space="preserve"> PAGEREF _Toc280546446 \h </w:instrText>
            </w:r>
            <w:r w:rsidR="00524C49">
              <w:rPr>
                <w:noProof/>
                <w:webHidden/>
              </w:rPr>
            </w:r>
            <w:r w:rsidR="00524C49">
              <w:rPr>
                <w:noProof/>
                <w:webHidden/>
              </w:rPr>
              <w:fldChar w:fldCharType="separate"/>
            </w:r>
            <w:r w:rsidR="000C7E01">
              <w:rPr>
                <w:noProof/>
                <w:webHidden/>
              </w:rPr>
              <w:t>14</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47" w:history="1">
            <w:r w:rsidR="00524C49" w:rsidRPr="00BC5ECC">
              <w:rPr>
                <w:rStyle w:val="Hipersaitas"/>
                <w:rFonts w:ascii="Times New Roman" w:hAnsi="Times New Roman" w:cs="Times New Roman"/>
                <w:b/>
                <w:noProof/>
              </w:rPr>
              <w:t>1.3.3</w:t>
            </w:r>
            <w:r w:rsidR="00524C49">
              <w:rPr>
                <w:noProof/>
                <w:lang w:eastAsia="zh-CN"/>
              </w:rPr>
              <w:tab/>
            </w:r>
            <w:r w:rsidR="00524C49" w:rsidRPr="00BC5ECC">
              <w:rPr>
                <w:rStyle w:val="Hipersaitas"/>
                <w:rFonts w:ascii="Times New Roman" w:hAnsi="Times New Roman" w:cs="Times New Roman"/>
                <w:b/>
                <w:noProof/>
              </w:rPr>
              <w:t>Užsienio valiutos apsikeitimo sandorių samprata</w:t>
            </w:r>
            <w:r w:rsidR="00524C49">
              <w:rPr>
                <w:noProof/>
                <w:webHidden/>
              </w:rPr>
              <w:tab/>
            </w:r>
            <w:r w:rsidR="00524C49">
              <w:rPr>
                <w:noProof/>
                <w:webHidden/>
              </w:rPr>
              <w:fldChar w:fldCharType="begin"/>
            </w:r>
            <w:r w:rsidR="00524C49">
              <w:rPr>
                <w:noProof/>
                <w:webHidden/>
              </w:rPr>
              <w:instrText xml:space="preserve"> PAGEREF _Toc280546447 \h </w:instrText>
            </w:r>
            <w:r w:rsidR="00524C49">
              <w:rPr>
                <w:noProof/>
                <w:webHidden/>
              </w:rPr>
            </w:r>
            <w:r w:rsidR="00524C49">
              <w:rPr>
                <w:noProof/>
                <w:webHidden/>
              </w:rPr>
              <w:fldChar w:fldCharType="separate"/>
            </w:r>
            <w:r w:rsidR="000C7E01">
              <w:rPr>
                <w:noProof/>
                <w:webHidden/>
              </w:rPr>
              <w:t>17</w:t>
            </w:r>
            <w:r w:rsidR="00524C49">
              <w:rPr>
                <w:noProof/>
                <w:webHidden/>
              </w:rPr>
              <w:fldChar w:fldCharType="end"/>
            </w:r>
          </w:hyperlink>
        </w:p>
        <w:p w:rsidR="00524C49" w:rsidRDefault="00E05E27">
          <w:pPr>
            <w:pStyle w:val="Turinys2"/>
            <w:tabs>
              <w:tab w:val="left" w:pos="880"/>
              <w:tab w:val="right" w:leader="dot" w:pos="9344"/>
            </w:tabs>
            <w:rPr>
              <w:noProof/>
              <w:lang w:eastAsia="zh-CN"/>
            </w:rPr>
          </w:pPr>
          <w:hyperlink w:anchor="_Toc280546448" w:history="1">
            <w:r w:rsidR="00524C49" w:rsidRPr="00BC5ECC">
              <w:rPr>
                <w:rStyle w:val="Hipersaitas"/>
                <w:rFonts w:ascii="Times New Roman" w:hAnsi="Times New Roman" w:cs="Times New Roman"/>
                <w:b/>
                <w:noProof/>
              </w:rPr>
              <w:t>1.4</w:t>
            </w:r>
            <w:r w:rsidR="00524C49">
              <w:rPr>
                <w:noProof/>
                <w:lang w:eastAsia="zh-CN"/>
              </w:rPr>
              <w:tab/>
            </w:r>
            <w:r w:rsidR="00524C49" w:rsidRPr="00BC5ECC">
              <w:rPr>
                <w:rStyle w:val="Hipersaitas"/>
                <w:rFonts w:ascii="Times New Roman" w:hAnsi="Times New Roman" w:cs="Times New Roman"/>
                <w:b/>
                <w:noProof/>
              </w:rPr>
              <w:t>Biržoje ir už jos ribų sudaromų sandorių mokumo rizikos valdymo skirtumai</w:t>
            </w:r>
            <w:r w:rsidR="00524C49">
              <w:rPr>
                <w:noProof/>
                <w:webHidden/>
              </w:rPr>
              <w:tab/>
            </w:r>
            <w:r w:rsidR="00524C49">
              <w:rPr>
                <w:noProof/>
                <w:webHidden/>
              </w:rPr>
              <w:fldChar w:fldCharType="begin"/>
            </w:r>
            <w:r w:rsidR="00524C49">
              <w:rPr>
                <w:noProof/>
                <w:webHidden/>
              </w:rPr>
              <w:instrText xml:space="preserve"> PAGEREF _Toc280546448 \h </w:instrText>
            </w:r>
            <w:r w:rsidR="00524C49">
              <w:rPr>
                <w:noProof/>
                <w:webHidden/>
              </w:rPr>
            </w:r>
            <w:r w:rsidR="00524C49">
              <w:rPr>
                <w:noProof/>
                <w:webHidden/>
              </w:rPr>
              <w:fldChar w:fldCharType="separate"/>
            </w:r>
            <w:r w:rsidR="000C7E01">
              <w:rPr>
                <w:noProof/>
                <w:webHidden/>
              </w:rPr>
              <w:t>18</w:t>
            </w:r>
            <w:r w:rsidR="00524C49">
              <w:rPr>
                <w:noProof/>
                <w:webHidden/>
              </w:rPr>
              <w:fldChar w:fldCharType="end"/>
            </w:r>
          </w:hyperlink>
        </w:p>
        <w:p w:rsidR="00524C49" w:rsidRDefault="00E05E27">
          <w:pPr>
            <w:pStyle w:val="Turinys1"/>
            <w:tabs>
              <w:tab w:val="left" w:pos="440"/>
              <w:tab w:val="right" w:leader="dot" w:pos="9344"/>
            </w:tabs>
            <w:rPr>
              <w:noProof/>
              <w:lang w:eastAsia="zh-CN"/>
            </w:rPr>
          </w:pPr>
          <w:hyperlink w:anchor="_Toc280546449" w:history="1">
            <w:r w:rsidR="00524C49" w:rsidRPr="00BC5ECC">
              <w:rPr>
                <w:rStyle w:val="Hipersaitas"/>
                <w:rFonts w:ascii="Times New Roman" w:hAnsi="Times New Roman" w:cs="Times New Roman"/>
                <w:b/>
                <w:smallCaps/>
                <w:noProof/>
              </w:rPr>
              <w:t>2.</w:t>
            </w:r>
            <w:r w:rsidR="00524C49">
              <w:rPr>
                <w:noProof/>
                <w:lang w:eastAsia="zh-CN"/>
              </w:rPr>
              <w:tab/>
            </w:r>
            <w:r w:rsidR="00524C49" w:rsidRPr="00BC5ECC">
              <w:rPr>
                <w:rStyle w:val="Hipersaitas"/>
                <w:rFonts w:ascii="Times New Roman" w:hAnsi="Times New Roman" w:cs="Times New Roman"/>
                <w:b/>
                <w:smallCaps/>
                <w:noProof/>
              </w:rPr>
              <w:t>užskaitos sampratos problematika</w:t>
            </w:r>
            <w:r w:rsidR="00524C49">
              <w:rPr>
                <w:noProof/>
                <w:webHidden/>
              </w:rPr>
              <w:tab/>
            </w:r>
            <w:r w:rsidR="00524C49">
              <w:rPr>
                <w:noProof/>
                <w:webHidden/>
              </w:rPr>
              <w:fldChar w:fldCharType="begin"/>
            </w:r>
            <w:r w:rsidR="00524C49">
              <w:rPr>
                <w:noProof/>
                <w:webHidden/>
              </w:rPr>
              <w:instrText xml:space="preserve"> PAGEREF _Toc280546449 \h </w:instrText>
            </w:r>
            <w:r w:rsidR="00524C49">
              <w:rPr>
                <w:noProof/>
                <w:webHidden/>
              </w:rPr>
            </w:r>
            <w:r w:rsidR="00524C49">
              <w:rPr>
                <w:noProof/>
                <w:webHidden/>
              </w:rPr>
              <w:fldChar w:fldCharType="separate"/>
            </w:r>
            <w:r w:rsidR="000C7E01">
              <w:rPr>
                <w:noProof/>
                <w:webHidden/>
              </w:rPr>
              <w:t>21</w:t>
            </w:r>
            <w:r w:rsidR="00524C49">
              <w:rPr>
                <w:noProof/>
                <w:webHidden/>
              </w:rPr>
              <w:fldChar w:fldCharType="end"/>
            </w:r>
          </w:hyperlink>
        </w:p>
        <w:p w:rsidR="00524C49" w:rsidRDefault="00E05E27">
          <w:pPr>
            <w:pStyle w:val="Turinys2"/>
            <w:tabs>
              <w:tab w:val="left" w:pos="880"/>
              <w:tab w:val="right" w:leader="dot" w:pos="9344"/>
            </w:tabs>
            <w:rPr>
              <w:noProof/>
              <w:lang w:eastAsia="zh-CN"/>
            </w:rPr>
          </w:pPr>
          <w:hyperlink w:anchor="_Toc280546450" w:history="1">
            <w:r w:rsidR="00524C49" w:rsidRPr="00BC5ECC">
              <w:rPr>
                <w:rStyle w:val="Hipersaitas"/>
                <w:rFonts w:ascii="Times New Roman" w:hAnsi="Times New Roman" w:cs="Times New Roman"/>
                <w:b/>
                <w:noProof/>
              </w:rPr>
              <w:t>2.1</w:t>
            </w:r>
            <w:r w:rsidR="00524C49">
              <w:rPr>
                <w:noProof/>
                <w:lang w:eastAsia="zh-CN"/>
              </w:rPr>
              <w:tab/>
            </w:r>
            <w:r w:rsidR="00524C49" w:rsidRPr="00BC5ECC">
              <w:rPr>
                <w:rStyle w:val="Hipersaitas"/>
                <w:rFonts w:ascii="Times New Roman" w:hAnsi="Times New Roman" w:cs="Times New Roman"/>
                <w:b/>
                <w:noProof/>
              </w:rPr>
              <w:t>Įskaitymo draudimas bankroto kontekste</w:t>
            </w:r>
            <w:r w:rsidR="00524C49">
              <w:rPr>
                <w:noProof/>
                <w:webHidden/>
              </w:rPr>
              <w:tab/>
            </w:r>
            <w:r w:rsidR="00524C49">
              <w:rPr>
                <w:noProof/>
                <w:webHidden/>
              </w:rPr>
              <w:fldChar w:fldCharType="begin"/>
            </w:r>
            <w:r w:rsidR="00524C49">
              <w:rPr>
                <w:noProof/>
                <w:webHidden/>
              </w:rPr>
              <w:instrText xml:space="preserve"> PAGEREF _Toc280546450 \h </w:instrText>
            </w:r>
            <w:r w:rsidR="00524C49">
              <w:rPr>
                <w:noProof/>
                <w:webHidden/>
              </w:rPr>
            </w:r>
            <w:r w:rsidR="00524C49">
              <w:rPr>
                <w:noProof/>
                <w:webHidden/>
              </w:rPr>
              <w:fldChar w:fldCharType="separate"/>
            </w:r>
            <w:r w:rsidR="000C7E01">
              <w:rPr>
                <w:noProof/>
                <w:webHidden/>
              </w:rPr>
              <w:t>21</w:t>
            </w:r>
            <w:r w:rsidR="00524C49">
              <w:rPr>
                <w:noProof/>
                <w:webHidden/>
              </w:rPr>
              <w:fldChar w:fldCharType="end"/>
            </w:r>
          </w:hyperlink>
        </w:p>
        <w:p w:rsidR="00524C49" w:rsidRDefault="00E05E27">
          <w:pPr>
            <w:pStyle w:val="Turinys2"/>
            <w:tabs>
              <w:tab w:val="left" w:pos="880"/>
              <w:tab w:val="right" w:leader="dot" w:pos="9344"/>
            </w:tabs>
            <w:rPr>
              <w:noProof/>
              <w:lang w:eastAsia="zh-CN"/>
            </w:rPr>
          </w:pPr>
          <w:hyperlink w:anchor="_Toc280546451" w:history="1">
            <w:r w:rsidR="00524C49" w:rsidRPr="00BC5ECC">
              <w:rPr>
                <w:rStyle w:val="Hipersaitas"/>
                <w:rFonts w:ascii="Times New Roman" w:hAnsi="Times New Roman" w:cs="Times New Roman"/>
                <w:b/>
                <w:noProof/>
              </w:rPr>
              <w:t>2.2</w:t>
            </w:r>
            <w:r w:rsidR="00524C49">
              <w:rPr>
                <w:noProof/>
                <w:lang w:eastAsia="zh-CN"/>
              </w:rPr>
              <w:tab/>
            </w:r>
            <w:r w:rsidR="00524C49" w:rsidRPr="00BC5ECC">
              <w:rPr>
                <w:rStyle w:val="Hipersaitas"/>
                <w:rFonts w:ascii="Times New Roman" w:hAnsi="Times New Roman" w:cs="Times New Roman"/>
                <w:b/>
                <w:noProof/>
              </w:rPr>
              <w:t>Užskaitos sąvoka</w:t>
            </w:r>
            <w:r w:rsidR="00524C49">
              <w:rPr>
                <w:noProof/>
                <w:webHidden/>
              </w:rPr>
              <w:tab/>
            </w:r>
            <w:r w:rsidR="00524C49">
              <w:rPr>
                <w:noProof/>
                <w:webHidden/>
              </w:rPr>
              <w:fldChar w:fldCharType="begin"/>
            </w:r>
            <w:r w:rsidR="00524C49">
              <w:rPr>
                <w:noProof/>
                <w:webHidden/>
              </w:rPr>
              <w:instrText xml:space="preserve"> PAGEREF _Toc280546451 \h </w:instrText>
            </w:r>
            <w:r w:rsidR="00524C49">
              <w:rPr>
                <w:noProof/>
                <w:webHidden/>
              </w:rPr>
            </w:r>
            <w:r w:rsidR="00524C49">
              <w:rPr>
                <w:noProof/>
                <w:webHidden/>
              </w:rPr>
              <w:fldChar w:fldCharType="separate"/>
            </w:r>
            <w:r w:rsidR="000C7E01">
              <w:rPr>
                <w:noProof/>
                <w:webHidden/>
              </w:rPr>
              <w:t>24</w:t>
            </w:r>
            <w:r w:rsidR="00524C49">
              <w:rPr>
                <w:noProof/>
                <w:webHidden/>
              </w:rPr>
              <w:fldChar w:fldCharType="end"/>
            </w:r>
          </w:hyperlink>
        </w:p>
        <w:p w:rsidR="00524C49" w:rsidRDefault="00E05E27">
          <w:pPr>
            <w:pStyle w:val="Turinys2"/>
            <w:tabs>
              <w:tab w:val="left" w:pos="880"/>
              <w:tab w:val="right" w:leader="dot" w:pos="9344"/>
            </w:tabs>
            <w:rPr>
              <w:noProof/>
              <w:lang w:eastAsia="zh-CN"/>
            </w:rPr>
          </w:pPr>
          <w:hyperlink w:anchor="_Toc280546452" w:history="1">
            <w:r w:rsidR="00524C49" w:rsidRPr="00BC5ECC">
              <w:rPr>
                <w:rStyle w:val="Hipersaitas"/>
                <w:rFonts w:ascii="Times New Roman" w:hAnsi="Times New Roman" w:cs="Times New Roman"/>
                <w:b/>
                <w:noProof/>
              </w:rPr>
              <w:t>2.3</w:t>
            </w:r>
            <w:r w:rsidR="00524C49">
              <w:rPr>
                <w:noProof/>
                <w:lang w:eastAsia="zh-CN"/>
              </w:rPr>
              <w:tab/>
            </w:r>
            <w:r w:rsidR="00524C49" w:rsidRPr="00BC5ECC">
              <w:rPr>
                <w:rStyle w:val="Hipersaitas"/>
                <w:rFonts w:ascii="Times New Roman" w:hAnsi="Times New Roman" w:cs="Times New Roman"/>
                <w:b/>
                <w:noProof/>
              </w:rPr>
              <w:t>Užskaitos reikšmė ir rūšys</w:t>
            </w:r>
            <w:r w:rsidR="00524C49">
              <w:rPr>
                <w:noProof/>
                <w:webHidden/>
              </w:rPr>
              <w:tab/>
            </w:r>
            <w:r w:rsidR="00524C49">
              <w:rPr>
                <w:noProof/>
                <w:webHidden/>
              </w:rPr>
              <w:fldChar w:fldCharType="begin"/>
            </w:r>
            <w:r w:rsidR="00524C49">
              <w:rPr>
                <w:noProof/>
                <w:webHidden/>
              </w:rPr>
              <w:instrText xml:space="preserve"> PAGEREF _Toc280546452 \h </w:instrText>
            </w:r>
            <w:r w:rsidR="00524C49">
              <w:rPr>
                <w:noProof/>
                <w:webHidden/>
              </w:rPr>
            </w:r>
            <w:r w:rsidR="00524C49">
              <w:rPr>
                <w:noProof/>
                <w:webHidden/>
              </w:rPr>
              <w:fldChar w:fldCharType="separate"/>
            </w:r>
            <w:r w:rsidR="000C7E01">
              <w:rPr>
                <w:noProof/>
                <w:webHidden/>
              </w:rPr>
              <w:t>24</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53" w:history="1">
            <w:r w:rsidR="00524C49" w:rsidRPr="00BC5ECC">
              <w:rPr>
                <w:rStyle w:val="Hipersaitas"/>
                <w:rFonts w:ascii="Times New Roman" w:hAnsi="Times New Roman" w:cs="Times New Roman"/>
                <w:b/>
                <w:noProof/>
              </w:rPr>
              <w:t>2.3.1</w:t>
            </w:r>
            <w:r w:rsidR="00524C49">
              <w:rPr>
                <w:noProof/>
                <w:lang w:eastAsia="zh-CN"/>
              </w:rPr>
              <w:tab/>
            </w:r>
            <w:r w:rsidR="00524C49" w:rsidRPr="00BC5ECC">
              <w:rPr>
                <w:rStyle w:val="Hipersaitas"/>
                <w:rFonts w:ascii="Times New Roman" w:hAnsi="Times New Roman" w:cs="Times New Roman"/>
                <w:b/>
                <w:noProof/>
              </w:rPr>
              <w:t>Mokėjimo užskaitos samprata</w:t>
            </w:r>
            <w:r w:rsidR="00524C49">
              <w:rPr>
                <w:noProof/>
                <w:webHidden/>
              </w:rPr>
              <w:tab/>
            </w:r>
            <w:r w:rsidR="00524C49">
              <w:rPr>
                <w:noProof/>
                <w:webHidden/>
              </w:rPr>
              <w:fldChar w:fldCharType="begin"/>
            </w:r>
            <w:r w:rsidR="00524C49">
              <w:rPr>
                <w:noProof/>
                <w:webHidden/>
              </w:rPr>
              <w:instrText xml:space="preserve"> PAGEREF _Toc280546453 \h </w:instrText>
            </w:r>
            <w:r w:rsidR="00524C49">
              <w:rPr>
                <w:noProof/>
                <w:webHidden/>
              </w:rPr>
            </w:r>
            <w:r w:rsidR="00524C49">
              <w:rPr>
                <w:noProof/>
                <w:webHidden/>
              </w:rPr>
              <w:fldChar w:fldCharType="separate"/>
            </w:r>
            <w:r w:rsidR="000C7E01">
              <w:rPr>
                <w:noProof/>
                <w:webHidden/>
              </w:rPr>
              <w:t>25</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54" w:history="1">
            <w:r w:rsidR="00524C49" w:rsidRPr="00BC5ECC">
              <w:rPr>
                <w:rStyle w:val="Hipersaitas"/>
                <w:rFonts w:ascii="Times New Roman" w:hAnsi="Times New Roman" w:cs="Times New Roman"/>
                <w:b/>
                <w:noProof/>
              </w:rPr>
              <w:t>2.3.2</w:t>
            </w:r>
            <w:r w:rsidR="00524C49">
              <w:rPr>
                <w:noProof/>
                <w:lang w:eastAsia="zh-CN"/>
              </w:rPr>
              <w:tab/>
            </w:r>
            <w:r w:rsidR="00524C49" w:rsidRPr="00BC5ECC">
              <w:rPr>
                <w:rStyle w:val="Hipersaitas"/>
                <w:rFonts w:ascii="Times New Roman" w:hAnsi="Times New Roman" w:cs="Times New Roman"/>
                <w:b/>
                <w:noProof/>
              </w:rPr>
              <w:t>Baigiamosios užskaitos samprata</w:t>
            </w:r>
            <w:r w:rsidR="00524C49">
              <w:rPr>
                <w:noProof/>
                <w:webHidden/>
              </w:rPr>
              <w:tab/>
            </w:r>
            <w:r w:rsidR="00524C49">
              <w:rPr>
                <w:noProof/>
                <w:webHidden/>
              </w:rPr>
              <w:fldChar w:fldCharType="begin"/>
            </w:r>
            <w:r w:rsidR="00524C49">
              <w:rPr>
                <w:noProof/>
                <w:webHidden/>
              </w:rPr>
              <w:instrText xml:space="preserve"> PAGEREF _Toc280546454 \h </w:instrText>
            </w:r>
            <w:r w:rsidR="00524C49">
              <w:rPr>
                <w:noProof/>
                <w:webHidden/>
              </w:rPr>
            </w:r>
            <w:r w:rsidR="00524C49">
              <w:rPr>
                <w:noProof/>
                <w:webHidden/>
              </w:rPr>
              <w:fldChar w:fldCharType="separate"/>
            </w:r>
            <w:r w:rsidR="000C7E01">
              <w:rPr>
                <w:noProof/>
                <w:webHidden/>
              </w:rPr>
              <w:t>26</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55" w:history="1">
            <w:r w:rsidR="00524C49" w:rsidRPr="00BC5ECC">
              <w:rPr>
                <w:rStyle w:val="Hipersaitas"/>
                <w:rFonts w:ascii="Times New Roman" w:hAnsi="Times New Roman" w:cs="Times New Roman"/>
                <w:b/>
                <w:noProof/>
              </w:rPr>
              <w:t>2.3.3</w:t>
            </w:r>
            <w:r w:rsidR="00524C49">
              <w:rPr>
                <w:noProof/>
                <w:lang w:eastAsia="zh-CN"/>
              </w:rPr>
              <w:tab/>
            </w:r>
            <w:r w:rsidR="00524C49" w:rsidRPr="00BC5ECC">
              <w:rPr>
                <w:rStyle w:val="Hipersaitas"/>
                <w:rFonts w:ascii="Times New Roman" w:hAnsi="Times New Roman" w:cs="Times New Roman"/>
                <w:b/>
                <w:noProof/>
              </w:rPr>
              <w:t>Užskaita novacijos būdu</w:t>
            </w:r>
            <w:r w:rsidR="00524C49">
              <w:rPr>
                <w:noProof/>
                <w:webHidden/>
              </w:rPr>
              <w:tab/>
            </w:r>
            <w:r w:rsidR="00524C49">
              <w:rPr>
                <w:noProof/>
                <w:webHidden/>
              </w:rPr>
              <w:fldChar w:fldCharType="begin"/>
            </w:r>
            <w:r w:rsidR="00524C49">
              <w:rPr>
                <w:noProof/>
                <w:webHidden/>
              </w:rPr>
              <w:instrText xml:space="preserve"> PAGEREF _Toc280546455 \h </w:instrText>
            </w:r>
            <w:r w:rsidR="00524C49">
              <w:rPr>
                <w:noProof/>
                <w:webHidden/>
              </w:rPr>
            </w:r>
            <w:r w:rsidR="00524C49">
              <w:rPr>
                <w:noProof/>
                <w:webHidden/>
              </w:rPr>
              <w:fldChar w:fldCharType="separate"/>
            </w:r>
            <w:r w:rsidR="000C7E01">
              <w:rPr>
                <w:noProof/>
                <w:webHidden/>
              </w:rPr>
              <w:t>28</w:t>
            </w:r>
            <w:r w:rsidR="00524C49">
              <w:rPr>
                <w:noProof/>
                <w:webHidden/>
              </w:rPr>
              <w:fldChar w:fldCharType="end"/>
            </w:r>
          </w:hyperlink>
        </w:p>
        <w:p w:rsidR="00524C49" w:rsidRDefault="00E05E27">
          <w:pPr>
            <w:pStyle w:val="Turinys2"/>
            <w:tabs>
              <w:tab w:val="left" w:pos="880"/>
              <w:tab w:val="right" w:leader="dot" w:pos="9344"/>
            </w:tabs>
            <w:rPr>
              <w:noProof/>
              <w:lang w:eastAsia="zh-CN"/>
            </w:rPr>
          </w:pPr>
          <w:hyperlink w:anchor="_Toc280546456" w:history="1">
            <w:r w:rsidR="00524C49" w:rsidRPr="00BC5ECC">
              <w:rPr>
                <w:rStyle w:val="Hipersaitas"/>
                <w:rFonts w:ascii="Times New Roman" w:hAnsi="Times New Roman" w:cs="Times New Roman"/>
                <w:b/>
                <w:noProof/>
              </w:rPr>
              <w:t>2.4</w:t>
            </w:r>
            <w:r w:rsidR="00524C49">
              <w:rPr>
                <w:noProof/>
                <w:lang w:eastAsia="zh-CN"/>
              </w:rPr>
              <w:tab/>
            </w:r>
            <w:r w:rsidR="00524C49" w:rsidRPr="00BC5ECC">
              <w:rPr>
                <w:rStyle w:val="Hipersaitas"/>
                <w:rFonts w:ascii="Times New Roman" w:hAnsi="Times New Roman" w:cs="Times New Roman"/>
                <w:b/>
                <w:noProof/>
              </w:rPr>
              <w:t>Užskaitos privalumai ir trūkumai</w:t>
            </w:r>
            <w:r w:rsidR="00524C49">
              <w:rPr>
                <w:noProof/>
                <w:webHidden/>
              </w:rPr>
              <w:tab/>
            </w:r>
            <w:r w:rsidR="00524C49">
              <w:rPr>
                <w:noProof/>
                <w:webHidden/>
              </w:rPr>
              <w:fldChar w:fldCharType="begin"/>
            </w:r>
            <w:r w:rsidR="00524C49">
              <w:rPr>
                <w:noProof/>
                <w:webHidden/>
              </w:rPr>
              <w:instrText xml:space="preserve"> PAGEREF _Toc280546456 \h </w:instrText>
            </w:r>
            <w:r w:rsidR="00524C49">
              <w:rPr>
                <w:noProof/>
                <w:webHidden/>
              </w:rPr>
            </w:r>
            <w:r w:rsidR="00524C49">
              <w:rPr>
                <w:noProof/>
                <w:webHidden/>
              </w:rPr>
              <w:fldChar w:fldCharType="separate"/>
            </w:r>
            <w:r w:rsidR="000C7E01">
              <w:rPr>
                <w:noProof/>
                <w:webHidden/>
              </w:rPr>
              <w:t>28</w:t>
            </w:r>
            <w:r w:rsidR="00524C49">
              <w:rPr>
                <w:noProof/>
                <w:webHidden/>
              </w:rPr>
              <w:fldChar w:fldCharType="end"/>
            </w:r>
          </w:hyperlink>
        </w:p>
        <w:p w:rsidR="00524C49" w:rsidRDefault="00E05E27">
          <w:pPr>
            <w:pStyle w:val="Turinys1"/>
            <w:tabs>
              <w:tab w:val="left" w:pos="440"/>
              <w:tab w:val="right" w:leader="dot" w:pos="9344"/>
            </w:tabs>
            <w:rPr>
              <w:noProof/>
              <w:lang w:eastAsia="zh-CN"/>
            </w:rPr>
          </w:pPr>
          <w:hyperlink w:anchor="_Toc280546457" w:history="1">
            <w:r w:rsidR="00524C49" w:rsidRPr="00BC5ECC">
              <w:rPr>
                <w:rStyle w:val="Hipersaitas"/>
                <w:rFonts w:ascii="Times New Roman" w:hAnsi="Times New Roman" w:cs="Times New Roman"/>
                <w:b/>
                <w:smallCaps/>
                <w:noProof/>
              </w:rPr>
              <w:t>3.</w:t>
            </w:r>
            <w:r w:rsidR="00524C49">
              <w:rPr>
                <w:noProof/>
                <w:lang w:eastAsia="zh-CN"/>
              </w:rPr>
              <w:tab/>
            </w:r>
            <w:r w:rsidR="00524C49" w:rsidRPr="00BC5ECC">
              <w:rPr>
                <w:rStyle w:val="Hipersaitas"/>
                <w:rFonts w:ascii="Times New Roman" w:hAnsi="Times New Roman" w:cs="Times New Roman"/>
                <w:b/>
                <w:smallCaps/>
                <w:noProof/>
              </w:rPr>
              <w:t>ISDA forma</w:t>
            </w:r>
            <w:r w:rsidR="00524C49">
              <w:rPr>
                <w:noProof/>
                <w:webHidden/>
              </w:rPr>
              <w:tab/>
            </w:r>
            <w:r w:rsidR="00524C49">
              <w:rPr>
                <w:noProof/>
                <w:webHidden/>
              </w:rPr>
              <w:fldChar w:fldCharType="begin"/>
            </w:r>
            <w:r w:rsidR="00524C49">
              <w:rPr>
                <w:noProof/>
                <w:webHidden/>
              </w:rPr>
              <w:instrText xml:space="preserve"> PAGEREF _Toc280546457 \h </w:instrText>
            </w:r>
            <w:r w:rsidR="00524C49">
              <w:rPr>
                <w:noProof/>
                <w:webHidden/>
              </w:rPr>
            </w:r>
            <w:r w:rsidR="00524C49">
              <w:rPr>
                <w:noProof/>
                <w:webHidden/>
              </w:rPr>
              <w:fldChar w:fldCharType="separate"/>
            </w:r>
            <w:r w:rsidR="000C7E01">
              <w:rPr>
                <w:noProof/>
                <w:webHidden/>
              </w:rPr>
              <w:t>31</w:t>
            </w:r>
            <w:r w:rsidR="00524C49">
              <w:rPr>
                <w:noProof/>
                <w:webHidden/>
              </w:rPr>
              <w:fldChar w:fldCharType="end"/>
            </w:r>
          </w:hyperlink>
        </w:p>
        <w:p w:rsidR="00524C49" w:rsidRDefault="00E05E27">
          <w:pPr>
            <w:pStyle w:val="Turinys2"/>
            <w:tabs>
              <w:tab w:val="left" w:pos="880"/>
              <w:tab w:val="right" w:leader="dot" w:pos="9344"/>
            </w:tabs>
            <w:rPr>
              <w:noProof/>
              <w:lang w:eastAsia="zh-CN"/>
            </w:rPr>
          </w:pPr>
          <w:hyperlink w:anchor="_Toc280546458" w:history="1">
            <w:r w:rsidR="00524C49" w:rsidRPr="00BC5ECC">
              <w:rPr>
                <w:rStyle w:val="Hipersaitas"/>
                <w:rFonts w:ascii="Times New Roman" w:hAnsi="Times New Roman" w:cs="Times New Roman"/>
                <w:b/>
                <w:noProof/>
              </w:rPr>
              <w:t>3.1</w:t>
            </w:r>
            <w:r w:rsidR="00524C49">
              <w:rPr>
                <w:noProof/>
                <w:lang w:eastAsia="zh-CN"/>
              </w:rPr>
              <w:tab/>
            </w:r>
            <w:r w:rsidR="00524C49" w:rsidRPr="00BC5ECC">
              <w:rPr>
                <w:rStyle w:val="Hipersaitas"/>
                <w:rFonts w:ascii="Times New Roman" w:hAnsi="Times New Roman" w:cs="Times New Roman"/>
                <w:b/>
                <w:noProof/>
              </w:rPr>
              <w:t>ISDA formos sudedamosios dalys</w:t>
            </w:r>
            <w:r w:rsidR="00524C49">
              <w:rPr>
                <w:noProof/>
                <w:webHidden/>
              </w:rPr>
              <w:tab/>
            </w:r>
            <w:r w:rsidR="00524C49">
              <w:rPr>
                <w:noProof/>
                <w:webHidden/>
              </w:rPr>
              <w:fldChar w:fldCharType="begin"/>
            </w:r>
            <w:r w:rsidR="00524C49">
              <w:rPr>
                <w:noProof/>
                <w:webHidden/>
              </w:rPr>
              <w:instrText xml:space="preserve"> PAGEREF _Toc280546458 \h </w:instrText>
            </w:r>
            <w:r w:rsidR="00524C49">
              <w:rPr>
                <w:noProof/>
                <w:webHidden/>
              </w:rPr>
            </w:r>
            <w:r w:rsidR="00524C49">
              <w:rPr>
                <w:noProof/>
                <w:webHidden/>
              </w:rPr>
              <w:fldChar w:fldCharType="separate"/>
            </w:r>
            <w:r w:rsidR="000C7E01">
              <w:rPr>
                <w:noProof/>
                <w:webHidden/>
              </w:rPr>
              <w:t>31</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59" w:history="1">
            <w:r w:rsidR="00524C49" w:rsidRPr="00BC5ECC">
              <w:rPr>
                <w:rStyle w:val="Hipersaitas"/>
                <w:rFonts w:ascii="Times New Roman" w:hAnsi="Times New Roman" w:cs="Times New Roman"/>
                <w:b/>
                <w:noProof/>
              </w:rPr>
              <w:t>3.1.1</w:t>
            </w:r>
            <w:r w:rsidR="00524C49">
              <w:rPr>
                <w:noProof/>
                <w:lang w:eastAsia="zh-CN"/>
              </w:rPr>
              <w:tab/>
            </w:r>
            <w:r w:rsidR="00524C49" w:rsidRPr="00BC5ECC">
              <w:rPr>
                <w:rStyle w:val="Hipersaitas"/>
                <w:rFonts w:ascii="Times New Roman" w:hAnsi="Times New Roman" w:cs="Times New Roman"/>
                <w:b/>
                <w:noProof/>
              </w:rPr>
              <w:t>Pagrindinis susitarimas</w:t>
            </w:r>
            <w:r w:rsidR="00524C49">
              <w:rPr>
                <w:noProof/>
                <w:webHidden/>
              </w:rPr>
              <w:tab/>
            </w:r>
            <w:r w:rsidR="00524C49">
              <w:rPr>
                <w:noProof/>
                <w:webHidden/>
              </w:rPr>
              <w:fldChar w:fldCharType="begin"/>
            </w:r>
            <w:r w:rsidR="00524C49">
              <w:rPr>
                <w:noProof/>
                <w:webHidden/>
              </w:rPr>
              <w:instrText xml:space="preserve"> PAGEREF _Toc280546459 \h </w:instrText>
            </w:r>
            <w:r w:rsidR="00524C49">
              <w:rPr>
                <w:noProof/>
                <w:webHidden/>
              </w:rPr>
            </w:r>
            <w:r w:rsidR="00524C49">
              <w:rPr>
                <w:noProof/>
                <w:webHidden/>
              </w:rPr>
              <w:fldChar w:fldCharType="separate"/>
            </w:r>
            <w:r w:rsidR="000C7E01">
              <w:rPr>
                <w:noProof/>
                <w:webHidden/>
              </w:rPr>
              <w:t>32</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60" w:history="1">
            <w:r w:rsidR="00524C49" w:rsidRPr="00BC5ECC">
              <w:rPr>
                <w:rStyle w:val="Hipersaitas"/>
                <w:rFonts w:ascii="Times New Roman" w:hAnsi="Times New Roman" w:cs="Times New Roman"/>
                <w:b/>
                <w:noProof/>
              </w:rPr>
              <w:t>3.1.2</w:t>
            </w:r>
            <w:r w:rsidR="00524C49">
              <w:rPr>
                <w:noProof/>
                <w:lang w:eastAsia="zh-CN"/>
              </w:rPr>
              <w:tab/>
            </w:r>
            <w:r w:rsidR="00524C49" w:rsidRPr="00BC5ECC">
              <w:rPr>
                <w:rStyle w:val="Hipersaitas"/>
                <w:rFonts w:ascii="Times New Roman" w:hAnsi="Times New Roman" w:cs="Times New Roman"/>
                <w:b/>
                <w:noProof/>
              </w:rPr>
              <w:t>Pavirtinimas</w:t>
            </w:r>
            <w:r w:rsidR="00524C49">
              <w:rPr>
                <w:noProof/>
                <w:webHidden/>
              </w:rPr>
              <w:tab/>
            </w:r>
            <w:r w:rsidR="00524C49">
              <w:rPr>
                <w:noProof/>
                <w:webHidden/>
              </w:rPr>
              <w:fldChar w:fldCharType="begin"/>
            </w:r>
            <w:r w:rsidR="00524C49">
              <w:rPr>
                <w:noProof/>
                <w:webHidden/>
              </w:rPr>
              <w:instrText xml:space="preserve"> PAGEREF _Toc280546460 \h </w:instrText>
            </w:r>
            <w:r w:rsidR="00524C49">
              <w:rPr>
                <w:noProof/>
                <w:webHidden/>
              </w:rPr>
            </w:r>
            <w:r w:rsidR="00524C49">
              <w:rPr>
                <w:noProof/>
                <w:webHidden/>
              </w:rPr>
              <w:fldChar w:fldCharType="separate"/>
            </w:r>
            <w:r w:rsidR="000C7E01">
              <w:rPr>
                <w:noProof/>
                <w:webHidden/>
              </w:rPr>
              <w:t>39</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61" w:history="1">
            <w:r w:rsidR="00524C49" w:rsidRPr="00BC5ECC">
              <w:rPr>
                <w:rStyle w:val="Hipersaitas"/>
                <w:rFonts w:ascii="Times New Roman" w:eastAsia="Times New Roman" w:hAnsi="Times New Roman" w:cs="Times New Roman"/>
                <w:b/>
                <w:noProof/>
              </w:rPr>
              <w:t>3.1.3</w:t>
            </w:r>
            <w:r w:rsidR="00524C49">
              <w:rPr>
                <w:noProof/>
                <w:lang w:eastAsia="zh-CN"/>
              </w:rPr>
              <w:tab/>
            </w:r>
            <w:r w:rsidR="00524C49" w:rsidRPr="00BC5ECC">
              <w:rPr>
                <w:rStyle w:val="Hipersaitas"/>
                <w:rFonts w:ascii="Times New Roman" w:hAnsi="Times New Roman" w:cs="Times New Roman"/>
                <w:b/>
                <w:noProof/>
              </w:rPr>
              <w:t>Prievolių įvykdymo užtikrinimas</w:t>
            </w:r>
            <w:r w:rsidR="00524C49">
              <w:rPr>
                <w:noProof/>
                <w:webHidden/>
              </w:rPr>
              <w:tab/>
            </w:r>
            <w:r w:rsidR="00524C49">
              <w:rPr>
                <w:noProof/>
                <w:webHidden/>
              </w:rPr>
              <w:fldChar w:fldCharType="begin"/>
            </w:r>
            <w:r w:rsidR="00524C49">
              <w:rPr>
                <w:noProof/>
                <w:webHidden/>
              </w:rPr>
              <w:instrText xml:space="preserve"> PAGEREF _Toc280546461 \h </w:instrText>
            </w:r>
            <w:r w:rsidR="00524C49">
              <w:rPr>
                <w:noProof/>
                <w:webHidden/>
              </w:rPr>
            </w:r>
            <w:r w:rsidR="00524C49">
              <w:rPr>
                <w:noProof/>
                <w:webHidden/>
              </w:rPr>
              <w:fldChar w:fldCharType="separate"/>
            </w:r>
            <w:r w:rsidR="000C7E01">
              <w:rPr>
                <w:noProof/>
                <w:webHidden/>
              </w:rPr>
              <w:t>40</w:t>
            </w:r>
            <w:r w:rsidR="00524C49">
              <w:rPr>
                <w:noProof/>
                <w:webHidden/>
              </w:rPr>
              <w:fldChar w:fldCharType="end"/>
            </w:r>
          </w:hyperlink>
        </w:p>
        <w:p w:rsidR="00524C49" w:rsidRDefault="00E05E27">
          <w:pPr>
            <w:pStyle w:val="Turinys1"/>
            <w:tabs>
              <w:tab w:val="left" w:pos="440"/>
              <w:tab w:val="right" w:leader="dot" w:pos="9344"/>
            </w:tabs>
            <w:rPr>
              <w:noProof/>
              <w:lang w:eastAsia="zh-CN"/>
            </w:rPr>
          </w:pPr>
          <w:hyperlink w:anchor="_Toc280546462" w:history="1">
            <w:r w:rsidR="00524C49" w:rsidRPr="00BC5ECC">
              <w:rPr>
                <w:rStyle w:val="Hipersaitas"/>
                <w:rFonts w:ascii="Times New Roman" w:hAnsi="Times New Roman" w:cs="Times New Roman"/>
                <w:b/>
                <w:smallCaps/>
                <w:noProof/>
              </w:rPr>
              <w:t>4.</w:t>
            </w:r>
            <w:r w:rsidR="00524C49">
              <w:rPr>
                <w:noProof/>
                <w:lang w:eastAsia="zh-CN"/>
              </w:rPr>
              <w:tab/>
            </w:r>
            <w:r w:rsidR="00524C49" w:rsidRPr="00BC5ECC">
              <w:rPr>
                <w:rStyle w:val="Hipersaitas"/>
                <w:rFonts w:ascii="Times New Roman" w:hAnsi="Times New Roman" w:cs="Times New Roman"/>
                <w:b/>
                <w:smallCaps/>
                <w:noProof/>
              </w:rPr>
              <w:t>užskaitos sąlygų galiojimas bankroto procese</w:t>
            </w:r>
            <w:r w:rsidR="00524C49">
              <w:rPr>
                <w:noProof/>
                <w:webHidden/>
              </w:rPr>
              <w:tab/>
            </w:r>
            <w:r w:rsidR="00524C49">
              <w:rPr>
                <w:noProof/>
                <w:webHidden/>
              </w:rPr>
              <w:fldChar w:fldCharType="begin"/>
            </w:r>
            <w:r w:rsidR="00524C49">
              <w:rPr>
                <w:noProof/>
                <w:webHidden/>
              </w:rPr>
              <w:instrText xml:space="preserve"> PAGEREF _Toc280546462 \h </w:instrText>
            </w:r>
            <w:r w:rsidR="00524C49">
              <w:rPr>
                <w:noProof/>
                <w:webHidden/>
              </w:rPr>
            </w:r>
            <w:r w:rsidR="00524C49">
              <w:rPr>
                <w:noProof/>
                <w:webHidden/>
              </w:rPr>
              <w:fldChar w:fldCharType="separate"/>
            </w:r>
            <w:r w:rsidR="000C7E01">
              <w:rPr>
                <w:noProof/>
                <w:webHidden/>
              </w:rPr>
              <w:t>43</w:t>
            </w:r>
            <w:r w:rsidR="00524C49">
              <w:rPr>
                <w:noProof/>
                <w:webHidden/>
              </w:rPr>
              <w:fldChar w:fldCharType="end"/>
            </w:r>
          </w:hyperlink>
        </w:p>
        <w:p w:rsidR="00524C49" w:rsidRDefault="00E05E27">
          <w:pPr>
            <w:pStyle w:val="Turinys2"/>
            <w:tabs>
              <w:tab w:val="left" w:pos="880"/>
              <w:tab w:val="right" w:leader="dot" w:pos="9344"/>
            </w:tabs>
            <w:rPr>
              <w:noProof/>
              <w:lang w:eastAsia="zh-CN"/>
            </w:rPr>
          </w:pPr>
          <w:hyperlink w:anchor="_Toc280546463" w:history="1">
            <w:r w:rsidR="00524C49" w:rsidRPr="00BC5ECC">
              <w:rPr>
                <w:rStyle w:val="Hipersaitas"/>
                <w:rFonts w:ascii="Times New Roman" w:hAnsi="Times New Roman" w:cs="Times New Roman"/>
                <w:b/>
                <w:noProof/>
              </w:rPr>
              <w:t>4.1</w:t>
            </w:r>
            <w:r w:rsidR="00524C49">
              <w:rPr>
                <w:noProof/>
                <w:lang w:eastAsia="zh-CN"/>
              </w:rPr>
              <w:tab/>
            </w:r>
            <w:r w:rsidR="00524C49" w:rsidRPr="00BC5ECC">
              <w:rPr>
                <w:rStyle w:val="Hipersaitas"/>
                <w:rFonts w:ascii="Times New Roman" w:hAnsi="Times New Roman" w:cs="Times New Roman"/>
                <w:b/>
                <w:noProof/>
              </w:rPr>
              <w:t>Užskaitos sąlygos galiojimas FUSĮ kontekste</w:t>
            </w:r>
            <w:r w:rsidR="00524C49">
              <w:rPr>
                <w:noProof/>
                <w:webHidden/>
              </w:rPr>
              <w:tab/>
            </w:r>
            <w:r w:rsidR="00524C49">
              <w:rPr>
                <w:noProof/>
                <w:webHidden/>
              </w:rPr>
              <w:fldChar w:fldCharType="begin"/>
            </w:r>
            <w:r w:rsidR="00524C49">
              <w:rPr>
                <w:noProof/>
                <w:webHidden/>
              </w:rPr>
              <w:instrText xml:space="preserve"> PAGEREF _Toc280546463 \h </w:instrText>
            </w:r>
            <w:r w:rsidR="00524C49">
              <w:rPr>
                <w:noProof/>
                <w:webHidden/>
              </w:rPr>
            </w:r>
            <w:r w:rsidR="00524C49">
              <w:rPr>
                <w:noProof/>
                <w:webHidden/>
              </w:rPr>
              <w:fldChar w:fldCharType="separate"/>
            </w:r>
            <w:r w:rsidR="000C7E01">
              <w:rPr>
                <w:noProof/>
                <w:webHidden/>
              </w:rPr>
              <w:t>43</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64" w:history="1">
            <w:r w:rsidR="00524C49" w:rsidRPr="00BC5ECC">
              <w:rPr>
                <w:rStyle w:val="Hipersaitas"/>
                <w:rFonts w:ascii="Times New Roman" w:hAnsi="Times New Roman" w:cs="Times New Roman"/>
                <w:b/>
                <w:noProof/>
              </w:rPr>
              <w:t>4.1.1</w:t>
            </w:r>
            <w:r w:rsidR="00524C49">
              <w:rPr>
                <w:noProof/>
                <w:lang w:eastAsia="zh-CN"/>
              </w:rPr>
              <w:tab/>
            </w:r>
            <w:r w:rsidR="00524C49" w:rsidRPr="00BC5ECC">
              <w:rPr>
                <w:rStyle w:val="Hipersaitas"/>
                <w:rFonts w:ascii="Times New Roman" w:hAnsi="Times New Roman" w:cs="Times New Roman"/>
                <w:b/>
                <w:noProof/>
              </w:rPr>
              <w:t>Šalių statusas</w:t>
            </w:r>
            <w:r w:rsidR="00524C49">
              <w:rPr>
                <w:noProof/>
                <w:webHidden/>
              </w:rPr>
              <w:tab/>
            </w:r>
            <w:r w:rsidR="00524C49">
              <w:rPr>
                <w:noProof/>
                <w:webHidden/>
              </w:rPr>
              <w:fldChar w:fldCharType="begin"/>
            </w:r>
            <w:r w:rsidR="00524C49">
              <w:rPr>
                <w:noProof/>
                <w:webHidden/>
              </w:rPr>
              <w:instrText xml:space="preserve"> PAGEREF _Toc280546464 \h </w:instrText>
            </w:r>
            <w:r w:rsidR="00524C49">
              <w:rPr>
                <w:noProof/>
                <w:webHidden/>
              </w:rPr>
            </w:r>
            <w:r w:rsidR="00524C49">
              <w:rPr>
                <w:noProof/>
                <w:webHidden/>
              </w:rPr>
              <w:fldChar w:fldCharType="separate"/>
            </w:r>
            <w:r w:rsidR="000C7E01">
              <w:rPr>
                <w:noProof/>
                <w:webHidden/>
              </w:rPr>
              <w:t>43</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65" w:history="1">
            <w:r w:rsidR="00524C49" w:rsidRPr="00BC5ECC">
              <w:rPr>
                <w:rStyle w:val="Hipersaitas"/>
                <w:rFonts w:ascii="Times New Roman" w:hAnsi="Times New Roman" w:cs="Times New Roman"/>
                <w:b/>
                <w:noProof/>
              </w:rPr>
              <w:t>4.1.2</w:t>
            </w:r>
            <w:r w:rsidR="00524C49">
              <w:rPr>
                <w:noProof/>
                <w:lang w:eastAsia="zh-CN"/>
              </w:rPr>
              <w:tab/>
            </w:r>
            <w:r w:rsidR="00524C49" w:rsidRPr="00BC5ECC">
              <w:rPr>
                <w:rStyle w:val="Hipersaitas"/>
                <w:rFonts w:ascii="Times New Roman" w:hAnsi="Times New Roman" w:cs="Times New Roman"/>
                <w:b/>
                <w:noProof/>
              </w:rPr>
              <w:t>Finansinio užtikrinimo susitarimas</w:t>
            </w:r>
            <w:r w:rsidR="00524C49">
              <w:rPr>
                <w:noProof/>
                <w:webHidden/>
              </w:rPr>
              <w:tab/>
            </w:r>
            <w:r w:rsidR="00524C49">
              <w:rPr>
                <w:noProof/>
                <w:webHidden/>
              </w:rPr>
              <w:fldChar w:fldCharType="begin"/>
            </w:r>
            <w:r w:rsidR="00524C49">
              <w:rPr>
                <w:noProof/>
                <w:webHidden/>
              </w:rPr>
              <w:instrText xml:space="preserve"> PAGEREF _Toc280546465 \h </w:instrText>
            </w:r>
            <w:r w:rsidR="00524C49">
              <w:rPr>
                <w:noProof/>
                <w:webHidden/>
              </w:rPr>
            </w:r>
            <w:r w:rsidR="00524C49">
              <w:rPr>
                <w:noProof/>
                <w:webHidden/>
              </w:rPr>
              <w:fldChar w:fldCharType="separate"/>
            </w:r>
            <w:r w:rsidR="000C7E01">
              <w:rPr>
                <w:noProof/>
                <w:webHidden/>
              </w:rPr>
              <w:t>45</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66" w:history="1">
            <w:r w:rsidR="00524C49" w:rsidRPr="00BC5ECC">
              <w:rPr>
                <w:rStyle w:val="Hipersaitas"/>
                <w:rFonts w:ascii="Times New Roman" w:hAnsi="Times New Roman" w:cs="Times New Roman"/>
                <w:b/>
                <w:noProof/>
              </w:rPr>
              <w:t>4.1.3</w:t>
            </w:r>
            <w:r w:rsidR="00524C49">
              <w:rPr>
                <w:noProof/>
                <w:lang w:eastAsia="zh-CN"/>
              </w:rPr>
              <w:tab/>
            </w:r>
            <w:r w:rsidR="00524C49" w:rsidRPr="00BC5ECC">
              <w:rPr>
                <w:rStyle w:val="Hipersaitas"/>
                <w:rFonts w:ascii="Times New Roman" w:hAnsi="Times New Roman" w:cs="Times New Roman"/>
                <w:b/>
                <w:noProof/>
              </w:rPr>
              <w:t>Turtas, kuris gali būti laikomas finansiniu užstatu</w:t>
            </w:r>
            <w:r w:rsidR="00524C49">
              <w:rPr>
                <w:noProof/>
                <w:webHidden/>
              </w:rPr>
              <w:tab/>
            </w:r>
            <w:r w:rsidR="00524C49">
              <w:rPr>
                <w:noProof/>
                <w:webHidden/>
              </w:rPr>
              <w:fldChar w:fldCharType="begin"/>
            </w:r>
            <w:r w:rsidR="00524C49">
              <w:rPr>
                <w:noProof/>
                <w:webHidden/>
              </w:rPr>
              <w:instrText xml:space="preserve"> PAGEREF _Toc280546466 \h </w:instrText>
            </w:r>
            <w:r w:rsidR="00524C49">
              <w:rPr>
                <w:noProof/>
                <w:webHidden/>
              </w:rPr>
            </w:r>
            <w:r w:rsidR="00524C49">
              <w:rPr>
                <w:noProof/>
                <w:webHidden/>
              </w:rPr>
              <w:fldChar w:fldCharType="separate"/>
            </w:r>
            <w:r w:rsidR="000C7E01">
              <w:rPr>
                <w:noProof/>
                <w:webHidden/>
              </w:rPr>
              <w:t>47</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67" w:history="1">
            <w:r w:rsidR="00524C49" w:rsidRPr="00BC5ECC">
              <w:rPr>
                <w:rStyle w:val="Hipersaitas"/>
                <w:rFonts w:ascii="Times New Roman" w:hAnsi="Times New Roman" w:cs="Times New Roman"/>
                <w:b/>
                <w:noProof/>
              </w:rPr>
              <w:t>4.1.4</w:t>
            </w:r>
            <w:r w:rsidR="00524C49">
              <w:rPr>
                <w:noProof/>
                <w:lang w:eastAsia="zh-CN"/>
              </w:rPr>
              <w:tab/>
            </w:r>
            <w:r w:rsidR="00524C49" w:rsidRPr="00BC5ECC">
              <w:rPr>
                <w:rStyle w:val="Hipersaitas"/>
                <w:rFonts w:ascii="Times New Roman" w:hAnsi="Times New Roman" w:cs="Times New Roman"/>
                <w:b/>
                <w:noProof/>
              </w:rPr>
              <w:t>Finansiniai įsipareigojimai, kurių įvykdymui užtikrinti pateiktas užstatas</w:t>
            </w:r>
            <w:r w:rsidR="00524C49">
              <w:rPr>
                <w:noProof/>
                <w:webHidden/>
              </w:rPr>
              <w:tab/>
            </w:r>
            <w:r w:rsidR="00524C49">
              <w:rPr>
                <w:noProof/>
                <w:webHidden/>
              </w:rPr>
              <w:fldChar w:fldCharType="begin"/>
            </w:r>
            <w:r w:rsidR="00524C49">
              <w:rPr>
                <w:noProof/>
                <w:webHidden/>
              </w:rPr>
              <w:instrText xml:space="preserve"> PAGEREF _Toc280546467 \h </w:instrText>
            </w:r>
            <w:r w:rsidR="00524C49">
              <w:rPr>
                <w:noProof/>
                <w:webHidden/>
              </w:rPr>
            </w:r>
            <w:r w:rsidR="00524C49">
              <w:rPr>
                <w:noProof/>
                <w:webHidden/>
              </w:rPr>
              <w:fldChar w:fldCharType="separate"/>
            </w:r>
            <w:r w:rsidR="000C7E01">
              <w:rPr>
                <w:noProof/>
                <w:webHidden/>
              </w:rPr>
              <w:t>48</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68" w:history="1">
            <w:r w:rsidR="00524C49" w:rsidRPr="00BC5ECC">
              <w:rPr>
                <w:rStyle w:val="Hipersaitas"/>
                <w:rFonts w:ascii="Times New Roman" w:hAnsi="Times New Roman" w:cs="Times New Roman"/>
                <w:b/>
                <w:noProof/>
              </w:rPr>
              <w:t>4.1.5</w:t>
            </w:r>
            <w:r w:rsidR="00524C49">
              <w:rPr>
                <w:noProof/>
                <w:lang w:eastAsia="zh-CN"/>
              </w:rPr>
              <w:tab/>
            </w:r>
            <w:r w:rsidR="00524C49" w:rsidRPr="00BC5ECC">
              <w:rPr>
                <w:rStyle w:val="Hipersaitas"/>
                <w:rFonts w:ascii="Times New Roman" w:hAnsi="Times New Roman" w:cs="Times New Roman"/>
                <w:b/>
                <w:noProof/>
              </w:rPr>
              <w:t>ISDA prievolių užtikrinimo įvykdymo dokumentacijos įtaka FUSĮ taikymo riboms</w:t>
            </w:r>
            <w:r w:rsidR="00524C49">
              <w:rPr>
                <w:noProof/>
                <w:webHidden/>
              </w:rPr>
              <w:tab/>
            </w:r>
            <w:r w:rsidR="00524C49">
              <w:rPr>
                <w:noProof/>
                <w:webHidden/>
              </w:rPr>
              <w:fldChar w:fldCharType="begin"/>
            </w:r>
            <w:r w:rsidR="00524C49">
              <w:rPr>
                <w:noProof/>
                <w:webHidden/>
              </w:rPr>
              <w:instrText xml:space="preserve"> PAGEREF _Toc280546468 \h </w:instrText>
            </w:r>
            <w:r w:rsidR="00524C49">
              <w:rPr>
                <w:noProof/>
                <w:webHidden/>
              </w:rPr>
            </w:r>
            <w:r w:rsidR="00524C49">
              <w:rPr>
                <w:noProof/>
                <w:webHidden/>
              </w:rPr>
              <w:fldChar w:fldCharType="separate"/>
            </w:r>
            <w:r w:rsidR="000C7E01">
              <w:rPr>
                <w:noProof/>
                <w:webHidden/>
              </w:rPr>
              <w:t>49</w:t>
            </w:r>
            <w:r w:rsidR="00524C49">
              <w:rPr>
                <w:noProof/>
                <w:webHidden/>
              </w:rPr>
              <w:fldChar w:fldCharType="end"/>
            </w:r>
          </w:hyperlink>
        </w:p>
        <w:p w:rsidR="00524C49" w:rsidRDefault="00E05E27">
          <w:pPr>
            <w:pStyle w:val="Turinys2"/>
            <w:tabs>
              <w:tab w:val="left" w:pos="880"/>
              <w:tab w:val="right" w:leader="dot" w:pos="9344"/>
            </w:tabs>
            <w:rPr>
              <w:noProof/>
              <w:lang w:eastAsia="zh-CN"/>
            </w:rPr>
          </w:pPr>
          <w:hyperlink w:anchor="_Toc280546469" w:history="1">
            <w:r w:rsidR="00524C49" w:rsidRPr="00BC5ECC">
              <w:rPr>
                <w:rStyle w:val="Hipersaitas"/>
                <w:rFonts w:ascii="Times New Roman" w:hAnsi="Times New Roman" w:cs="Times New Roman"/>
                <w:b/>
                <w:noProof/>
              </w:rPr>
              <w:t>4.2</w:t>
            </w:r>
            <w:r w:rsidR="00524C49">
              <w:rPr>
                <w:noProof/>
                <w:lang w:eastAsia="zh-CN"/>
              </w:rPr>
              <w:tab/>
            </w:r>
            <w:r w:rsidR="00524C49" w:rsidRPr="00BC5ECC">
              <w:rPr>
                <w:rStyle w:val="Hipersaitas"/>
                <w:rFonts w:ascii="Times New Roman" w:hAnsi="Times New Roman" w:cs="Times New Roman"/>
                <w:b/>
                <w:noProof/>
              </w:rPr>
              <w:t>Baigiamosios užskaitos sąlygos galiojimas ĮBĮ kontekste</w:t>
            </w:r>
            <w:r w:rsidR="00524C49">
              <w:rPr>
                <w:noProof/>
                <w:webHidden/>
              </w:rPr>
              <w:tab/>
            </w:r>
            <w:r w:rsidR="00524C49">
              <w:rPr>
                <w:noProof/>
                <w:webHidden/>
              </w:rPr>
              <w:fldChar w:fldCharType="begin"/>
            </w:r>
            <w:r w:rsidR="00524C49">
              <w:rPr>
                <w:noProof/>
                <w:webHidden/>
              </w:rPr>
              <w:instrText xml:space="preserve"> PAGEREF _Toc280546469 \h </w:instrText>
            </w:r>
            <w:r w:rsidR="00524C49">
              <w:rPr>
                <w:noProof/>
                <w:webHidden/>
              </w:rPr>
            </w:r>
            <w:r w:rsidR="00524C49">
              <w:rPr>
                <w:noProof/>
                <w:webHidden/>
              </w:rPr>
              <w:fldChar w:fldCharType="separate"/>
            </w:r>
            <w:r w:rsidR="000C7E01">
              <w:rPr>
                <w:noProof/>
                <w:webHidden/>
              </w:rPr>
              <w:t>49</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70" w:history="1">
            <w:r w:rsidR="00524C49" w:rsidRPr="00BC5ECC">
              <w:rPr>
                <w:rStyle w:val="Hipersaitas"/>
                <w:rFonts w:ascii="Times New Roman" w:hAnsi="Times New Roman" w:cs="Times New Roman"/>
                <w:b/>
                <w:noProof/>
              </w:rPr>
              <w:t>4.2.1</w:t>
            </w:r>
            <w:r w:rsidR="00524C49">
              <w:rPr>
                <w:noProof/>
                <w:lang w:eastAsia="zh-CN"/>
              </w:rPr>
              <w:tab/>
            </w:r>
            <w:r w:rsidR="00524C49" w:rsidRPr="00BC5ECC">
              <w:rPr>
                <w:rStyle w:val="Hipersaitas"/>
                <w:rFonts w:ascii="Times New Roman" w:hAnsi="Times New Roman" w:cs="Times New Roman"/>
                <w:b/>
                <w:noProof/>
              </w:rPr>
              <w:t>Sandorių nutraukimas</w:t>
            </w:r>
            <w:r w:rsidR="00524C49">
              <w:rPr>
                <w:noProof/>
                <w:webHidden/>
              </w:rPr>
              <w:tab/>
            </w:r>
            <w:r w:rsidR="00524C49">
              <w:rPr>
                <w:noProof/>
                <w:webHidden/>
              </w:rPr>
              <w:fldChar w:fldCharType="begin"/>
            </w:r>
            <w:r w:rsidR="00524C49">
              <w:rPr>
                <w:noProof/>
                <w:webHidden/>
              </w:rPr>
              <w:instrText xml:space="preserve"> PAGEREF _Toc280546470 \h </w:instrText>
            </w:r>
            <w:r w:rsidR="00524C49">
              <w:rPr>
                <w:noProof/>
                <w:webHidden/>
              </w:rPr>
            </w:r>
            <w:r w:rsidR="00524C49">
              <w:rPr>
                <w:noProof/>
                <w:webHidden/>
              </w:rPr>
              <w:fldChar w:fldCharType="separate"/>
            </w:r>
            <w:r w:rsidR="000C7E01">
              <w:rPr>
                <w:noProof/>
                <w:webHidden/>
              </w:rPr>
              <w:t>50</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71" w:history="1">
            <w:r w:rsidR="00524C49" w:rsidRPr="00BC5ECC">
              <w:rPr>
                <w:rStyle w:val="Hipersaitas"/>
                <w:rFonts w:ascii="Times New Roman" w:hAnsi="Times New Roman" w:cs="Times New Roman"/>
                <w:b/>
                <w:noProof/>
              </w:rPr>
              <w:t>4.2.2</w:t>
            </w:r>
            <w:r w:rsidR="00524C49">
              <w:rPr>
                <w:noProof/>
                <w:lang w:eastAsia="zh-CN"/>
              </w:rPr>
              <w:tab/>
            </w:r>
            <w:r w:rsidR="00524C49" w:rsidRPr="00BC5ECC">
              <w:rPr>
                <w:rStyle w:val="Hipersaitas"/>
                <w:rFonts w:ascii="Times New Roman" w:hAnsi="Times New Roman" w:cs="Times New Roman"/>
                <w:b/>
                <w:noProof/>
              </w:rPr>
              <w:t>Sandorių nuostolių / pelno apskaičiavimas</w:t>
            </w:r>
            <w:r w:rsidR="00524C49">
              <w:rPr>
                <w:noProof/>
                <w:webHidden/>
              </w:rPr>
              <w:tab/>
            </w:r>
            <w:r w:rsidR="00524C49">
              <w:rPr>
                <w:noProof/>
                <w:webHidden/>
              </w:rPr>
              <w:fldChar w:fldCharType="begin"/>
            </w:r>
            <w:r w:rsidR="00524C49">
              <w:rPr>
                <w:noProof/>
                <w:webHidden/>
              </w:rPr>
              <w:instrText xml:space="preserve"> PAGEREF _Toc280546471 \h </w:instrText>
            </w:r>
            <w:r w:rsidR="00524C49">
              <w:rPr>
                <w:noProof/>
                <w:webHidden/>
              </w:rPr>
            </w:r>
            <w:r w:rsidR="00524C49">
              <w:rPr>
                <w:noProof/>
                <w:webHidden/>
              </w:rPr>
              <w:fldChar w:fldCharType="separate"/>
            </w:r>
            <w:r w:rsidR="000C7E01">
              <w:rPr>
                <w:noProof/>
                <w:webHidden/>
              </w:rPr>
              <w:t>51</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72" w:history="1">
            <w:r w:rsidR="00524C49" w:rsidRPr="00BC5ECC">
              <w:rPr>
                <w:rStyle w:val="Hipersaitas"/>
                <w:rFonts w:ascii="Times New Roman" w:hAnsi="Times New Roman" w:cs="Times New Roman"/>
                <w:b/>
                <w:noProof/>
              </w:rPr>
              <w:t>4.2.3</w:t>
            </w:r>
            <w:r w:rsidR="00524C49">
              <w:rPr>
                <w:noProof/>
                <w:lang w:eastAsia="zh-CN"/>
              </w:rPr>
              <w:tab/>
            </w:r>
            <w:r w:rsidR="00524C49" w:rsidRPr="00BC5ECC">
              <w:rPr>
                <w:rStyle w:val="Hipersaitas"/>
                <w:rFonts w:ascii="Times New Roman" w:hAnsi="Times New Roman" w:cs="Times New Roman"/>
                <w:b/>
                <w:noProof/>
              </w:rPr>
              <w:t>Įsipareigojimų sujungimas į vieną mokėtiną sumą</w:t>
            </w:r>
            <w:r w:rsidR="00524C49">
              <w:rPr>
                <w:noProof/>
                <w:webHidden/>
              </w:rPr>
              <w:tab/>
            </w:r>
            <w:r w:rsidR="00524C49">
              <w:rPr>
                <w:noProof/>
                <w:webHidden/>
              </w:rPr>
              <w:fldChar w:fldCharType="begin"/>
            </w:r>
            <w:r w:rsidR="00524C49">
              <w:rPr>
                <w:noProof/>
                <w:webHidden/>
              </w:rPr>
              <w:instrText xml:space="preserve"> PAGEREF _Toc280546472 \h </w:instrText>
            </w:r>
            <w:r w:rsidR="00524C49">
              <w:rPr>
                <w:noProof/>
                <w:webHidden/>
              </w:rPr>
            </w:r>
            <w:r w:rsidR="00524C49">
              <w:rPr>
                <w:noProof/>
                <w:webHidden/>
              </w:rPr>
              <w:fldChar w:fldCharType="separate"/>
            </w:r>
            <w:r w:rsidR="000C7E01">
              <w:rPr>
                <w:noProof/>
                <w:webHidden/>
              </w:rPr>
              <w:t>52</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73" w:history="1">
            <w:r w:rsidR="00524C49" w:rsidRPr="00BC5ECC">
              <w:rPr>
                <w:rStyle w:val="Hipersaitas"/>
                <w:rFonts w:ascii="Times New Roman" w:hAnsi="Times New Roman" w:cs="Times New Roman"/>
                <w:b/>
                <w:noProof/>
              </w:rPr>
              <w:t>4.2.3.1</w:t>
            </w:r>
            <w:r w:rsidR="00524C49">
              <w:rPr>
                <w:noProof/>
                <w:lang w:eastAsia="zh-CN"/>
              </w:rPr>
              <w:tab/>
            </w:r>
            <w:r w:rsidR="00524C49" w:rsidRPr="00BC5ECC">
              <w:rPr>
                <w:rStyle w:val="Hipersaitas"/>
                <w:rFonts w:ascii="Times New Roman" w:hAnsi="Times New Roman" w:cs="Times New Roman"/>
                <w:b/>
                <w:noProof/>
              </w:rPr>
              <w:t>Užskaita kaip prievolės dalyko apskaičiavimas</w:t>
            </w:r>
            <w:r w:rsidR="00524C49">
              <w:rPr>
                <w:noProof/>
                <w:webHidden/>
              </w:rPr>
              <w:tab/>
            </w:r>
            <w:r w:rsidR="00524C49">
              <w:rPr>
                <w:noProof/>
                <w:webHidden/>
              </w:rPr>
              <w:fldChar w:fldCharType="begin"/>
            </w:r>
            <w:r w:rsidR="00524C49">
              <w:rPr>
                <w:noProof/>
                <w:webHidden/>
              </w:rPr>
              <w:instrText xml:space="preserve"> PAGEREF _Toc280546473 \h </w:instrText>
            </w:r>
            <w:r w:rsidR="00524C49">
              <w:rPr>
                <w:noProof/>
                <w:webHidden/>
              </w:rPr>
            </w:r>
            <w:r w:rsidR="00524C49">
              <w:rPr>
                <w:noProof/>
                <w:webHidden/>
              </w:rPr>
              <w:fldChar w:fldCharType="separate"/>
            </w:r>
            <w:r w:rsidR="000C7E01">
              <w:rPr>
                <w:noProof/>
                <w:webHidden/>
              </w:rPr>
              <w:t>53</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74" w:history="1">
            <w:r w:rsidR="00524C49" w:rsidRPr="00BC5ECC">
              <w:rPr>
                <w:rStyle w:val="Hipersaitas"/>
                <w:rFonts w:ascii="Times New Roman" w:hAnsi="Times New Roman" w:cs="Times New Roman"/>
                <w:b/>
                <w:noProof/>
              </w:rPr>
              <w:t>4.2.3.2</w:t>
            </w:r>
            <w:r w:rsidR="00524C49">
              <w:rPr>
                <w:noProof/>
                <w:lang w:eastAsia="zh-CN"/>
              </w:rPr>
              <w:tab/>
            </w:r>
            <w:r w:rsidR="00524C49" w:rsidRPr="00BC5ECC">
              <w:rPr>
                <w:rStyle w:val="Hipersaitas"/>
                <w:rFonts w:ascii="Times New Roman" w:hAnsi="Times New Roman" w:cs="Times New Roman"/>
                <w:b/>
                <w:noProof/>
              </w:rPr>
              <w:t>Teleologinis užskaitos mechanizmo aiškinimas</w:t>
            </w:r>
            <w:r w:rsidR="00524C49">
              <w:rPr>
                <w:noProof/>
                <w:webHidden/>
              </w:rPr>
              <w:tab/>
            </w:r>
            <w:r w:rsidR="00524C49">
              <w:rPr>
                <w:noProof/>
                <w:webHidden/>
              </w:rPr>
              <w:fldChar w:fldCharType="begin"/>
            </w:r>
            <w:r w:rsidR="00524C49">
              <w:rPr>
                <w:noProof/>
                <w:webHidden/>
              </w:rPr>
              <w:instrText xml:space="preserve"> PAGEREF _Toc280546474 \h </w:instrText>
            </w:r>
            <w:r w:rsidR="00524C49">
              <w:rPr>
                <w:noProof/>
                <w:webHidden/>
              </w:rPr>
            </w:r>
            <w:r w:rsidR="00524C49">
              <w:rPr>
                <w:noProof/>
                <w:webHidden/>
              </w:rPr>
              <w:fldChar w:fldCharType="separate"/>
            </w:r>
            <w:r w:rsidR="000C7E01">
              <w:rPr>
                <w:noProof/>
                <w:webHidden/>
              </w:rPr>
              <w:t>54</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75" w:history="1">
            <w:r w:rsidR="00524C49" w:rsidRPr="00BC5ECC">
              <w:rPr>
                <w:rStyle w:val="Hipersaitas"/>
                <w:rFonts w:ascii="Times New Roman" w:hAnsi="Times New Roman" w:cs="Times New Roman"/>
                <w:b/>
                <w:noProof/>
              </w:rPr>
              <w:t>4.2.3.3</w:t>
            </w:r>
            <w:r w:rsidR="00524C49">
              <w:rPr>
                <w:noProof/>
                <w:lang w:eastAsia="zh-CN"/>
              </w:rPr>
              <w:tab/>
            </w:r>
            <w:r w:rsidR="00524C49" w:rsidRPr="00BC5ECC">
              <w:rPr>
                <w:rStyle w:val="Hipersaitas"/>
                <w:rFonts w:ascii="Times New Roman" w:hAnsi="Times New Roman" w:cs="Times New Roman"/>
                <w:b/>
                <w:noProof/>
              </w:rPr>
              <w:t>Finansinio užstato įtraukimas į galutinį balansą</w:t>
            </w:r>
            <w:r w:rsidR="00524C49">
              <w:rPr>
                <w:noProof/>
                <w:webHidden/>
              </w:rPr>
              <w:tab/>
            </w:r>
            <w:r w:rsidR="00524C49">
              <w:rPr>
                <w:noProof/>
                <w:webHidden/>
              </w:rPr>
              <w:fldChar w:fldCharType="begin"/>
            </w:r>
            <w:r w:rsidR="00524C49">
              <w:rPr>
                <w:noProof/>
                <w:webHidden/>
              </w:rPr>
              <w:instrText xml:space="preserve"> PAGEREF _Toc280546475 \h </w:instrText>
            </w:r>
            <w:r w:rsidR="00524C49">
              <w:rPr>
                <w:noProof/>
                <w:webHidden/>
              </w:rPr>
            </w:r>
            <w:r w:rsidR="00524C49">
              <w:rPr>
                <w:noProof/>
                <w:webHidden/>
              </w:rPr>
              <w:fldChar w:fldCharType="separate"/>
            </w:r>
            <w:r w:rsidR="000C7E01">
              <w:rPr>
                <w:noProof/>
                <w:webHidden/>
              </w:rPr>
              <w:t>54</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76" w:history="1">
            <w:r w:rsidR="00524C49" w:rsidRPr="00BC5ECC">
              <w:rPr>
                <w:rStyle w:val="Hipersaitas"/>
                <w:rFonts w:ascii="Times New Roman" w:hAnsi="Times New Roman" w:cs="Times New Roman"/>
                <w:b/>
                <w:noProof/>
              </w:rPr>
              <w:t>4.2.3.4</w:t>
            </w:r>
            <w:r w:rsidR="00524C49">
              <w:rPr>
                <w:noProof/>
                <w:lang w:eastAsia="zh-CN"/>
              </w:rPr>
              <w:tab/>
            </w:r>
            <w:r w:rsidR="00524C49" w:rsidRPr="00BC5ECC">
              <w:rPr>
                <w:rStyle w:val="Hipersaitas"/>
                <w:rFonts w:ascii="Times New Roman" w:hAnsi="Times New Roman" w:cs="Times New Roman"/>
                <w:b/>
                <w:noProof/>
              </w:rPr>
              <w:t>Valiutos konvertavimas bankroto procese</w:t>
            </w:r>
            <w:r w:rsidR="00524C49">
              <w:rPr>
                <w:noProof/>
                <w:webHidden/>
              </w:rPr>
              <w:tab/>
            </w:r>
            <w:r w:rsidR="00524C49">
              <w:rPr>
                <w:noProof/>
                <w:webHidden/>
              </w:rPr>
              <w:fldChar w:fldCharType="begin"/>
            </w:r>
            <w:r w:rsidR="00524C49">
              <w:rPr>
                <w:noProof/>
                <w:webHidden/>
              </w:rPr>
              <w:instrText xml:space="preserve"> PAGEREF _Toc280546476 \h </w:instrText>
            </w:r>
            <w:r w:rsidR="00524C49">
              <w:rPr>
                <w:noProof/>
                <w:webHidden/>
              </w:rPr>
            </w:r>
            <w:r w:rsidR="00524C49">
              <w:rPr>
                <w:noProof/>
                <w:webHidden/>
              </w:rPr>
              <w:fldChar w:fldCharType="separate"/>
            </w:r>
            <w:r w:rsidR="000C7E01">
              <w:rPr>
                <w:noProof/>
                <w:webHidden/>
              </w:rPr>
              <w:t>56</w:t>
            </w:r>
            <w:r w:rsidR="00524C49">
              <w:rPr>
                <w:noProof/>
                <w:webHidden/>
              </w:rPr>
              <w:fldChar w:fldCharType="end"/>
            </w:r>
          </w:hyperlink>
        </w:p>
        <w:p w:rsidR="00524C49" w:rsidRDefault="00E05E27">
          <w:pPr>
            <w:pStyle w:val="Turinys2"/>
            <w:tabs>
              <w:tab w:val="left" w:pos="880"/>
              <w:tab w:val="right" w:leader="dot" w:pos="9344"/>
            </w:tabs>
            <w:rPr>
              <w:noProof/>
              <w:lang w:eastAsia="zh-CN"/>
            </w:rPr>
          </w:pPr>
          <w:hyperlink w:anchor="_Toc280546477" w:history="1">
            <w:r w:rsidR="00524C49" w:rsidRPr="00BC5ECC">
              <w:rPr>
                <w:rStyle w:val="Hipersaitas"/>
                <w:rFonts w:ascii="Times New Roman" w:hAnsi="Times New Roman" w:cs="Times New Roman"/>
                <w:b/>
                <w:noProof/>
              </w:rPr>
              <w:t>4.3</w:t>
            </w:r>
            <w:r w:rsidR="00524C49">
              <w:rPr>
                <w:noProof/>
                <w:lang w:eastAsia="zh-CN"/>
              </w:rPr>
              <w:tab/>
            </w:r>
            <w:r w:rsidR="00524C49" w:rsidRPr="00BC5ECC">
              <w:rPr>
                <w:rStyle w:val="Hipersaitas"/>
                <w:rFonts w:ascii="Times New Roman" w:hAnsi="Times New Roman" w:cs="Times New Roman"/>
                <w:b/>
                <w:noProof/>
              </w:rPr>
              <w:t>A posteriori kontrolė</w:t>
            </w:r>
            <w:r w:rsidR="00524C49">
              <w:rPr>
                <w:noProof/>
                <w:webHidden/>
              </w:rPr>
              <w:tab/>
            </w:r>
            <w:r w:rsidR="00524C49">
              <w:rPr>
                <w:noProof/>
                <w:webHidden/>
              </w:rPr>
              <w:fldChar w:fldCharType="begin"/>
            </w:r>
            <w:r w:rsidR="00524C49">
              <w:rPr>
                <w:noProof/>
                <w:webHidden/>
              </w:rPr>
              <w:instrText xml:space="preserve"> PAGEREF _Toc280546477 \h </w:instrText>
            </w:r>
            <w:r w:rsidR="00524C49">
              <w:rPr>
                <w:noProof/>
                <w:webHidden/>
              </w:rPr>
            </w:r>
            <w:r w:rsidR="00524C49">
              <w:rPr>
                <w:noProof/>
                <w:webHidden/>
              </w:rPr>
              <w:fldChar w:fldCharType="separate"/>
            </w:r>
            <w:r w:rsidR="000C7E01">
              <w:rPr>
                <w:noProof/>
                <w:webHidden/>
              </w:rPr>
              <w:t>57</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78" w:history="1">
            <w:r w:rsidR="00524C49" w:rsidRPr="00BC5ECC">
              <w:rPr>
                <w:rStyle w:val="Hipersaitas"/>
                <w:rFonts w:ascii="Times New Roman" w:hAnsi="Times New Roman" w:cs="Times New Roman"/>
                <w:b/>
                <w:noProof/>
              </w:rPr>
              <w:t>4.3.1</w:t>
            </w:r>
            <w:r w:rsidR="00524C49">
              <w:rPr>
                <w:noProof/>
                <w:lang w:eastAsia="zh-CN"/>
              </w:rPr>
              <w:tab/>
            </w:r>
            <w:r w:rsidR="00524C49" w:rsidRPr="00BC5ECC">
              <w:rPr>
                <w:rStyle w:val="Hipersaitas"/>
                <w:rFonts w:ascii="Times New Roman" w:hAnsi="Times New Roman" w:cs="Times New Roman"/>
                <w:b/>
                <w:noProof/>
              </w:rPr>
              <w:t>Cherry picking</w:t>
            </w:r>
            <w:r w:rsidR="00524C49">
              <w:rPr>
                <w:noProof/>
                <w:webHidden/>
              </w:rPr>
              <w:tab/>
            </w:r>
            <w:r w:rsidR="00524C49">
              <w:rPr>
                <w:noProof/>
                <w:webHidden/>
              </w:rPr>
              <w:fldChar w:fldCharType="begin"/>
            </w:r>
            <w:r w:rsidR="00524C49">
              <w:rPr>
                <w:noProof/>
                <w:webHidden/>
              </w:rPr>
              <w:instrText xml:space="preserve"> PAGEREF _Toc280546478 \h </w:instrText>
            </w:r>
            <w:r w:rsidR="00524C49">
              <w:rPr>
                <w:noProof/>
                <w:webHidden/>
              </w:rPr>
            </w:r>
            <w:r w:rsidR="00524C49">
              <w:rPr>
                <w:noProof/>
                <w:webHidden/>
              </w:rPr>
              <w:fldChar w:fldCharType="separate"/>
            </w:r>
            <w:r w:rsidR="000C7E01">
              <w:rPr>
                <w:noProof/>
                <w:webHidden/>
              </w:rPr>
              <w:t>57</w:t>
            </w:r>
            <w:r w:rsidR="00524C49">
              <w:rPr>
                <w:noProof/>
                <w:webHidden/>
              </w:rPr>
              <w:fldChar w:fldCharType="end"/>
            </w:r>
          </w:hyperlink>
        </w:p>
        <w:p w:rsidR="00524C49" w:rsidRDefault="00E05E27">
          <w:pPr>
            <w:pStyle w:val="Turinys3"/>
            <w:tabs>
              <w:tab w:val="left" w:pos="1320"/>
              <w:tab w:val="right" w:leader="dot" w:pos="9344"/>
            </w:tabs>
            <w:rPr>
              <w:noProof/>
              <w:lang w:eastAsia="zh-CN"/>
            </w:rPr>
          </w:pPr>
          <w:hyperlink w:anchor="_Toc280546479" w:history="1">
            <w:r w:rsidR="00524C49" w:rsidRPr="00BC5ECC">
              <w:rPr>
                <w:rStyle w:val="Hipersaitas"/>
                <w:rFonts w:ascii="Times New Roman" w:hAnsi="Times New Roman" w:cs="Times New Roman"/>
                <w:b/>
                <w:noProof/>
              </w:rPr>
              <w:t>4.3.2</w:t>
            </w:r>
            <w:r w:rsidR="00524C49">
              <w:rPr>
                <w:noProof/>
                <w:lang w:eastAsia="zh-CN"/>
              </w:rPr>
              <w:tab/>
            </w:r>
            <w:r w:rsidR="00524C49" w:rsidRPr="00BC5ECC">
              <w:rPr>
                <w:rStyle w:val="Hipersaitas"/>
                <w:rFonts w:ascii="Times New Roman" w:hAnsi="Times New Roman" w:cs="Times New Roman"/>
                <w:b/>
                <w:noProof/>
              </w:rPr>
              <w:t>Actio Pauliana ir bankroto administratorius</w:t>
            </w:r>
            <w:r w:rsidR="00524C49">
              <w:rPr>
                <w:noProof/>
                <w:webHidden/>
              </w:rPr>
              <w:tab/>
            </w:r>
            <w:r w:rsidR="00524C49">
              <w:rPr>
                <w:noProof/>
                <w:webHidden/>
              </w:rPr>
              <w:fldChar w:fldCharType="begin"/>
            </w:r>
            <w:r w:rsidR="00524C49">
              <w:rPr>
                <w:noProof/>
                <w:webHidden/>
              </w:rPr>
              <w:instrText xml:space="preserve"> PAGEREF _Toc280546479 \h </w:instrText>
            </w:r>
            <w:r w:rsidR="00524C49">
              <w:rPr>
                <w:noProof/>
                <w:webHidden/>
              </w:rPr>
            </w:r>
            <w:r w:rsidR="00524C49">
              <w:rPr>
                <w:noProof/>
                <w:webHidden/>
              </w:rPr>
              <w:fldChar w:fldCharType="separate"/>
            </w:r>
            <w:r w:rsidR="000C7E01">
              <w:rPr>
                <w:noProof/>
                <w:webHidden/>
              </w:rPr>
              <w:t>58</w:t>
            </w:r>
            <w:r w:rsidR="00524C49">
              <w:rPr>
                <w:noProof/>
                <w:webHidden/>
              </w:rPr>
              <w:fldChar w:fldCharType="end"/>
            </w:r>
          </w:hyperlink>
        </w:p>
        <w:p w:rsidR="00524C49" w:rsidRDefault="00E05E27">
          <w:pPr>
            <w:pStyle w:val="Turinys1"/>
            <w:tabs>
              <w:tab w:val="right" w:leader="dot" w:pos="9344"/>
            </w:tabs>
            <w:rPr>
              <w:noProof/>
              <w:lang w:eastAsia="zh-CN"/>
            </w:rPr>
          </w:pPr>
          <w:hyperlink w:anchor="_Toc280546480" w:history="1">
            <w:r w:rsidR="00524C49" w:rsidRPr="00BC5ECC">
              <w:rPr>
                <w:rStyle w:val="Hipersaitas"/>
                <w:rFonts w:ascii="Times New Roman" w:hAnsi="Times New Roman" w:cs="Times New Roman"/>
                <w:noProof/>
              </w:rPr>
              <w:t>IŠVADOS IR PASIŪLYMAI</w:t>
            </w:r>
            <w:r w:rsidR="00524C49">
              <w:rPr>
                <w:noProof/>
                <w:webHidden/>
              </w:rPr>
              <w:tab/>
            </w:r>
            <w:r w:rsidR="00524C49">
              <w:rPr>
                <w:noProof/>
                <w:webHidden/>
              </w:rPr>
              <w:fldChar w:fldCharType="begin"/>
            </w:r>
            <w:r w:rsidR="00524C49">
              <w:rPr>
                <w:noProof/>
                <w:webHidden/>
              </w:rPr>
              <w:instrText xml:space="preserve"> PAGEREF _Toc280546480 \h </w:instrText>
            </w:r>
            <w:r w:rsidR="00524C49">
              <w:rPr>
                <w:noProof/>
                <w:webHidden/>
              </w:rPr>
            </w:r>
            <w:r w:rsidR="00524C49">
              <w:rPr>
                <w:noProof/>
                <w:webHidden/>
              </w:rPr>
              <w:fldChar w:fldCharType="separate"/>
            </w:r>
            <w:r w:rsidR="000C7E01">
              <w:rPr>
                <w:noProof/>
                <w:webHidden/>
              </w:rPr>
              <w:t>60</w:t>
            </w:r>
            <w:r w:rsidR="00524C49">
              <w:rPr>
                <w:noProof/>
                <w:webHidden/>
              </w:rPr>
              <w:fldChar w:fldCharType="end"/>
            </w:r>
          </w:hyperlink>
        </w:p>
        <w:p w:rsidR="00524C49" w:rsidRDefault="00E05E27">
          <w:pPr>
            <w:pStyle w:val="Turinys1"/>
            <w:tabs>
              <w:tab w:val="right" w:leader="dot" w:pos="9344"/>
            </w:tabs>
            <w:rPr>
              <w:noProof/>
              <w:lang w:eastAsia="zh-CN"/>
            </w:rPr>
          </w:pPr>
          <w:hyperlink w:anchor="_Toc280546481" w:history="1">
            <w:r w:rsidR="00524C49" w:rsidRPr="00BC5ECC">
              <w:rPr>
                <w:rStyle w:val="Hipersaitas"/>
                <w:rFonts w:ascii="Times New Roman" w:hAnsi="Times New Roman" w:cs="Times New Roman"/>
                <w:noProof/>
              </w:rPr>
              <w:t>NAUDOTOS LITERATŪROS SĄRAŠAS</w:t>
            </w:r>
            <w:r w:rsidR="00524C49">
              <w:rPr>
                <w:noProof/>
                <w:webHidden/>
              </w:rPr>
              <w:tab/>
            </w:r>
            <w:r w:rsidR="00524C49">
              <w:rPr>
                <w:noProof/>
                <w:webHidden/>
              </w:rPr>
              <w:fldChar w:fldCharType="begin"/>
            </w:r>
            <w:r w:rsidR="00524C49">
              <w:rPr>
                <w:noProof/>
                <w:webHidden/>
              </w:rPr>
              <w:instrText xml:space="preserve"> PAGEREF _Toc280546481 \h </w:instrText>
            </w:r>
            <w:r w:rsidR="00524C49">
              <w:rPr>
                <w:noProof/>
                <w:webHidden/>
              </w:rPr>
            </w:r>
            <w:r w:rsidR="00524C49">
              <w:rPr>
                <w:noProof/>
                <w:webHidden/>
              </w:rPr>
              <w:fldChar w:fldCharType="separate"/>
            </w:r>
            <w:r w:rsidR="000C7E01">
              <w:rPr>
                <w:noProof/>
                <w:webHidden/>
              </w:rPr>
              <w:t>63</w:t>
            </w:r>
            <w:r w:rsidR="00524C49">
              <w:rPr>
                <w:noProof/>
                <w:webHidden/>
              </w:rPr>
              <w:fldChar w:fldCharType="end"/>
            </w:r>
          </w:hyperlink>
        </w:p>
        <w:p w:rsidR="00524C49" w:rsidRDefault="00E05E27">
          <w:pPr>
            <w:pStyle w:val="Turinys1"/>
            <w:tabs>
              <w:tab w:val="right" w:leader="dot" w:pos="9344"/>
            </w:tabs>
            <w:rPr>
              <w:noProof/>
              <w:lang w:eastAsia="zh-CN"/>
            </w:rPr>
          </w:pPr>
          <w:hyperlink w:anchor="_Toc280546482" w:history="1">
            <w:r w:rsidR="00524C49" w:rsidRPr="00BC5ECC">
              <w:rPr>
                <w:rStyle w:val="Hipersaitas"/>
                <w:rFonts w:ascii="Times New Roman" w:hAnsi="Times New Roman" w:cs="Times New Roman"/>
                <w:noProof/>
              </w:rPr>
              <w:t>SANTRAUKA</w:t>
            </w:r>
            <w:r w:rsidR="00524C49">
              <w:rPr>
                <w:noProof/>
                <w:webHidden/>
              </w:rPr>
              <w:tab/>
            </w:r>
            <w:r w:rsidR="00524C49">
              <w:rPr>
                <w:noProof/>
                <w:webHidden/>
              </w:rPr>
              <w:fldChar w:fldCharType="begin"/>
            </w:r>
            <w:r w:rsidR="00524C49">
              <w:rPr>
                <w:noProof/>
                <w:webHidden/>
              </w:rPr>
              <w:instrText xml:space="preserve"> PAGEREF _Toc280546482 \h </w:instrText>
            </w:r>
            <w:r w:rsidR="00524C49">
              <w:rPr>
                <w:noProof/>
                <w:webHidden/>
              </w:rPr>
            </w:r>
            <w:r w:rsidR="00524C49">
              <w:rPr>
                <w:noProof/>
                <w:webHidden/>
              </w:rPr>
              <w:fldChar w:fldCharType="separate"/>
            </w:r>
            <w:r w:rsidR="000C7E01">
              <w:rPr>
                <w:noProof/>
                <w:webHidden/>
              </w:rPr>
              <w:t>70</w:t>
            </w:r>
            <w:r w:rsidR="00524C49">
              <w:rPr>
                <w:noProof/>
                <w:webHidden/>
              </w:rPr>
              <w:fldChar w:fldCharType="end"/>
            </w:r>
          </w:hyperlink>
        </w:p>
        <w:p w:rsidR="00524C49" w:rsidRDefault="00E05E27">
          <w:pPr>
            <w:pStyle w:val="Turinys1"/>
            <w:tabs>
              <w:tab w:val="right" w:leader="dot" w:pos="9344"/>
            </w:tabs>
            <w:rPr>
              <w:noProof/>
              <w:lang w:eastAsia="zh-CN"/>
            </w:rPr>
          </w:pPr>
          <w:hyperlink w:anchor="_Toc280546483" w:history="1">
            <w:r w:rsidR="00524C49" w:rsidRPr="00BC5ECC">
              <w:rPr>
                <w:rStyle w:val="Hipersaitas"/>
                <w:rFonts w:ascii="Times New Roman" w:hAnsi="Times New Roman" w:cs="Times New Roman"/>
                <w:noProof/>
              </w:rPr>
              <w:t>SUMMARY</w:t>
            </w:r>
            <w:r w:rsidR="00524C49">
              <w:rPr>
                <w:noProof/>
                <w:webHidden/>
              </w:rPr>
              <w:tab/>
            </w:r>
            <w:r w:rsidR="00524C49">
              <w:rPr>
                <w:noProof/>
                <w:webHidden/>
              </w:rPr>
              <w:fldChar w:fldCharType="begin"/>
            </w:r>
            <w:r w:rsidR="00524C49">
              <w:rPr>
                <w:noProof/>
                <w:webHidden/>
              </w:rPr>
              <w:instrText xml:space="preserve"> PAGEREF _Toc280546483 \h </w:instrText>
            </w:r>
            <w:r w:rsidR="00524C49">
              <w:rPr>
                <w:noProof/>
                <w:webHidden/>
              </w:rPr>
            </w:r>
            <w:r w:rsidR="00524C49">
              <w:rPr>
                <w:noProof/>
                <w:webHidden/>
              </w:rPr>
              <w:fldChar w:fldCharType="separate"/>
            </w:r>
            <w:r w:rsidR="000C7E01">
              <w:rPr>
                <w:noProof/>
                <w:webHidden/>
              </w:rPr>
              <w:t>71</w:t>
            </w:r>
            <w:r w:rsidR="00524C49">
              <w:rPr>
                <w:noProof/>
                <w:webHidden/>
              </w:rPr>
              <w:fldChar w:fldCharType="end"/>
            </w:r>
          </w:hyperlink>
        </w:p>
        <w:p w:rsidR="00440CCE" w:rsidRPr="00A91E83" w:rsidRDefault="00440CCE">
          <w:pPr>
            <w:rPr>
              <w:rFonts w:ascii="Times New Roman" w:hAnsi="Times New Roman" w:cs="Times New Roman"/>
              <w:sz w:val="24"/>
              <w:szCs w:val="24"/>
            </w:rPr>
          </w:pPr>
          <w:r w:rsidRPr="00A91E83">
            <w:rPr>
              <w:rStyle w:val="Knygospavadinimas"/>
              <w:rFonts w:ascii="Times New Roman" w:hAnsi="Times New Roman" w:cs="Times New Roman"/>
              <w:sz w:val="24"/>
              <w:szCs w:val="24"/>
            </w:rPr>
            <w:fldChar w:fldCharType="end"/>
          </w:r>
        </w:p>
      </w:sdtContent>
    </w:sdt>
    <w:p w:rsidR="00D56E99" w:rsidRPr="00A91E83" w:rsidRDefault="00440CCE" w:rsidP="00952E74">
      <w:pPr>
        <w:pStyle w:val="Antrat1"/>
        <w:jc w:val="center"/>
        <w:rPr>
          <w:rFonts w:ascii="Times New Roman" w:hAnsi="Times New Roman" w:cs="Times New Roman"/>
          <w:sz w:val="24"/>
          <w:szCs w:val="24"/>
        </w:rPr>
      </w:pPr>
      <w:r w:rsidRPr="00A91E83">
        <w:rPr>
          <w:rFonts w:ascii="Times New Roman" w:hAnsi="Times New Roman" w:cs="Times New Roman"/>
          <w:sz w:val="24"/>
          <w:szCs w:val="24"/>
        </w:rPr>
        <w:br w:type="page"/>
      </w:r>
      <w:bookmarkStart w:id="0" w:name="_Toc280546440"/>
      <w:r w:rsidR="00D56E99" w:rsidRPr="00A91E83">
        <w:rPr>
          <w:rFonts w:ascii="Times New Roman" w:hAnsi="Times New Roman" w:cs="Times New Roman"/>
          <w:sz w:val="24"/>
          <w:szCs w:val="24"/>
        </w:rPr>
        <w:lastRenderedPageBreak/>
        <w:t>ĮVADAS</w:t>
      </w:r>
      <w:bookmarkEnd w:id="0"/>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b/>
          <w:sz w:val="24"/>
          <w:szCs w:val="24"/>
        </w:rPr>
        <w:tab/>
        <w:t>Tyrimo aktualumas ir teisinė problema.</w:t>
      </w:r>
      <w:r w:rsidRPr="00A91E83">
        <w:rPr>
          <w:rFonts w:ascii="Times New Roman" w:hAnsi="Times New Roman" w:cs="Times New Roman"/>
          <w:sz w:val="24"/>
          <w:szCs w:val="24"/>
        </w:rPr>
        <w:t xml:space="preserve"> Vis daugiau valstybių, kuriose įskaitymas nemokumo atveju yra draudžiamas priimami teisės aktai, kurie leidžia tam tikras išimtis. Anglo-saksų valstybės seniai pripažino įskaitymą nemokumo atveju, Romanų-germanų valstybėse ir Napoleoniškose jurisdikcijose įskaitymas </w:t>
      </w:r>
      <w:r w:rsidR="00DB23E3" w:rsidRPr="00A91E83">
        <w:rPr>
          <w:rFonts w:ascii="Times New Roman" w:hAnsi="Times New Roman" w:cs="Times New Roman"/>
          <w:sz w:val="24"/>
          <w:szCs w:val="24"/>
        </w:rPr>
        <w:t xml:space="preserve">yra </w:t>
      </w:r>
      <w:r w:rsidRPr="00A91E83">
        <w:rPr>
          <w:rFonts w:ascii="Times New Roman" w:hAnsi="Times New Roman" w:cs="Times New Roman"/>
          <w:sz w:val="24"/>
          <w:szCs w:val="24"/>
        </w:rPr>
        <w:t>leidžiamas, kai abi šalys mokios, o nemokumo</w:t>
      </w:r>
      <w:r w:rsidR="00DB23E3" w:rsidRPr="00A91E83">
        <w:rPr>
          <w:rFonts w:ascii="Times New Roman" w:hAnsi="Times New Roman" w:cs="Times New Roman"/>
          <w:sz w:val="24"/>
          <w:szCs w:val="24"/>
        </w:rPr>
        <w:t xml:space="preserve"> </w:t>
      </w:r>
      <w:r w:rsidRPr="00A91E83">
        <w:rPr>
          <w:rFonts w:ascii="Times New Roman" w:hAnsi="Times New Roman" w:cs="Times New Roman"/>
          <w:sz w:val="24"/>
          <w:szCs w:val="24"/>
        </w:rPr>
        <w:t xml:space="preserve">atveju </w:t>
      </w:r>
      <w:r w:rsidR="00DB23E3" w:rsidRPr="00A91E83">
        <w:rPr>
          <w:rFonts w:ascii="Times New Roman" w:hAnsi="Times New Roman" w:cs="Times New Roman"/>
          <w:sz w:val="24"/>
          <w:szCs w:val="24"/>
        </w:rPr>
        <w:t xml:space="preserve">– </w:t>
      </w:r>
      <w:r w:rsidRPr="00A91E83">
        <w:rPr>
          <w:rFonts w:ascii="Times New Roman" w:hAnsi="Times New Roman" w:cs="Times New Roman"/>
          <w:sz w:val="24"/>
          <w:szCs w:val="24"/>
        </w:rPr>
        <w:t>ribojamas. Įskaitymo teisinis reguliavimas niekur nėra panašus, jis toks skirtingas, kaip pirštų antspaudai.</w:t>
      </w:r>
      <w:r w:rsidRPr="00A91E83">
        <w:rPr>
          <w:rStyle w:val="Puslapioinaosnuoroda"/>
          <w:rFonts w:ascii="Times New Roman" w:hAnsi="Times New Roman" w:cs="Times New Roman"/>
          <w:sz w:val="24"/>
          <w:szCs w:val="24"/>
        </w:rPr>
        <w:footnoteReference w:id="1"/>
      </w:r>
      <w:r w:rsidRPr="00A91E83">
        <w:rPr>
          <w:rFonts w:ascii="Times New Roman" w:hAnsi="Times New Roman" w:cs="Times New Roman"/>
          <w:sz w:val="24"/>
          <w:szCs w:val="24"/>
        </w:rPr>
        <w:t xml:space="preserve"> Vis dėlto pastaraisiais metais tarp minėtų skirtingų jurisdikcijų teisinio reguliavimo skirtumai siaurėja. Paminėtina, kad Austrijos, Čekijos, Danijos, Suomijos, Vokietijos, Lenkijos, Vengrijos, Slovakijos, Slovėnijos, Švedijos ir Šveicarijos valstybės, kurios priklauso Romanų-germanų šeimai</w:t>
      </w:r>
      <w:r w:rsidR="00C1309A" w:rsidRPr="00A91E83">
        <w:rPr>
          <w:rFonts w:ascii="Times New Roman" w:hAnsi="Times New Roman" w:cs="Times New Roman"/>
          <w:sz w:val="24"/>
          <w:szCs w:val="24"/>
        </w:rPr>
        <w:t>,</w:t>
      </w:r>
      <w:r w:rsidR="00CE1787" w:rsidRPr="00A91E83">
        <w:rPr>
          <w:rStyle w:val="Puslapioinaosnuoroda"/>
          <w:rFonts w:ascii="Times New Roman" w:hAnsi="Times New Roman" w:cs="Times New Roman"/>
          <w:sz w:val="24"/>
          <w:szCs w:val="24"/>
        </w:rPr>
        <w:footnoteReference w:id="2"/>
      </w:r>
      <w:r w:rsidR="00C1309A" w:rsidRPr="00A91E83">
        <w:rPr>
          <w:rFonts w:ascii="Times New Roman" w:hAnsi="Times New Roman" w:cs="Times New Roman"/>
          <w:sz w:val="24"/>
          <w:szCs w:val="24"/>
        </w:rPr>
        <w:t xml:space="preserve"> kaip ir Lietuva,</w:t>
      </w:r>
      <w:r w:rsidRPr="00A91E83">
        <w:rPr>
          <w:rFonts w:ascii="Times New Roman" w:hAnsi="Times New Roman" w:cs="Times New Roman"/>
          <w:sz w:val="24"/>
          <w:szCs w:val="24"/>
        </w:rPr>
        <w:t xml:space="preserve"> ilgą laiką absoliučia</w:t>
      </w:r>
      <w:r w:rsidR="00DB23E3" w:rsidRPr="00A91E83">
        <w:rPr>
          <w:rFonts w:ascii="Times New Roman" w:hAnsi="Times New Roman" w:cs="Times New Roman"/>
          <w:sz w:val="24"/>
          <w:szCs w:val="24"/>
        </w:rPr>
        <w:t>i draudusios įskaitymo galimybę</w:t>
      </w:r>
      <w:r w:rsidRPr="00A91E83">
        <w:rPr>
          <w:rFonts w:ascii="Times New Roman" w:hAnsi="Times New Roman" w:cs="Times New Roman"/>
          <w:sz w:val="24"/>
          <w:szCs w:val="24"/>
        </w:rPr>
        <w:t xml:space="preserve"> nemokumo atveju priėmė teisės aktus, kurie leidžia tam tikras užskaitos išimtis.</w:t>
      </w:r>
      <w:r w:rsidRPr="00A91E83">
        <w:rPr>
          <w:rStyle w:val="Puslapioinaosnuoroda"/>
          <w:rFonts w:ascii="Times New Roman" w:hAnsi="Times New Roman" w:cs="Times New Roman"/>
          <w:sz w:val="24"/>
          <w:szCs w:val="24"/>
        </w:rPr>
        <w:footnoteReference w:id="3"/>
      </w:r>
      <w:r w:rsidRPr="00A91E83">
        <w:rPr>
          <w:rFonts w:ascii="Times New Roman" w:hAnsi="Times New Roman" w:cs="Times New Roman"/>
          <w:sz w:val="24"/>
          <w:szCs w:val="24"/>
        </w:rPr>
        <w:t xml:space="preserve"> Dažniausiai tokios išimtys padaromos sandorių dėl išvestinių finansinių priemonių atžvilgiu. Pripaž</w:t>
      </w:r>
      <w:r w:rsidR="002142D4" w:rsidRPr="00A91E83">
        <w:rPr>
          <w:rFonts w:ascii="Times New Roman" w:hAnsi="Times New Roman" w:cs="Times New Roman"/>
          <w:sz w:val="24"/>
          <w:szCs w:val="24"/>
        </w:rPr>
        <w:t>įstama, jog klasikiniai privatinės teisės institutai</w:t>
      </w:r>
      <w:r w:rsidRPr="00A91E83">
        <w:rPr>
          <w:rFonts w:ascii="Times New Roman" w:hAnsi="Times New Roman" w:cs="Times New Roman"/>
          <w:sz w:val="24"/>
          <w:szCs w:val="24"/>
        </w:rPr>
        <w:t xml:space="preserve">: prievolių įvykdymo užtikrinimo </w:t>
      </w:r>
      <w:r w:rsidR="002142D4" w:rsidRPr="00A91E83">
        <w:rPr>
          <w:rFonts w:ascii="Times New Roman" w:hAnsi="Times New Roman" w:cs="Times New Roman"/>
          <w:sz w:val="24"/>
          <w:szCs w:val="24"/>
        </w:rPr>
        <w:t>ir</w:t>
      </w:r>
      <w:r w:rsidRPr="00A91E83">
        <w:rPr>
          <w:rFonts w:ascii="Times New Roman" w:hAnsi="Times New Roman" w:cs="Times New Roman"/>
          <w:sz w:val="24"/>
          <w:szCs w:val="24"/>
        </w:rPr>
        <w:t xml:space="preserve"> įskaitymo, teisinis reguliavimas nevisiškai patenkina dabartinius modernios rinkos poreikius. Prievolių įvykdymo užtikrinimo režimas buvo kurtas ir vystėsi turint galvoje tik materialių daiktų įkeitimą. Rinkos situacijai pasikeitus, kai finansinis turtas tapo pagrindiniu ir svarbiausiu bendrovių turtu, teisinis reguliavimas </w:t>
      </w:r>
      <w:r w:rsidR="002142D4" w:rsidRPr="00A91E83">
        <w:rPr>
          <w:rFonts w:ascii="Times New Roman" w:hAnsi="Times New Roman" w:cs="Times New Roman"/>
          <w:sz w:val="24"/>
          <w:szCs w:val="24"/>
        </w:rPr>
        <w:t xml:space="preserve">atitinkamai </w:t>
      </w:r>
      <w:r w:rsidRPr="00A91E83">
        <w:rPr>
          <w:rFonts w:ascii="Times New Roman" w:hAnsi="Times New Roman" w:cs="Times New Roman"/>
          <w:sz w:val="24"/>
          <w:szCs w:val="24"/>
        </w:rPr>
        <w:t xml:space="preserve">dar nėra </w:t>
      </w:r>
      <w:r w:rsidR="00C1309A" w:rsidRPr="00A91E83">
        <w:rPr>
          <w:rFonts w:ascii="Times New Roman" w:hAnsi="Times New Roman" w:cs="Times New Roman"/>
          <w:sz w:val="24"/>
          <w:szCs w:val="24"/>
        </w:rPr>
        <w:t xml:space="preserve">visiškai </w:t>
      </w:r>
      <w:r w:rsidRPr="00A91E83">
        <w:rPr>
          <w:rFonts w:ascii="Times New Roman" w:hAnsi="Times New Roman" w:cs="Times New Roman"/>
          <w:sz w:val="24"/>
          <w:szCs w:val="24"/>
        </w:rPr>
        <w:t xml:space="preserve">adaptuotas. Taip pat atkreiptinas dėmesys, jog anksčiau, bendrovės dažniausiai arba pirkdavo, arba tik parduodavo kitoms bendrovėms. Retai tai darė vienu metu. Todėl egzistavo tik mažas poreikis, jeigu išvis, įskaityti priešpriešinius įsipareigojimus. Visiškai kitokia situacija susidarė tarp dabartinių bendrovių, kurios daugiausiai </w:t>
      </w:r>
      <w:r w:rsidR="00C1309A" w:rsidRPr="00A91E83">
        <w:rPr>
          <w:rFonts w:ascii="Times New Roman" w:hAnsi="Times New Roman" w:cs="Times New Roman"/>
          <w:sz w:val="24"/>
          <w:szCs w:val="24"/>
        </w:rPr>
        <w:t xml:space="preserve">generuoja ir </w:t>
      </w:r>
      <w:r w:rsidRPr="00A91E83">
        <w:rPr>
          <w:rFonts w:ascii="Times New Roman" w:hAnsi="Times New Roman" w:cs="Times New Roman"/>
          <w:sz w:val="24"/>
          <w:szCs w:val="24"/>
        </w:rPr>
        <w:t xml:space="preserve">operuoja </w:t>
      </w:r>
      <w:r w:rsidR="007339B6" w:rsidRPr="00A91E83">
        <w:rPr>
          <w:rFonts w:ascii="Times New Roman" w:hAnsi="Times New Roman" w:cs="Times New Roman"/>
          <w:sz w:val="24"/>
          <w:szCs w:val="24"/>
        </w:rPr>
        <w:t xml:space="preserve">finansiniu turtu, o ypač finansų pasaulio žaidėjai, </w:t>
      </w:r>
      <w:proofErr w:type="spellStart"/>
      <w:r w:rsidR="007339B6" w:rsidRPr="00A91E83">
        <w:rPr>
          <w:rFonts w:ascii="Times New Roman" w:hAnsi="Times New Roman" w:cs="Times New Roman"/>
          <w:sz w:val="24"/>
          <w:szCs w:val="24"/>
        </w:rPr>
        <w:t>pvz</w:t>
      </w:r>
      <w:proofErr w:type="spellEnd"/>
      <w:r w:rsidR="007339B6" w:rsidRPr="00A91E83">
        <w:rPr>
          <w:rFonts w:ascii="Times New Roman" w:hAnsi="Times New Roman" w:cs="Times New Roman"/>
          <w:sz w:val="24"/>
          <w:szCs w:val="24"/>
        </w:rPr>
        <w:t>.:</w:t>
      </w:r>
      <w:r w:rsidRPr="00A91E83">
        <w:rPr>
          <w:rFonts w:ascii="Times New Roman" w:hAnsi="Times New Roman" w:cs="Times New Roman"/>
          <w:sz w:val="24"/>
          <w:szCs w:val="24"/>
        </w:rPr>
        <w:t xml:space="preserve"> bankai. Pastarieji kasdien sudaro ir perleidžia kelis tūkstančius sandorių dėl išvestinių finansinių priemonių. Susidaro situacija, kad sudarom</w:t>
      </w:r>
      <w:r w:rsidR="002142D4" w:rsidRPr="00A91E83">
        <w:rPr>
          <w:rFonts w:ascii="Times New Roman" w:hAnsi="Times New Roman" w:cs="Times New Roman"/>
          <w:sz w:val="24"/>
          <w:szCs w:val="24"/>
        </w:rPr>
        <w:t>ų</w:t>
      </w:r>
      <w:r w:rsidRPr="00A91E83">
        <w:rPr>
          <w:rFonts w:ascii="Times New Roman" w:hAnsi="Times New Roman" w:cs="Times New Roman"/>
          <w:sz w:val="24"/>
          <w:szCs w:val="24"/>
        </w:rPr>
        <w:t xml:space="preserve"> sandorių bendroji vertė yra labai didelė, tačiau grynieji pervedimai, kurie iš tikrųjų atliekami</w:t>
      </w:r>
      <w:r w:rsidR="002142D4" w:rsidRPr="00A91E83">
        <w:rPr>
          <w:rFonts w:ascii="Times New Roman" w:hAnsi="Times New Roman" w:cs="Times New Roman"/>
          <w:sz w:val="24"/>
          <w:szCs w:val="24"/>
        </w:rPr>
        <w:t>,</w:t>
      </w:r>
      <w:r w:rsidRPr="00A91E83">
        <w:rPr>
          <w:rFonts w:ascii="Times New Roman" w:hAnsi="Times New Roman" w:cs="Times New Roman"/>
          <w:sz w:val="24"/>
          <w:szCs w:val="24"/>
        </w:rPr>
        <w:t xml:space="preserve"> yra santykinai maži.</w:t>
      </w:r>
      <w:r w:rsidRPr="00A91E83">
        <w:rPr>
          <w:rStyle w:val="Puslapioinaosnuoroda"/>
          <w:rFonts w:ascii="Times New Roman" w:hAnsi="Times New Roman" w:cs="Times New Roman"/>
          <w:sz w:val="24"/>
          <w:szCs w:val="24"/>
        </w:rPr>
        <w:footnoteReference w:id="4"/>
      </w:r>
      <w:r w:rsidRPr="00A91E83">
        <w:rPr>
          <w:rFonts w:ascii="Times New Roman" w:hAnsi="Times New Roman" w:cs="Times New Roman"/>
          <w:sz w:val="24"/>
          <w:szCs w:val="24"/>
        </w:rPr>
        <w:t xml:space="preserve"> Tyrimo objektas – užskaita</w:t>
      </w:r>
      <w:r w:rsidR="00BC4CF7" w:rsidRPr="00A91E83">
        <w:rPr>
          <w:rFonts w:ascii="Times New Roman" w:hAnsi="Times New Roman" w:cs="Times New Roman"/>
          <w:sz w:val="24"/>
          <w:szCs w:val="24"/>
        </w:rPr>
        <w:t>,</w:t>
      </w:r>
      <w:r w:rsidRPr="00A91E83">
        <w:rPr>
          <w:rFonts w:ascii="Times New Roman" w:hAnsi="Times New Roman" w:cs="Times New Roman"/>
          <w:sz w:val="24"/>
          <w:szCs w:val="24"/>
        </w:rPr>
        <w:t xml:space="preserve"> siūlo patogų mechanizmą, kuris efektyviai kontroliuoja priešpriešinių reikalavimų mokumo riziką. Tačiau, tai sugriauna kreditorių lygiateisiškumo paradigmą, jeigu ši mokumo rizikos kontrolė įsiterpia į bankroto procesą. Autoriaus nuomone, tvirti teisinio reguliavimo žingsniai turi būti žengti ir Lietuvoje, numatant tam tikras išlygas iš kreditorių lygiateisiškumo principo dėl specifinio išvestinių finansinių priemonių pobūdžio ir dėl sisteminės rizikos kontrolės.</w:t>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lastRenderedPageBreak/>
        <w:tab/>
        <w:t xml:space="preserve">Pripažįstama, jog išvestinių finansinių priemonių vertės pokyčiai yra ypatingai jautrūs rinkos svyravimams ir nuotaikoms. Todėl rinkos dalyviams prekiaujantiems minėtomis finansinėmis priemonėmis itin svarbu, kad </w:t>
      </w:r>
      <w:r w:rsidR="00242016" w:rsidRPr="00A91E83">
        <w:rPr>
          <w:rFonts w:ascii="Times New Roman" w:hAnsi="Times New Roman" w:cs="Times New Roman"/>
          <w:sz w:val="24"/>
          <w:szCs w:val="24"/>
        </w:rPr>
        <w:t>išvestiniai finansiniai</w:t>
      </w:r>
      <w:r w:rsidRPr="00A91E83">
        <w:rPr>
          <w:rFonts w:ascii="Times New Roman" w:hAnsi="Times New Roman" w:cs="Times New Roman"/>
          <w:sz w:val="24"/>
          <w:szCs w:val="24"/>
        </w:rPr>
        <w:t xml:space="preserve"> instrumentai galėtų būti </w:t>
      </w:r>
      <w:r w:rsidR="00242016" w:rsidRPr="00A91E83">
        <w:rPr>
          <w:rFonts w:ascii="Times New Roman" w:hAnsi="Times New Roman" w:cs="Times New Roman"/>
          <w:sz w:val="24"/>
          <w:szCs w:val="24"/>
        </w:rPr>
        <w:t>greitai įvertinti ir realizuoti</w:t>
      </w:r>
      <w:r w:rsidRPr="00A91E83">
        <w:rPr>
          <w:rFonts w:ascii="Times New Roman" w:hAnsi="Times New Roman" w:cs="Times New Roman"/>
          <w:sz w:val="24"/>
          <w:szCs w:val="24"/>
        </w:rPr>
        <w:t xml:space="preserve">. Bankrotas yra natūralus ir neišvengiamas kapitalizmo veiksnys, tačiau jo padaroma žala finansų pasaulio žaidėjams gali būti daug didesnė nei bendrovių, kurios turi mažiau finansinio turto. Mūsų nuomone, netikslinga įtraukti kreditorių į ilgą bankroto procesą, kur nors ir būdamas prioritetą turintis kreditorius, </w:t>
      </w:r>
      <w:proofErr w:type="spellStart"/>
      <w:r w:rsidRPr="00A91E83">
        <w:rPr>
          <w:rFonts w:ascii="Times New Roman" w:hAnsi="Times New Roman" w:cs="Times New Roman"/>
          <w:sz w:val="24"/>
          <w:szCs w:val="24"/>
        </w:rPr>
        <w:t>pvz</w:t>
      </w:r>
      <w:proofErr w:type="spellEnd"/>
      <w:r w:rsidRPr="00A91E83">
        <w:rPr>
          <w:rFonts w:ascii="Times New Roman" w:hAnsi="Times New Roman" w:cs="Times New Roman"/>
          <w:sz w:val="24"/>
          <w:szCs w:val="24"/>
        </w:rPr>
        <w:t xml:space="preserve">.: turintis finansinį </w:t>
      </w:r>
      <w:r w:rsidR="0007020F" w:rsidRPr="00A91E83">
        <w:rPr>
          <w:rFonts w:ascii="Times New Roman" w:hAnsi="Times New Roman" w:cs="Times New Roman"/>
          <w:sz w:val="24"/>
          <w:szCs w:val="24"/>
        </w:rPr>
        <w:t>užstatą,</w:t>
      </w:r>
      <w:r w:rsidRPr="00A91E83">
        <w:rPr>
          <w:rFonts w:ascii="Times New Roman" w:hAnsi="Times New Roman" w:cs="Times New Roman"/>
          <w:sz w:val="24"/>
          <w:szCs w:val="24"/>
        </w:rPr>
        <w:t xml:space="preserve"> susijusį su išvestinėmis finansinėmis priemonėmis, kaip prievolių įvykdymo užtikrinimą, gali atsidurti tokioje pat prastoje padėtyje, kaip ir neapsaugotas kreditorius, jeigu minėto turto rinkos vertė rinkoje ženkliai nukris. Sumažėjusi finansinio </w:t>
      </w:r>
      <w:r w:rsidR="0007020F" w:rsidRPr="00A91E83">
        <w:rPr>
          <w:rFonts w:ascii="Times New Roman" w:hAnsi="Times New Roman" w:cs="Times New Roman"/>
          <w:sz w:val="24"/>
          <w:szCs w:val="24"/>
        </w:rPr>
        <w:t>užstato</w:t>
      </w:r>
      <w:r w:rsidRPr="00A91E83">
        <w:rPr>
          <w:rFonts w:ascii="Times New Roman" w:hAnsi="Times New Roman" w:cs="Times New Roman"/>
          <w:sz w:val="24"/>
          <w:szCs w:val="24"/>
        </w:rPr>
        <w:t xml:space="preserve"> vertė neatliks prievolių įvykdymo užtikrinimo funkcijų. Tokiu atveju, pritartina George Soros nuomonei, jog išvestinės finansinės priemonės prilyginamos „</w:t>
      </w:r>
      <w:proofErr w:type="spellStart"/>
      <w:r w:rsidRPr="00A91E83">
        <w:rPr>
          <w:rFonts w:ascii="Times New Roman" w:hAnsi="Times New Roman" w:cs="Times New Roman"/>
          <w:sz w:val="24"/>
          <w:szCs w:val="24"/>
        </w:rPr>
        <w:t>Damoklo</w:t>
      </w:r>
      <w:proofErr w:type="spellEnd"/>
      <w:r w:rsidRPr="00A91E83">
        <w:rPr>
          <w:rFonts w:ascii="Times New Roman" w:hAnsi="Times New Roman" w:cs="Times New Roman"/>
          <w:sz w:val="24"/>
          <w:szCs w:val="24"/>
        </w:rPr>
        <w:t xml:space="preserve"> kardui“ </w:t>
      </w:r>
      <w:r w:rsidR="0007020F" w:rsidRPr="00A91E83">
        <w:rPr>
          <w:rFonts w:ascii="Times New Roman" w:hAnsi="Times New Roman" w:cs="Times New Roman"/>
          <w:sz w:val="24"/>
          <w:szCs w:val="24"/>
        </w:rPr>
        <w:t xml:space="preserve">kabančiu </w:t>
      </w:r>
      <w:r w:rsidRPr="00A91E83">
        <w:rPr>
          <w:rFonts w:ascii="Times New Roman" w:hAnsi="Times New Roman" w:cs="Times New Roman"/>
          <w:sz w:val="24"/>
          <w:szCs w:val="24"/>
        </w:rPr>
        <w:t>virš finansų rinkos</w:t>
      </w:r>
      <w:r w:rsidR="000406AF" w:rsidRPr="00A91E83">
        <w:rPr>
          <w:rFonts w:ascii="Times New Roman" w:hAnsi="Times New Roman" w:cs="Times New Roman"/>
          <w:sz w:val="24"/>
          <w:szCs w:val="24"/>
        </w:rPr>
        <w:t>,</w:t>
      </w:r>
      <w:r w:rsidRPr="00A91E83">
        <w:rPr>
          <w:rStyle w:val="Puslapioinaosnuoroda"/>
          <w:rFonts w:ascii="Times New Roman" w:hAnsi="Times New Roman" w:cs="Times New Roman"/>
          <w:sz w:val="24"/>
          <w:szCs w:val="24"/>
        </w:rPr>
        <w:footnoteReference w:id="5"/>
      </w:r>
      <w:r w:rsidRPr="00A91E83">
        <w:rPr>
          <w:rFonts w:ascii="Times New Roman" w:hAnsi="Times New Roman" w:cs="Times New Roman"/>
          <w:sz w:val="24"/>
          <w:szCs w:val="24"/>
        </w:rPr>
        <w:t xml:space="preserve"> nes rinkos dalyviai nėra garantuoti, ar jų prievolių įvykdymo užtikrinimas suteikia pakankamą apsaugą šalies nemokumo atveju. Užskaita siūlo galimybę apskaičiuoti esamus šalių įsipareigojimus, sujungiant juos į vieną mokėtiną sumą, net ir prasidėjus bankroto procedūroms. Atsižvelgiant į</w:t>
      </w:r>
      <w:r w:rsidR="0007020F" w:rsidRPr="00A91E83">
        <w:rPr>
          <w:rFonts w:ascii="Times New Roman" w:hAnsi="Times New Roman" w:cs="Times New Roman"/>
          <w:sz w:val="24"/>
          <w:szCs w:val="24"/>
        </w:rPr>
        <w:t xml:space="preserve"> šalių susitarimą, priešpriešiniai įsipareigojimai</w:t>
      </w:r>
      <w:r w:rsidR="00817488" w:rsidRPr="00A91E83">
        <w:rPr>
          <w:rFonts w:ascii="Times New Roman" w:hAnsi="Times New Roman" w:cs="Times New Roman"/>
          <w:sz w:val="24"/>
          <w:szCs w:val="24"/>
        </w:rPr>
        <w:t xml:space="preserve"> konvertuojami į mokėtinas sumas ir įskaitomi</w:t>
      </w:r>
      <w:r w:rsidRPr="00A91E83">
        <w:rPr>
          <w:rFonts w:ascii="Times New Roman" w:hAnsi="Times New Roman" w:cs="Times New Roman"/>
          <w:sz w:val="24"/>
          <w:szCs w:val="24"/>
        </w:rPr>
        <w:t>,</w:t>
      </w:r>
      <w:r w:rsidR="00F2102F" w:rsidRPr="00A91E83">
        <w:rPr>
          <w:rFonts w:ascii="Times New Roman" w:hAnsi="Times New Roman" w:cs="Times New Roman"/>
          <w:sz w:val="24"/>
          <w:szCs w:val="24"/>
        </w:rPr>
        <w:t xml:space="preserve"> kartu įtraukiant </w:t>
      </w:r>
      <w:r w:rsidRPr="00A91E83">
        <w:rPr>
          <w:rFonts w:ascii="Times New Roman" w:hAnsi="Times New Roman" w:cs="Times New Roman"/>
          <w:sz w:val="24"/>
          <w:szCs w:val="24"/>
        </w:rPr>
        <w:t>p</w:t>
      </w:r>
      <w:r w:rsidR="00F2102F" w:rsidRPr="00A91E83">
        <w:rPr>
          <w:rFonts w:ascii="Times New Roman" w:hAnsi="Times New Roman" w:cs="Times New Roman"/>
          <w:sz w:val="24"/>
          <w:szCs w:val="24"/>
        </w:rPr>
        <w:t>ateikto finansinio užstato vertę</w:t>
      </w:r>
      <w:r w:rsidRPr="00A91E83">
        <w:rPr>
          <w:rFonts w:ascii="Times New Roman" w:hAnsi="Times New Roman" w:cs="Times New Roman"/>
          <w:sz w:val="24"/>
          <w:szCs w:val="24"/>
        </w:rPr>
        <w:t xml:space="preserve"> </w:t>
      </w:r>
      <w:r w:rsidR="00F2102F" w:rsidRPr="00A91E83">
        <w:rPr>
          <w:rFonts w:ascii="Times New Roman" w:hAnsi="Times New Roman" w:cs="Times New Roman"/>
          <w:sz w:val="24"/>
          <w:szCs w:val="24"/>
        </w:rPr>
        <w:t xml:space="preserve">į </w:t>
      </w:r>
      <w:r w:rsidRPr="00A91E83">
        <w:rPr>
          <w:rFonts w:ascii="Times New Roman" w:hAnsi="Times New Roman" w:cs="Times New Roman"/>
          <w:sz w:val="24"/>
          <w:szCs w:val="24"/>
        </w:rPr>
        <w:t>galutinį reikalavimų balansą. Toks kompleksinis mechanizmas aktyvuojamas prasidėjus bankroto procedūroms ir pabaigiamas per kelias dienas siekiant užtikrinti, kad šalių įsipareigojimai</w:t>
      </w:r>
      <w:r w:rsidR="00BD5B01" w:rsidRPr="00A91E83">
        <w:rPr>
          <w:rFonts w:ascii="Times New Roman" w:hAnsi="Times New Roman" w:cs="Times New Roman"/>
          <w:sz w:val="24"/>
          <w:szCs w:val="24"/>
        </w:rPr>
        <w:t xml:space="preserve"> ir perduotas finansinis užstatas</w:t>
      </w:r>
      <w:r w:rsidRPr="00A91E83">
        <w:rPr>
          <w:rFonts w:ascii="Times New Roman" w:hAnsi="Times New Roman" w:cs="Times New Roman"/>
          <w:sz w:val="24"/>
          <w:szCs w:val="24"/>
        </w:rPr>
        <w:t xml:space="preserve"> atspindėtų realią rinkos vertę.</w:t>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t>Kita priežastis, kodėl turėtų būti padaroma išimtis iš kreditorių lygiateisiškumo principo, susijusi su sisteminės rizikos valdymu.</w:t>
      </w:r>
      <w:r w:rsidRPr="00A91E83">
        <w:rPr>
          <w:rStyle w:val="Puslapioinaosnuoroda"/>
          <w:rFonts w:ascii="Times New Roman" w:hAnsi="Times New Roman" w:cs="Times New Roman"/>
          <w:sz w:val="24"/>
          <w:szCs w:val="24"/>
        </w:rPr>
        <w:footnoteReference w:id="6"/>
      </w:r>
      <w:r w:rsidRPr="00A91E83">
        <w:rPr>
          <w:rFonts w:ascii="Times New Roman" w:hAnsi="Times New Roman" w:cs="Times New Roman"/>
          <w:sz w:val="24"/>
          <w:szCs w:val="24"/>
        </w:rPr>
        <w:t xml:space="preserve"> Jeigu būtų leidžiamas minėtas platus tarpusavio užskaitos mechanizmas, tai ženkliai sumažintų, visų pirma, bankų, kurie yra vieni didžiausių prekeivių išvestinėmis finansinėmis priemonėmis sisteminės griūties riziką. Paminėtina, ka</w:t>
      </w:r>
      <w:r w:rsidR="00E939F0" w:rsidRPr="00A91E83">
        <w:rPr>
          <w:rFonts w:ascii="Times New Roman" w:hAnsi="Times New Roman" w:cs="Times New Roman"/>
          <w:sz w:val="24"/>
          <w:szCs w:val="24"/>
        </w:rPr>
        <w:t xml:space="preserve">d </w:t>
      </w:r>
      <w:proofErr w:type="spellStart"/>
      <w:r w:rsidR="00E939F0" w:rsidRPr="00A91E83">
        <w:rPr>
          <w:rFonts w:ascii="Times New Roman" w:hAnsi="Times New Roman" w:cs="Times New Roman"/>
          <w:sz w:val="24"/>
          <w:szCs w:val="24"/>
        </w:rPr>
        <w:t>pvz</w:t>
      </w:r>
      <w:proofErr w:type="spellEnd"/>
      <w:r w:rsidR="00E939F0" w:rsidRPr="00A91E83">
        <w:rPr>
          <w:rFonts w:ascii="Times New Roman" w:hAnsi="Times New Roman" w:cs="Times New Roman"/>
          <w:sz w:val="24"/>
          <w:szCs w:val="24"/>
        </w:rPr>
        <w:t>.: JAV 5 bankai sudaro</w:t>
      </w:r>
      <w:r w:rsidRPr="00A91E83">
        <w:rPr>
          <w:rFonts w:ascii="Times New Roman" w:hAnsi="Times New Roman" w:cs="Times New Roman"/>
          <w:sz w:val="24"/>
          <w:szCs w:val="24"/>
        </w:rPr>
        <w:t xml:space="preserve"> 96% visų sandorių dėl išvestinių finansinių priemonių.</w:t>
      </w:r>
      <w:r w:rsidRPr="00A91E83">
        <w:rPr>
          <w:rStyle w:val="Puslapioinaosnuoroda"/>
          <w:rFonts w:ascii="Times New Roman" w:hAnsi="Times New Roman" w:cs="Times New Roman"/>
          <w:sz w:val="24"/>
          <w:szCs w:val="24"/>
        </w:rPr>
        <w:footnoteReference w:id="7"/>
      </w:r>
    </w:p>
    <w:p w:rsidR="00D56E99" w:rsidRPr="00A91E83" w:rsidRDefault="00D56E99" w:rsidP="00D56E99">
      <w:pPr>
        <w:tabs>
          <w:tab w:val="left" w:pos="851"/>
          <w:tab w:val="left" w:pos="1701"/>
        </w:tabs>
        <w:spacing w:after="0" w:line="360" w:lineRule="auto"/>
        <w:jc w:val="center"/>
        <w:rPr>
          <w:rFonts w:ascii="Times New Roman" w:hAnsi="Times New Roman" w:cs="Times New Roman"/>
          <w:sz w:val="24"/>
          <w:szCs w:val="24"/>
        </w:rPr>
      </w:pPr>
    </w:p>
    <w:p w:rsidR="009B552B" w:rsidRPr="00A91E83" w:rsidRDefault="009B552B" w:rsidP="00D56E99">
      <w:pPr>
        <w:tabs>
          <w:tab w:val="left" w:pos="851"/>
          <w:tab w:val="left" w:pos="1701"/>
        </w:tabs>
        <w:spacing w:after="0" w:line="360" w:lineRule="auto"/>
        <w:jc w:val="center"/>
        <w:rPr>
          <w:rFonts w:ascii="Times New Roman" w:hAnsi="Times New Roman" w:cs="Times New Roman"/>
          <w:sz w:val="24"/>
          <w:szCs w:val="24"/>
        </w:rPr>
      </w:pPr>
    </w:p>
    <w:p w:rsidR="009B552B" w:rsidRPr="00A91E83" w:rsidRDefault="009B552B" w:rsidP="00D56E99">
      <w:pPr>
        <w:tabs>
          <w:tab w:val="left" w:pos="851"/>
          <w:tab w:val="left" w:pos="1701"/>
        </w:tabs>
        <w:spacing w:after="0" w:line="360" w:lineRule="auto"/>
        <w:jc w:val="center"/>
        <w:rPr>
          <w:rFonts w:ascii="Times New Roman" w:hAnsi="Times New Roman" w:cs="Times New Roman"/>
          <w:sz w:val="24"/>
          <w:szCs w:val="24"/>
        </w:rPr>
      </w:pPr>
    </w:p>
    <w:p w:rsidR="009B552B" w:rsidRPr="00A91E83" w:rsidRDefault="009B552B" w:rsidP="00A91E83">
      <w:pPr>
        <w:tabs>
          <w:tab w:val="left" w:pos="851"/>
          <w:tab w:val="left" w:pos="1701"/>
        </w:tabs>
        <w:spacing w:after="0" w:line="360" w:lineRule="auto"/>
        <w:rPr>
          <w:rFonts w:ascii="Times New Roman" w:hAnsi="Times New Roman" w:cs="Times New Roman"/>
          <w:sz w:val="24"/>
          <w:szCs w:val="24"/>
        </w:rPr>
      </w:pPr>
    </w:p>
    <w:p w:rsidR="00D56E99" w:rsidRPr="00A91E83" w:rsidRDefault="00B57E0C" w:rsidP="00D56E99">
      <w:pPr>
        <w:tabs>
          <w:tab w:val="left" w:pos="851"/>
          <w:tab w:val="left" w:pos="17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Rizikos sumažinimo g</w:t>
      </w:r>
      <w:r w:rsidR="00D56E99" w:rsidRPr="00A91E83">
        <w:rPr>
          <w:rFonts w:ascii="Times New Roman" w:hAnsi="Times New Roman" w:cs="Times New Roman"/>
          <w:sz w:val="24"/>
          <w:szCs w:val="24"/>
        </w:rPr>
        <w:t xml:space="preserve">rafikas </w:t>
      </w:r>
      <w:proofErr w:type="spellStart"/>
      <w:r w:rsidR="00D56E99" w:rsidRPr="00A91E83">
        <w:rPr>
          <w:rFonts w:ascii="Times New Roman" w:hAnsi="Times New Roman" w:cs="Times New Roman"/>
          <w:sz w:val="24"/>
          <w:szCs w:val="24"/>
        </w:rPr>
        <w:t>Nr</w:t>
      </w:r>
      <w:proofErr w:type="spellEnd"/>
      <w:r w:rsidR="00D56E99" w:rsidRPr="00A91E83">
        <w:rPr>
          <w:rFonts w:ascii="Times New Roman" w:hAnsi="Times New Roman" w:cs="Times New Roman"/>
          <w:sz w:val="24"/>
          <w:szCs w:val="24"/>
        </w:rPr>
        <w:t>. 1</w:t>
      </w:r>
    </w:p>
    <w:p w:rsidR="00D56E99" w:rsidRPr="00A91E83" w:rsidRDefault="00D56E99" w:rsidP="00D56E99">
      <w:pPr>
        <w:jc w:val="center"/>
        <w:rPr>
          <w:rFonts w:ascii="Times New Roman" w:hAnsi="Times New Roman" w:cs="Times New Roman"/>
          <w:sz w:val="24"/>
          <w:szCs w:val="24"/>
        </w:rPr>
      </w:pPr>
      <w:r w:rsidRPr="00A91E83">
        <w:rPr>
          <w:rFonts w:ascii="Times New Roman" w:hAnsi="Times New Roman" w:cs="Times New Roman"/>
          <w:noProof/>
          <w:sz w:val="24"/>
          <w:szCs w:val="24"/>
          <w:lang w:val="en-GB" w:eastAsia="en-GB"/>
        </w:rPr>
        <w:drawing>
          <wp:inline distT="0" distB="0" distL="0" distR="0" wp14:anchorId="27AE4B1D" wp14:editId="648467DB">
            <wp:extent cx="4686300" cy="274320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0" cy="2743200"/>
                    </a:xfrm>
                    <a:prstGeom prst="rect">
                      <a:avLst/>
                    </a:prstGeom>
                    <a:noFill/>
                    <a:ln cmpd="sng">
                      <a:solidFill>
                        <a:schemeClr val="tx1"/>
                      </a:solidFill>
                    </a:ln>
                  </pic:spPr>
                </pic:pic>
              </a:graphicData>
            </a:graphic>
          </wp:inline>
        </w:drawing>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t>Pateiktas grafikas</w:t>
      </w:r>
      <w:r w:rsidR="00041CE1" w:rsidRPr="00A91E83">
        <w:rPr>
          <w:rStyle w:val="Puslapioinaosnuoroda"/>
          <w:rFonts w:ascii="Times New Roman" w:hAnsi="Times New Roman" w:cs="Times New Roman"/>
          <w:sz w:val="24"/>
          <w:szCs w:val="24"/>
        </w:rPr>
        <w:footnoteReference w:id="8"/>
      </w:r>
      <w:r w:rsidRPr="00A91E83">
        <w:rPr>
          <w:rFonts w:ascii="Times New Roman" w:hAnsi="Times New Roman" w:cs="Times New Roman"/>
          <w:sz w:val="24"/>
          <w:szCs w:val="24"/>
        </w:rPr>
        <w:t xml:space="preserve"> iliustruoja JAV (tamsesnė spalva) ir tarptautiniu lygiu (šviesesnė spalva) bankinio sektoriaus </w:t>
      </w:r>
      <w:r w:rsidR="005E024D" w:rsidRPr="00A91E83">
        <w:rPr>
          <w:rFonts w:ascii="Times New Roman" w:hAnsi="Times New Roman" w:cs="Times New Roman"/>
          <w:sz w:val="24"/>
          <w:szCs w:val="24"/>
        </w:rPr>
        <w:t xml:space="preserve">mokumo </w:t>
      </w:r>
      <w:r w:rsidRPr="00A91E83">
        <w:rPr>
          <w:rFonts w:ascii="Times New Roman" w:hAnsi="Times New Roman" w:cs="Times New Roman"/>
          <w:sz w:val="24"/>
          <w:szCs w:val="24"/>
        </w:rPr>
        <w:t>rizikos sumažinimą</w:t>
      </w:r>
      <w:r w:rsidR="000757D8" w:rsidRPr="00A91E83">
        <w:rPr>
          <w:rFonts w:ascii="Times New Roman" w:hAnsi="Times New Roman" w:cs="Times New Roman"/>
          <w:sz w:val="24"/>
          <w:szCs w:val="24"/>
        </w:rPr>
        <w:t>,</w:t>
      </w:r>
      <w:r w:rsidRPr="00A91E83">
        <w:rPr>
          <w:rFonts w:ascii="Times New Roman" w:hAnsi="Times New Roman" w:cs="Times New Roman"/>
          <w:sz w:val="24"/>
          <w:szCs w:val="24"/>
        </w:rPr>
        <w:t xml:space="preserve"> naudojant užskaitos instrumentą. Apskritai, užskaitos taikymas buvo lemiamas veiksnys sumažinęs finansų krizės sukrėtimo mastą.</w:t>
      </w:r>
      <w:r w:rsidRPr="00A91E83">
        <w:rPr>
          <w:rStyle w:val="Puslapioinaosnuoroda"/>
          <w:rFonts w:ascii="Times New Roman" w:hAnsi="Times New Roman" w:cs="Times New Roman"/>
          <w:sz w:val="24"/>
          <w:szCs w:val="24"/>
        </w:rPr>
        <w:footnoteReference w:id="9"/>
      </w:r>
      <w:r w:rsidRPr="00A91E83">
        <w:rPr>
          <w:rFonts w:ascii="Times New Roman" w:hAnsi="Times New Roman" w:cs="Times New Roman"/>
          <w:sz w:val="24"/>
          <w:szCs w:val="24"/>
        </w:rPr>
        <w:t xml:space="preserve"> Tokiu būdu netiesiogiai apsaugomi ir mokesčių mokėtojų pinigai.</w:t>
      </w:r>
      <w:r w:rsidRPr="00A91E83">
        <w:rPr>
          <w:rStyle w:val="Puslapioinaosnuoroda"/>
          <w:rFonts w:ascii="Times New Roman" w:hAnsi="Times New Roman" w:cs="Times New Roman"/>
          <w:sz w:val="24"/>
          <w:szCs w:val="24"/>
        </w:rPr>
        <w:footnoteReference w:id="10"/>
      </w:r>
      <w:r w:rsidRPr="00A91E83">
        <w:rPr>
          <w:rFonts w:ascii="Times New Roman" w:hAnsi="Times New Roman" w:cs="Times New Roman"/>
          <w:sz w:val="24"/>
          <w:szCs w:val="24"/>
        </w:rPr>
        <w:t xml:space="preserve"> Valstybė naudodama mokesčių mokėtojų pinigus</w:t>
      </w:r>
      <w:r w:rsidR="000757D8" w:rsidRPr="00A91E83">
        <w:rPr>
          <w:rFonts w:ascii="Times New Roman" w:hAnsi="Times New Roman" w:cs="Times New Roman"/>
          <w:sz w:val="24"/>
          <w:szCs w:val="24"/>
        </w:rPr>
        <w:t>,</w:t>
      </w:r>
      <w:r w:rsidRPr="00A91E83">
        <w:rPr>
          <w:rFonts w:ascii="Times New Roman" w:hAnsi="Times New Roman" w:cs="Times New Roman"/>
          <w:sz w:val="24"/>
          <w:szCs w:val="24"/>
        </w:rPr>
        <w:t xml:space="preserve"> tikėtina</w:t>
      </w:r>
      <w:r w:rsidR="000757D8" w:rsidRPr="00A91E83">
        <w:rPr>
          <w:rFonts w:ascii="Times New Roman" w:hAnsi="Times New Roman" w:cs="Times New Roman"/>
          <w:sz w:val="24"/>
          <w:szCs w:val="24"/>
        </w:rPr>
        <w:t>,</w:t>
      </w:r>
      <w:r w:rsidRPr="00A91E83">
        <w:rPr>
          <w:rFonts w:ascii="Times New Roman" w:hAnsi="Times New Roman" w:cs="Times New Roman"/>
          <w:sz w:val="24"/>
          <w:szCs w:val="24"/>
        </w:rPr>
        <w:t xml:space="preserve"> privalės gelbėti gri</w:t>
      </w:r>
      <w:r w:rsidR="000757D8" w:rsidRPr="00A91E83">
        <w:rPr>
          <w:rFonts w:ascii="Times New Roman" w:hAnsi="Times New Roman" w:cs="Times New Roman"/>
          <w:sz w:val="24"/>
          <w:szCs w:val="24"/>
        </w:rPr>
        <w:t xml:space="preserve">ūvančią bankų sistemą, </w:t>
      </w:r>
      <w:r w:rsidRPr="00A91E83">
        <w:rPr>
          <w:rFonts w:ascii="Times New Roman" w:hAnsi="Times New Roman" w:cs="Times New Roman"/>
          <w:sz w:val="24"/>
          <w:szCs w:val="24"/>
        </w:rPr>
        <w:t xml:space="preserve">kaip buvo ir yra daroma per 2007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prasidėjusią finansinę krizę.</w:t>
      </w:r>
      <w:r w:rsidRPr="00A91E83">
        <w:rPr>
          <w:rStyle w:val="Puslapioinaosnuoroda"/>
          <w:rFonts w:ascii="Times New Roman" w:hAnsi="Times New Roman" w:cs="Times New Roman"/>
          <w:sz w:val="24"/>
          <w:szCs w:val="24"/>
        </w:rPr>
        <w:footnoteReference w:id="11"/>
      </w:r>
      <w:r w:rsidRPr="00A91E83">
        <w:rPr>
          <w:rFonts w:ascii="Times New Roman" w:hAnsi="Times New Roman" w:cs="Times New Roman"/>
          <w:sz w:val="24"/>
          <w:szCs w:val="24"/>
        </w:rPr>
        <w:t xml:space="preserve"> </w:t>
      </w:r>
      <w:r w:rsidR="00F31C23" w:rsidRPr="00A91E83">
        <w:rPr>
          <w:rFonts w:ascii="Times New Roman" w:hAnsi="Times New Roman" w:cs="Times New Roman"/>
          <w:sz w:val="24"/>
          <w:szCs w:val="24"/>
        </w:rPr>
        <w:t>Banko nemokumo</w:t>
      </w:r>
      <w:r w:rsidRPr="00A91E83">
        <w:rPr>
          <w:rFonts w:ascii="Times New Roman" w:hAnsi="Times New Roman" w:cs="Times New Roman"/>
          <w:sz w:val="24"/>
          <w:szCs w:val="24"/>
        </w:rPr>
        <w:t xml:space="preserve"> </w:t>
      </w:r>
      <w:r w:rsidR="00843D45" w:rsidRPr="00A91E83">
        <w:rPr>
          <w:rFonts w:ascii="Times New Roman" w:hAnsi="Times New Roman" w:cs="Times New Roman"/>
          <w:sz w:val="24"/>
          <w:szCs w:val="24"/>
        </w:rPr>
        <w:t xml:space="preserve">atveju </w:t>
      </w:r>
      <w:r w:rsidRPr="00A91E83">
        <w:rPr>
          <w:rFonts w:ascii="Times New Roman" w:hAnsi="Times New Roman" w:cs="Times New Roman"/>
          <w:sz w:val="24"/>
          <w:szCs w:val="24"/>
        </w:rPr>
        <w:t>valstybė turėtų gelbėti banko indėlininkų pinigus, kurių išmokas garantuoja indėlių draudimo fondas.</w:t>
      </w:r>
      <w:r w:rsidRPr="00A91E83">
        <w:rPr>
          <w:rFonts w:ascii="Times New Roman" w:hAnsi="Times New Roman" w:cs="Times New Roman"/>
          <w:sz w:val="24"/>
          <w:szCs w:val="24"/>
          <w:vertAlign w:val="superscript"/>
        </w:rPr>
        <w:footnoteReference w:id="12"/>
      </w:r>
      <w:r w:rsidRPr="00A91E83">
        <w:rPr>
          <w:rFonts w:ascii="Times New Roman" w:hAnsi="Times New Roman" w:cs="Times New Roman"/>
          <w:sz w:val="24"/>
          <w:szCs w:val="24"/>
          <w:vertAlign w:val="superscript"/>
        </w:rPr>
        <w:t xml:space="preserve"> </w:t>
      </w:r>
      <w:r w:rsidRPr="00A91E83">
        <w:rPr>
          <w:rFonts w:ascii="Times New Roman" w:hAnsi="Times New Roman" w:cs="Times New Roman"/>
          <w:sz w:val="24"/>
          <w:szCs w:val="24"/>
        </w:rPr>
        <w:t>Itin abejotina, kad įvykus sisteminei griūčiai</w:t>
      </w:r>
      <w:r w:rsidR="00843D45" w:rsidRPr="00A91E83">
        <w:rPr>
          <w:rFonts w:ascii="Times New Roman" w:hAnsi="Times New Roman" w:cs="Times New Roman"/>
          <w:sz w:val="24"/>
          <w:szCs w:val="24"/>
        </w:rPr>
        <w:t>,</w:t>
      </w:r>
      <w:r w:rsidRPr="00A91E83">
        <w:rPr>
          <w:rFonts w:ascii="Times New Roman" w:hAnsi="Times New Roman" w:cs="Times New Roman"/>
          <w:sz w:val="24"/>
          <w:szCs w:val="24"/>
        </w:rPr>
        <w:t xml:space="preserve"> šis fondas galėtų patenkinti didžiąją dalį reikalavimų.</w:t>
      </w:r>
      <w:r w:rsidRPr="00A91E83">
        <w:rPr>
          <w:rStyle w:val="Puslapioinaosnuoroda"/>
          <w:rFonts w:ascii="Times New Roman" w:hAnsi="Times New Roman" w:cs="Times New Roman"/>
          <w:sz w:val="24"/>
          <w:szCs w:val="24"/>
        </w:rPr>
        <w:footnoteReference w:id="13"/>
      </w:r>
      <w:r w:rsidRPr="00A91E83">
        <w:rPr>
          <w:rFonts w:ascii="Times New Roman" w:hAnsi="Times New Roman" w:cs="Times New Roman"/>
          <w:sz w:val="24"/>
          <w:szCs w:val="24"/>
        </w:rPr>
        <w:t xml:space="preserve"> Rinkoje buvo paskelbti siūlymai dėl reformos, kuria siekiama atskirti išvestinių finansinių priemonių prekybos departamentus nuo bankų veiklos. Sukurti nauji juridiniai asmenys užsiimtų tik pačia rizikingiausia veikla, </w:t>
      </w:r>
      <w:proofErr w:type="spellStart"/>
      <w:r w:rsidRPr="00A91E83">
        <w:rPr>
          <w:rFonts w:ascii="Times New Roman" w:hAnsi="Times New Roman" w:cs="Times New Roman"/>
          <w:sz w:val="24"/>
          <w:szCs w:val="24"/>
        </w:rPr>
        <w:t>t.y</w:t>
      </w:r>
      <w:proofErr w:type="spellEnd"/>
      <w:r w:rsidRPr="00A91E83">
        <w:rPr>
          <w:rFonts w:ascii="Times New Roman" w:hAnsi="Times New Roman" w:cs="Times New Roman"/>
          <w:sz w:val="24"/>
          <w:szCs w:val="24"/>
        </w:rPr>
        <w:t>. prekyba išvestinėmis finansinėmis priemonėmis.</w:t>
      </w:r>
      <w:r w:rsidRPr="00A91E83">
        <w:rPr>
          <w:rStyle w:val="Puslapioinaosnuoroda"/>
          <w:rFonts w:ascii="Times New Roman" w:hAnsi="Times New Roman" w:cs="Times New Roman"/>
          <w:sz w:val="24"/>
          <w:szCs w:val="24"/>
        </w:rPr>
        <w:footnoteReference w:id="14"/>
      </w:r>
      <w:r w:rsidRPr="00A91E83">
        <w:rPr>
          <w:rFonts w:ascii="Times New Roman" w:hAnsi="Times New Roman" w:cs="Times New Roman"/>
          <w:sz w:val="24"/>
          <w:szCs w:val="24"/>
        </w:rPr>
        <w:t xml:space="preserve"> Autoriau</w:t>
      </w:r>
      <w:r w:rsidR="00843D45" w:rsidRPr="00A91E83">
        <w:rPr>
          <w:rFonts w:ascii="Times New Roman" w:hAnsi="Times New Roman" w:cs="Times New Roman"/>
          <w:sz w:val="24"/>
          <w:szCs w:val="24"/>
        </w:rPr>
        <w:t>s nuomone</w:t>
      </w:r>
      <w:r w:rsidR="000A7A3B" w:rsidRPr="00A91E83">
        <w:rPr>
          <w:rFonts w:ascii="Times New Roman" w:hAnsi="Times New Roman" w:cs="Times New Roman"/>
          <w:sz w:val="24"/>
          <w:szCs w:val="24"/>
        </w:rPr>
        <w:t>, užskaitos mechanizmo panaudojimas</w:t>
      </w:r>
      <w:r w:rsidRPr="00A91E83">
        <w:rPr>
          <w:rFonts w:ascii="Times New Roman" w:hAnsi="Times New Roman" w:cs="Times New Roman"/>
          <w:sz w:val="24"/>
          <w:szCs w:val="24"/>
        </w:rPr>
        <w:t xml:space="preserve"> daug pigesnis būdas suvaldyti minėtas neigiamas pasekmes. </w:t>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lastRenderedPageBreak/>
        <w:tab/>
        <w:t>Pirmieji žingsniai</w:t>
      </w:r>
      <w:r w:rsidR="00B32774" w:rsidRPr="00A91E83">
        <w:rPr>
          <w:rFonts w:ascii="Times New Roman" w:hAnsi="Times New Roman" w:cs="Times New Roman"/>
          <w:sz w:val="24"/>
          <w:szCs w:val="24"/>
        </w:rPr>
        <w:t>,</w:t>
      </w:r>
      <w:r w:rsidRPr="00A91E83">
        <w:rPr>
          <w:rFonts w:ascii="Times New Roman" w:hAnsi="Times New Roman" w:cs="Times New Roman"/>
          <w:sz w:val="24"/>
          <w:szCs w:val="24"/>
        </w:rPr>
        <w:t xml:space="preserve"> panaikinant absoliučią</w:t>
      </w:r>
      <w:r w:rsidRPr="00A91E83">
        <w:rPr>
          <w:rFonts w:ascii="Times New Roman" w:hAnsi="Times New Roman" w:cs="Times New Roman"/>
          <w:bCs/>
          <w:sz w:val="24"/>
          <w:szCs w:val="24"/>
        </w:rPr>
        <w:t xml:space="preserve"> kreditorių lygiateisiškumo paradigmą</w:t>
      </w:r>
      <w:r w:rsidR="00B32774" w:rsidRPr="00A91E83">
        <w:rPr>
          <w:rFonts w:ascii="Times New Roman" w:hAnsi="Times New Roman" w:cs="Times New Roman"/>
          <w:bCs/>
          <w:sz w:val="24"/>
          <w:szCs w:val="24"/>
        </w:rPr>
        <w:t>,</w:t>
      </w:r>
      <w:r w:rsidRPr="00A91E83">
        <w:rPr>
          <w:rFonts w:ascii="Times New Roman" w:hAnsi="Times New Roman" w:cs="Times New Roman"/>
          <w:bCs/>
          <w:sz w:val="24"/>
          <w:szCs w:val="24"/>
        </w:rPr>
        <w:t xml:space="preserve"> Lietuvoje buvo žengti priimant</w:t>
      </w:r>
      <w:r w:rsidRPr="00A91E83">
        <w:rPr>
          <w:rFonts w:ascii="Times New Roman" w:hAnsi="Times New Roman" w:cs="Times New Roman"/>
          <w:sz w:val="24"/>
          <w:szCs w:val="24"/>
        </w:rPr>
        <w:t xml:space="preserve"> Atsiskaitymų baigtinumo mokėjimo ir vertybinių popierių a</w:t>
      </w:r>
      <w:r w:rsidR="00B32774" w:rsidRPr="00A91E83">
        <w:rPr>
          <w:rFonts w:ascii="Times New Roman" w:hAnsi="Times New Roman" w:cs="Times New Roman"/>
          <w:sz w:val="24"/>
          <w:szCs w:val="24"/>
        </w:rPr>
        <w:t>tsiskaitymo sistemose įstatymą (</w:t>
      </w:r>
      <w:r w:rsidRPr="00A91E83">
        <w:rPr>
          <w:rFonts w:ascii="Times New Roman" w:hAnsi="Times New Roman" w:cs="Times New Roman"/>
          <w:sz w:val="24"/>
          <w:szCs w:val="24"/>
        </w:rPr>
        <w:t>įgyvendino direktyvą dėl atsiskaitymų baigtinumo mokėjimo ir vertybinių popierių atsiskaitymo sistemose</w:t>
      </w:r>
      <w:r w:rsidR="00B32774" w:rsidRPr="00A91E83">
        <w:rPr>
          <w:rFonts w:ascii="Times New Roman" w:hAnsi="Times New Roman" w:cs="Times New Roman"/>
          <w:sz w:val="24"/>
          <w:szCs w:val="24"/>
        </w:rPr>
        <w:t>), nes tai buvo pirmasis teisės aktas Lietuvoje, kuris numatė užskaitos taikymo mechanizmą bankroto kontekste</w:t>
      </w:r>
      <w:r w:rsidRPr="00A91E83">
        <w:rPr>
          <w:rFonts w:ascii="Times New Roman" w:hAnsi="Times New Roman" w:cs="Times New Roman"/>
          <w:sz w:val="24"/>
          <w:szCs w:val="24"/>
        </w:rPr>
        <w:t xml:space="preserve">. Vėliau įsigaliojo </w:t>
      </w:r>
      <w:r w:rsidR="003D2CD3" w:rsidRPr="00A91E83">
        <w:rPr>
          <w:rFonts w:ascii="Times New Roman" w:hAnsi="Times New Roman" w:cs="Times New Roman"/>
          <w:sz w:val="24"/>
          <w:szCs w:val="24"/>
        </w:rPr>
        <w:t>FUSĮ</w:t>
      </w:r>
      <w:r w:rsidR="00A906D1" w:rsidRPr="00A91E83">
        <w:rPr>
          <w:rFonts w:ascii="Times New Roman" w:hAnsi="Times New Roman" w:cs="Times New Roman"/>
          <w:sz w:val="24"/>
          <w:szCs w:val="24"/>
        </w:rPr>
        <w:t xml:space="preserve"> (</w:t>
      </w:r>
      <w:r w:rsidRPr="00A91E83">
        <w:rPr>
          <w:rFonts w:ascii="Times New Roman" w:hAnsi="Times New Roman" w:cs="Times New Roman"/>
          <w:sz w:val="24"/>
          <w:szCs w:val="24"/>
        </w:rPr>
        <w:t>įgyvendino direktyvą dėl susitarimų dėl finansinio įkaito</w:t>
      </w:r>
      <w:r w:rsidR="00187DB8" w:rsidRPr="00A91E83">
        <w:rPr>
          <w:rFonts w:ascii="Times New Roman" w:hAnsi="Times New Roman" w:cs="Times New Roman"/>
          <w:sz w:val="24"/>
          <w:szCs w:val="24"/>
        </w:rPr>
        <w:t xml:space="preserve">), kuris </w:t>
      </w:r>
      <w:r w:rsidRPr="00A91E83">
        <w:rPr>
          <w:rFonts w:ascii="Times New Roman" w:hAnsi="Times New Roman" w:cs="Times New Roman"/>
          <w:sz w:val="24"/>
          <w:szCs w:val="24"/>
        </w:rPr>
        <w:t>nustatė ribotą užskaitos mechanizmo taikymą</w:t>
      </w:r>
      <w:r w:rsidR="001D66C6" w:rsidRPr="00A91E83">
        <w:rPr>
          <w:rFonts w:ascii="Times New Roman" w:hAnsi="Times New Roman" w:cs="Times New Roman"/>
          <w:sz w:val="24"/>
          <w:szCs w:val="24"/>
        </w:rPr>
        <w:t xml:space="preserve">, </w:t>
      </w:r>
      <w:proofErr w:type="spellStart"/>
      <w:r w:rsidR="001D66C6" w:rsidRPr="00A91E83">
        <w:rPr>
          <w:rFonts w:ascii="Times New Roman" w:hAnsi="Times New Roman" w:cs="Times New Roman"/>
          <w:sz w:val="24"/>
          <w:szCs w:val="24"/>
        </w:rPr>
        <w:t>t.y</w:t>
      </w:r>
      <w:proofErr w:type="spellEnd"/>
      <w:r w:rsidR="001D66C6" w:rsidRPr="00A91E83">
        <w:rPr>
          <w:rFonts w:ascii="Times New Roman" w:hAnsi="Times New Roman" w:cs="Times New Roman"/>
          <w:sz w:val="24"/>
          <w:szCs w:val="24"/>
        </w:rPr>
        <w:t xml:space="preserve">. </w:t>
      </w:r>
      <w:r w:rsidR="003D2CD3" w:rsidRPr="00A91E83">
        <w:rPr>
          <w:rFonts w:ascii="Times New Roman" w:hAnsi="Times New Roman" w:cs="Times New Roman"/>
          <w:sz w:val="24"/>
          <w:szCs w:val="24"/>
        </w:rPr>
        <w:t xml:space="preserve">kada </w:t>
      </w:r>
      <w:r w:rsidR="001D66C6" w:rsidRPr="00A91E83">
        <w:rPr>
          <w:rFonts w:ascii="Times New Roman" w:hAnsi="Times New Roman" w:cs="Times New Roman"/>
          <w:sz w:val="24"/>
          <w:szCs w:val="24"/>
        </w:rPr>
        <w:t>tarp šalių sudarytas finansinio užtikrinimo susitarimas</w:t>
      </w:r>
      <w:r w:rsidRPr="00A91E83">
        <w:rPr>
          <w:rFonts w:ascii="Times New Roman" w:hAnsi="Times New Roman" w:cs="Times New Roman"/>
          <w:sz w:val="24"/>
          <w:szCs w:val="24"/>
        </w:rPr>
        <w:t xml:space="preserve">. 2009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priimta </w:t>
      </w:r>
      <w:r w:rsidR="00A906D1" w:rsidRPr="00A91E83">
        <w:rPr>
          <w:rFonts w:ascii="Times New Roman" w:hAnsi="Times New Roman" w:cs="Times New Roman"/>
          <w:bCs/>
          <w:sz w:val="24"/>
          <w:szCs w:val="24"/>
        </w:rPr>
        <w:t>2009/44/EB d</w:t>
      </w:r>
      <w:r w:rsidRPr="00A91E83">
        <w:rPr>
          <w:rFonts w:ascii="Times New Roman" w:hAnsi="Times New Roman" w:cs="Times New Roman"/>
          <w:bCs/>
          <w:sz w:val="24"/>
          <w:szCs w:val="24"/>
        </w:rPr>
        <w:t xml:space="preserve">irektyva, kuri iš dalies pakeitė </w:t>
      </w:r>
      <w:r w:rsidR="006127BF" w:rsidRPr="00A91E83">
        <w:rPr>
          <w:rFonts w:ascii="Times New Roman" w:hAnsi="Times New Roman" w:cs="Times New Roman"/>
          <w:bCs/>
          <w:sz w:val="24"/>
          <w:szCs w:val="24"/>
        </w:rPr>
        <w:t>Įkaito</w:t>
      </w:r>
      <w:r w:rsidRPr="00A91E83">
        <w:rPr>
          <w:rFonts w:ascii="Times New Roman" w:hAnsi="Times New Roman" w:cs="Times New Roman"/>
          <w:bCs/>
          <w:sz w:val="24"/>
          <w:szCs w:val="24"/>
        </w:rPr>
        <w:t xml:space="preserve"> direktyvą ir </w:t>
      </w:r>
      <w:r w:rsidR="003D2CD3" w:rsidRPr="00A91E83">
        <w:rPr>
          <w:rFonts w:ascii="Times New Roman" w:hAnsi="Times New Roman" w:cs="Times New Roman"/>
          <w:bCs/>
          <w:sz w:val="24"/>
          <w:szCs w:val="24"/>
        </w:rPr>
        <w:t>pra</w:t>
      </w:r>
      <w:r w:rsidRPr="00A91E83">
        <w:rPr>
          <w:rFonts w:ascii="Times New Roman" w:hAnsi="Times New Roman" w:cs="Times New Roman"/>
          <w:bCs/>
          <w:sz w:val="24"/>
          <w:szCs w:val="24"/>
        </w:rPr>
        <w:t xml:space="preserve">plėtė </w:t>
      </w:r>
      <w:r w:rsidR="005066B5" w:rsidRPr="00A91E83">
        <w:rPr>
          <w:rFonts w:ascii="Times New Roman" w:hAnsi="Times New Roman" w:cs="Times New Roman"/>
          <w:bCs/>
          <w:sz w:val="24"/>
          <w:szCs w:val="24"/>
        </w:rPr>
        <w:t>jos</w:t>
      </w:r>
      <w:r w:rsidRPr="00A91E83">
        <w:rPr>
          <w:rFonts w:ascii="Times New Roman" w:hAnsi="Times New Roman" w:cs="Times New Roman"/>
          <w:bCs/>
          <w:sz w:val="24"/>
          <w:szCs w:val="24"/>
        </w:rPr>
        <w:t xml:space="preserve"> taikymo ribas. Atitinkamai Lietuvoje 2010 liepos 28 </w:t>
      </w:r>
      <w:proofErr w:type="spellStart"/>
      <w:r w:rsidRPr="00A91E83">
        <w:rPr>
          <w:rFonts w:ascii="Times New Roman" w:hAnsi="Times New Roman" w:cs="Times New Roman"/>
          <w:bCs/>
          <w:sz w:val="24"/>
          <w:szCs w:val="24"/>
        </w:rPr>
        <w:t>d</w:t>
      </w:r>
      <w:proofErr w:type="spellEnd"/>
      <w:r w:rsidRPr="00A91E83">
        <w:rPr>
          <w:rFonts w:ascii="Times New Roman" w:hAnsi="Times New Roman" w:cs="Times New Roman"/>
          <w:bCs/>
          <w:sz w:val="24"/>
          <w:szCs w:val="24"/>
        </w:rPr>
        <w:t>. įregistruot</w:t>
      </w:r>
      <w:r w:rsidR="001D66C6" w:rsidRPr="00A91E83">
        <w:rPr>
          <w:rFonts w:ascii="Times New Roman" w:hAnsi="Times New Roman" w:cs="Times New Roman"/>
          <w:bCs/>
          <w:sz w:val="24"/>
          <w:szCs w:val="24"/>
        </w:rPr>
        <w:t xml:space="preserve">as FUSĮ projektas atspindintis </w:t>
      </w:r>
      <w:r w:rsidR="00351B0C" w:rsidRPr="00A91E83">
        <w:rPr>
          <w:rFonts w:ascii="Times New Roman" w:hAnsi="Times New Roman" w:cs="Times New Roman"/>
          <w:bCs/>
          <w:sz w:val="24"/>
          <w:szCs w:val="24"/>
        </w:rPr>
        <w:t xml:space="preserve">minėtos </w:t>
      </w:r>
      <w:r w:rsidR="001D66C6" w:rsidRPr="00A91E83">
        <w:rPr>
          <w:rFonts w:ascii="Times New Roman" w:hAnsi="Times New Roman" w:cs="Times New Roman"/>
          <w:bCs/>
          <w:sz w:val="24"/>
          <w:szCs w:val="24"/>
        </w:rPr>
        <w:t>d</w:t>
      </w:r>
      <w:r w:rsidRPr="00A91E83">
        <w:rPr>
          <w:rFonts w:ascii="Times New Roman" w:hAnsi="Times New Roman" w:cs="Times New Roman"/>
          <w:bCs/>
          <w:sz w:val="24"/>
          <w:szCs w:val="24"/>
        </w:rPr>
        <w:t xml:space="preserve">irektyvos pakeitimus. </w:t>
      </w:r>
      <w:r w:rsidR="005066B5" w:rsidRPr="00A91E83">
        <w:rPr>
          <w:rFonts w:ascii="Times New Roman" w:hAnsi="Times New Roman" w:cs="Times New Roman"/>
          <w:bCs/>
          <w:sz w:val="24"/>
          <w:szCs w:val="24"/>
        </w:rPr>
        <w:t xml:space="preserve">Minėti teisės aktai įrodo, kad visa </w:t>
      </w:r>
      <w:r w:rsidRPr="00A91E83">
        <w:rPr>
          <w:rFonts w:ascii="Times New Roman" w:hAnsi="Times New Roman" w:cs="Times New Roman"/>
          <w:sz w:val="24"/>
          <w:szCs w:val="24"/>
        </w:rPr>
        <w:t>tarptautinė bendruomenė</w:t>
      </w:r>
      <w:r w:rsidR="00351B0C" w:rsidRPr="00A91E83">
        <w:rPr>
          <w:rFonts w:ascii="Times New Roman" w:hAnsi="Times New Roman" w:cs="Times New Roman"/>
          <w:sz w:val="24"/>
          <w:szCs w:val="24"/>
        </w:rPr>
        <w:t>,</w:t>
      </w:r>
      <w:r w:rsidRPr="00A91E83">
        <w:rPr>
          <w:rFonts w:ascii="Times New Roman" w:hAnsi="Times New Roman" w:cs="Times New Roman"/>
          <w:sz w:val="24"/>
          <w:szCs w:val="24"/>
        </w:rPr>
        <w:t xml:space="preserve"> atsižvelgdama į pasikeitusios finansų rinkos sąlygas, technologijų naujoves bei siekį </w:t>
      </w:r>
      <w:r w:rsidR="00351B0C" w:rsidRPr="00A91E83">
        <w:rPr>
          <w:rFonts w:ascii="Times New Roman" w:hAnsi="Times New Roman" w:cs="Times New Roman"/>
          <w:sz w:val="24"/>
          <w:szCs w:val="24"/>
        </w:rPr>
        <w:t>užtikrinti finansų rinkų stabilumą,</w:t>
      </w:r>
      <w:r w:rsidRPr="00A91E83">
        <w:rPr>
          <w:rFonts w:ascii="Times New Roman" w:hAnsi="Times New Roman" w:cs="Times New Roman"/>
          <w:sz w:val="24"/>
          <w:szCs w:val="24"/>
        </w:rPr>
        <w:t xml:space="preserve"> pripaži</w:t>
      </w:r>
      <w:r w:rsidR="006127BF" w:rsidRPr="00A91E83">
        <w:rPr>
          <w:rFonts w:ascii="Times New Roman" w:hAnsi="Times New Roman" w:cs="Times New Roman"/>
          <w:sz w:val="24"/>
          <w:szCs w:val="24"/>
        </w:rPr>
        <w:t>no minėtus užskaitos privalumus ir panaikino absoliutų kreditorių lygiateisiškumo principą.</w:t>
      </w:r>
      <w:r w:rsidRPr="00A91E83">
        <w:rPr>
          <w:rFonts w:ascii="Times New Roman" w:hAnsi="Times New Roman" w:cs="Times New Roman"/>
          <w:sz w:val="24"/>
          <w:szCs w:val="24"/>
        </w:rPr>
        <w:t xml:space="preserve"> Todėl siūloma išplėsti ir patikslinti Lietuvoje tokį teisinį reguliavimą, kuris atspindėtų globalias tendencijas. Dabar Lietuvos teisininkų praktikų manymu, užskaitos taikymo ribos yra aktualiausia teisinė problema</w:t>
      </w:r>
      <w:r w:rsidR="00351B0C" w:rsidRPr="00A91E83">
        <w:rPr>
          <w:rFonts w:ascii="Times New Roman" w:hAnsi="Times New Roman" w:cs="Times New Roman"/>
          <w:sz w:val="24"/>
          <w:szCs w:val="24"/>
        </w:rPr>
        <w:t>,</w:t>
      </w:r>
      <w:r w:rsidRPr="00A91E83">
        <w:rPr>
          <w:rFonts w:ascii="Times New Roman" w:hAnsi="Times New Roman" w:cs="Times New Roman"/>
          <w:sz w:val="24"/>
          <w:szCs w:val="24"/>
        </w:rPr>
        <w:t xml:space="preserve"> susijusi su išvestinėmis finansinėmis priemonėmis.</w:t>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b/>
          <w:sz w:val="24"/>
          <w:szCs w:val="24"/>
        </w:rPr>
        <w:tab/>
        <w:t>Temos naujumas</w:t>
      </w:r>
      <w:r w:rsidRPr="00A91E83">
        <w:rPr>
          <w:rFonts w:ascii="Times New Roman" w:hAnsi="Times New Roman" w:cs="Times New Roman"/>
          <w:sz w:val="24"/>
          <w:szCs w:val="24"/>
        </w:rPr>
        <w:t>. Lietuvoje mokslinių teisinių publikacijų</w:t>
      </w:r>
      <w:r w:rsidR="00B2142C" w:rsidRPr="00A91E83">
        <w:rPr>
          <w:rFonts w:ascii="Times New Roman" w:hAnsi="Times New Roman" w:cs="Times New Roman"/>
          <w:sz w:val="24"/>
          <w:szCs w:val="24"/>
        </w:rPr>
        <w:t>,</w:t>
      </w:r>
      <w:r w:rsidRPr="00A91E83">
        <w:rPr>
          <w:rFonts w:ascii="Times New Roman" w:hAnsi="Times New Roman" w:cs="Times New Roman"/>
          <w:sz w:val="24"/>
          <w:szCs w:val="24"/>
        </w:rPr>
        <w:t xml:space="preserve"> tiesiogiai nagrinėjančių išvestines finansines priemones</w:t>
      </w:r>
      <w:r w:rsidR="00B2142C" w:rsidRPr="00A91E83">
        <w:rPr>
          <w:rFonts w:ascii="Times New Roman" w:hAnsi="Times New Roman" w:cs="Times New Roman"/>
          <w:sz w:val="24"/>
          <w:szCs w:val="24"/>
        </w:rPr>
        <w:t>,</w:t>
      </w:r>
      <w:r w:rsidRPr="00A91E83">
        <w:rPr>
          <w:rFonts w:ascii="Times New Roman" w:hAnsi="Times New Roman" w:cs="Times New Roman"/>
          <w:sz w:val="24"/>
          <w:szCs w:val="24"/>
        </w:rPr>
        <w:t xml:space="preserve"> nėra. S. </w:t>
      </w:r>
      <w:proofErr w:type="spellStart"/>
      <w:r w:rsidRPr="00A91E83">
        <w:rPr>
          <w:rFonts w:ascii="Times New Roman" w:hAnsi="Times New Roman" w:cs="Times New Roman"/>
          <w:sz w:val="24"/>
          <w:szCs w:val="24"/>
        </w:rPr>
        <w:t>Kavalnės</w:t>
      </w:r>
      <w:proofErr w:type="spellEnd"/>
      <w:r w:rsidRPr="00A91E83">
        <w:rPr>
          <w:rFonts w:ascii="Times New Roman" w:hAnsi="Times New Roman" w:cs="Times New Roman"/>
          <w:sz w:val="24"/>
          <w:szCs w:val="24"/>
        </w:rPr>
        <w:t xml:space="preserve"> „Finansinio užstato davėjo nemokumas: teorinės ir praktinės problemos“ </w:t>
      </w:r>
      <w:r w:rsidR="00B2142C" w:rsidRPr="00A91E83">
        <w:rPr>
          <w:rFonts w:ascii="Times New Roman" w:hAnsi="Times New Roman" w:cs="Times New Roman"/>
          <w:sz w:val="24"/>
          <w:szCs w:val="24"/>
        </w:rPr>
        <w:t xml:space="preserve">yra </w:t>
      </w:r>
      <w:r w:rsidRPr="00A91E83">
        <w:rPr>
          <w:rFonts w:ascii="Times New Roman" w:hAnsi="Times New Roman" w:cs="Times New Roman"/>
          <w:sz w:val="24"/>
          <w:szCs w:val="24"/>
        </w:rPr>
        <w:t>vienintelė disertacija, kuri netiesiogiai gvildena išvestinėms finansinėms priemonėms aktualius klausimus, nes savo darbo vienoje iš dalių nagrinėja baigiamosios užskaitos problematiką FUSĮ kontekste.</w:t>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r>
      <w:r w:rsidR="001B5020" w:rsidRPr="00A91E83">
        <w:rPr>
          <w:rFonts w:ascii="Times New Roman" w:hAnsi="Times New Roman" w:cs="Times New Roman"/>
          <w:sz w:val="24"/>
          <w:szCs w:val="24"/>
        </w:rPr>
        <w:t>P</w:t>
      </w:r>
      <w:r w:rsidRPr="00A91E83">
        <w:rPr>
          <w:rFonts w:ascii="Times New Roman" w:hAnsi="Times New Roman" w:cs="Times New Roman"/>
          <w:sz w:val="24"/>
          <w:szCs w:val="24"/>
        </w:rPr>
        <w:t xml:space="preserve">aminėtini ryškiausi </w:t>
      </w:r>
      <w:r w:rsidR="001B5020" w:rsidRPr="00A91E83">
        <w:rPr>
          <w:rFonts w:ascii="Times New Roman" w:hAnsi="Times New Roman" w:cs="Times New Roman"/>
          <w:sz w:val="24"/>
          <w:szCs w:val="24"/>
        </w:rPr>
        <w:t xml:space="preserve">užsienio teisės </w:t>
      </w:r>
      <w:r w:rsidRPr="00A91E83">
        <w:rPr>
          <w:rFonts w:ascii="Times New Roman" w:hAnsi="Times New Roman" w:cs="Times New Roman"/>
          <w:sz w:val="24"/>
          <w:szCs w:val="24"/>
        </w:rPr>
        <w:t>mokslininkai</w:t>
      </w:r>
      <w:r w:rsidR="001B5020" w:rsidRPr="00A91E83">
        <w:rPr>
          <w:rFonts w:ascii="Times New Roman" w:hAnsi="Times New Roman" w:cs="Times New Roman"/>
          <w:sz w:val="24"/>
          <w:szCs w:val="24"/>
        </w:rPr>
        <w:t>,</w:t>
      </w:r>
      <w:r w:rsidRPr="00A91E83">
        <w:rPr>
          <w:rFonts w:ascii="Times New Roman" w:hAnsi="Times New Roman" w:cs="Times New Roman"/>
          <w:sz w:val="24"/>
          <w:szCs w:val="24"/>
        </w:rPr>
        <w:t xml:space="preserve"> nagrinėjantys sandorių dėl išvestinių finansinių priemonių sukuriamas u</w:t>
      </w:r>
      <w:r w:rsidR="001B5020" w:rsidRPr="00A91E83">
        <w:rPr>
          <w:rFonts w:ascii="Times New Roman" w:hAnsi="Times New Roman" w:cs="Times New Roman"/>
          <w:sz w:val="24"/>
          <w:szCs w:val="24"/>
        </w:rPr>
        <w:t xml:space="preserve">žskaitos taikymo problemas, </w:t>
      </w:r>
      <w:r w:rsidRPr="00A91E83">
        <w:rPr>
          <w:rFonts w:ascii="Times New Roman" w:hAnsi="Times New Roman" w:cs="Times New Roman"/>
          <w:sz w:val="24"/>
          <w:szCs w:val="24"/>
        </w:rPr>
        <w:t>britai: A. </w:t>
      </w:r>
      <w:proofErr w:type="spellStart"/>
      <w:r w:rsidRPr="00A91E83">
        <w:rPr>
          <w:rFonts w:ascii="Times New Roman" w:hAnsi="Times New Roman" w:cs="Times New Roman"/>
          <w:sz w:val="24"/>
          <w:szCs w:val="24"/>
        </w:rPr>
        <w:t>Hudson</w:t>
      </w:r>
      <w:proofErr w:type="spellEnd"/>
      <w:r w:rsidRPr="00A91E83">
        <w:rPr>
          <w:rFonts w:ascii="Times New Roman" w:hAnsi="Times New Roman" w:cs="Times New Roman"/>
          <w:sz w:val="24"/>
          <w:szCs w:val="24"/>
        </w:rPr>
        <w:t xml:space="preserve">, P.R. </w:t>
      </w:r>
      <w:proofErr w:type="spellStart"/>
      <w:r w:rsidRPr="00A91E83">
        <w:rPr>
          <w:rFonts w:ascii="Times New Roman" w:hAnsi="Times New Roman" w:cs="Times New Roman"/>
          <w:sz w:val="24"/>
          <w:szCs w:val="24"/>
        </w:rPr>
        <w:t>Wood</w:t>
      </w:r>
      <w:proofErr w:type="spellEnd"/>
      <w:r w:rsidRPr="00A91E83">
        <w:rPr>
          <w:rFonts w:ascii="Times New Roman" w:hAnsi="Times New Roman" w:cs="Times New Roman"/>
          <w:sz w:val="24"/>
          <w:szCs w:val="24"/>
        </w:rPr>
        <w:t>, R.</w:t>
      </w:r>
      <w:r w:rsidR="00B2142C" w:rsidRPr="00A91E83">
        <w:rPr>
          <w:rFonts w:ascii="Times New Roman" w:hAnsi="Times New Roman" w:cs="Times New Roman"/>
          <w:sz w:val="24"/>
          <w:szCs w:val="24"/>
        </w:rPr>
        <w:t> </w:t>
      </w:r>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Goode</w:t>
      </w:r>
      <w:proofErr w:type="spellEnd"/>
      <w:r w:rsidRPr="00A91E83">
        <w:rPr>
          <w:rFonts w:ascii="Times New Roman" w:hAnsi="Times New Roman" w:cs="Times New Roman"/>
          <w:sz w:val="24"/>
          <w:szCs w:val="24"/>
        </w:rPr>
        <w:t xml:space="preserve">, amerikietis F. </w:t>
      </w:r>
      <w:proofErr w:type="spellStart"/>
      <w:r w:rsidRPr="00A91E83">
        <w:rPr>
          <w:rFonts w:ascii="Times New Roman" w:hAnsi="Times New Roman" w:cs="Times New Roman"/>
          <w:sz w:val="24"/>
          <w:szCs w:val="24"/>
        </w:rPr>
        <w:t>Partnoy</w:t>
      </w:r>
      <w:proofErr w:type="spellEnd"/>
      <w:r w:rsidRPr="00A91E83">
        <w:rPr>
          <w:rFonts w:ascii="Times New Roman" w:hAnsi="Times New Roman" w:cs="Times New Roman"/>
          <w:sz w:val="24"/>
          <w:szCs w:val="24"/>
        </w:rPr>
        <w:t>.</w:t>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r>
      <w:r w:rsidRPr="00A91E83">
        <w:rPr>
          <w:rFonts w:ascii="Times New Roman" w:hAnsi="Times New Roman" w:cs="Times New Roman"/>
          <w:b/>
          <w:sz w:val="24"/>
          <w:szCs w:val="24"/>
        </w:rPr>
        <w:t>Tyrimo teorinė ir praktinė reikšmė.</w:t>
      </w:r>
      <w:r w:rsidRPr="00A91E83">
        <w:rPr>
          <w:rFonts w:ascii="Times New Roman" w:hAnsi="Times New Roman" w:cs="Times New Roman"/>
          <w:sz w:val="24"/>
          <w:szCs w:val="24"/>
        </w:rPr>
        <w:t xml:space="preserve"> Teorinė reikšmė atsiskleidžia pirmiausia dėl sukauptų ir susistemintų teisės mokslo įžvalgų iki šio tyrimo dar nenagrinėtais aspektais.</w:t>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t xml:space="preserve">Praktinė reikšmė taip pat žymi, nes tyrimo žinios galės būti panaudotos brėžiant teisinio reguliavimo kryptis ir ribas dėl užskaitos taikymo galimybės </w:t>
      </w:r>
      <w:r w:rsidR="00D302AE" w:rsidRPr="00A91E83">
        <w:rPr>
          <w:rFonts w:ascii="Times New Roman" w:hAnsi="Times New Roman" w:cs="Times New Roman"/>
          <w:sz w:val="24"/>
          <w:szCs w:val="24"/>
        </w:rPr>
        <w:t>Lietuvoje, vienos iš šalių bankroto atveju. Š</w:t>
      </w:r>
      <w:r w:rsidRPr="00A91E83">
        <w:rPr>
          <w:rFonts w:ascii="Times New Roman" w:hAnsi="Times New Roman" w:cs="Times New Roman"/>
          <w:sz w:val="24"/>
          <w:szCs w:val="24"/>
        </w:rPr>
        <w:t xml:space="preserve">iuo metu aktyviai bendradarbiauja Lietuvos ir užsienio advokatų kontoros, Vertybinių popierių komisija ir kiti suinteresuoti asmenys rengdami teisinio reguliavimo pakeitimus, siekiant sukurti įstatyminį </w:t>
      </w:r>
      <w:r w:rsidR="00D302AE" w:rsidRPr="00A91E83">
        <w:rPr>
          <w:rFonts w:ascii="Times New Roman" w:hAnsi="Times New Roman" w:cs="Times New Roman"/>
          <w:sz w:val="24"/>
          <w:szCs w:val="24"/>
        </w:rPr>
        <w:t xml:space="preserve">ir savarankišką </w:t>
      </w:r>
      <w:r w:rsidRPr="00A91E83">
        <w:rPr>
          <w:rFonts w:ascii="Times New Roman" w:hAnsi="Times New Roman" w:cs="Times New Roman"/>
          <w:sz w:val="24"/>
          <w:szCs w:val="24"/>
        </w:rPr>
        <w:t>užskaitos mechanizmą, kuris būtų taikomas ir nemokumo atveju.</w:t>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r>
      <w:r w:rsidRPr="00A91E83">
        <w:rPr>
          <w:rFonts w:ascii="Times New Roman" w:hAnsi="Times New Roman" w:cs="Times New Roman"/>
          <w:b/>
          <w:sz w:val="24"/>
          <w:szCs w:val="24"/>
        </w:rPr>
        <w:t>Tyrimo tikslas ir uždaviniai</w:t>
      </w:r>
      <w:r w:rsidRPr="00A91E83">
        <w:rPr>
          <w:rFonts w:ascii="Times New Roman" w:hAnsi="Times New Roman" w:cs="Times New Roman"/>
          <w:sz w:val="24"/>
          <w:szCs w:val="24"/>
        </w:rPr>
        <w:t xml:space="preserve">. Šio baigiamojo magistro darbo </w:t>
      </w:r>
      <w:r w:rsidR="00BA2DE2" w:rsidRPr="00A91E83">
        <w:rPr>
          <w:rFonts w:ascii="Times New Roman" w:hAnsi="Times New Roman" w:cs="Times New Roman"/>
          <w:sz w:val="24"/>
          <w:szCs w:val="24"/>
        </w:rPr>
        <w:t>tikslas –</w:t>
      </w:r>
      <w:r w:rsidR="00506E35" w:rsidRPr="00A91E83">
        <w:rPr>
          <w:rFonts w:ascii="Times New Roman" w:hAnsi="Times New Roman" w:cs="Times New Roman"/>
          <w:sz w:val="24"/>
          <w:szCs w:val="24"/>
        </w:rPr>
        <w:t xml:space="preserve"> išnagrinėjus sandorius dėl išvestinių finansinių priemonių sudaromus už biržos ribų, išanalizuoti užskaitos </w:t>
      </w:r>
      <w:r w:rsidR="00506E35" w:rsidRPr="00A91E83">
        <w:rPr>
          <w:rFonts w:ascii="Times New Roman" w:hAnsi="Times New Roman" w:cs="Times New Roman"/>
          <w:sz w:val="24"/>
          <w:szCs w:val="24"/>
        </w:rPr>
        <w:lastRenderedPageBreak/>
        <w:t>sampratą ir ISDA formoje numatytos užskaitos sąlygos taikymo galimybes Lietuvos bankroto kontekste bei pateikti pasiūlymus, šalinančius teisinio reguliavimo trūkumus.</w:t>
      </w:r>
    </w:p>
    <w:p w:rsidR="00D56E99" w:rsidRPr="00A91E83" w:rsidRDefault="00D56E99" w:rsidP="00D56E99">
      <w:pPr>
        <w:pStyle w:val="Sraopastraipa"/>
        <w:numPr>
          <w:ilvl w:val="0"/>
          <w:numId w:val="15"/>
        </w:numPr>
        <w:tabs>
          <w:tab w:val="left" w:pos="851"/>
          <w:tab w:val="left" w:pos="1134"/>
        </w:tabs>
        <w:spacing w:after="0" w:line="360" w:lineRule="auto"/>
        <w:ind w:left="0" w:firstLine="855"/>
        <w:jc w:val="both"/>
        <w:rPr>
          <w:rFonts w:ascii="Times New Roman" w:hAnsi="Times New Roman" w:cs="Times New Roman"/>
          <w:sz w:val="24"/>
          <w:szCs w:val="24"/>
        </w:rPr>
      </w:pPr>
      <w:r w:rsidRPr="00A91E83">
        <w:rPr>
          <w:rFonts w:ascii="Times New Roman" w:hAnsi="Times New Roman" w:cs="Times New Roman"/>
          <w:sz w:val="24"/>
          <w:szCs w:val="24"/>
        </w:rPr>
        <w:t xml:space="preserve">Išnagrinėti sandorių dėl išvestinių finansinių priemonių sudarytų už biržos ribų </w:t>
      </w:r>
      <w:r w:rsidR="0013207D" w:rsidRPr="00A91E83">
        <w:rPr>
          <w:rFonts w:ascii="Times New Roman" w:hAnsi="Times New Roman" w:cs="Times New Roman"/>
          <w:sz w:val="24"/>
          <w:szCs w:val="24"/>
        </w:rPr>
        <w:t>ypatumus</w:t>
      </w:r>
      <w:r w:rsidRPr="00A91E83">
        <w:rPr>
          <w:rFonts w:ascii="Times New Roman" w:hAnsi="Times New Roman" w:cs="Times New Roman"/>
          <w:sz w:val="24"/>
          <w:szCs w:val="24"/>
        </w:rPr>
        <w:t>.</w:t>
      </w:r>
    </w:p>
    <w:p w:rsidR="00D56E99" w:rsidRPr="00A91E83" w:rsidRDefault="00D56E99" w:rsidP="00D56E99">
      <w:pPr>
        <w:pStyle w:val="Sraopastraipa"/>
        <w:numPr>
          <w:ilvl w:val="0"/>
          <w:numId w:val="15"/>
        </w:numPr>
        <w:tabs>
          <w:tab w:val="left" w:pos="851"/>
          <w:tab w:val="left" w:pos="1134"/>
        </w:tabs>
        <w:spacing w:after="0" w:line="360" w:lineRule="auto"/>
        <w:ind w:left="0" w:firstLine="855"/>
        <w:jc w:val="both"/>
        <w:rPr>
          <w:rFonts w:ascii="Times New Roman" w:hAnsi="Times New Roman" w:cs="Times New Roman"/>
          <w:sz w:val="24"/>
          <w:szCs w:val="24"/>
        </w:rPr>
      </w:pPr>
      <w:r w:rsidRPr="00A91E83">
        <w:rPr>
          <w:rFonts w:ascii="Times New Roman" w:hAnsi="Times New Roman" w:cs="Times New Roman"/>
          <w:sz w:val="24"/>
          <w:szCs w:val="24"/>
        </w:rPr>
        <w:t>Teoriškai išnagrinėti užskaitos sampratą ir praktinę reikšmę bei palyginti su Lietuvoje labiau įprasta įskaitymo sąvoka.</w:t>
      </w:r>
    </w:p>
    <w:p w:rsidR="00D56E99" w:rsidRPr="00A91E83" w:rsidRDefault="00D56E99" w:rsidP="00D56E99">
      <w:pPr>
        <w:pStyle w:val="Sraopastraipa"/>
        <w:numPr>
          <w:ilvl w:val="0"/>
          <w:numId w:val="15"/>
        </w:numPr>
        <w:tabs>
          <w:tab w:val="left" w:pos="851"/>
          <w:tab w:val="left" w:pos="1134"/>
        </w:tabs>
        <w:spacing w:after="0" w:line="360" w:lineRule="auto"/>
        <w:ind w:left="0" w:firstLine="855"/>
        <w:jc w:val="both"/>
        <w:rPr>
          <w:rFonts w:ascii="Times New Roman" w:hAnsi="Times New Roman" w:cs="Times New Roman"/>
          <w:sz w:val="24"/>
          <w:szCs w:val="24"/>
        </w:rPr>
      </w:pPr>
      <w:r w:rsidRPr="00A91E83">
        <w:rPr>
          <w:rFonts w:ascii="Times New Roman" w:hAnsi="Times New Roman" w:cs="Times New Roman"/>
          <w:sz w:val="24"/>
          <w:szCs w:val="24"/>
        </w:rPr>
        <w:t>Ap</w:t>
      </w:r>
      <w:r w:rsidR="00326F8C" w:rsidRPr="00A91E83">
        <w:rPr>
          <w:rFonts w:ascii="Times New Roman" w:hAnsi="Times New Roman" w:cs="Times New Roman"/>
          <w:sz w:val="24"/>
          <w:szCs w:val="24"/>
        </w:rPr>
        <w:t>žvelgti ISDA formos struktūrą bei</w:t>
      </w:r>
      <w:r w:rsidRPr="00A91E83">
        <w:rPr>
          <w:rFonts w:ascii="Times New Roman" w:hAnsi="Times New Roman" w:cs="Times New Roman"/>
          <w:sz w:val="24"/>
          <w:szCs w:val="24"/>
        </w:rPr>
        <w:t xml:space="preserve"> detaliau išnagrinėti </w:t>
      </w:r>
      <w:r w:rsidR="00326F8C" w:rsidRPr="00A91E83">
        <w:rPr>
          <w:rFonts w:ascii="Times New Roman" w:hAnsi="Times New Roman" w:cs="Times New Roman"/>
          <w:sz w:val="24"/>
          <w:szCs w:val="24"/>
        </w:rPr>
        <w:t>užskaitos ir</w:t>
      </w:r>
      <w:r w:rsidRPr="00A91E83">
        <w:rPr>
          <w:rFonts w:ascii="Times New Roman" w:hAnsi="Times New Roman" w:cs="Times New Roman"/>
          <w:sz w:val="24"/>
          <w:szCs w:val="24"/>
        </w:rPr>
        <w:t xml:space="preserve"> </w:t>
      </w:r>
      <w:r w:rsidR="00326F8C" w:rsidRPr="00A91E83">
        <w:rPr>
          <w:rFonts w:ascii="Times New Roman" w:hAnsi="Times New Roman" w:cs="Times New Roman"/>
          <w:sz w:val="24"/>
          <w:szCs w:val="24"/>
        </w:rPr>
        <w:t xml:space="preserve">kitas sąlygas, </w:t>
      </w:r>
      <w:r w:rsidRPr="00A91E83">
        <w:rPr>
          <w:rFonts w:ascii="Times New Roman" w:hAnsi="Times New Roman" w:cs="Times New Roman"/>
          <w:sz w:val="24"/>
          <w:szCs w:val="24"/>
        </w:rPr>
        <w:t>tiesiogiai susijusias su užskaitos taikymo mechanizmu.</w:t>
      </w:r>
    </w:p>
    <w:p w:rsidR="00D56E99" w:rsidRPr="00A91E83" w:rsidRDefault="00D56E99" w:rsidP="00D56E99">
      <w:pPr>
        <w:pStyle w:val="Sraopastraipa"/>
        <w:numPr>
          <w:ilvl w:val="0"/>
          <w:numId w:val="15"/>
        </w:numPr>
        <w:tabs>
          <w:tab w:val="left" w:pos="851"/>
          <w:tab w:val="left" w:pos="1134"/>
        </w:tabs>
        <w:spacing w:after="0" w:line="360" w:lineRule="auto"/>
        <w:ind w:left="0" w:firstLine="855"/>
        <w:jc w:val="both"/>
        <w:rPr>
          <w:rFonts w:ascii="Times New Roman" w:hAnsi="Times New Roman" w:cs="Times New Roman"/>
          <w:sz w:val="24"/>
          <w:szCs w:val="24"/>
        </w:rPr>
      </w:pPr>
      <w:r w:rsidRPr="00A91E83">
        <w:rPr>
          <w:rFonts w:ascii="Times New Roman" w:hAnsi="Times New Roman" w:cs="Times New Roman"/>
          <w:sz w:val="24"/>
          <w:szCs w:val="24"/>
        </w:rPr>
        <w:t xml:space="preserve">Išanalizuoti ISDA formos užskaitos </w:t>
      </w:r>
      <w:r w:rsidR="00E25BA1" w:rsidRPr="00A91E83">
        <w:rPr>
          <w:rFonts w:ascii="Times New Roman" w:hAnsi="Times New Roman" w:cs="Times New Roman"/>
          <w:sz w:val="24"/>
          <w:szCs w:val="24"/>
        </w:rPr>
        <w:t>mechanizmo</w:t>
      </w:r>
      <w:r w:rsidRPr="00A91E83">
        <w:rPr>
          <w:rFonts w:ascii="Times New Roman" w:hAnsi="Times New Roman" w:cs="Times New Roman"/>
          <w:sz w:val="24"/>
          <w:szCs w:val="24"/>
        </w:rPr>
        <w:t xml:space="preserve"> taikymo galimybes </w:t>
      </w:r>
      <w:r w:rsidR="00326F8C" w:rsidRPr="00A91E83">
        <w:rPr>
          <w:rFonts w:ascii="Times New Roman" w:hAnsi="Times New Roman" w:cs="Times New Roman"/>
          <w:sz w:val="24"/>
          <w:szCs w:val="24"/>
        </w:rPr>
        <w:t>FUSĮ ir ĮBĮ</w:t>
      </w:r>
      <w:r w:rsidRPr="00A91E83">
        <w:rPr>
          <w:rFonts w:ascii="Times New Roman" w:hAnsi="Times New Roman" w:cs="Times New Roman"/>
          <w:sz w:val="24"/>
          <w:szCs w:val="24"/>
        </w:rPr>
        <w:t xml:space="preserve"> kontekste.</w:t>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r>
      <w:r w:rsidRPr="00A91E83">
        <w:rPr>
          <w:rFonts w:ascii="Times New Roman" w:hAnsi="Times New Roman" w:cs="Times New Roman"/>
          <w:b/>
          <w:sz w:val="24"/>
          <w:szCs w:val="24"/>
        </w:rPr>
        <w:t>Tyrimo objektas.</w:t>
      </w:r>
      <w:r w:rsidR="00B62137" w:rsidRPr="00A91E83">
        <w:rPr>
          <w:rFonts w:ascii="Times New Roman" w:hAnsi="Times New Roman" w:cs="Times New Roman"/>
          <w:sz w:val="24"/>
          <w:szCs w:val="24"/>
        </w:rPr>
        <w:t xml:space="preserve"> Tyrimo objektas</w:t>
      </w:r>
      <w:r w:rsidR="00B537A7" w:rsidRPr="00A91E83">
        <w:rPr>
          <w:rFonts w:ascii="Times New Roman" w:hAnsi="Times New Roman" w:cs="Times New Roman"/>
          <w:sz w:val="24"/>
          <w:szCs w:val="24"/>
        </w:rPr>
        <w:t xml:space="preserve"> –</w:t>
      </w:r>
      <w:r w:rsidR="00B62137" w:rsidRPr="00A91E83">
        <w:rPr>
          <w:rFonts w:ascii="Times New Roman" w:hAnsi="Times New Roman" w:cs="Times New Roman"/>
          <w:sz w:val="24"/>
          <w:szCs w:val="24"/>
        </w:rPr>
        <w:t xml:space="preserve"> tai teisiniai santykiai</w:t>
      </w:r>
      <w:r w:rsidR="00B537A7" w:rsidRPr="00A91E83">
        <w:rPr>
          <w:rFonts w:ascii="Times New Roman" w:hAnsi="Times New Roman" w:cs="Times New Roman"/>
          <w:sz w:val="24"/>
          <w:szCs w:val="24"/>
        </w:rPr>
        <w:t>, atsirandantys</w:t>
      </w:r>
      <w:r w:rsidRPr="00A91E83">
        <w:rPr>
          <w:rFonts w:ascii="Times New Roman" w:hAnsi="Times New Roman" w:cs="Times New Roman"/>
          <w:sz w:val="24"/>
          <w:szCs w:val="24"/>
        </w:rPr>
        <w:t xml:space="preserve"> tarp subjektų</w:t>
      </w:r>
      <w:r w:rsidR="00665746" w:rsidRPr="00A91E83">
        <w:rPr>
          <w:rFonts w:ascii="Times New Roman" w:hAnsi="Times New Roman" w:cs="Times New Roman"/>
          <w:sz w:val="24"/>
          <w:szCs w:val="24"/>
        </w:rPr>
        <w:t>, kurie sudaro</w:t>
      </w:r>
      <w:r w:rsidRPr="00A91E83">
        <w:rPr>
          <w:rFonts w:ascii="Times New Roman" w:hAnsi="Times New Roman" w:cs="Times New Roman"/>
          <w:sz w:val="24"/>
          <w:szCs w:val="24"/>
        </w:rPr>
        <w:t xml:space="preserve"> sandorius dėl išvestinių finansinių priemonių už biržos ribų</w:t>
      </w:r>
      <w:r w:rsidR="00665746" w:rsidRPr="00A91E83">
        <w:rPr>
          <w:rFonts w:ascii="Times New Roman" w:hAnsi="Times New Roman" w:cs="Times New Roman"/>
          <w:sz w:val="24"/>
          <w:szCs w:val="24"/>
        </w:rPr>
        <w:t>,</w:t>
      </w:r>
      <w:r w:rsidRPr="00A91E83">
        <w:rPr>
          <w:rFonts w:ascii="Times New Roman" w:hAnsi="Times New Roman" w:cs="Times New Roman"/>
          <w:sz w:val="24"/>
          <w:szCs w:val="24"/>
        </w:rPr>
        <w:t xml:space="preserve"> naudojant ISDA formą.</w:t>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r>
      <w:r w:rsidRPr="00A91E83">
        <w:rPr>
          <w:rFonts w:ascii="Times New Roman" w:hAnsi="Times New Roman" w:cs="Times New Roman"/>
          <w:b/>
          <w:sz w:val="24"/>
          <w:szCs w:val="24"/>
        </w:rPr>
        <w:t xml:space="preserve">Tyrimo dalykas. </w:t>
      </w:r>
      <w:r w:rsidRPr="00A91E83">
        <w:rPr>
          <w:rFonts w:ascii="Times New Roman" w:hAnsi="Times New Roman" w:cs="Times New Roman"/>
          <w:sz w:val="24"/>
          <w:szCs w:val="24"/>
        </w:rPr>
        <w:t>Sandorių dėl išvestinių finansi</w:t>
      </w:r>
      <w:r w:rsidR="00665746" w:rsidRPr="00A91E83">
        <w:rPr>
          <w:rFonts w:ascii="Times New Roman" w:hAnsi="Times New Roman" w:cs="Times New Roman"/>
          <w:sz w:val="24"/>
          <w:szCs w:val="24"/>
        </w:rPr>
        <w:t>nių priemonių, kurie sudaryti</w:t>
      </w:r>
      <w:r w:rsidRPr="00A91E83">
        <w:rPr>
          <w:rFonts w:ascii="Times New Roman" w:hAnsi="Times New Roman" w:cs="Times New Roman"/>
          <w:sz w:val="24"/>
          <w:szCs w:val="24"/>
        </w:rPr>
        <w:t xml:space="preserve"> naudojant ISDA formą</w:t>
      </w:r>
      <w:r w:rsidR="00985C0F" w:rsidRPr="00A91E83">
        <w:rPr>
          <w:rFonts w:ascii="Times New Roman" w:hAnsi="Times New Roman" w:cs="Times New Roman"/>
          <w:sz w:val="24"/>
          <w:szCs w:val="24"/>
        </w:rPr>
        <w:t>,</w:t>
      </w:r>
      <w:r w:rsidRPr="00A91E83">
        <w:rPr>
          <w:rFonts w:ascii="Times New Roman" w:hAnsi="Times New Roman" w:cs="Times New Roman"/>
          <w:sz w:val="24"/>
          <w:szCs w:val="24"/>
        </w:rPr>
        <w:t xml:space="preserve"> </w:t>
      </w:r>
      <w:r w:rsidR="00985C0F" w:rsidRPr="00A91E83">
        <w:rPr>
          <w:rFonts w:ascii="Times New Roman" w:hAnsi="Times New Roman" w:cs="Times New Roman"/>
          <w:sz w:val="24"/>
          <w:szCs w:val="24"/>
        </w:rPr>
        <w:t>užskaitos sąlygos mechanizmo</w:t>
      </w:r>
      <w:r w:rsidR="00665746" w:rsidRPr="00A91E83">
        <w:rPr>
          <w:rFonts w:ascii="Times New Roman" w:hAnsi="Times New Roman" w:cs="Times New Roman"/>
          <w:sz w:val="24"/>
          <w:szCs w:val="24"/>
        </w:rPr>
        <w:t xml:space="preserve"> </w:t>
      </w:r>
      <w:r w:rsidR="00A07E54" w:rsidRPr="00A91E83">
        <w:rPr>
          <w:rFonts w:ascii="Times New Roman" w:hAnsi="Times New Roman" w:cs="Times New Roman"/>
          <w:sz w:val="24"/>
          <w:szCs w:val="24"/>
        </w:rPr>
        <w:t xml:space="preserve">taikymo </w:t>
      </w:r>
      <w:r w:rsidR="00665746" w:rsidRPr="00A91E83">
        <w:rPr>
          <w:rFonts w:ascii="Times New Roman" w:hAnsi="Times New Roman" w:cs="Times New Roman"/>
          <w:sz w:val="24"/>
          <w:szCs w:val="24"/>
        </w:rPr>
        <w:t>proble</w:t>
      </w:r>
      <w:r w:rsidR="00A07E54" w:rsidRPr="00A91E83">
        <w:rPr>
          <w:rFonts w:ascii="Times New Roman" w:hAnsi="Times New Roman" w:cs="Times New Roman"/>
          <w:sz w:val="24"/>
          <w:szCs w:val="24"/>
        </w:rPr>
        <w:t xml:space="preserve">matika Lietuvos bankroto teisės </w:t>
      </w:r>
      <w:r w:rsidR="00985C0F" w:rsidRPr="00A91E83">
        <w:rPr>
          <w:rFonts w:ascii="Times New Roman" w:hAnsi="Times New Roman" w:cs="Times New Roman"/>
          <w:sz w:val="24"/>
          <w:szCs w:val="24"/>
        </w:rPr>
        <w:t>kontekste</w:t>
      </w:r>
      <w:r w:rsidR="00665746" w:rsidRPr="00A91E83">
        <w:rPr>
          <w:rFonts w:ascii="Times New Roman" w:hAnsi="Times New Roman" w:cs="Times New Roman"/>
          <w:sz w:val="24"/>
          <w:szCs w:val="24"/>
        </w:rPr>
        <w:t>.</w:t>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r>
      <w:r w:rsidRPr="00A91E83">
        <w:rPr>
          <w:rFonts w:ascii="Times New Roman" w:hAnsi="Times New Roman" w:cs="Times New Roman"/>
          <w:b/>
          <w:sz w:val="24"/>
          <w:szCs w:val="24"/>
        </w:rPr>
        <w:t>Tyrimo hipotezė.</w:t>
      </w:r>
      <w:r w:rsidRPr="00A91E83">
        <w:rPr>
          <w:rFonts w:ascii="Times New Roman" w:hAnsi="Times New Roman" w:cs="Times New Roman"/>
          <w:sz w:val="24"/>
          <w:szCs w:val="24"/>
        </w:rPr>
        <w:t xml:space="preserve"> Atliekant tyrimą tikrinama hipotezė, jog </w:t>
      </w:r>
      <w:r w:rsidR="00DE76DE" w:rsidRPr="00A91E83">
        <w:rPr>
          <w:rFonts w:ascii="Times New Roman" w:hAnsi="Times New Roman" w:cs="Times New Roman"/>
          <w:sz w:val="24"/>
          <w:szCs w:val="24"/>
        </w:rPr>
        <w:t>šalys sudarydamos sandorius</w:t>
      </w:r>
      <w:r w:rsidRPr="00A91E83">
        <w:rPr>
          <w:rFonts w:ascii="Times New Roman" w:hAnsi="Times New Roman" w:cs="Times New Roman"/>
          <w:sz w:val="24"/>
          <w:szCs w:val="24"/>
        </w:rPr>
        <w:t xml:space="preserve"> dėl išvestinių finansinių</w:t>
      </w:r>
      <w:r w:rsidR="00FA3917" w:rsidRPr="00A91E83">
        <w:rPr>
          <w:rFonts w:ascii="Times New Roman" w:hAnsi="Times New Roman" w:cs="Times New Roman"/>
          <w:sz w:val="24"/>
          <w:szCs w:val="24"/>
        </w:rPr>
        <w:t xml:space="preserve"> už biržos ribų ir naudodamos</w:t>
      </w:r>
      <w:r w:rsidR="00DE76DE" w:rsidRPr="00A91E83">
        <w:rPr>
          <w:rFonts w:ascii="Times New Roman" w:hAnsi="Times New Roman" w:cs="Times New Roman"/>
          <w:sz w:val="24"/>
          <w:szCs w:val="24"/>
        </w:rPr>
        <w:t xml:space="preserve"> ISDA formą gali pasinaudoti užskaitos mechanizmu </w:t>
      </w:r>
      <w:r w:rsidR="00264EF1" w:rsidRPr="00A91E83">
        <w:rPr>
          <w:rFonts w:ascii="Times New Roman" w:hAnsi="Times New Roman" w:cs="Times New Roman"/>
          <w:sz w:val="24"/>
          <w:szCs w:val="24"/>
        </w:rPr>
        <w:t>bankroto</w:t>
      </w:r>
      <w:r w:rsidR="00DE76DE" w:rsidRPr="00A91E83">
        <w:rPr>
          <w:rFonts w:ascii="Times New Roman" w:hAnsi="Times New Roman" w:cs="Times New Roman"/>
          <w:sz w:val="24"/>
          <w:szCs w:val="24"/>
        </w:rPr>
        <w:t xml:space="preserve"> kontekste.</w:t>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r>
      <w:r w:rsidRPr="00A91E83">
        <w:rPr>
          <w:rFonts w:ascii="Times New Roman" w:hAnsi="Times New Roman" w:cs="Times New Roman"/>
          <w:b/>
          <w:sz w:val="24"/>
          <w:szCs w:val="24"/>
        </w:rPr>
        <w:t>Darbe taikomi metodai.</w:t>
      </w:r>
      <w:r w:rsidR="00ED576C" w:rsidRPr="00A91E83">
        <w:rPr>
          <w:rFonts w:ascii="Times New Roman" w:hAnsi="Times New Roman" w:cs="Times New Roman"/>
          <w:sz w:val="24"/>
          <w:szCs w:val="24"/>
        </w:rPr>
        <w:t xml:space="preserve"> Siekiant užsibrėžto</w:t>
      </w:r>
      <w:r w:rsidRPr="00A91E83">
        <w:rPr>
          <w:rFonts w:ascii="Times New Roman" w:hAnsi="Times New Roman" w:cs="Times New Roman"/>
          <w:sz w:val="24"/>
          <w:szCs w:val="24"/>
        </w:rPr>
        <w:t xml:space="preserve"> tikslo ir uždavinių, kompleksiškai naudojami teoriniai ir praktiniai mokslinio tyrimo metodai. Pagrindinis tyrimo metu taikytas metodas – dokumentų analizė. Taip pat buvo naudojami lingvistinis, lyginamasis, </w:t>
      </w:r>
      <w:proofErr w:type="spellStart"/>
      <w:r w:rsidRPr="00A91E83">
        <w:rPr>
          <w:rFonts w:ascii="Times New Roman" w:hAnsi="Times New Roman" w:cs="Times New Roman"/>
          <w:sz w:val="24"/>
          <w:szCs w:val="24"/>
        </w:rPr>
        <w:t>teleologinis</w:t>
      </w:r>
      <w:proofErr w:type="spellEnd"/>
      <w:r w:rsidRPr="00A91E83">
        <w:rPr>
          <w:rFonts w:ascii="Times New Roman" w:hAnsi="Times New Roman" w:cs="Times New Roman"/>
          <w:sz w:val="24"/>
          <w:szCs w:val="24"/>
        </w:rPr>
        <w:t xml:space="preserve"> ir sisteminės analizės metodai.</w:t>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r>
      <w:r w:rsidRPr="00A91E83">
        <w:rPr>
          <w:rFonts w:ascii="Times New Roman" w:hAnsi="Times New Roman" w:cs="Times New Roman"/>
          <w:b/>
          <w:sz w:val="24"/>
          <w:szCs w:val="24"/>
        </w:rPr>
        <w:t>Darbo struktūra.</w:t>
      </w:r>
      <w:r w:rsidRPr="00A91E83">
        <w:rPr>
          <w:rFonts w:ascii="Times New Roman" w:hAnsi="Times New Roman" w:cs="Times New Roman"/>
          <w:sz w:val="24"/>
          <w:szCs w:val="24"/>
        </w:rPr>
        <w:t xml:space="preserve"> </w:t>
      </w:r>
      <w:r w:rsidRPr="00A91E83">
        <w:rPr>
          <w:rFonts w:ascii="Times New Roman" w:hAnsi="Times New Roman" w:cs="Times New Roman"/>
          <w:i/>
          <w:sz w:val="24"/>
          <w:szCs w:val="24"/>
        </w:rPr>
        <w:t>Pirmoje</w:t>
      </w:r>
      <w:r w:rsidRPr="00A91E83">
        <w:rPr>
          <w:rFonts w:ascii="Times New Roman" w:hAnsi="Times New Roman" w:cs="Times New Roman"/>
          <w:sz w:val="24"/>
          <w:szCs w:val="24"/>
        </w:rPr>
        <w:t xml:space="preserve"> dalyje tirsime sandorių dėl išvestinių finansinių priemonių</w:t>
      </w:r>
      <w:r w:rsidR="00ED576C" w:rsidRPr="00A91E83">
        <w:rPr>
          <w:rFonts w:ascii="Times New Roman" w:hAnsi="Times New Roman" w:cs="Times New Roman"/>
          <w:sz w:val="24"/>
          <w:szCs w:val="24"/>
        </w:rPr>
        <w:t>,</w:t>
      </w:r>
      <w:r w:rsidRPr="00A91E83">
        <w:rPr>
          <w:rFonts w:ascii="Times New Roman" w:hAnsi="Times New Roman" w:cs="Times New Roman"/>
          <w:sz w:val="24"/>
          <w:szCs w:val="24"/>
        </w:rPr>
        <w:t xml:space="preserve"> sudarytų už biržos ribų </w:t>
      </w:r>
      <w:r w:rsidR="00B52631" w:rsidRPr="00A91E83">
        <w:rPr>
          <w:rFonts w:ascii="Times New Roman" w:hAnsi="Times New Roman" w:cs="Times New Roman"/>
          <w:sz w:val="24"/>
          <w:szCs w:val="24"/>
        </w:rPr>
        <w:t>ypatumus</w:t>
      </w:r>
      <w:r w:rsidR="004F38F7" w:rsidRPr="00A91E83">
        <w:rPr>
          <w:rFonts w:ascii="Times New Roman" w:hAnsi="Times New Roman" w:cs="Times New Roman"/>
          <w:sz w:val="24"/>
          <w:szCs w:val="24"/>
        </w:rPr>
        <w:t>, ypatingą dėmesį skirdami</w:t>
      </w:r>
      <w:r w:rsidRPr="00A91E83">
        <w:rPr>
          <w:rFonts w:ascii="Times New Roman" w:hAnsi="Times New Roman" w:cs="Times New Roman"/>
          <w:sz w:val="24"/>
          <w:szCs w:val="24"/>
        </w:rPr>
        <w:t xml:space="preserve"> apsikeitimo sandoriams, kurių trys nagrinėjami tipai sudaro daugiau nei 95% visų sandorių dėl išvestinių finansinių priemonių</w:t>
      </w:r>
      <w:r w:rsidR="00ED576C" w:rsidRPr="00A91E83">
        <w:rPr>
          <w:rFonts w:ascii="Times New Roman" w:hAnsi="Times New Roman" w:cs="Times New Roman"/>
          <w:sz w:val="24"/>
          <w:szCs w:val="24"/>
        </w:rPr>
        <w:t>. T</w:t>
      </w:r>
      <w:r w:rsidR="00D51729" w:rsidRPr="00A91E83">
        <w:rPr>
          <w:rFonts w:ascii="Times New Roman" w:hAnsi="Times New Roman" w:cs="Times New Roman"/>
          <w:sz w:val="24"/>
          <w:szCs w:val="24"/>
        </w:rPr>
        <w:t>okiu būd</w:t>
      </w:r>
      <w:r w:rsidR="00B52631" w:rsidRPr="00A91E83">
        <w:rPr>
          <w:rFonts w:ascii="Times New Roman" w:hAnsi="Times New Roman" w:cs="Times New Roman"/>
          <w:sz w:val="24"/>
          <w:szCs w:val="24"/>
        </w:rPr>
        <w:t>u atkleisime</w:t>
      </w:r>
      <w:r w:rsidR="00D51729" w:rsidRPr="00A91E83">
        <w:rPr>
          <w:rFonts w:ascii="Times New Roman" w:hAnsi="Times New Roman" w:cs="Times New Roman"/>
          <w:sz w:val="24"/>
          <w:szCs w:val="24"/>
        </w:rPr>
        <w:t xml:space="preserve"> išvestinių instrumentų esmę. Skyriaus pabaigoje </w:t>
      </w:r>
      <w:r w:rsidRPr="00A91E83">
        <w:rPr>
          <w:rFonts w:ascii="Times New Roman" w:hAnsi="Times New Roman" w:cs="Times New Roman"/>
          <w:sz w:val="24"/>
          <w:szCs w:val="24"/>
        </w:rPr>
        <w:t xml:space="preserve">palyginsime </w:t>
      </w:r>
      <w:r w:rsidR="00B52631" w:rsidRPr="00A91E83">
        <w:rPr>
          <w:rFonts w:ascii="Times New Roman" w:hAnsi="Times New Roman" w:cs="Times New Roman"/>
          <w:sz w:val="24"/>
          <w:szCs w:val="24"/>
        </w:rPr>
        <w:t>biržoje ir už jos ribų sudaromų sandorių rizikos valdymo mechanizmą, taip</w:t>
      </w:r>
      <w:r w:rsidR="00D51729" w:rsidRPr="00A91E83">
        <w:rPr>
          <w:rFonts w:ascii="Times New Roman" w:hAnsi="Times New Roman" w:cs="Times New Roman"/>
          <w:sz w:val="24"/>
          <w:szCs w:val="24"/>
        </w:rPr>
        <w:t xml:space="preserve"> identifikuosime tyrimo problemą, jog</w:t>
      </w:r>
      <w:r w:rsidR="00ED576C" w:rsidRPr="00A91E83">
        <w:rPr>
          <w:rFonts w:ascii="Times New Roman" w:hAnsi="Times New Roman" w:cs="Times New Roman"/>
          <w:sz w:val="24"/>
          <w:szCs w:val="24"/>
        </w:rPr>
        <w:t>,</w:t>
      </w:r>
      <w:r w:rsidR="00D51729" w:rsidRPr="00A91E83">
        <w:rPr>
          <w:rFonts w:ascii="Times New Roman" w:hAnsi="Times New Roman" w:cs="Times New Roman"/>
          <w:sz w:val="24"/>
          <w:szCs w:val="24"/>
        </w:rPr>
        <w:t xml:space="preserve"> dėl užskaitos </w:t>
      </w:r>
      <w:r w:rsidR="00ED576C" w:rsidRPr="00A91E83">
        <w:rPr>
          <w:rFonts w:ascii="Times New Roman" w:hAnsi="Times New Roman" w:cs="Times New Roman"/>
          <w:sz w:val="24"/>
          <w:szCs w:val="24"/>
        </w:rPr>
        <w:t xml:space="preserve">taikymo </w:t>
      </w:r>
      <w:r w:rsidR="00D51729" w:rsidRPr="00A91E83">
        <w:rPr>
          <w:rFonts w:ascii="Times New Roman" w:hAnsi="Times New Roman" w:cs="Times New Roman"/>
          <w:sz w:val="24"/>
          <w:szCs w:val="24"/>
        </w:rPr>
        <w:t xml:space="preserve">galimybės </w:t>
      </w:r>
      <w:r w:rsidR="00ED576C" w:rsidRPr="00A91E83">
        <w:rPr>
          <w:rFonts w:ascii="Times New Roman" w:hAnsi="Times New Roman" w:cs="Times New Roman"/>
          <w:sz w:val="24"/>
          <w:szCs w:val="24"/>
        </w:rPr>
        <w:t xml:space="preserve">bankroto procese, </w:t>
      </w:r>
      <w:r w:rsidR="00D51729" w:rsidRPr="00A91E83">
        <w:rPr>
          <w:rFonts w:ascii="Times New Roman" w:hAnsi="Times New Roman" w:cs="Times New Roman"/>
          <w:sz w:val="24"/>
          <w:szCs w:val="24"/>
        </w:rPr>
        <w:t>biržoje sudaromi sandoriai laikomi saugesniais.</w:t>
      </w:r>
      <w:r w:rsidRPr="00A91E83">
        <w:rPr>
          <w:rFonts w:ascii="Times New Roman" w:hAnsi="Times New Roman" w:cs="Times New Roman"/>
          <w:sz w:val="24"/>
          <w:szCs w:val="24"/>
        </w:rPr>
        <w:t xml:space="preserve"> </w:t>
      </w:r>
      <w:r w:rsidRPr="00A91E83">
        <w:rPr>
          <w:rFonts w:ascii="Times New Roman" w:hAnsi="Times New Roman" w:cs="Times New Roman"/>
          <w:i/>
          <w:sz w:val="24"/>
          <w:szCs w:val="24"/>
        </w:rPr>
        <w:t>Antroje</w:t>
      </w:r>
      <w:r w:rsidRPr="00A91E83">
        <w:rPr>
          <w:rFonts w:ascii="Times New Roman" w:hAnsi="Times New Roman" w:cs="Times New Roman"/>
          <w:sz w:val="24"/>
          <w:szCs w:val="24"/>
        </w:rPr>
        <w:t xml:space="preserve"> dalyje palyginsime Lietuvos civilinio kodekso instituto – įskaitymo taikymą nemokumo kontekste, analizuosime užskaitos sampratą, išskirdami vartojamos sąvokos </w:t>
      </w:r>
      <w:r w:rsidR="00187037" w:rsidRPr="00A91E83">
        <w:rPr>
          <w:rFonts w:ascii="Times New Roman" w:hAnsi="Times New Roman" w:cs="Times New Roman"/>
          <w:sz w:val="24"/>
          <w:szCs w:val="24"/>
        </w:rPr>
        <w:t>subtilybes</w:t>
      </w:r>
      <w:r w:rsidRPr="00A91E83">
        <w:rPr>
          <w:rFonts w:ascii="Times New Roman" w:hAnsi="Times New Roman" w:cs="Times New Roman"/>
          <w:sz w:val="24"/>
          <w:szCs w:val="24"/>
        </w:rPr>
        <w:t xml:space="preserve"> bei </w:t>
      </w:r>
      <w:r w:rsidR="00187037" w:rsidRPr="00A91E83">
        <w:rPr>
          <w:rFonts w:ascii="Times New Roman" w:hAnsi="Times New Roman" w:cs="Times New Roman"/>
          <w:sz w:val="24"/>
          <w:szCs w:val="24"/>
        </w:rPr>
        <w:t xml:space="preserve">atskleisime </w:t>
      </w:r>
      <w:r w:rsidRPr="00A91E83">
        <w:rPr>
          <w:rFonts w:ascii="Times New Roman" w:hAnsi="Times New Roman" w:cs="Times New Roman"/>
          <w:sz w:val="24"/>
          <w:szCs w:val="24"/>
        </w:rPr>
        <w:t xml:space="preserve">atskirų </w:t>
      </w:r>
      <w:r w:rsidR="00187037" w:rsidRPr="00A91E83">
        <w:rPr>
          <w:rFonts w:ascii="Times New Roman" w:hAnsi="Times New Roman" w:cs="Times New Roman"/>
          <w:sz w:val="24"/>
          <w:szCs w:val="24"/>
        </w:rPr>
        <w:t xml:space="preserve">užskaitos </w:t>
      </w:r>
      <w:r w:rsidRPr="00A91E83">
        <w:rPr>
          <w:rFonts w:ascii="Times New Roman" w:hAnsi="Times New Roman" w:cs="Times New Roman"/>
          <w:sz w:val="24"/>
          <w:szCs w:val="24"/>
        </w:rPr>
        <w:t xml:space="preserve">rūšių </w:t>
      </w:r>
      <w:r w:rsidR="00187037" w:rsidRPr="00A91E83">
        <w:rPr>
          <w:rFonts w:ascii="Times New Roman" w:hAnsi="Times New Roman" w:cs="Times New Roman"/>
          <w:sz w:val="24"/>
          <w:szCs w:val="24"/>
        </w:rPr>
        <w:t>ypatumus</w:t>
      </w:r>
      <w:r w:rsidRPr="00A91E83">
        <w:rPr>
          <w:rFonts w:ascii="Times New Roman" w:hAnsi="Times New Roman" w:cs="Times New Roman"/>
          <w:sz w:val="24"/>
          <w:szCs w:val="24"/>
        </w:rPr>
        <w:t xml:space="preserve">. </w:t>
      </w:r>
      <w:r w:rsidRPr="00A91E83">
        <w:rPr>
          <w:rFonts w:ascii="Times New Roman" w:hAnsi="Times New Roman" w:cs="Times New Roman"/>
          <w:i/>
          <w:sz w:val="24"/>
          <w:szCs w:val="24"/>
        </w:rPr>
        <w:t>Trečioje</w:t>
      </w:r>
      <w:r w:rsidRPr="00A91E83">
        <w:rPr>
          <w:rFonts w:ascii="Times New Roman" w:hAnsi="Times New Roman" w:cs="Times New Roman"/>
          <w:sz w:val="24"/>
          <w:szCs w:val="24"/>
        </w:rPr>
        <w:t xml:space="preserve"> dalyje iš esmės analizuosime ISDA tipines sandorių formas, kurių pagrindu sudaroma didžioji dauguma sandorių dėl išvestinių finansinių priemonių. Ypatingą dėmesį skirsime ISDA pagrindiniame susitarime įtvirtintai užskaitos sąlygai. Taip pat nagrinėsime ISDA vienos sutarties koncepcijos ypatumus ir prievolių įvykdymo užtikrinimo mechanizmą, kurie neatskiriamai susiję su užskaitos sąlygos </w:t>
      </w:r>
      <w:r w:rsidRPr="00A91E83">
        <w:rPr>
          <w:rFonts w:ascii="Times New Roman" w:hAnsi="Times New Roman" w:cs="Times New Roman"/>
          <w:sz w:val="24"/>
          <w:szCs w:val="24"/>
        </w:rPr>
        <w:lastRenderedPageBreak/>
        <w:t xml:space="preserve">taikymo ribomis. </w:t>
      </w:r>
      <w:r w:rsidRPr="00A91E83">
        <w:rPr>
          <w:rFonts w:ascii="Times New Roman" w:hAnsi="Times New Roman" w:cs="Times New Roman"/>
          <w:i/>
          <w:sz w:val="24"/>
          <w:szCs w:val="24"/>
        </w:rPr>
        <w:t>Ketvirtoje</w:t>
      </w:r>
      <w:r w:rsidRPr="00A91E83">
        <w:rPr>
          <w:rFonts w:ascii="Times New Roman" w:hAnsi="Times New Roman" w:cs="Times New Roman"/>
          <w:sz w:val="24"/>
          <w:szCs w:val="24"/>
        </w:rPr>
        <w:t xml:space="preserve"> dalyje plačiau panagrinėsime užskaitos sąlygos</w:t>
      </w:r>
      <w:r w:rsidR="003C0FFB" w:rsidRPr="00A91E83">
        <w:rPr>
          <w:rFonts w:ascii="Times New Roman" w:hAnsi="Times New Roman" w:cs="Times New Roman"/>
          <w:sz w:val="24"/>
          <w:szCs w:val="24"/>
        </w:rPr>
        <w:t>,</w:t>
      </w:r>
      <w:r w:rsidRPr="00A91E83">
        <w:rPr>
          <w:rFonts w:ascii="Times New Roman" w:hAnsi="Times New Roman" w:cs="Times New Roman"/>
          <w:sz w:val="24"/>
          <w:szCs w:val="24"/>
        </w:rPr>
        <w:t xml:space="preserve"> numatytos ISDA formoje</w:t>
      </w:r>
      <w:r w:rsidR="003C0FFB" w:rsidRPr="00A91E83">
        <w:rPr>
          <w:rFonts w:ascii="Times New Roman" w:hAnsi="Times New Roman" w:cs="Times New Roman"/>
          <w:sz w:val="24"/>
          <w:szCs w:val="24"/>
        </w:rPr>
        <w:t>,</w:t>
      </w:r>
      <w:r w:rsidRPr="00A91E83">
        <w:rPr>
          <w:rFonts w:ascii="Times New Roman" w:hAnsi="Times New Roman" w:cs="Times New Roman"/>
          <w:sz w:val="24"/>
          <w:szCs w:val="24"/>
        </w:rPr>
        <w:t xml:space="preserve"> konkrečius taikymo aspektus </w:t>
      </w:r>
      <w:r w:rsidR="005A0F38" w:rsidRPr="00A91E83">
        <w:rPr>
          <w:rFonts w:ascii="Times New Roman" w:hAnsi="Times New Roman" w:cs="Times New Roman"/>
          <w:sz w:val="24"/>
          <w:szCs w:val="24"/>
        </w:rPr>
        <w:t>FUSĮ ir bendrųjų bankroto normų konte</w:t>
      </w:r>
      <w:r w:rsidRPr="00A91E83">
        <w:rPr>
          <w:rFonts w:ascii="Times New Roman" w:hAnsi="Times New Roman" w:cs="Times New Roman"/>
          <w:sz w:val="24"/>
          <w:szCs w:val="24"/>
        </w:rPr>
        <w:t xml:space="preserve">kste. </w:t>
      </w:r>
      <w:r w:rsidRPr="00A91E83">
        <w:rPr>
          <w:rFonts w:ascii="Times New Roman" w:hAnsi="Times New Roman" w:cs="Times New Roman"/>
          <w:i/>
          <w:sz w:val="24"/>
          <w:szCs w:val="24"/>
        </w:rPr>
        <w:t>Penktoje</w:t>
      </w:r>
      <w:r w:rsidRPr="00A91E83">
        <w:rPr>
          <w:rFonts w:ascii="Times New Roman" w:hAnsi="Times New Roman" w:cs="Times New Roman"/>
          <w:sz w:val="24"/>
          <w:szCs w:val="24"/>
        </w:rPr>
        <w:t xml:space="preserve"> dalyje pateiksime apibendrinančias tyrimą išvadas ir rekomendacijas dėl Lietuvos Respublikos teisės aktų pakeitimų.</w:t>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r>
      <w:r w:rsidRPr="00A91E83">
        <w:rPr>
          <w:rFonts w:ascii="Times New Roman" w:hAnsi="Times New Roman" w:cs="Times New Roman"/>
          <w:b/>
          <w:sz w:val="24"/>
          <w:szCs w:val="24"/>
        </w:rPr>
        <w:t xml:space="preserve">Pagrindinės darbe vartojamos sąvokos. </w:t>
      </w:r>
      <w:r w:rsidR="00632033" w:rsidRPr="00A91E83">
        <w:rPr>
          <w:rFonts w:ascii="Times New Roman" w:hAnsi="Times New Roman" w:cs="Times New Roman"/>
          <w:sz w:val="24"/>
          <w:szCs w:val="24"/>
        </w:rPr>
        <w:t>T</w:t>
      </w:r>
      <w:r w:rsidR="00110AA3" w:rsidRPr="00A91E83">
        <w:rPr>
          <w:rFonts w:ascii="Times New Roman" w:hAnsi="Times New Roman" w:cs="Times New Roman"/>
          <w:sz w:val="24"/>
          <w:szCs w:val="24"/>
        </w:rPr>
        <w:t>erminas</w:t>
      </w:r>
      <w:r w:rsidR="00110AA3" w:rsidRPr="00A91E83">
        <w:rPr>
          <w:rFonts w:ascii="Times New Roman" w:hAnsi="Times New Roman" w:cs="Times New Roman"/>
          <w:b/>
          <w:sz w:val="24"/>
          <w:szCs w:val="24"/>
        </w:rPr>
        <w:t xml:space="preserve"> </w:t>
      </w:r>
      <w:r w:rsidRPr="00A91E83">
        <w:rPr>
          <w:rFonts w:ascii="Times New Roman" w:hAnsi="Times New Roman" w:cs="Times New Roman"/>
          <w:b/>
          <w:sz w:val="24"/>
          <w:szCs w:val="24"/>
        </w:rPr>
        <w:t>„</w:t>
      </w:r>
      <w:r w:rsidR="004C30A0" w:rsidRPr="00A91E83">
        <w:rPr>
          <w:rFonts w:ascii="Times New Roman" w:hAnsi="Times New Roman" w:cs="Times New Roman"/>
          <w:sz w:val="24"/>
          <w:szCs w:val="24"/>
        </w:rPr>
        <w:t>sandoriai</w:t>
      </w:r>
      <w:r w:rsidRPr="00A91E83">
        <w:rPr>
          <w:rFonts w:ascii="Times New Roman" w:hAnsi="Times New Roman" w:cs="Times New Roman"/>
          <w:sz w:val="24"/>
          <w:szCs w:val="24"/>
        </w:rPr>
        <w:t xml:space="preserve"> dėl išvestin</w:t>
      </w:r>
      <w:r w:rsidR="00110AA3" w:rsidRPr="00A91E83">
        <w:rPr>
          <w:rFonts w:ascii="Times New Roman" w:hAnsi="Times New Roman" w:cs="Times New Roman"/>
          <w:sz w:val="24"/>
          <w:szCs w:val="24"/>
        </w:rPr>
        <w:t>ių finansinių priemonių sudaromų</w:t>
      </w:r>
      <w:r w:rsidRPr="00A91E83">
        <w:rPr>
          <w:rFonts w:ascii="Times New Roman" w:hAnsi="Times New Roman" w:cs="Times New Roman"/>
          <w:sz w:val="24"/>
          <w:szCs w:val="24"/>
        </w:rPr>
        <w:t xml:space="preserve"> už biržos ribų“ yra pats tiksliausias ir taisyklingiausias lietuvių kalbos darybos atžvilgiu. Angliškai šis ilgas terminas gali būti apibūdintas dviem žodžiais „</w:t>
      </w:r>
      <w:r w:rsidRPr="00A91E83">
        <w:rPr>
          <w:rFonts w:ascii="Times New Roman" w:hAnsi="Times New Roman" w:cs="Times New Roman"/>
          <w:i/>
          <w:sz w:val="24"/>
          <w:szCs w:val="24"/>
        </w:rPr>
        <w:t xml:space="preserve">OTC </w:t>
      </w:r>
      <w:proofErr w:type="spellStart"/>
      <w:r w:rsidRPr="00A91E83">
        <w:rPr>
          <w:rFonts w:ascii="Times New Roman" w:hAnsi="Times New Roman" w:cs="Times New Roman"/>
          <w:i/>
          <w:sz w:val="24"/>
          <w:szCs w:val="24"/>
        </w:rPr>
        <w:t>derivatives</w:t>
      </w:r>
      <w:proofErr w:type="spellEnd"/>
      <w:r w:rsidRPr="00A91E83">
        <w:rPr>
          <w:rFonts w:ascii="Times New Roman" w:hAnsi="Times New Roman" w:cs="Times New Roman"/>
          <w:sz w:val="24"/>
          <w:szCs w:val="24"/>
        </w:rPr>
        <w:t>“. Vis dėlto praktikoje ir teisės aktuose šis terminas yra trumpinamas iki sinonimų: „</w:t>
      </w:r>
      <w:proofErr w:type="spellStart"/>
      <w:r w:rsidRPr="00A91E83">
        <w:rPr>
          <w:rFonts w:ascii="Times New Roman" w:hAnsi="Times New Roman" w:cs="Times New Roman"/>
          <w:sz w:val="24"/>
          <w:szCs w:val="24"/>
        </w:rPr>
        <w:t>užbiržinės</w:t>
      </w:r>
      <w:proofErr w:type="spellEnd"/>
      <w:r w:rsidRPr="00A91E83">
        <w:rPr>
          <w:rFonts w:ascii="Times New Roman" w:hAnsi="Times New Roman" w:cs="Times New Roman"/>
          <w:sz w:val="24"/>
          <w:szCs w:val="24"/>
        </w:rPr>
        <w:t xml:space="preserve"> išvestinės finansinės priemonės“, „išvestinių finansinių priemonių instrumentai“ ar tiesiog „išvestinės finansinės priemonės“. Taigi visi minėti terminai, nebent spec</w:t>
      </w:r>
      <w:r w:rsidR="004C30A0" w:rsidRPr="00A91E83">
        <w:rPr>
          <w:rFonts w:ascii="Times New Roman" w:hAnsi="Times New Roman" w:cs="Times New Roman"/>
          <w:sz w:val="24"/>
          <w:szCs w:val="24"/>
        </w:rPr>
        <w:t>ialiai tyrime nurodysime kitaip, bus laikomi sinonimais.</w:t>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t>Terminas „užskaita“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i/>
          <w:sz w:val="24"/>
          <w:szCs w:val="24"/>
        </w:rPr>
        <w:t>netting</w:t>
      </w:r>
      <w:proofErr w:type="spellEnd"/>
      <w:r w:rsidRPr="00A91E83">
        <w:rPr>
          <w:rFonts w:ascii="Times New Roman" w:hAnsi="Times New Roman" w:cs="Times New Roman"/>
          <w:sz w:val="24"/>
          <w:szCs w:val="24"/>
        </w:rPr>
        <w:t xml:space="preserve">) ir „tarpusavio užskaita“ bus naudojami kaip sinonimai. Pastarasis terminas siekia pabrėžti </w:t>
      </w:r>
      <w:proofErr w:type="spellStart"/>
      <w:r w:rsidRPr="00A91E83">
        <w:rPr>
          <w:rFonts w:ascii="Times New Roman" w:hAnsi="Times New Roman" w:cs="Times New Roman"/>
          <w:sz w:val="24"/>
          <w:szCs w:val="24"/>
        </w:rPr>
        <w:t>dvišališkumą</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i/>
          <w:sz w:val="24"/>
          <w:szCs w:val="24"/>
        </w:rPr>
        <w:t>bilateral</w:t>
      </w:r>
      <w:proofErr w:type="spellEnd"/>
      <w:r w:rsidRPr="00A91E83">
        <w:rPr>
          <w:rFonts w:ascii="Times New Roman" w:hAnsi="Times New Roman" w:cs="Times New Roman"/>
          <w:sz w:val="24"/>
          <w:szCs w:val="24"/>
        </w:rPr>
        <w:t xml:space="preserve">), kad būtų </w:t>
      </w:r>
      <w:r w:rsidR="00380168" w:rsidRPr="00A91E83">
        <w:rPr>
          <w:rFonts w:ascii="Times New Roman" w:hAnsi="Times New Roman" w:cs="Times New Roman"/>
          <w:sz w:val="24"/>
          <w:szCs w:val="24"/>
        </w:rPr>
        <w:t xml:space="preserve">pabrėžiama atskirtis </w:t>
      </w:r>
      <w:r w:rsidRPr="00A91E83">
        <w:rPr>
          <w:rFonts w:ascii="Times New Roman" w:hAnsi="Times New Roman" w:cs="Times New Roman"/>
          <w:sz w:val="24"/>
          <w:szCs w:val="24"/>
        </w:rPr>
        <w:t>nuo daugiašalė</w:t>
      </w:r>
      <w:r w:rsidR="00380168" w:rsidRPr="00A91E83">
        <w:rPr>
          <w:rFonts w:ascii="Times New Roman" w:hAnsi="Times New Roman" w:cs="Times New Roman"/>
          <w:sz w:val="24"/>
          <w:szCs w:val="24"/>
        </w:rPr>
        <w:t>s užskaitos</w:t>
      </w:r>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i/>
          <w:sz w:val="24"/>
          <w:szCs w:val="24"/>
        </w:rPr>
        <w:t>multilateral</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netting</w:t>
      </w:r>
      <w:proofErr w:type="spellEnd"/>
      <w:r w:rsidRPr="00A91E83">
        <w:rPr>
          <w:rFonts w:ascii="Times New Roman" w:hAnsi="Times New Roman" w:cs="Times New Roman"/>
          <w:sz w:val="24"/>
          <w:szCs w:val="24"/>
        </w:rPr>
        <w:t>), kuri tyrime nebus aptarinėjama plačiau.</w:t>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t>Terminas „finansinis užstatas“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i/>
          <w:sz w:val="24"/>
          <w:szCs w:val="24"/>
        </w:rPr>
        <w:t>collateral</w:t>
      </w:r>
      <w:proofErr w:type="spellEnd"/>
      <w:r w:rsidRPr="00A91E83">
        <w:rPr>
          <w:rFonts w:ascii="Times New Roman" w:hAnsi="Times New Roman" w:cs="Times New Roman"/>
          <w:sz w:val="24"/>
          <w:szCs w:val="24"/>
        </w:rPr>
        <w:t xml:space="preserve">) bus naudojamas kaip prievolių įvykdymo užtikrinimo būdas, apimantis su nuosavybės ir be </w:t>
      </w:r>
      <w:r w:rsidR="00017C2F" w:rsidRPr="00A91E83">
        <w:rPr>
          <w:rFonts w:ascii="Times New Roman" w:hAnsi="Times New Roman" w:cs="Times New Roman"/>
          <w:sz w:val="24"/>
          <w:szCs w:val="24"/>
        </w:rPr>
        <w:t>jos</w:t>
      </w:r>
      <w:r w:rsidRPr="00A91E83">
        <w:rPr>
          <w:rFonts w:ascii="Times New Roman" w:hAnsi="Times New Roman" w:cs="Times New Roman"/>
          <w:sz w:val="24"/>
          <w:szCs w:val="24"/>
        </w:rPr>
        <w:t xml:space="preserve"> užstato perdavimą </w:t>
      </w:r>
      <w:r w:rsidR="00551A2C" w:rsidRPr="00A91E83">
        <w:rPr>
          <w:rFonts w:ascii="Times New Roman" w:hAnsi="Times New Roman" w:cs="Times New Roman"/>
          <w:sz w:val="24"/>
          <w:szCs w:val="24"/>
        </w:rPr>
        <w:t xml:space="preserve">užstato </w:t>
      </w:r>
      <w:r w:rsidRPr="00A91E83">
        <w:rPr>
          <w:rFonts w:ascii="Times New Roman" w:hAnsi="Times New Roman" w:cs="Times New Roman"/>
          <w:sz w:val="24"/>
          <w:szCs w:val="24"/>
        </w:rPr>
        <w:t>turėtojui.</w:t>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t xml:space="preserve">Terminai „ISDA forma“, „ISDA sutartis“ </w:t>
      </w:r>
      <w:r w:rsidR="00551A2C" w:rsidRPr="00A91E83">
        <w:rPr>
          <w:rFonts w:ascii="Times New Roman" w:hAnsi="Times New Roman" w:cs="Times New Roman"/>
          <w:sz w:val="24"/>
          <w:szCs w:val="24"/>
        </w:rPr>
        <w:t xml:space="preserve">yra </w:t>
      </w:r>
      <w:r w:rsidRPr="00A91E83">
        <w:rPr>
          <w:rFonts w:ascii="Times New Roman" w:hAnsi="Times New Roman" w:cs="Times New Roman"/>
          <w:sz w:val="24"/>
          <w:szCs w:val="24"/>
        </w:rPr>
        <w:t>naudojami kaip sinonimai apimant</w:t>
      </w:r>
      <w:r w:rsidR="00551A2C" w:rsidRPr="00A91E83">
        <w:rPr>
          <w:rFonts w:ascii="Times New Roman" w:hAnsi="Times New Roman" w:cs="Times New Roman"/>
          <w:sz w:val="24"/>
          <w:szCs w:val="24"/>
        </w:rPr>
        <w:t>ys</w:t>
      </w:r>
      <w:r w:rsidRPr="00A91E83">
        <w:rPr>
          <w:rFonts w:ascii="Times New Roman" w:hAnsi="Times New Roman" w:cs="Times New Roman"/>
          <w:sz w:val="24"/>
          <w:szCs w:val="24"/>
        </w:rPr>
        <w:t xml:space="preserve"> visus sandorius</w:t>
      </w:r>
      <w:r w:rsidR="00551A2C" w:rsidRPr="00A91E83">
        <w:rPr>
          <w:rFonts w:ascii="Times New Roman" w:hAnsi="Times New Roman" w:cs="Times New Roman"/>
          <w:sz w:val="24"/>
          <w:szCs w:val="24"/>
        </w:rPr>
        <w:t>,</w:t>
      </w:r>
      <w:r w:rsidRPr="00A91E83">
        <w:rPr>
          <w:rFonts w:ascii="Times New Roman" w:hAnsi="Times New Roman" w:cs="Times New Roman"/>
          <w:sz w:val="24"/>
          <w:szCs w:val="24"/>
        </w:rPr>
        <w:t xml:space="preserve"> </w:t>
      </w:r>
      <w:r w:rsidR="0053157E" w:rsidRPr="00A91E83">
        <w:rPr>
          <w:rFonts w:ascii="Times New Roman" w:hAnsi="Times New Roman" w:cs="Times New Roman"/>
          <w:sz w:val="24"/>
          <w:szCs w:val="24"/>
        </w:rPr>
        <w:t xml:space="preserve">sudarytus tarp šalių </w:t>
      </w:r>
      <w:r w:rsidRPr="00A91E83">
        <w:rPr>
          <w:rFonts w:ascii="Times New Roman" w:hAnsi="Times New Roman" w:cs="Times New Roman"/>
          <w:sz w:val="24"/>
          <w:szCs w:val="24"/>
        </w:rPr>
        <w:t>naudojant IS</w:t>
      </w:r>
      <w:r w:rsidR="0053157E" w:rsidRPr="00A91E83">
        <w:rPr>
          <w:rFonts w:ascii="Times New Roman" w:hAnsi="Times New Roman" w:cs="Times New Roman"/>
          <w:sz w:val="24"/>
          <w:szCs w:val="24"/>
        </w:rPr>
        <w:t>DA tipines sutarties formas.</w:t>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r>
      <w:r w:rsidR="00BF3AAD" w:rsidRPr="00A91E83">
        <w:rPr>
          <w:rFonts w:ascii="Times New Roman" w:hAnsi="Times New Roman" w:cs="Times New Roman"/>
          <w:sz w:val="24"/>
          <w:szCs w:val="24"/>
        </w:rPr>
        <w:t>„</w:t>
      </w:r>
      <w:r w:rsidRPr="00A91E83">
        <w:rPr>
          <w:rFonts w:ascii="Times New Roman" w:hAnsi="Times New Roman" w:cs="Times New Roman"/>
          <w:sz w:val="24"/>
          <w:szCs w:val="24"/>
        </w:rPr>
        <w:t>Lietuvos Respublikos f</w:t>
      </w:r>
      <w:r w:rsidR="00832125">
        <w:rPr>
          <w:rFonts w:ascii="Times New Roman" w:hAnsi="Times New Roman" w:cs="Times New Roman"/>
          <w:sz w:val="24"/>
          <w:szCs w:val="24"/>
        </w:rPr>
        <w:t>inansinių užtikrinimo susitarimų</w:t>
      </w:r>
      <w:r w:rsidRPr="00A91E83">
        <w:rPr>
          <w:rFonts w:ascii="Times New Roman" w:hAnsi="Times New Roman" w:cs="Times New Roman"/>
          <w:sz w:val="24"/>
          <w:szCs w:val="24"/>
        </w:rPr>
        <w:t xml:space="preserve"> įstatymas</w:t>
      </w:r>
      <w:r w:rsidR="00BF3AAD" w:rsidRPr="00A91E83">
        <w:rPr>
          <w:rFonts w:ascii="Times New Roman" w:hAnsi="Times New Roman" w:cs="Times New Roman"/>
          <w:sz w:val="24"/>
          <w:szCs w:val="24"/>
        </w:rPr>
        <w:t>“ yra trumpinamas, naudojant</w:t>
      </w:r>
      <w:r w:rsidRPr="00A91E83">
        <w:rPr>
          <w:rFonts w:ascii="Times New Roman" w:hAnsi="Times New Roman" w:cs="Times New Roman"/>
          <w:sz w:val="24"/>
          <w:szCs w:val="24"/>
        </w:rPr>
        <w:t xml:space="preserve"> p</w:t>
      </w:r>
      <w:r w:rsidR="00BF3AAD" w:rsidRPr="00A91E83">
        <w:rPr>
          <w:rFonts w:ascii="Times New Roman" w:hAnsi="Times New Roman" w:cs="Times New Roman"/>
          <w:sz w:val="24"/>
          <w:szCs w:val="24"/>
        </w:rPr>
        <w:t>raktikoje paplitusią formą</w:t>
      </w:r>
      <w:r w:rsidRPr="00A91E83">
        <w:rPr>
          <w:rFonts w:ascii="Times New Roman" w:hAnsi="Times New Roman" w:cs="Times New Roman"/>
          <w:sz w:val="24"/>
          <w:szCs w:val="24"/>
        </w:rPr>
        <w:t xml:space="preserve"> „FUSĮ“, o Lietuvis Respublikos įmonių bankroto įstatymas </w:t>
      </w:r>
      <w:r w:rsidR="00BF3AAD" w:rsidRPr="00A91E83">
        <w:rPr>
          <w:rFonts w:ascii="Times New Roman" w:hAnsi="Times New Roman" w:cs="Times New Roman"/>
          <w:sz w:val="24"/>
          <w:szCs w:val="24"/>
        </w:rPr>
        <w:t xml:space="preserve">atitinkamai </w:t>
      </w:r>
      <w:r w:rsidRPr="00A91E83">
        <w:rPr>
          <w:rFonts w:ascii="Times New Roman" w:hAnsi="Times New Roman" w:cs="Times New Roman"/>
          <w:sz w:val="24"/>
          <w:szCs w:val="24"/>
        </w:rPr>
        <w:t>trumpinamas kaip „ĮBĮ“.</w:t>
      </w:r>
    </w:p>
    <w:p w:rsidR="00D56E99" w:rsidRPr="00A91E83" w:rsidRDefault="00D56E99" w:rsidP="00D56E99">
      <w:pPr>
        <w:tabs>
          <w:tab w:val="left" w:pos="851"/>
          <w:tab w:val="left" w:pos="1701"/>
        </w:tabs>
        <w:spacing w:after="0" w:line="360" w:lineRule="auto"/>
        <w:jc w:val="both"/>
        <w:rPr>
          <w:rFonts w:ascii="Times New Roman" w:hAnsi="Times New Roman" w:cs="Times New Roman"/>
          <w:sz w:val="24"/>
          <w:szCs w:val="24"/>
        </w:rPr>
      </w:pPr>
    </w:p>
    <w:p w:rsidR="00D56E99" w:rsidRPr="00A91E83" w:rsidRDefault="00D56E99">
      <w:pPr>
        <w:rPr>
          <w:rFonts w:ascii="Times New Roman" w:hAnsi="Times New Roman" w:cs="Times New Roman"/>
          <w:b/>
          <w:sz w:val="24"/>
          <w:szCs w:val="24"/>
        </w:rPr>
      </w:pPr>
    </w:p>
    <w:p w:rsidR="00D56E99" w:rsidRPr="00A91E83" w:rsidRDefault="00D56E99">
      <w:pPr>
        <w:rPr>
          <w:rFonts w:ascii="Times New Roman" w:hAnsi="Times New Roman" w:cs="Times New Roman"/>
          <w:b/>
          <w:sz w:val="24"/>
          <w:szCs w:val="24"/>
        </w:rPr>
      </w:pPr>
      <w:r w:rsidRPr="00A91E83">
        <w:rPr>
          <w:rFonts w:ascii="Times New Roman" w:hAnsi="Times New Roman" w:cs="Times New Roman"/>
          <w:b/>
          <w:sz w:val="24"/>
          <w:szCs w:val="24"/>
        </w:rPr>
        <w:br w:type="page"/>
      </w:r>
    </w:p>
    <w:p w:rsidR="00440CCE" w:rsidRPr="00A91E83" w:rsidRDefault="00811A57" w:rsidP="00CC4589">
      <w:pPr>
        <w:pStyle w:val="Sraopastraipa"/>
        <w:numPr>
          <w:ilvl w:val="0"/>
          <w:numId w:val="4"/>
        </w:numPr>
        <w:tabs>
          <w:tab w:val="left" w:pos="851"/>
        </w:tabs>
        <w:spacing w:after="0" w:line="360" w:lineRule="auto"/>
        <w:ind w:left="0" w:firstLine="0"/>
        <w:jc w:val="both"/>
        <w:outlineLvl w:val="0"/>
        <w:rPr>
          <w:rFonts w:ascii="Times New Roman" w:hAnsi="Times New Roman" w:cs="Times New Roman"/>
          <w:b/>
          <w:smallCaps/>
          <w:sz w:val="24"/>
          <w:szCs w:val="24"/>
        </w:rPr>
      </w:pPr>
      <w:bookmarkStart w:id="1" w:name="_Toc280546441"/>
      <w:r w:rsidRPr="00A91E83">
        <w:rPr>
          <w:rFonts w:ascii="Times New Roman" w:hAnsi="Times New Roman" w:cs="Times New Roman"/>
          <w:b/>
          <w:smallCaps/>
          <w:sz w:val="24"/>
          <w:szCs w:val="24"/>
        </w:rPr>
        <w:lastRenderedPageBreak/>
        <w:t>s</w:t>
      </w:r>
      <w:r w:rsidR="00270881" w:rsidRPr="00A91E83">
        <w:rPr>
          <w:rFonts w:ascii="Times New Roman" w:hAnsi="Times New Roman" w:cs="Times New Roman"/>
          <w:b/>
          <w:smallCaps/>
          <w:sz w:val="24"/>
          <w:szCs w:val="24"/>
        </w:rPr>
        <w:t>andoriai dėl išvestin</w:t>
      </w:r>
      <w:r w:rsidR="00114211" w:rsidRPr="00A91E83">
        <w:rPr>
          <w:rFonts w:ascii="Times New Roman" w:hAnsi="Times New Roman" w:cs="Times New Roman"/>
          <w:b/>
          <w:smallCaps/>
          <w:sz w:val="24"/>
          <w:szCs w:val="24"/>
        </w:rPr>
        <w:t>ių finansinių priemonių sudaryti</w:t>
      </w:r>
      <w:r w:rsidR="00270881" w:rsidRPr="00A91E83">
        <w:rPr>
          <w:rFonts w:ascii="Times New Roman" w:hAnsi="Times New Roman" w:cs="Times New Roman"/>
          <w:b/>
          <w:smallCaps/>
          <w:sz w:val="24"/>
          <w:szCs w:val="24"/>
        </w:rPr>
        <w:t xml:space="preserve"> už biržos ribų</w:t>
      </w:r>
      <w:bookmarkEnd w:id="1"/>
    </w:p>
    <w:p w:rsidR="004D2317" w:rsidRPr="00A91E83" w:rsidRDefault="004D2317" w:rsidP="00B46A53">
      <w:pPr>
        <w:pStyle w:val="Sraopastraipa"/>
        <w:tabs>
          <w:tab w:val="left" w:pos="851"/>
        </w:tabs>
        <w:spacing w:after="0" w:line="360" w:lineRule="auto"/>
        <w:ind w:left="0" w:firstLine="851"/>
        <w:jc w:val="both"/>
        <w:rPr>
          <w:rFonts w:ascii="Times New Roman" w:hAnsi="Times New Roman" w:cs="Times New Roman"/>
          <w:b/>
          <w:sz w:val="24"/>
          <w:szCs w:val="24"/>
        </w:rPr>
      </w:pPr>
    </w:p>
    <w:p w:rsidR="004D2317" w:rsidRPr="00A91E83" w:rsidRDefault="00B8603F" w:rsidP="00B46A53">
      <w:pPr>
        <w:pStyle w:val="Sraopastraipa"/>
        <w:tabs>
          <w:tab w:val="left" w:pos="851"/>
        </w:tabs>
        <w:spacing w:after="0" w:line="360" w:lineRule="auto"/>
        <w:ind w:left="0"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Siekiant įgyvendinti </w:t>
      </w:r>
      <w:r w:rsidR="0010272E" w:rsidRPr="00A91E83">
        <w:rPr>
          <w:rFonts w:ascii="Times New Roman" w:hAnsi="Times New Roman" w:cs="Times New Roman"/>
          <w:sz w:val="24"/>
          <w:szCs w:val="24"/>
        </w:rPr>
        <w:t xml:space="preserve">pirmąjį </w:t>
      </w:r>
      <w:r w:rsidRPr="00A91E83">
        <w:rPr>
          <w:rFonts w:ascii="Times New Roman" w:hAnsi="Times New Roman" w:cs="Times New Roman"/>
          <w:sz w:val="24"/>
          <w:szCs w:val="24"/>
        </w:rPr>
        <w:t>tyrimo apibrėžtą tikslą</w:t>
      </w:r>
      <w:r w:rsidR="0010272E" w:rsidRPr="00A91E83">
        <w:rPr>
          <w:rFonts w:ascii="Times New Roman" w:hAnsi="Times New Roman" w:cs="Times New Roman"/>
          <w:sz w:val="24"/>
          <w:szCs w:val="24"/>
        </w:rPr>
        <w:t>,</w:t>
      </w:r>
      <w:r w:rsidRPr="00A91E83">
        <w:rPr>
          <w:rFonts w:ascii="Times New Roman" w:hAnsi="Times New Roman" w:cs="Times New Roman"/>
          <w:sz w:val="24"/>
          <w:szCs w:val="24"/>
        </w:rPr>
        <w:t xml:space="preserve"> išnagrinėti </w:t>
      </w:r>
      <w:proofErr w:type="spellStart"/>
      <w:r w:rsidRPr="00A91E83">
        <w:rPr>
          <w:rFonts w:ascii="Times New Roman" w:hAnsi="Times New Roman" w:cs="Times New Roman"/>
          <w:sz w:val="24"/>
          <w:szCs w:val="24"/>
        </w:rPr>
        <w:t>u</w:t>
      </w:r>
      <w:r w:rsidR="00704828" w:rsidRPr="00A91E83">
        <w:rPr>
          <w:rFonts w:ascii="Times New Roman" w:hAnsi="Times New Roman" w:cs="Times New Roman"/>
          <w:sz w:val="24"/>
          <w:szCs w:val="24"/>
        </w:rPr>
        <w:t>žbiržinių</w:t>
      </w:r>
      <w:proofErr w:type="spellEnd"/>
      <w:r w:rsidR="00704828" w:rsidRPr="00A91E83">
        <w:rPr>
          <w:rFonts w:ascii="Times New Roman" w:hAnsi="Times New Roman" w:cs="Times New Roman"/>
          <w:sz w:val="24"/>
          <w:szCs w:val="24"/>
        </w:rPr>
        <w:t xml:space="preserve"> sandorių </w:t>
      </w:r>
      <w:r w:rsidR="004E26DF" w:rsidRPr="00A91E83">
        <w:rPr>
          <w:rFonts w:ascii="Times New Roman" w:hAnsi="Times New Roman" w:cs="Times New Roman"/>
          <w:sz w:val="24"/>
          <w:szCs w:val="24"/>
        </w:rPr>
        <w:t>dėl išvestin</w:t>
      </w:r>
      <w:r w:rsidR="00A65062" w:rsidRPr="00A91E83">
        <w:rPr>
          <w:rFonts w:ascii="Times New Roman" w:hAnsi="Times New Roman" w:cs="Times New Roman"/>
          <w:sz w:val="24"/>
          <w:szCs w:val="24"/>
        </w:rPr>
        <w:t>ių finansinių priemonių sampratą</w:t>
      </w:r>
      <w:r w:rsidRPr="00A91E83">
        <w:rPr>
          <w:rFonts w:ascii="Times New Roman" w:hAnsi="Times New Roman" w:cs="Times New Roman"/>
          <w:sz w:val="24"/>
          <w:szCs w:val="24"/>
        </w:rPr>
        <w:t xml:space="preserve">, pradėsime nuo </w:t>
      </w:r>
      <w:r w:rsidR="00A65062" w:rsidRPr="00A91E83">
        <w:rPr>
          <w:rFonts w:ascii="Times New Roman" w:hAnsi="Times New Roman" w:cs="Times New Roman"/>
          <w:sz w:val="24"/>
          <w:szCs w:val="24"/>
        </w:rPr>
        <w:t>jų vietos finansų plotmėje nustatymo</w:t>
      </w:r>
      <w:r w:rsidR="00F81FB3" w:rsidRPr="00A91E83">
        <w:rPr>
          <w:rFonts w:ascii="Times New Roman" w:hAnsi="Times New Roman" w:cs="Times New Roman"/>
          <w:sz w:val="24"/>
          <w:szCs w:val="24"/>
        </w:rPr>
        <w:t>. Analizuosime</w:t>
      </w:r>
      <w:r w:rsidR="00A65062" w:rsidRPr="00A91E83">
        <w:rPr>
          <w:rFonts w:ascii="Times New Roman" w:hAnsi="Times New Roman" w:cs="Times New Roman"/>
          <w:sz w:val="24"/>
          <w:szCs w:val="24"/>
        </w:rPr>
        <w:t xml:space="preserve"> </w:t>
      </w:r>
      <w:r w:rsidR="00C2606F" w:rsidRPr="00A91E83">
        <w:rPr>
          <w:rFonts w:ascii="Times New Roman" w:hAnsi="Times New Roman" w:cs="Times New Roman"/>
          <w:sz w:val="24"/>
          <w:szCs w:val="24"/>
        </w:rPr>
        <w:t>teisines</w:t>
      </w:r>
      <w:r w:rsidR="00A65062" w:rsidRPr="00A91E83">
        <w:rPr>
          <w:rFonts w:ascii="Times New Roman" w:hAnsi="Times New Roman" w:cs="Times New Roman"/>
          <w:sz w:val="24"/>
          <w:szCs w:val="24"/>
        </w:rPr>
        <w:t xml:space="preserve"> finansinių priemonių ir išvestinių finansinių priemonių </w:t>
      </w:r>
      <w:r w:rsidR="00C2606F" w:rsidRPr="00A91E83">
        <w:rPr>
          <w:rFonts w:ascii="Times New Roman" w:hAnsi="Times New Roman" w:cs="Times New Roman"/>
          <w:sz w:val="24"/>
          <w:szCs w:val="24"/>
        </w:rPr>
        <w:t>sąvokas</w:t>
      </w:r>
      <w:r w:rsidR="004D2317" w:rsidRPr="00A91E83">
        <w:rPr>
          <w:rFonts w:ascii="Times New Roman" w:hAnsi="Times New Roman" w:cs="Times New Roman"/>
          <w:sz w:val="24"/>
          <w:szCs w:val="24"/>
        </w:rPr>
        <w:t xml:space="preserve">, nes visi bendrieji bruožai </w:t>
      </w:r>
      <w:r w:rsidR="008815FA" w:rsidRPr="00A91E83">
        <w:rPr>
          <w:rFonts w:ascii="Times New Roman" w:hAnsi="Times New Roman" w:cs="Times New Roman"/>
          <w:sz w:val="24"/>
          <w:szCs w:val="24"/>
        </w:rPr>
        <w:t xml:space="preserve">minėtų instrumentų </w:t>
      </w:r>
      <w:r w:rsidR="004D2317" w:rsidRPr="00A91E83">
        <w:rPr>
          <w:rFonts w:ascii="Times New Roman" w:hAnsi="Times New Roman" w:cs="Times New Roman"/>
          <w:sz w:val="24"/>
          <w:szCs w:val="24"/>
        </w:rPr>
        <w:t xml:space="preserve">yra būdingi ir </w:t>
      </w:r>
      <w:proofErr w:type="spellStart"/>
      <w:r w:rsidR="004D2317" w:rsidRPr="00A91E83">
        <w:rPr>
          <w:rFonts w:ascii="Times New Roman" w:hAnsi="Times New Roman" w:cs="Times New Roman"/>
          <w:sz w:val="24"/>
          <w:szCs w:val="24"/>
        </w:rPr>
        <w:t>užbiržiniams</w:t>
      </w:r>
      <w:proofErr w:type="spellEnd"/>
      <w:r w:rsidR="004D2317" w:rsidRPr="00A91E83">
        <w:rPr>
          <w:rFonts w:ascii="Times New Roman" w:hAnsi="Times New Roman" w:cs="Times New Roman"/>
          <w:sz w:val="24"/>
          <w:szCs w:val="24"/>
        </w:rPr>
        <w:t xml:space="preserve"> sandoriams.</w:t>
      </w:r>
      <w:r w:rsidR="00A65062" w:rsidRPr="00A91E83">
        <w:rPr>
          <w:rFonts w:ascii="Times New Roman" w:hAnsi="Times New Roman" w:cs="Times New Roman"/>
          <w:sz w:val="24"/>
          <w:szCs w:val="24"/>
        </w:rPr>
        <w:t xml:space="preserve"> V</w:t>
      </w:r>
      <w:r w:rsidR="004D2317" w:rsidRPr="00A91E83">
        <w:rPr>
          <w:rFonts w:ascii="Times New Roman" w:hAnsi="Times New Roman" w:cs="Times New Roman"/>
          <w:sz w:val="24"/>
          <w:szCs w:val="24"/>
        </w:rPr>
        <w:t>ėliau detalesne</w:t>
      </w:r>
      <w:r w:rsidR="00A65062" w:rsidRPr="00A91E83">
        <w:rPr>
          <w:rFonts w:ascii="Times New Roman" w:hAnsi="Times New Roman" w:cs="Times New Roman"/>
          <w:sz w:val="24"/>
          <w:szCs w:val="24"/>
        </w:rPr>
        <w:t xml:space="preserve"> analiz</w:t>
      </w:r>
      <w:r w:rsidR="004D2317" w:rsidRPr="00A91E83">
        <w:rPr>
          <w:rFonts w:ascii="Times New Roman" w:hAnsi="Times New Roman" w:cs="Times New Roman"/>
          <w:sz w:val="24"/>
          <w:szCs w:val="24"/>
        </w:rPr>
        <w:t>e</w:t>
      </w:r>
      <w:r w:rsidR="00A65062" w:rsidRPr="00A91E83">
        <w:rPr>
          <w:rFonts w:ascii="Times New Roman" w:hAnsi="Times New Roman" w:cs="Times New Roman"/>
          <w:sz w:val="24"/>
          <w:szCs w:val="24"/>
        </w:rPr>
        <w:t xml:space="preserve"> bus </w:t>
      </w:r>
      <w:r w:rsidR="008815FA" w:rsidRPr="00A91E83">
        <w:rPr>
          <w:rFonts w:ascii="Times New Roman" w:hAnsi="Times New Roman" w:cs="Times New Roman"/>
          <w:sz w:val="24"/>
          <w:szCs w:val="24"/>
        </w:rPr>
        <w:t>siekiama</w:t>
      </w:r>
      <w:r w:rsidR="004D2317" w:rsidRPr="00A91E83">
        <w:rPr>
          <w:rFonts w:ascii="Times New Roman" w:hAnsi="Times New Roman" w:cs="Times New Roman"/>
          <w:sz w:val="24"/>
          <w:szCs w:val="24"/>
        </w:rPr>
        <w:t xml:space="preserve"> atskleisti specialius </w:t>
      </w:r>
      <w:proofErr w:type="spellStart"/>
      <w:r w:rsidR="004D2317" w:rsidRPr="00A91E83">
        <w:rPr>
          <w:rFonts w:ascii="Times New Roman" w:hAnsi="Times New Roman" w:cs="Times New Roman"/>
          <w:sz w:val="24"/>
          <w:szCs w:val="24"/>
        </w:rPr>
        <w:t>užbiržiniams</w:t>
      </w:r>
      <w:proofErr w:type="spellEnd"/>
      <w:r w:rsidR="004D2317" w:rsidRPr="00A91E83">
        <w:rPr>
          <w:rFonts w:ascii="Times New Roman" w:hAnsi="Times New Roman" w:cs="Times New Roman"/>
          <w:sz w:val="24"/>
          <w:szCs w:val="24"/>
        </w:rPr>
        <w:t xml:space="preserve"> sandoriams būdingus bruožus. Kadangi daugiau nei 95% </w:t>
      </w:r>
      <w:proofErr w:type="spellStart"/>
      <w:r w:rsidR="004D2317" w:rsidRPr="00A91E83">
        <w:rPr>
          <w:rFonts w:ascii="Times New Roman" w:hAnsi="Times New Roman" w:cs="Times New Roman"/>
          <w:sz w:val="24"/>
          <w:szCs w:val="24"/>
        </w:rPr>
        <w:t>užbiržinių</w:t>
      </w:r>
      <w:proofErr w:type="spellEnd"/>
      <w:r w:rsidR="004D2317" w:rsidRPr="00A91E83">
        <w:rPr>
          <w:rFonts w:ascii="Times New Roman" w:hAnsi="Times New Roman" w:cs="Times New Roman"/>
          <w:sz w:val="24"/>
          <w:szCs w:val="24"/>
        </w:rPr>
        <w:t xml:space="preserve"> sandorių dėl išvestinių finansinių priemonių sudaro apsikeitimo sandoriai, tai tris </w:t>
      </w:r>
      <w:r w:rsidR="00F81FB3" w:rsidRPr="00A91E83">
        <w:rPr>
          <w:rFonts w:ascii="Times New Roman" w:hAnsi="Times New Roman" w:cs="Times New Roman"/>
          <w:sz w:val="24"/>
          <w:szCs w:val="24"/>
        </w:rPr>
        <w:t>labiausiai paplitusius</w:t>
      </w:r>
      <w:r w:rsidR="004D2317" w:rsidRPr="00A91E83">
        <w:rPr>
          <w:rFonts w:ascii="Times New Roman" w:hAnsi="Times New Roman" w:cs="Times New Roman"/>
          <w:sz w:val="24"/>
          <w:szCs w:val="24"/>
        </w:rPr>
        <w:t xml:space="preserve"> pavyzdž</w:t>
      </w:r>
      <w:r w:rsidR="00317439" w:rsidRPr="00A91E83">
        <w:rPr>
          <w:rFonts w:ascii="Times New Roman" w:hAnsi="Times New Roman" w:cs="Times New Roman"/>
          <w:sz w:val="24"/>
          <w:szCs w:val="24"/>
        </w:rPr>
        <w:t xml:space="preserve">ius išnagrinėsime dar smulkiau, nes tai </w:t>
      </w:r>
      <w:r w:rsidR="001233CD" w:rsidRPr="00A91E83">
        <w:rPr>
          <w:rFonts w:ascii="Times New Roman" w:hAnsi="Times New Roman" w:cs="Times New Roman"/>
          <w:sz w:val="24"/>
          <w:szCs w:val="24"/>
        </w:rPr>
        <w:t xml:space="preserve">efektyviausias būdas </w:t>
      </w:r>
      <w:r w:rsidR="00317439" w:rsidRPr="00A91E83">
        <w:rPr>
          <w:rFonts w:ascii="Times New Roman" w:hAnsi="Times New Roman" w:cs="Times New Roman"/>
          <w:sz w:val="24"/>
          <w:szCs w:val="24"/>
        </w:rPr>
        <w:t xml:space="preserve">suprasti </w:t>
      </w:r>
      <w:r w:rsidR="0010272E" w:rsidRPr="00A91E83">
        <w:rPr>
          <w:rFonts w:ascii="Times New Roman" w:hAnsi="Times New Roman" w:cs="Times New Roman"/>
          <w:sz w:val="24"/>
          <w:szCs w:val="24"/>
        </w:rPr>
        <w:t>išvestinių</w:t>
      </w:r>
      <w:r w:rsidR="00317439" w:rsidRPr="00A91E83">
        <w:rPr>
          <w:rFonts w:ascii="Times New Roman" w:hAnsi="Times New Roman" w:cs="Times New Roman"/>
          <w:sz w:val="24"/>
          <w:szCs w:val="24"/>
        </w:rPr>
        <w:t xml:space="preserve"> sandorių esmę. </w:t>
      </w:r>
      <w:r w:rsidR="001233CD" w:rsidRPr="00A91E83">
        <w:rPr>
          <w:rFonts w:ascii="Times New Roman" w:hAnsi="Times New Roman" w:cs="Times New Roman"/>
          <w:sz w:val="24"/>
          <w:szCs w:val="24"/>
        </w:rPr>
        <w:t>Skyriaus pabaigoje</w:t>
      </w:r>
      <w:r w:rsidR="004D2317" w:rsidRPr="00A91E83">
        <w:rPr>
          <w:rFonts w:ascii="Times New Roman" w:hAnsi="Times New Roman" w:cs="Times New Roman"/>
          <w:sz w:val="24"/>
          <w:szCs w:val="24"/>
        </w:rPr>
        <w:t xml:space="preserve"> aptarsime šalies nemokumo rizikos valdymo skirtumus tarp sandorių dėl išvestinių finansinių priemonių sud</w:t>
      </w:r>
      <w:r w:rsidR="00317439" w:rsidRPr="00A91E83">
        <w:rPr>
          <w:rFonts w:ascii="Times New Roman" w:hAnsi="Times New Roman" w:cs="Times New Roman"/>
          <w:sz w:val="24"/>
          <w:szCs w:val="24"/>
        </w:rPr>
        <w:t>aromų biržoje ir už biržos ribų</w:t>
      </w:r>
      <w:r w:rsidR="001D0AF0" w:rsidRPr="00A91E83">
        <w:rPr>
          <w:rFonts w:ascii="Times New Roman" w:hAnsi="Times New Roman" w:cs="Times New Roman"/>
          <w:sz w:val="24"/>
          <w:szCs w:val="24"/>
        </w:rPr>
        <w:t xml:space="preserve">. Šie skirtumai padės </w:t>
      </w:r>
      <w:r w:rsidR="006D6E3A" w:rsidRPr="00A91E83">
        <w:rPr>
          <w:rFonts w:ascii="Times New Roman" w:hAnsi="Times New Roman" w:cs="Times New Roman"/>
          <w:sz w:val="24"/>
          <w:szCs w:val="24"/>
        </w:rPr>
        <w:t xml:space="preserve">nustatyti tyrimo darbo problemą, jog biržoje sudaryti sandoriai yra laikomi saugesniais </w:t>
      </w:r>
      <w:r w:rsidR="002E4E2A" w:rsidRPr="00A91E83">
        <w:rPr>
          <w:rFonts w:ascii="Times New Roman" w:hAnsi="Times New Roman" w:cs="Times New Roman"/>
          <w:sz w:val="24"/>
          <w:szCs w:val="24"/>
        </w:rPr>
        <w:t>dėl užskaitos taikymo galimybės bankroto kontekste</w:t>
      </w:r>
      <w:r w:rsidR="006D6E3A" w:rsidRPr="00A91E83">
        <w:rPr>
          <w:rFonts w:ascii="Times New Roman" w:hAnsi="Times New Roman" w:cs="Times New Roman"/>
          <w:sz w:val="24"/>
          <w:szCs w:val="24"/>
        </w:rPr>
        <w:t>.</w:t>
      </w:r>
    </w:p>
    <w:p w:rsidR="00BA2CA3" w:rsidRPr="00A91E83" w:rsidRDefault="00BA2CA3" w:rsidP="00B46A53">
      <w:pPr>
        <w:pStyle w:val="Sraopastraipa"/>
        <w:tabs>
          <w:tab w:val="left" w:pos="851"/>
        </w:tabs>
        <w:spacing w:after="0" w:line="360" w:lineRule="auto"/>
        <w:ind w:left="0" w:firstLine="851"/>
        <w:jc w:val="both"/>
        <w:rPr>
          <w:rFonts w:ascii="Times New Roman" w:hAnsi="Times New Roman" w:cs="Times New Roman"/>
          <w:sz w:val="24"/>
          <w:szCs w:val="24"/>
        </w:rPr>
      </w:pPr>
    </w:p>
    <w:p w:rsidR="00BA2CA3" w:rsidRPr="00A91E83" w:rsidRDefault="00BA2CA3" w:rsidP="00CC4589">
      <w:pPr>
        <w:pStyle w:val="Sraopastraipa"/>
        <w:numPr>
          <w:ilvl w:val="1"/>
          <w:numId w:val="4"/>
        </w:numPr>
        <w:tabs>
          <w:tab w:val="left" w:pos="851"/>
        </w:tabs>
        <w:spacing w:after="0" w:line="360" w:lineRule="auto"/>
        <w:ind w:left="0" w:firstLine="0"/>
        <w:jc w:val="both"/>
        <w:outlineLvl w:val="1"/>
        <w:rPr>
          <w:rFonts w:ascii="Times New Roman" w:hAnsi="Times New Roman" w:cs="Times New Roman"/>
          <w:b/>
          <w:sz w:val="24"/>
          <w:szCs w:val="24"/>
        </w:rPr>
      </w:pPr>
      <w:bookmarkStart w:id="2" w:name="_Toc280546442"/>
      <w:r w:rsidRPr="00A91E83">
        <w:rPr>
          <w:rFonts w:ascii="Times New Roman" w:hAnsi="Times New Roman" w:cs="Times New Roman"/>
          <w:b/>
          <w:sz w:val="24"/>
          <w:szCs w:val="24"/>
        </w:rPr>
        <w:t>Finansinių priemonių ir išvestinių finansinių priemonių santykis</w:t>
      </w:r>
      <w:bookmarkEnd w:id="2"/>
    </w:p>
    <w:p w:rsidR="00BA2CA3" w:rsidRPr="00A91E83" w:rsidRDefault="00BA2CA3" w:rsidP="00B46A53">
      <w:pPr>
        <w:pStyle w:val="Sraopastraipa"/>
        <w:tabs>
          <w:tab w:val="left" w:pos="851"/>
        </w:tabs>
        <w:spacing w:after="0" w:line="360" w:lineRule="auto"/>
        <w:ind w:left="0" w:firstLine="851"/>
        <w:jc w:val="both"/>
        <w:rPr>
          <w:rFonts w:ascii="Times New Roman" w:hAnsi="Times New Roman" w:cs="Times New Roman"/>
          <w:sz w:val="24"/>
          <w:szCs w:val="24"/>
        </w:rPr>
      </w:pPr>
    </w:p>
    <w:p w:rsidR="00704828" w:rsidRPr="00A91E83" w:rsidRDefault="006E6E71"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Sandoriai</w:t>
      </w:r>
      <w:r w:rsidR="00704828" w:rsidRPr="00A91E83">
        <w:rPr>
          <w:rFonts w:ascii="Times New Roman" w:hAnsi="Times New Roman" w:cs="Times New Roman"/>
          <w:sz w:val="24"/>
          <w:szCs w:val="24"/>
        </w:rPr>
        <w:t xml:space="preserve"> dėl išvestinių finansinių priemonių yra viena iš finansinių priemonių rūšių. Finansinės priemonės neapima visų investavimo objektų, nepaisant to, </w:t>
      </w:r>
      <w:r w:rsidR="00FE7E73" w:rsidRPr="00A91E83">
        <w:rPr>
          <w:rFonts w:ascii="Times New Roman" w:hAnsi="Times New Roman" w:cs="Times New Roman"/>
          <w:sz w:val="24"/>
          <w:szCs w:val="24"/>
        </w:rPr>
        <w:t xml:space="preserve">vien </w:t>
      </w:r>
      <w:r w:rsidR="00704828" w:rsidRPr="00A91E83">
        <w:rPr>
          <w:rFonts w:ascii="Times New Roman" w:hAnsi="Times New Roman" w:cs="Times New Roman"/>
          <w:sz w:val="24"/>
          <w:szCs w:val="24"/>
        </w:rPr>
        <w:t xml:space="preserve">išvestinių finansinių priemonių </w:t>
      </w:r>
      <w:r w:rsidR="00283FFC" w:rsidRPr="00A91E83">
        <w:rPr>
          <w:rFonts w:ascii="Times New Roman" w:hAnsi="Times New Roman" w:cs="Times New Roman"/>
          <w:sz w:val="24"/>
          <w:szCs w:val="24"/>
        </w:rPr>
        <w:t xml:space="preserve">sudarytų už biržos ribų </w:t>
      </w:r>
      <w:r w:rsidR="00704828" w:rsidRPr="00A91E83">
        <w:rPr>
          <w:rFonts w:ascii="Times New Roman" w:hAnsi="Times New Roman" w:cs="Times New Roman"/>
          <w:sz w:val="24"/>
          <w:szCs w:val="24"/>
        </w:rPr>
        <w:t>metinės apyvartos keliskart viršija pasaulio BVP.</w:t>
      </w:r>
      <w:r w:rsidR="00704828" w:rsidRPr="00A91E83">
        <w:rPr>
          <w:rStyle w:val="Puslapioinaosnuoroda"/>
          <w:rFonts w:ascii="Times New Roman" w:hAnsi="Times New Roman" w:cs="Times New Roman"/>
          <w:sz w:val="24"/>
          <w:szCs w:val="24"/>
        </w:rPr>
        <w:footnoteReference w:id="15"/>
      </w:r>
      <w:r w:rsidR="00704828" w:rsidRPr="00A91E83">
        <w:rPr>
          <w:rFonts w:ascii="Times New Roman" w:hAnsi="Times New Roman" w:cs="Times New Roman"/>
          <w:sz w:val="24"/>
          <w:szCs w:val="24"/>
        </w:rPr>
        <w:t xml:space="preserve"> Finansinių priemonių terminas apibrėžtas keliuose Lietuvos Respublikos įstatymuose, pateikiant sąvoką</w:t>
      </w:r>
      <w:r w:rsidR="00733AC3" w:rsidRPr="00A91E83">
        <w:rPr>
          <w:rFonts w:ascii="Times New Roman" w:hAnsi="Times New Roman" w:cs="Times New Roman"/>
          <w:sz w:val="24"/>
          <w:szCs w:val="24"/>
        </w:rPr>
        <w:t>,</w:t>
      </w:r>
      <w:r w:rsidR="00704828" w:rsidRPr="00A91E83">
        <w:rPr>
          <w:rStyle w:val="Puslapioinaosnuoroda"/>
          <w:rFonts w:ascii="Times New Roman" w:hAnsi="Times New Roman" w:cs="Times New Roman"/>
          <w:sz w:val="24"/>
          <w:szCs w:val="24"/>
        </w:rPr>
        <w:footnoteReference w:id="16"/>
      </w:r>
      <w:r w:rsidR="00704828" w:rsidRPr="00A91E83">
        <w:rPr>
          <w:rFonts w:ascii="Times New Roman" w:hAnsi="Times New Roman" w:cs="Times New Roman"/>
          <w:sz w:val="24"/>
          <w:szCs w:val="24"/>
        </w:rPr>
        <w:t xml:space="preserve"> ar tiesiog išvardinant finansinių priemonių rūšis</w:t>
      </w:r>
      <w:r w:rsidR="00733AC3" w:rsidRPr="00A91E83">
        <w:rPr>
          <w:rFonts w:ascii="Times New Roman" w:hAnsi="Times New Roman" w:cs="Times New Roman"/>
          <w:sz w:val="24"/>
          <w:szCs w:val="24"/>
        </w:rPr>
        <w:t>.</w:t>
      </w:r>
      <w:r w:rsidR="00704828" w:rsidRPr="00A91E83">
        <w:rPr>
          <w:rStyle w:val="Puslapioinaosnuoroda"/>
          <w:rFonts w:ascii="Times New Roman" w:hAnsi="Times New Roman" w:cs="Times New Roman"/>
          <w:sz w:val="24"/>
          <w:szCs w:val="24"/>
        </w:rPr>
        <w:footnoteReference w:id="17"/>
      </w:r>
      <w:r w:rsidR="00704828" w:rsidRPr="00A91E83">
        <w:rPr>
          <w:rFonts w:ascii="Times New Roman" w:hAnsi="Times New Roman" w:cs="Times New Roman"/>
          <w:sz w:val="24"/>
          <w:szCs w:val="24"/>
        </w:rPr>
        <w:t xml:space="preserve"> Išvestinių finansinių priemonių definicija sutinkama tik žemesnės hierarchijos teisės aktuose</w:t>
      </w:r>
      <w:r w:rsidR="00733AC3" w:rsidRPr="00A91E83">
        <w:rPr>
          <w:rFonts w:ascii="Times New Roman" w:hAnsi="Times New Roman" w:cs="Times New Roman"/>
          <w:sz w:val="24"/>
          <w:szCs w:val="24"/>
        </w:rPr>
        <w:t>.</w:t>
      </w:r>
      <w:r w:rsidR="00704828" w:rsidRPr="00A91E83">
        <w:rPr>
          <w:rStyle w:val="Puslapioinaosnuoroda"/>
          <w:rFonts w:ascii="Times New Roman" w:hAnsi="Times New Roman" w:cs="Times New Roman"/>
          <w:sz w:val="24"/>
          <w:szCs w:val="24"/>
        </w:rPr>
        <w:footnoteReference w:id="18"/>
      </w:r>
      <w:r w:rsidR="00704828" w:rsidRPr="00A91E83">
        <w:rPr>
          <w:rFonts w:ascii="Times New Roman" w:hAnsi="Times New Roman" w:cs="Times New Roman"/>
          <w:sz w:val="24"/>
          <w:szCs w:val="24"/>
        </w:rPr>
        <w:t xml:space="preserve"> Apibendrinus finansinių priemonių sąvokas pateiktas Lietuvos Respublikos įstatymuose galima būtų išskirti šias bendrąsias savybes:</w:t>
      </w:r>
    </w:p>
    <w:p w:rsidR="00704828" w:rsidRPr="00A91E83" w:rsidRDefault="00704828" w:rsidP="00587AC4">
      <w:pPr>
        <w:pStyle w:val="Sraopastraipa"/>
        <w:numPr>
          <w:ilvl w:val="0"/>
          <w:numId w:val="14"/>
        </w:numPr>
        <w:tabs>
          <w:tab w:val="left" w:pos="851"/>
        </w:tabs>
        <w:spacing w:after="0" w:line="360" w:lineRule="auto"/>
        <w:ind w:left="1418" w:hanging="284"/>
        <w:jc w:val="both"/>
        <w:rPr>
          <w:rFonts w:ascii="Times New Roman" w:hAnsi="Times New Roman" w:cs="Times New Roman"/>
          <w:sz w:val="24"/>
          <w:szCs w:val="24"/>
        </w:rPr>
      </w:pPr>
      <w:r w:rsidRPr="00A91E83">
        <w:rPr>
          <w:rFonts w:ascii="Times New Roman" w:hAnsi="Times New Roman" w:cs="Times New Roman"/>
          <w:sz w:val="24"/>
          <w:szCs w:val="24"/>
        </w:rPr>
        <w:t>rizika;</w:t>
      </w:r>
    </w:p>
    <w:p w:rsidR="00704828" w:rsidRPr="00A91E83" w:rsidRDefault="00704828" w:rsidP="00587AC4">
      <w:pPr>
        <w:pStyle w:val="Sraopastraipa"/>
        <w:numPr>
          <w:ilvl w:val="0"/>
          <w:numId w:val="14"/>
        </w:numPr>
        <w:tabs>
          <w:tab w:val="left" w:pos="851"/>
        </w:tabs>
        <w:spacing w:after="0" w:line="360" w:lineRule="auto"/>
        <w:ind w:left="1418" w:hanging="284"/>
        <w:jc w:val="both"/>
        <w:rPr>
          <w:rFonts w:ascii="Times New Roman" w:hAnsi="Times New Roman" w:cs="Times New Roman"/>
          <w:sz w:val="24"/>
          <w:szCs w:val="24"/>
        </w:rPr>
      </w:pPr>
      <w:r w:rsidRPr="00A91E83">
        <w:rPr>
          <w:rFonts w:ascii="Times New Roman" w:hAnsi="Times New Roman" w:cs="Times New Roman"/>
          <w:sz w:val="24"/>
          <w:szCs w:val="24"/>
        </w:rPr>
        <w:t>likvidumas;</w:t>
      </w:r>
    </w:p>
    <w:p w:rsidR="00704828" w:rsidRPr="00A91E83" w:rsidRDefault="00704828" w:rsidP="00587AC4">
      <w:pPr>
        <w:pStyle w:val="Sraopastraipa"/>
        <w:numPr>
          <w:ilvl w:val="0"/>
          <w:numId w:val="14"/>
        </w:numPr>
        <w:tabs>
          <w:tab w:val="left" w:pos="851"/>
        </w:tabs>
        <w:spacing w:after="0" w:line="360" w:lineRule="auto"/>
        <w:ind w:left="1418" w:hanging="284"/>
        <w:jc w:val="both"/>
        <w:rPr>
          <w:rFonts w:ascii="Times New Roman" w:hAnsi="Times New Roman" w:cs="Times New Roman"/>
          <w:sz w:val="24"/>
          <w:szCs w:val="24"/>
        </w:rPr>
      </w:pPr>
      <w:r w:rsidRPr="00A91E83">
        <w:rPr>
          <w:rFonts w:ascii="Times New Roman" w:hAnsi="Times New Roman" w:cs="Times New Roman"/>
          <w:sz w:val="24"/>
          <w:szCs w:val="24"/>
        </w:rPr>
        <w:t>kaina;</w:t>
      </w:r>
    </w:p>
    <w:p w:rsidR="00704828" w:rsidRPr="00A91E83" w:rsidRDefault="00704828" w:rsidP="00587AC4">
      <w:pPr>
        <w:pStyle w:val="Sraopastraipa"/>
        <w:numPr>
          <w:ilvl w:val="0"/>
          <w:numId w:val="14"/>
        </w:numPr>
        <w:tabs>
          <w:tab w:val="left" w:pos="851"/>
        </w:tabs>
        <w:spacing w:after="0" w:line="360" w:lineRule="auto"/>
        <w:ind w:left="1418" w:hanging="284"/>
        <w:jc w:val="both"/>
        <w:rPr>
          <w:rFonts w:ascii="Times New Roman" w:hAnsi="Times New Roman" w:cs="Times New Roman"/>
          <w:sz w:val="24"/>
          <w:szCs w:val="24"/>
        </w:rPr>
      </w:pPr>
      <w:r w:rsidRPr="00A91E83">
        <w:rPr>
          <w:rFonts w:ascii="Times New Roman" w:hAnsi="Times New Roman" w:cs="Times New Roman"/>
          <w:sz w:val="24"/>
          <w:szCs w:val="24"/>
        </w:rPr>
        <w:lastRenderedPageBreak/>
        <w:t>galiojimo terminas.</w:t>
      </w:r>
      <w:r w:rsidRPr="00A91E83">
        <w:rPr>
          <w:rFonts w:ascii="Times New Roman" w:hAnsi="Times New Roman" w:cs="Times New Roman"/>
          <w:sz w:val="24"/>
          <w:szCs w:val="24"/>
          <w:vertAlign w:val="superscript"/>
        </w:rPr>
        <w:footnoteReference w:id="19"/>
      </w:r>
    </w:p>
    <w:p w:rsidR="00704828" w:rsidRPr="00A91E83" w:rsidRDefault="00704828"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Visos išvestinės finansinės priemonės yra finansinės priemonės bendrąja prasme, </w:t>
      </w:r>
      <w:r w:rsidR="006E6E71" w:rsidRPr="00A91E83">
        <w:rPr>
          <w:rFonts w:ascii="Times New Roman" w:hAnsi="Times New Roman" w:cs="Times New Roman"/>
          <w:sz w:val="24"/>
          <w:szCs w:val="24"/>
        </w:rPr>
        <w:t xml:space="preserve">o </w:t>
      </w:r>
      <w:proofErr w:type="spellStart"/>
      <w:r w:rsidR="006E6E71" w:rsidRPr="00A91E83">
        <w:rPr>
          <w:rFonts w:ascii="Times New Roman" w:hAnsi="Times New Roman" w:cs="Times New Roman"/>
          <w:sz w:val="24"/>
          <w:szCs w:val="24"/>
        </w:rPr>
        <w:t>užbiržiniai</w:t>
      </w:r>
      <w:proofErr w:type="spellEnd"/>
      <w:r w:rsidR="006E6E71" w:rsidRPr="00A91E83">
        <w:rPr>
          <w:rFonts w:ascii="Times New Roman" w:hAnsi="Times New Roman" w:cs="Times New Roman"/>
          <w:sz w:val="24"/>
          <w:szCs w:val="24"/>
        </w:rPr>
        <w:t xml:space="preserve"> sandoriai yra viena iš išvestinių finansinių priemonių rūšių, </w:t>
      </w:r>
      <w:r w:rsidRPr="00A91E83">
        <w:rPr>
          <w:rFonts w:ascii="Times New Roman" w:hAnsi="Times New Roman" w:cs="Times New Roman"/>
          <w:sz w:val="24"/>
          <w:szCs w:val="24"/>
        </w:rPr>
        <w:t xml:space="preserve">todėl visi minėti bruožai būdingi </w:t>
      </w:r>
      <w:r w:rsidR="004257D6" w:rsidRPr="00A91E83">
        <w:rPr>
          <w:rFonts w:ascii="Times New Roman" w:hAnsi="Times New Roman" w:cs="Times New Roman"/>
          <w:sz w:val="24"/>
          <w:szCs w:val="24"/>
        </w:rPr>
        <w:t xml:space="preserve">finansinėms priemonėms yra taip pat būdingi ir </w:t>
      </w:r>
      <w:proofErr w:type="spellStart"/>
      <w:r w:rsidRPr="00A91E83">
        <w:rPr>
          <w:rFonts w:ascii="Times New Roman" w:hAnsi="Times New Roman" w:cs="Times New Roman"/>
          <w:sz w:val="24"/>
          <w:szCs w:val="24"/>
        </w:rPr>
        <w:t>užbiržiniams</w:t>
      </w:r>
      <w:proofErr w:type="spellEnd"/>
      <w:r w:rsidRPr="00A91E83">
        <w:rPr>
          <w:rFonts w:ascii="Times New Roman" w:hAnsi="Times New Roman" w:cs="Times New Roman"/>
          <w:sz w:val="24"/>
          <w:szCs w:val="24"/>
        </w:rPr>
        <w:t xml:space="preserve"> sandoriams</w:t>
      </w:r>
      <w:r w:rsidR="00F6720E" w:rsidRPr="00A91E83">
        <w:rPr>
          <w:rFonts w:ascii="Times New Roman" w:hAnsi="Times New Roman" w:cs="Times New Roman"/>
          <w:sz w:val="24"/>
          <w:szCs w:val="24"/>
        </w:rPr>
        <w:t>,</w:t>
      </w:r>
      <w:r w:rsidRPr="00A91E83">
        <w:rPr>
          <w:rFonts w:ascii="Times New Roman" w:hAnsi="Times New Roman" w:cs="Times New Roman"/>
          <w:sz w:val="24"/>
          <w:szCs w:val="24"/>
        </w:rPr>
        <w:t xml:space="preserve"> susijusiems su išves</w:t>
      </w:r>
      <w:r w:rsidR="004257D6" w:rsidRPr="00A91E83">
        <w:rPr>
          <w:rFonts w:ascii="Times New Roman" w:hAnsi="Times New Roman" w:cs="Times New Roman"/>
          <w:sz w:val="24"/>
          <w:szCs w:val="24"/>
        </w:rPr>
        <w:t>tinėm</w:t>
      </w:r>
      <w:r w:rsidR="00463707" w:rsidRPr="00A91E83">
        <w:rPr>
          <w:rFonts w:ascii="Times New Roman" w:hAnsi="Times New Roman" w:cs="Times New Roman"/>
          <w:sz w:val="24"/>
          <w:szCs w:val="24"/>
        </w:rPr>
        <w:t>i</w:t>
      </w:r>
      <w:r w:rsidR="004257D6" w:rsidRPr="00A91E83">
        <w:rPr>
          <w:rFonts w:ascii="Times New Roman" w:hAnsi="Times New Roman" w:cs="Times New Roman"/>
          <w:sz w:val="24"/>
          <w:szCs w:val="24"/>
        </w:rPr>
        <w:t>s finansinėmis priemonėmis.</w:t>
      </w:r>
    </w:p>
    <w:p w:rsidR="009B1B22" w:rsidRPr="00A91E83" w:rsidRDefault="00977CBC"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Toliau finansinių priemonių analizę siaurinant iki išvestinių finansinių priemonių, pažymėtina, jog i</w:t>
      </w:r>
      <w:r w:rsidR="000F5E10" w:rsidRPr="00A91E83">
        <w:rPr>
          <w:rFonts w:ascii="Times New Roman" w:hAnsi="Times New Roman" w:cs="Times New Roman"/>
          <w:sz w:val="24"/>
          <w:szCs w:val="24"/>
        </w:rPr>
        <w:t>švestinė finansinė priemonė – tai finansinis instrumentas (ar dar paprasčiau susitarimas tarp dviejų asmenų), kurio vertė bus nustatoma, pagal ką nors kitą.</w:t>
      </w:r>
      <w:r w:rsidR="000F5E10" w:rsidRPr="00A91E83">
        <w:rPr>
          <w:rStyle w:val="Puslapioinaosnuoroda"/>
          <w:rFonts w:ascii="Times New Roman" w:hAnsi="Times New Roman" w:cs="Times New Roman"/>
          <w:sz w:val="24"/>
          <w:szCs w:val="24"/>
        </w:rPr>
        <w:footnoteReference w:id="20"/>
      </w:r>
      <w:r w:rsidR="000F5E10" w:rsidRPr="00A91E83">
        <w:rPr>
          <w:rFonts w:ascii="Times New Roman" w:hAnsi="Times New Roman" w:cs="Times New Roman"/>
          <w:sz w:val="24"/>
          <w:szCs w:val="24"/>
        </w:rPr>
        <w:t xml:space="preserve"> </w:t>
      </w:r>
      <w:r w:rsidR="00BA2CA3" w:rsidRPr="00A91E83">
        <w:rPr>
          <w:rFonts w:ascii="Times New Roman" w:hAnsi="Times New Roman" w:cs="Times New Roman"/>
          <w:sz w:val="24"/>
          <w:szCs w:val="24"/>
        </w:rPr>
        <w:t>I</w:t>
      </w:r>
      <w:r w:rsidR="00592AB0" w:rsidRPr="00A91E83">
        <w:rPr>
          <w:rFonts w:ascii="Times New Roman" w:hAnsi="Times New Roman" w:cs="Times New Roman"/>
          <w:sz w:val="24"/>
          <w:szCs w:val="24"/>
        </w:rPr>
        <w:t xml:space="preserve">švestinės finansinės priemonės jau kurį laiką </w:t>
      </w:r>
      <w:r w:rsidR="00E47B3D" w:rsidRPr="00A91E83">
        <w:rPr>
          <w:rFonts w:ascii="Times New Roman" w:hAnsi="Times New Roman" w:cs="Times New Roman"/>
          <w:sz w:val="24"/>
          <w:szCs w:val="24"/>
        </w:rPr>
        <w:t>sukelia karštas</w:t>
      </w:r>
      <w:r w:rsidR="00592AB0" w:rsidRPr="00A91E83">
        <w:rPr>
          <w:rFonts w:ascii="Times New Roman" w:hAnsi="Times New Roman" w:cs="Times New Roman"/>
          <w:sz w:val="24"/>
          <w:szCs w:val="24"/>
        </w:rPr>
        <w:t xml:space="preserve"> diskusijas, kur argumentai svyruoja nuo finansininko </w:t>
      </w:r>
      <w:proofErr w:type="spellStart"/>
      <w:r w:rsidR="00592AB0" w:rsidRPr="00A91E83">
        <w:rPr>
          <w:rFonts w:ascii="Times New Roman" w:hAnsi="Times New Roman" w:cs="Times New Roman"/>
          <w:sz w:val="24"/>
          <w:szCs w:val="24"/>
        </w:rPr>
        <w:t>Gerorge</w:t>
      </w:r>
      <w:proofErr w:type="spellEnd"/>
      <w:r w:rsidR="00592AB0" w:rsidRPr="00A91E83">
        <w:rPr>
          <w:rFonts w:ascii="Times New Roman" w:hAnsi="Times New Roman" w:cs="Times New Roman"/>
          <w:sz w:val="24"/>
          <w:szCs w:val="24"/>
        </w:rPr>
        <w:t xml:space="preserve"> Soros įspėjimo, kad išvestinių finansinių priemonių prekyba sunaikins visuomenę</w:t>
      </w:r>
      <w:r w:rsidR="00463707" w:rsidRPr="00A91E83">
        <w:rPr>
          <w:rFonts w:ascii="Times New Roman" w:hAnsi="Times New Roman" w:cs="Times New Roman"/>
          <w:sz w:val="24"/>
          <w:szCs w:val="24"/>
        </w:rPr>
        <w:t>,</w:t>
      </w:r>
      <w:r w:rsidR="00592AB0" w:rsidRPr="00A91E83">
        <w:rPr>
          <w:rFonts w:ascii="Times New Roman" w:hAnsi="Times New Roman" w:cs="Times New Roman"/>
          <w:sz w:val="24"/>
          <w:szCs w:val="24"/>
        </w:rPr>
        <w:t xml:space="preserve"> iki garsių ekonomistų,</w:t>
      </w:r>
      <w:r w:rsidR="005B4CC8" w:rsidRPr="00A91E83">
        <w:rPr>
          <w:rFonts w:ascii="Times New Roman" w:hAnsi="Times New Roman" w:cs="Times New Roman"/>
          <w:sz w:val="24"/>
          <w:szCs w:val="24"/>
        </w:rPr>
        <w:t xml:space="preserve"> tokių kaip </w:t>
      </w:r>
      <w:proofErr w:type="spellStart"/>
      <w:r w:rsidR="005B4CC8" w:rsidRPr="00A91E83">
        <w:rPr>
          <w:rFonts w:ascii="Times New Roman" w:hAnsi="Times New Roman" w:cs="Times New Roman"/>
          <w:sz w:val="24"/>
          <w:szCs w:val="24"/>
        </w:rPr>
        <w:t>Merton</w:t>
      </w:r>
      <w:proofErr w:type="spellEnd"/>
      <w:r w:rsidR="005B4CC8" w:rsidRPr="00A91E83">
        <w:rPr>
          <w:rFonts w:ascii="Times New Roman" w:hAnsi="Times New Roman" w:cs="Times New Roman"/>
          <w:sz w:val="24"/>
          <w:szCs w:val="24"/>
        </w:rPr>
        <w:t xml:space="preserve"> </w:t>
      </w:r>
      <w:proofErr w:type="spellStart"/>
      <w:r w:rsidR="005B4CC8" w:rsidRPr="00A91E83">
        <w:rPr>
          <w:rFonts w:ascii="Times New Roman" w:hAnsi="Times New Roman" w:cs="Times New Roman"/>
          <w:sz w:val="24"/>
          <w:szCs w:val="24"/>
        </w:rPr>
        <w:t>Miller</w:t>
      </w:r>
      <w:proofErr w:type="spellEnd"/>
      <w:r w:rsidR="005B4CC8" w:rsidRPr="00A91E83">
        <w:rPr>
          <w:rFonts w:ascii="Times New Roman" w:hAnsi="Times New Roman" w:cs="Times New Roman"/>
          <w:sz w:val="24"/>
          <w:szCs w:val="24"/>
        </w:rPr>
        <w:t xml:space="preserve"> gynybos</w:t>
      </w:r>
      <w:r w:rsidR="00592AB0" w:rsidRPr="00A91E83">
        <w:rPr>
          <w:rFonts w:ascii="Times New Roman" w:hAnsi="Times New Roman" w:cs="Times New Roman"/>
          <w:sz w:val="24"/>
          <w:szCs w:val="24"/>
        </w:rPr>
        <w:t xml:space="preserve">, </w:t>
      </w:r>
      <w:r w:rsidR="009D55BD" w:rsidRPr="00A91E83">
        <w:rPr>
          <w:rFonts w:ascii="Times New Roman" w:hAnsi="Times New Roman" w:cs="Times New Roman"/>
          <w:sz w:val="24"/>
          <w:szCs w:val="24"/>
        </w:rPr>
        <w:t>jog</w:t>
      </w:r>
      <w:r w:rsidR="00592AB0" w:rsidRPr="00A91E83">
        <w:rPr>
          <w:rFonts w:ascii="Times New Roman" w:hAnsi="Times New Roman" w:cs="Times New Roman"/>
          <w:sz w:val="24"/>
          <w:szCs w:val="24"/>
        </w:rPr>
        <w:t xml:space="preserve"> išvestinės finansinės priemonės pasaulį padarė saugesne vieta gyventi.</w:t>
      </w:r>
      <w:r w:rsidR="00FC78BF" w:rsidRPr="00A91E83">
        <w:rPr>
          <w:rStyle w:val="Puslapioinaosnuoroda"/>
          <w:rFonts w:ascii="Times New Roman" w:hAnsi="Times New Roman" w:cs="Times New Roman"/>
          <w:sz w:val="24"/>
          <w:szCs w:val="24"/>
        </w:rPr>
        <w:footnoteReference w:id="21"/>
      </w:r>
      <w:r w:rsidR="00592AB0" w:rsidRPr="00A91E83">
        <w:rPr>
          <w:rFonts w:ascii="Times New Roman" w:hAnsi="Times New Roman" w:cs="Times New Roman"/>
          <w:sz w:val="24"/>
          <w:szCs w:val="24"/>
        </w:rPr>
        <w:t xml:space="preserve"> </w:t>
      </w:r>
      <w:r w:rsidR="00F33155" w:rsidRPr="00A91E83">
        <w:rPr>
          <w:rFonts w:ascii="Times New Roman" w:hAnsi="Times New Roman" w:cs="Times New Roman"/>
          <w:sz w:val="24"/>
          <w:szCs w:val="24"/>
        </w:rPr>
        <w:t>Išvestinės finansinės priemonės, tai bendrinis terminas, kuriuo siekiama apibūdinti pasirinkimo, ateities, išankstinius, apsikeitimo ir kitus panašius sandorius.</w:t>
      </w:r>
      <w:r w:rsidR="00883713" w:rsidRPr="00A91E83">
        <w:rPr>
          <w:rStyle w:val="Puslapioinaosnuoroda"/>
          <w:rFonts w:ascii="Times New Roman" w:hAnsi="Times New Roman" w:cs="Times New Roman"/>
          <w:sz w:val="24"/>
          <w:szCs w:val="24"/>
        </w:rPr>
        <w:footnoteReference w:id="22"/>
      </w:r>
      <w:r w:rsidR="00F33155" w:rsidRPr="00A91E83">
        <w:rPr>
          <w:rFonts w:ascii="Times New Roman" w:hAnsi="Times New Roman" w:cs="Times New Roman"/>
          <w:sz w:val="24"/>
          <w:szCs w:val="24"/>
        </w:rPr>
        <w:t xml:space="preserve"> Esminis specifinis bruožas išskiriantis išvestines finansines priemones iš kitų</w:t>
      </w:r>
      <w:r w:rsidRPr="00A91E83">
        <w:rPr>
          <w:rFonts w:ascii="Times New Roman" w:hAnsi="Times New Roman" w:cs="Times New Roman"/>
          <w:sz w:val="24"/>
          <w:szCs w:val="24"/>
        </w:rPr>
        <w:t xml:space="preserve"> finansinių priemonių</w:t>
      </w:r>
      <w:r w:rsidR="00F33155" w:rsidRPr="00A91E83">
        <w:rPr>
          <w:rFonts w:ascii="Times New Roman" w:hAnsi="Times New Roman" w:cs="Times New Roman"/>
          <w:sz w:val="24"/>
          <w:szCs w:val="24"/>
        </w:rPr>
        <w:t>, jog jų vertė yra išvedama (</w:t>
      </w:r>
      <w:proofErr w:type="spellStart"/>
      <w:r w:rsidR="00F33155" w:rsidRPr="00A91E83">
        <w:rPr>
          <w:rFonts w:ascii="Times New Roman" w:hAnsi="Times New Roman" w:cs="Times New Roman"/>
          <w:sz w:val="24"/>
          <w:szCs w:val="24"/>
        </w:rPr>
        <w:t>angl</w:t>
      </w:r>
      <w:proofErr w:type="spellEnd"/>
      <w:r w:rsidR="00F33155" w:rsidRPr="00A91E83">
        <w:rPr>
          <w:rFonts w:ascii="Times New Roman" w:hAnsi="Times New Roman" w:cs="Times New Roman"/>
          <w:sz w:val="24"/>
          <w:szCs w:val="24"/>
        </w:rPr>
        <w:t xml:space="preserve">. </w:t>
      </w:r>
      <w:proofErr w:type="spellStart"/>
      <w:r w:rsidR="00F33155" w:rsidRPr="00A91E83">
        <w:rPr>
          <w:rFonts w:ascii="Times New Roman" w:hAnsi="Times New Roman" w:cs="Times New Roman"/>
          <w:i/>
          <w:sz w:val="24"/>
          <w:szCs w:val="24"/>
        </w:rPr>
        <w:t>derived</w:t>
      </w:r>
      <w:proofErr w:type="spellEnd"/>
      <w:r w:rsidR="00F33155" w:rsidRPr="00A91E83">
        <w:rPr>
          <w:rFonts w:ascii="Times New Roman" w:hAnsi="Times New Roman" w:cs="Times New Roman"/>
          <w:sz w:val="24"/>
          <w:szCs w:val="24"/>
        </w:rPr>
        <w:t xml:space="preserve">) iš kito objekto, </w:t>
      </w:r>
      <w:r w:rsidR="008C26F1" w:rsidRPr="00A91E83">
        <w:rPr>
          <w:rFonts w:ascii="Times New Roman" w:hAnsi="Times New Roman" w:cs="Times New Roman"/>
          <w:sz w:val="24"/>
          <w:szCs w:val="24"/>
        </w:rPr>
        <w:t>t. y.</w:t>
      </w:r>
      <w:r w:rsidR="00F33155" w:rsidRPr="00A91E83">
        <w:rPr>
          <w:rFonts w:ascii="Times New Roman" w:hAnsi="Times New Roman" w:cs="Times New Roman"/>
          <w:sz w:val="24"/>
          <w:szCs w:val="24"/>
        </w:rPr>
        <w:t xml:space="preserve"> bazinio turto (</w:t>
      </w:r>
      <w:proofErr w:type="spellStart"/>
      <w:r w:rsidR="00F33155" w:rsidRPr="00A91E83">
        <w:rPr>
          <w:rFonts w:ascii="Times New Roman" w:hAnsi="Times New Roman" w:cs="Times New Roman"/>
          <w:sz w:val="24"/>
          <w:szCs w:val="24"/>
        </w:rPr>
        <w:t>angl</w:t>
      </w:r>
      <w:proofErr w:type="spellEnd"/>
      <w:r w:rsidR="00F33155" w:rsidRPr="00A91E83">
        <w:rPr>
          <w:rFonts w:ascii="Times New Roman" w:hAnsi="Times New Roman" w:cs="Times New Roman"/>
          <w:i/>
          <w:sz w:val="24"/>
          <w:szCs w:val="24"/>
        </w:rPr>
        <w:t xml:space="preserve">. </w:t>
      </w:r>
      <w:proofErr w:type="spellStart"/>
      <w:r w:rsidR="00F33155" w:rsidRPr="00A91E83">
        <w:rPr>
          <w:rFonts w:ascii="Times New Roman" w:hAnsi="Times New Roman" w:cs="Times New Roman"/>
          <w:i/>
          <w:sz w:val="24"/>
          <w:szCs w:val="24"/>
        </w:rPr>
        <w:t>underlying</w:t>
      </w:r>
      <w:proofErr w:type="spellEnd"/>
      <w:r w:rsidR="00F33155" w:rsidRPr="00A91E83">
        <w:rPr>
          <w:rFonts w:ascii="Times New Roman" w:hAnsi="Times New Roman" w:cs="Times New Roman"/>
          <w:i/>
          <w:sz w:val="24"/>
          <w:szCs w:val="24"/>
        </w:rPr>
        <w:t xml:space="preserve"> </w:t>
      </w:r>
      <w:proofErr w:type="spellStart"/>
      <w:r w:rsidR="00F33155" w:rsidRPr="00A91E83">
        <w:rPr>
          <w:rFonts w:ascii="Times New Roman" w:hAnsi="Times New Roman" w:cs="Times New Roman"/>
          <w:i/>
          <w:sz w:val="24"/>
          <w:szCs w:val="24"/>
        </w:rPr>
        <w:t>asset</w:t>
      </w:r>
      <w:proofErr w:type="spellEnd"/>
      <w:r w:rsidR="00F33155" w:rsidRPr="00A91E83">
        <w:rPr>
          <w:rFonts w:ascii="Times New Roman" w:hAnsi="Times New Roman" w:cs="Times New Roman"/>
          <w:sz w:val="24"/>
          <w:szCs w:val="24"/>
        </w:rPr>
        <w:t>), kurio vertės pokyčiai rinkoje ir nulemia finansinio instrumento vertę.</w:t>
      </w:r>
      <w:r w:rsidR="003F37F7" w:rsidRPr="00A91E83">
        <w:rPr>
          <w:rStyle w:val="Puslapioinaosnuoroda"/>
          <w:rFonts w:ascii="Times New Roman" w:hAnsi="Times New Roman" w:cs="Times New Roman"/>
          <w:sz w:val="24"/>
          <w:szCs w:val="24"/>
        </w:rPr>
        <w:footnoteReference w:id="23"/>
      </w:r>
      <w:r w:rsidR="00592AB0" w:rsidRPr="00A91E83">
        <w:rPr>
          <w:rFonts w:ascii="Times New Roman" w:hAnsi="Times New Roman" w:cs="Times New Roman"/>
          <w:sz w:val="24"/>
          <w:szCs w:val="24"/>
        </w:rPr>
        <w:t xml:space="preserve"> </w:t>
      </w:r>
      <w:r w:rsidR="00C51D22" w:rsidRPr="00A91E83">
        <w:rPr>
          <w:rFonts w:ascii="Times New Roman" w:hAnsi="Times New Roman" w:cs="Times New Roman"/>
          <w:sz w:val="24"/>
          <w:szCs w:val="24"/>
        </w:rPr>
        <w:t xml:space="preserve">Bazinis turtas gali būti įvairūs objektai: akcijos, obligacijos, rinkos indeksas, palūkanų normos, užsienio valiutos kursas, kitos išvestinės finansinės priemonės ir </w:t>
      </w:r>
      <w:r w:rsidR="008C26F1" w:rsidRPr="00A91E83">
        <w:rPr>
          <w:rFonts w:ascii="Times New Roman" w:hAnsi="Times New Roman" w:cs="Times New Roman"/>
          <w:sz w:val="24"/>
          <w:szCs w:val="24"/>
        </w:rPr>
        <w:t>t. t.</w:t>
      </w:r>
      <w:r w:rsidR="00C51D22" w:rsidRPr="00A91E83">
        <w:rPr>
          <w:rStyle w:val="Puslapioinaosnuoroda"/>
          <w:rFonts w:ascii="Times New Roman" w:hAnsi="Times New Roman" w:cs="Times New Roman"/>
          <w:sz w:val="24"/>
          <w:szCs w:val="24"/>
        </w:rPr>
        <w:footnoteReference w:id="24"/>
      </w:r>
    </w:p>
    <w:p w:rsidR="001754F4" w:rsidRPr="00A91E83" w:rsidRDefault="005004DE" w:rsidP="001754F4">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Kitas tyrimo atžvilgiu svarbus </w:t>
      </w:r>
      <w:r w:rsidR="0013327C" w:rsidRPr="00A91E83">
        <w:rPr>
          <w:rFonts w:ascii="Times New Roman" w:hAnsi="Times New Roman" w:cs="Times New Roman"/>
          <w:sz w:val="24"/>
          <w:szCs w:val="24"/>
        </w:rPr>
        <w:t>daugeliui išvestinių finansinių priemonių būdingas bruožas,</w:t>
      </w:r>
      <w:r w:rsidRPr="00A91E83">
        <w:rPr>
          <w:rFonts w:ascii="Times New Roman" w:hAnsi="Times New Roman" w:cs="Times New Roman"/>
          <w:sz w:val="24"/>
          <w:szCs w:val="24"/>
        </w:rPr>
        <w:t xml:space="preserve"> jog sandorio šalių pelno ir nuostolio santykis yra simetriškas.</w:t>
      </w:r>
      <w:r w:rsidR="00017EAB" w:rsidRPr="00A91E83">
        <w:rPr>
          <w:rStyle w:val="Puslapioinaosnuoroda"/>
          <w:rFonts w:ascii="Times New Roman" w:hAnsi="Times New Roman" w:cs="Times New Roman"/>
          <w:sz w:val="24"/>
          <w:szCs w:val="24"/>
        </w:rPr>
        <w:footnoteReference w:id="25"/>
      </w:r>
      <w:r w:rsidRPr="00A91E83">
        <w:rPr>
          <w:rFonts w:ascii="Times New Roman" w:hAnsi="Times New Roman" w:cs="Times New Roman"/>
          <w:sz w:val="24"/>
          <w:szCs w:val="24"/>
        </w:rPr>
        <w:t xml:space="preserve"> Vienos iš šalių pelnas yra lygus kontrahento nuostoliui</w:t>
      </w:r>
      <w:r w:rsidR="0047756C" w:rsidRPr="00A91E83">
        <w:rPr>
          <w:rFonts w:ascii="Times New Roman" w:hAnsi="Times New Roman" w:cs="Times New Roman"/>
          <w:sz w:val="24"/>
          <w:szCs w:val="24"/>
        </w:rPr>
        <w:t xml:space="preserve"> ir atvirkščiai</w:t>
      </w:r>
      <w:r w:rsidRPr="00A91E83">
        <w:rPr>
          <w:rFonts w:ascii="Times New Roman" w:hAnsi="Times New Roman" w:cs="Times New Roman"/>
          <w:sz w:val="24"/>
          <w:szCs w:val="24"/>
        </w:rPr>
        <w:t>.</w:t>
      </w:r>
      <w:r w:rsidR="001F7505" w:rsidRPr="00A91E83">
        <w:rPr>
          <w:rStyle w:val="Puslapioinaosnuoroda"/>
          <w:rFonts w:ascii="Times New Roman" w:hAnsi="Times New Roman" w:cs="Times New Roman"/>
          <w:sz w:val="24"/>
          <w:szCs w:val="24"/>
        </w:rPr>
        <w:footnoteReference w:id="26"/>
      </w:r>
      <w:r w:rsidR="001F7505" w:rsidRPr="00A91E83">
        <w:rPr>
          <w:rFonts w:ascii="Times New Roman" w:hAnsi="Times New Roman" w:cs="Times New Roman"/>
          <w:sz w:val="24"/>
          <w:szCs w:val="24"/>
        </w:rPr>
        <w:t xml:space="preserve"> </w:t>
      </w:r>
    </w:p>
    <w:p w:rsidR="009D55BD" w:rsidRPr="00A91E83" w:rsidRDefault="009D55BD" w:rsidP="00B46A53">
      <w:pPr>
        <w:tabs>
          <w:tab w:val="left" w:pos="851"/>
        </w:tabs>
        <w:spacing w:after="0" w:line="360" w:lineRule="auto"/>
        <w:ind w:firstLine="851"/>
        <w:jc w:val="both"/>
        <w:rPr>
          <w:rFonts w:ascii="Times New Roman" w:hAnsi="Times New Roman" w:cs="Times New Roman"/>
          <w:b/>
          <w:sz w:val="24"/>
          <w:szCs w:val="24"/>
        </w:rPr>
      </w:pPr>
    </w:p>
    <w:p w:rsidR="00F33155" w:rsidRPr="00A91E83" w:rsidRDefault="00F33155" w:rsidP="00811A57">
      <w:pPr>
        <w:pStyle w:val="Sraopastraipa"/>
        <w:numPr>
          <w:ilvl w:val="1"/>
          <w:numId w:val="4"/>
        </w:numPr>
        <w:tabs>
          <w:tab w:val="left" w:pos="851"/>
        </w:tabs>
        <w:spacing w:after="0" w:line="360" w:lineRule="auto"/>
        <w:ind w:left="0" w:firstLine="0"/>
        <w:jc w:val="both"/>
        <w:outlineLvl w:val="1"/>
        <w:rPr>
          <w:rFonts w:ascii="Times New Roman" w:hAnsi="Times New Roman" w:cs="Times New Roman"/>
          <w:b/>
          <w:sz w:val="24"/>
          <w:szCs w:val="24"/>
        </w:rPr>
      </w:pPr>
      <w:bookmarkStart w:id="3" w:name="_Toc280546443"/>
      <w:r w:rsidRPr="00A91E83">
        <w:rPr>
          <w:rFonts w:ascii="Times New Roman" w:hAnsi="Times New Roman" w:cs="Times New Roman"/>
          <w:b/>
          <w:sz w:val="24"/>
          <w:szCs w:val="24"/>
        </w:rPr>
        <w:t xml:space="preserve">Esminiai </w:t>
      </w:r>
      <w:proofErr w:type="spellStart"/>
      <w:r w:rsidR="00FB42B0">
        <w:rPr>
          <w:rFonts w:ascii="Times New Roman" w:hAnsi="Times New Roman" w:cs="Times New Roman"/>
          <w:b/>
          <w:sz w:val="24"/>
          <w:szCs w:val="24"/>
        </w:rPr>
        <w:t>užbiržinių</w:t>
      </w:r>
      <w:proofErr w:type="spellEnd"/>
      <w:r w:rsidR="00FB42B0">
        <w:rPr>
          <w:rFonts w:ascii="Times New Roman" w:hAnsi="Times New Roman" w:cs="Times New Roman"/>
          <w:b/>
          <w:sz w:val="24"/>
          <w:szCs w:val="24"/>
        </w:rPr>
        <w:t xml:space="preserve"> </w:t>
      </w:r>
      <w:r w:rsidR="00925C52" w:rsidRPr="00A91E83">
        <w:rPr>
          <w:rFonts w:ascii="Times New Roman" w:hAnsi="Times New Roman" w:cs="Times New Roman"/>
          <w:b/>
          <w:sz w:val="24"/>
          <w:szCs w:val="24"/>
        </w:rPr>
        <w:t xml:space="preserve">sandorių dėl išvestinių finansinių priemonių </w:t>
      </w:r>
      <w:r w:rsidRPr="00A91E83">
        <w:rPr>
          <w:rFonts w:ascii="Times New Roman" w:hAnsi="Times New Roman" w:cs="Times New Roman"/>
          <w:b/>
          <w:sz w:val="24"/>
          <w:szCs w:val="24"/>
        </w:rPr>
        <w:t>bruožai</w:t>
      </w:r>
      <w:bookmarkEnd w:id="3"/>
      <w:r w:rsidRPr="00A91E83">
        <w:rPr>
          <w:rFonts w:ascii="Times New Roman" w:hAnsi="Times New Roman" w:cs="Times New Roman"/>
          <w:b/>
          <w:sz w:val="24"/>
          <w:szCs w:val="24"/>
        </w:rPr>
        <w:t xml:space="preserve"> </w:t>
      </w:r>
    </w:p>
    <w:p w:rsidR="00F33155" w:rsidRPr="00A91E83" w:rsidRDefault="00F33155" w:rsidP="00B46A53">
      <w:pPr>
        <w:pStyle w:val="Sraopastraipa"/>
        <w:tabs>
          <w:tab w:val="left" w:pos="851"/>
        </w:tabs>
        <w:spacing w:after="0" w:line="360" w:lineRule="auto"/>
        <w:ind w:left="0" w:firstLine="851"/>
        <w:jc w:val="both"/>
        <w:rPr>
          <w:rFonts w:ascii="Times New Roman" w:hAnsi="Times New Roman" w:cs="Times New Roman"/>
          <w:b/>
          <w:sz w:val="24"/>
          <w:szCs w:val="24"/>
        </w:rPr>
      </w:pPr>
    </w:p>
    <w:p w:rsidR="00BF7A15" w:rsidRPr="00A91E83" w:rsidRDefault="00F33155"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Dalis išvestinių finansinių priemonių </w:t>
      </w:r>
      <w:r w:rsidR="00BB0521" w:rsidRPr="00A91E83">
        <w:rPr>
          <w:rFonts w:ascii="Times New Roman" w:hAnsi="Times New Roman" w:cs="Times New Roman"/>
          <w:sz w:val="24"/>
          <w:szCs w:val="24"/>
        </w:rPr>
        <w:t>sandorių yra sudaromi</w:t>
      </w:r>
      <w:r w:rsidRPr="00A91E83">
        <w:rPr>
          <w:rFonts w:ascii="Times New Roman" w:hAnsi="Times New Roman" w:cs="Times New Roman"/>
          <w:sz w:val="24"/>
          <w:szCs w:val="24"/>
        </w:rPr>
        <w:t xml:space="preserve"> biržose</w:t>
      </w:r>
      <w:r w:rsidR="00102B5E" w:rsidRPr="00A91E83">
        <w:rPr>
          <w:rFonts w:ascii="Times New Roman" w:hAnsi="Times New Roman" w:cs="Times New Roman"/>
          <w:sz w:val="24"/>
          <w:szCs w:val="24"/>
        </w:rPr>
        <w:t>,</w:t>
      </w:r>
      <w:r w:rsidRPr="00A91E83">
        <w:rPr>
          <w:rStyle w:val="Puslapioinaosnuoroda"/>
          <w:rFonts w:ascii="Times New Roman" w:hAnsi="Times New Roman" w:cs="Times New Roman"/>
          <w:sz w:val="24"/>
          <w:szCs w:val="24"/>
        </w:rPr>
        <w:footnoteReference w:id="27"/>
      </w:r>
      <w:r w:rsidRPr="00A91E83">
        <w:rPr>
          <w:rFonts w:ascii="Times New Roman" w:hAnsi="Times New Roman" w:cs="Times New Roman"/>
          <w:sz w:val="24"/>
          <w:szCs w:val="24"/>
        </w:rPr>
        <w:t xml:space="preserve"> kita dalis – tai sandoriai</w:t>
      </w:r>
      <w:r w:rsidR="00102B5E" w:rsidRPr="00A91E83">
        <w:rPr>
          <w:rFonts w:ascii="Times New Roman" w:hAnsi="Times New Roman" w:cs="Times New Roman"/>
          <w:sz w:val="24"/>
          <w:szCs w:val="24"/>
        </w:rPr>
        <w:t>,</w:t>
      </w:r>
      <w:r w:rsidRPr="00A91E83">
        <w:rPr>
          <w:rFonts w:ascii="Times New Roman" w:hAnsi="Times New Roman" w:cs="Times New Roman"/>
          <w:sz w:val="24"/>
          <w:szCs w:val="24"/>
        </w:rPr>
        <w:t xml:space="preserve"> sudaromi asmen</w:t>
      </w:r>
      <w:r w:rsidR="009921CF" w:rsidRPr="00A91E83">
        <w:rPr>
          <w:rFonts w:ascii="Times New Roman" w:hAnsi="Times New Roman" w:cs="Times New Roman"/>
          <w:sz w:val="24"/>
          <w:szCs w:val="24"/>
        </w:rPr>
        <w:t>iškai tarp šalių derybų būdu</w:t>
      </w:r>
      <w:r w:rsidRPr="00A91E83">
        <w:rPr>
          <w:rFonts w:ascii="Times New Roman" w:hAnsi="Times New Roman" w:cs="Times New Roman"/>
          <w:sz w:val="24"/>
          <w:szCs w:val="24"/>
        </w:rPr>
        <w:t xml:space="preserve">. Pastarieji sandoriai dar vadinami </w:t>
      </w:r>
      <w:proofErr w:type="spellStart"/>
      <w:r w:rsidRPr="00A91E83">
        <w:rPr>
          <w:rFonts w:ascii="Times New Roman" w:hAnsi="Times New Roman" w:cs="Times New Roman"/>
          <w:sz w:val="24"/>
          <w:szCs w:val="24"/>
        </w:rPr>
        <w:lastRenderedPageBreak/>
        <w:t>užbiržiniai</w:t>
      </w:r>
      <w:proofErr w:type="spellEnd"/>
      <w:r w:rsidRPr="00A91E83">
        <w:rPr>
          <w:rFonts w:ascii="Times New Roman" w:hAnsi="Times New Roman" w:cs="Times New Roman"/>
          <w:sz w:val="24"/>
          <w:szCs w:val="24"/>
        </w:rPr>
        <w:t xml:space="preserve"> sandoriai </w:t>
      </w:r>
      <w:r w:rsidRPr="00A91E83">
        <w:rPr>
          <w:rFonts w:ascii="Times New Roman" w:hAnsi="Times New Roman" w:cs="Times New Roman"/>
          <w:i/>
          <w:sz w:val="24"/>
          <w:szCs w:val="24"/>
        </w:rPr>
        <w:t>(</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over-the-counter</w:t>
      </w:r>
      <w:proofErr w:type="spellEnd"/>
      <w:r w:rsidR="007F2962" w:rsidRPr="00A91E83">
        <w:rPr>
          <w:rFonts w:ascii="Times New Roman" w:hAnsi="Times New Roman" w:cs="Times New Roman"/>
          <w:i/>
          <w:sz w:val="24"/>
          <w:szCs w:val="24"/>
        </w:rPr>
        <w:t xml:space="preserve"> (OTC)</w:t>
      </w:r>
      <w:r w:rsidRPr="00A91E83">
        <w:rPr>
          <w:rFonts w:ascii="Times New Roman" w:hAnsi="Times New Roman" w:cs="Times New Roman"/>
          <w:i/>
          <w:sz w:val="24"/>
          <w:szCs w:val="24"/>
        </w:rPr>
        <w:t xml:space="preserve"> </w:t>
      </w:r>
      <w:r w:rsidRPr="00A91E83">
        <w:rPr>
          <w:rFonts w:ascii="Times New Roman" w:hAnsi="Times New Roman" w:cs="Times New Roman"/>
          <w:sz w:val="24"/>
          <w:szCs w:val="24"/>
        </w:rPr>
        <w:t>arba</w:t>
      </w:r>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off-exchange</w:t>
      </w:r>
      <w:r w:rsidR="00925C52" w:rsidRPr="00A91E83">
        <w:rPr>
          <w:rFonts w:ascii="Times New Roman" w:hAnsi="Times New Roman" w:cs="Times New Roman"/>
          <w:sz w:val="24"/>
          <w:szCs w:val="24"/>
        </w:rPr>
        <w:t>),</w:t>
      </w:r>
      <w:proofErr w:type="spellEnd"/>
      <w:r w:rsidR="00925C52" w:rsidRPr="00A91E83">
        <w:rPr>
          <w:rFonts w:ascii="Times New Roman" w:hAnsi="Times New Roman" w:cs="Times New Roman"/>
          <w:sz w:val="24"/>
          <w:szCs w:val="24"/>
        </w:rPr>
        <w:t xml:space="preserve"> o šis rinkos segmentas atskirai vadinamas kaip „gatvės rinka“.</w:t>
      </w:r>
      <w:r w:rsidR="004C6C54" w:rsidRPr="00A91E83">
        <w:rPr>
          <w:rStyle w:val="Puslapioinaosnuoroda"/>
          <w:rFonts w:ascii="Times New Roman" w:hAnsi="Times New Roman" w:cs="Times New Roman"/>
          <w:sz w:val="24"/>
          <w:szCs w:val="24"/>
        </w:rPr>
        <w:footnoteReference w:id="28"/>
      </w:r>
      <w:r w:rsidR="002A35F4" w:rsidRPr="00A91E83">
        <w:rPr>
          <w:rFonts w:ascii="Times New Roman" w:hAnsi="Times New Roman" w:cs="Times New Roman"/>
          <w:sz w:val="24"/>
          <w:szCs w:val="24"/>
        </w:rPr>
        <w:t xml:space="preserve"> </w:t>
      </w:r>
      <w:r w:rsidR="008038D2" w:rsidRPr="00A91E83">
        <w:rPr>
          <w:rFonts w:ascii="Times New Roman" w:hAnsi="Times New Roman" w:cs="Times New Roman"/>
          <w:sz w:val="24"/>
          <w:szCs w:val="24"/>
        </w:rPr>
        <w:t xml:space="preserve">Šiuolaikinė </w:t>
      </w:r>
      <w:r w:rsidR="001754F4" w:rsidRPr="00A91E83">
        <w:rPr>
          <w:rFonts w:ascii="Times New Roman" w:hAnsi="Times New Roman" w:cs="Times New Roman"/>
          <w:sz w:val="24"/>
          <w:szCs w:val="24"/>
        </w:rPr>
        <w:t xml:space="preserve">išvestinių finansinių priemonių </w:t>
      </w:r>
      <w:r w:rsidR="008038D2" w:rsidRPr="00A91E83">
        <w:rPr>
          <w:rFonts w:ascii="Times New Roman" w:hAnsi="Times New Roman" w:cs="Times New Roman"/>
          <w:sz w:val="24"/>
          <w:szCs w:val="24"/>
        </w:rPr>
        <w:t>nebiržinė apyvarta yra gerokai didesnė nei biržų prekybos apyvarta. Nebiržinę rinką bendrai galima apibūdinti kaip nepriklaus</w:t>
      </w:r>
      <w:r w:rsidR="003B0249" w:rsidRPr="00A91E83">
        <w:rPr>
          <w:rFonts w:ascii="Times New Roman" w:hAnsi="Times New Roman" w:cs="Times New Roman"/>
          <w:sz w:val="24"/>
          <w:szCs w:val="24"/>
        </w:rPr>
        <w:t>omą finansinių maklerių visumą.</w:t>
      </w:r>
      <w:r w:rsidR="008038D2" w:rsidRPr="00A91E83">
        <w:rPr>
          <w:rStyle w:val="Puslapioinaosnuoroda"/>
          <w:rFonts w:ascii="Times New Roman" w:hAnsi="Times New Roman" w:cs="Times New Roman"/>
          <w:sz w:val="24"/>
          <w:szCs w:val="24"/>
        </w:rPr>
        <w:footnoteReference w:id="29"/>
      </w:r>
      <w:r w:rsidR="003B0249" w:rsidRPr="00A91E83">
        <w:rPr>
          <w:rFonts w:ascii="Times New Roman" w:hAnsi="Times New Roman" w:cs="Times New Roman"/>
          <w:sz w:val="24"/>
          <w:szCs w:val="24"/>
        </w:rPr>
        <w:t xml:space="preserve"> </w:t>
      </w:r>
      <w:r w:rsidR="002A35F4" w:rsidRPr="00A91E83">
        <w:rPr>
          <w:rFonts w:ascii="Times New Roman" w:hAnsi="Times New Roman" w:cs="Times New Roman"/>
          <w:sz w:val="24"/>
          <w:szCs w:val="24"/>
        </w:rPr>
        <w:t>Gatvės rinkos sandoriams dėl išvestinių finansinių priemo</w:t>
      </w:r>
      <w:r w:rsidR="003B0249" w:rsidRPr="00A91E83">
        <w:rPr>
          <w:rFonts w:ascii="Times New Roman" w:hAnsi="Times New Roman" w:cs="Times New Roman"/>
          <w:sz w:val="24"/>
          <w:szCs w:val="24"/>
        </w:rPr>
        <w:t xml:space="preserve">nių būdingas </w:t>
      </w:r>
      <w:proofErr w:type="spellStart"/>
      <w:r w:rsidR="003B0249" w:rsidRPr="00A91E83">
        <w:rPr>
          <w:rFonts w:ascii="Times New Roman" w:hAnsi="Times New Roman" w:cs="Times New Roman"/>
          <w:sz w:val="24"/>
          <w:szCs w:val="24"/>
        </w:rPr>
        <w:t>nestandartiškumas</w:t>
      </w:r>
      <w:proofErr w:type="spellEnd"/>
      <w:r w:rsidR="003B0249" w:rsidRPr="00A91E83">
        <w:rPr>
          <w:rFonts w:ascii="Times New Roman" w:hAnsi="Times New Roman" w:cs="Times New Roman"/>
          <w:sz w:val="24"/>
          <w:szCs w:val="24"/>
        </w:rPr>
        <w:t xml:space="preserve">, </w:t>
      </w:r>
      <w:r w:rsidR="008C26F1" w:rsidRPr="00A91E83">
        <w:rPr>
          <w:rFonts w:ascii="Times New Roman" w:hAnsi="Times New Roman" w:cs="Times New Roman"/>
          <w:sz w:val="24"/>
          <w:szCs w:val="24"/>
        </w:rPr>
        <w:t>t. y.</w:t>
      </w:r>
      <w:r w:rsidR="003B0249" w:rsidRPr="00A91E83">
        <w:rPr>
          <w:rFonts w:ascii="Times New Roman" w:hAnsi="Times New Roman" w:cs="Times New Roman"/>
          <w:sz w:val="24"/>
          <w:szCs w:val="24"/>
        </w:rPr>
        <w:t xml:space="preserve"> šalys tarpusavyje yra laisvos susitarti dėl sandorio sąlygų. </w:t>
      </w:r>
      <w:r w:rsidR="00122154" w:rsidRPr="00A91E83">
        <w:rPr>
          <w:rFonts w:ascii="Times New Roman" w:hAnsi="Times New Roman" w:cs="Times New Roman"/>
          <w:sz w:val="24"/>
          <w:szCs w:val="24"/>
        </w:rPr>
        <w:t xml:space="preserve">Todėl trečioje tyrimo dalyje ypatingą dėmesį skirsime tipiniams susitarimams, kurių pagrindu sudaromos, modifikuojamos pagrindinės sandorių sąlygos. </w:t>
      </w:r>
      <w:r w:rsidR="009B4B4E" w:rsidRPr="00A91E83">
        <w:rPr>
          <w:rFonts w:ascii="Times New Roman" w:hAnsi="Times New Roman" w:cs="Times New Roman"/>
          <w:sz w:val="24"/>
          <w:szCs w:val="24"/>
        </w:rPr>
        <w:t>Sandorio sąlygų lankstumas yra didžiausias išankstinių sandorių privalumas, bet kartu ir papildoma atsakomybė šalims</w:t>
      </w:r>
      <w:r w:rsidR="00BF7A15" w:rsidRPr="00A91E83">
        <w:rPr>
          <w:rFonts w:ascii="Times New Roman" w:hAnsi="Times New Roman" w:cs="Times New Roman"/>
          <w:sz w:val="24"/>
          <w:szCs w:val="24"/>
        </w:rPr>
        <w:t>. Šalys individualiai sudarydamos sandorius yra atsakingos d</w:t>
      </w:r>
      <w:r w:rsidR="007A0543" w:rsidRPr="00A91E83">
        <w:rPr>
          <w:rFonts w:ascii="Times New Roman" w:hAnsi="Times New Roman" w:cs="Times New Roman"/>
          <w:sz w:val="24"/>
          <w:szCs w:val="24"/>
        </w:rPr>
        <w:t>ėl kitos šalies nemokumo</w:t>
      </w:r>
      <w:r w:rsidR="00255967" w:rsidRPr="00A91E83">
        <w:rPr>
          <w:rFonts w:ascii="Times New Roman" w:hAnsi="Times New Roman" w:cs="Times New Roman"/>
          <w:sz w:val="24"/>
          <w:szCs w:val="24"/>
        </w:rPr>
        <w:t>, todėl vis dažniau sandoriuose dėl išvestinių finansinių priemonių yra naudojamas finansinis užstatas, kaip prievolių įvykdymo užtikrinimo būdas.</w:t>
      </w:r>
    </w:p>
    <w:p w:rsidR="00CD07F6" w:rsidRPr="00A91E83" w:rsidRDefault="00CD07F6" w:rsidP="00B46A53">
      <w:pPr>
        <w:tabs>
          <w:tab w:val="left" w:pos="851"/>
        </w:tabs>
        <w:spacing w:after="0" w:line="360" w:lineRule="auto"/>
        <w:ind w:firstLine="851"/>
        <w:jc w:val="both"/>
        <w:rPr>
          <w:rFonts w:ascii="Times New Roman" w:hAnsi="Times New Roman" w:cs="Times New Roman"/>
          <w:sz w:val="24"/>
          <w:szCs w:val="24"/>
        </w:rPr>
      </w:pPr>
    </w:p>
    <w:p w:rsidR="00586F9D" w:rsidRPr="00A91E83" w:rsidRDefault="001032C5" w:rsidP="00811A57">
      <w:pPr>
        <w:pStyle w:val="Sraopastraipa"/>
        <w:numPr>
          <w:ilvl w:val="1"/>
          <w:numId w:val="4"/>
        </w:numPr>
        <w:tabs>
          <w:tab w:val="left" w:pos="851"/>
        </w:tabs>
        <w:spacing w:after="0" w:line="360" w:lineRule="auto"/>
        <w:ind w:left="0" w:firstLine="0"/>
        <w:jc w:val="both"/>
        <w:outlineLvl w:val="1"/>
        <w:rPr>
          <w:rFonts w:ascii="Times New Roman" w:hAnsi="Times New Roman" w:cs="Times New Roman"/>
          <w:b/>
          <w:sz w:val="24"/>
          <w:szCs w:val="24"/>
        </w:rPr>
      </w:pPr>
      <w:bookmarkStart w:id="4" w:name="_Toc280546444"/>
      <w:r w:rsidRPr="00A91E83">
        <w:rPr>
          <w:rFonts w:ascii="Times New Roman" w:hAnsi="Times New Roman" w:cs="Times New Roman"/>
          <w:b/>
          <w:sz w:val="24"/>
          <w:szCs w:val="24"/>
        </w:rPr>
        <w:t>Apsikeitimo</w:t>
      </w:r>
      <w:r w:rsidR="00C15331" w:rsidRPr="00A91E83">
        <w:rPr>
          <w:rFonts w:ascii="Times New Roman" w:hAnsi="Times New Roman" w:cs="Times New Roman"/>
          <w:b/>
          <w:sz w:val="24"/>
          <w:szCs w:val="24"/>
        </w:rPr>
        <w:t xml:space="preserve"> </w:t>
      </w:r>
      <w:r w:rsidR="00512C9B" w:rsidRPr="00A91E83">
        <w:rPr>
          <w:rFonts w:ascii="Times New Roman" w:hAnsi="Times New Roman" w:cs="Times New Roman"/>
          <w:b/>
          <w:sz w:val="24"/>
          <w:szCs w:val="24"/>
        </w:rPr>
        <w:t xml:space="preserve">sandorių </w:t>
      </w:r>
      <w:r w:rsidR="00670713" w:rsidRPr="00A91E83">
        <w:rPr>
          <w:rFonts w:ascii="Times New Roman" w:hAnsi="Times New Roman" w:cs="Times New Roman"/>
          <w:b/>
          <w:sz w:val="24"/>
          <w:szCs w:val="24"/>
        </w:rPr>
        <w:t>reikšmė</w:t>
      </w:r>
      <w:r w:rsidR="00A35C63" w:rsidRPr="00A91E83">
        <w:rPr>
          <w:rFonts w:ascii="Times New Roman" w:hAnsi="Times New Roman" w:cs="Times New Roman"/>
          <w:b/>
          <w:sz w:val="24"/>
          <w:szCs w:val="24"/>
        </w:rPr>
        <w:t xml:space="preserve"> ir bruožai</w:t>
      </w:r>
      <w:bookmarkEnd w:id="4"/>
    </w:p>
    <w:p w:rsidR="00586F9D" w:rsidRPr="00A91E83" w:rsidRDefault="00586F9D" w:rsidP="00B46A53">
      <w:pPr>
        <w:pStyle w:val="Sraopastraipa"/>
        <w:tabs>
          <w:tab w:val="left" w:pos="851"/>
        </w:tabs>
        <w:spacing w:after="0" w:line="360" w:lineRule="auto"/>
        <w:ind w:left="0" w:firstLine="851"/>
        <w:jc w:val="both"/>
        <w:rPr>
          <w:rFonts w:ascii="Times New Roman" w:hAnsi="Times New Roman" w:cs="Times New Roman"/>
          <w:b/>
          <w:sz w:val="24"/>
          <w:szCs w:val="24"/>
        </w:rPr>
      </w:pPr>
    </w:p>
    <w:p w:rsidR="0013014B" w:rsidRPr="00A91E83" w:rsidRDefault="00795A96"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Iš esmės apsikeitimo sandoris</w:t>
      </w:r>
      <w:r w:rsidR="0024767A" w:rsidRPr="00A91E83">
        <w:rPr>
          <w:rFonts w:ascii="Times New Roman" w:hAnsi="Times New Roman" w:cs="Times New Roman"/>
          <w:sz w:val="24"/>
          <w:szCs w:val="24"/>
        </w:rPr>
        <w:t xml:space="preserve"> (</w:t>
      </w:r>
      <w:proofErr w:type="spellStart"/>
      <w:r w:rsidR="0024767A" w:rsidRPr="00A91E83">
        <w:rPr>
          <w:rFonts w:ascii="Times New Roman" w:hAnsi="Times New Roman" w:cs="Times New Roman"/>
          <w:sz w:val="24"/>
          <w:szCs w:val="24"/>
        </w:rPr>
        <w:t>angl</w:t>
      </w:r>
      <w:proofErr w:type="spellEnd"/>
      <w:r w:rsidR="0024767A" w:rsidRPr="00A91E83">
        <w:rPr>
          <w:rFonts w:ascii="Times New Roman" w:hAnsi="Times New Roman" w:cs="Times New Roman"/>
          <w:sz w:val="24"/>
          <w:szCs w:val="24"/>
        </w:rPr>
        <w:t xml:space="preserve">. </w:t>
      </w:r>
      <w:proofErr w:type="spellStart"/>
      <w:r w:rsidR="0024767A" w:rsidRPr="00A91E83">
        <w:rPr>
          <w:rFonts w:ascii="Times New Roman" w:hAnsi="Times New Roman" w:cs="Times New Roman"/>
          <w:i/>
          <w:sz w:val="24"/>
          <w:szCs w:val="24"/>
        </w:rPr>
        <w:t>swap</w:t>
      </w:r>
      <w:proofErr w:type="spellEnd"/>
      <w:r w:rsidR="0024767A" w:rsidRPr="00A91E83">
        <w:rPr>
          <w:rFonts w:ascii="Times New Roman" w:hAnsi="Times New Roman" w:cs="Times New Roman"/>
          <w:sz w:val="24"/>
          <w:szCs w:val="24"/>
        </w:rPr>
        <w:t>)</w:t>
      </w:r>
      <w:r w:rsidRPr="00A91E83">
        <w:rPr>
          <w:rFonts w:ascii="Times New Roman" w:hAnsi="Times New Roman" w:cs="Times New Roman"/>
          <w:sz w:val="24"/>
          <w:szCs w:val="24"/>
        </w:rPr>
        <w:t>, tai apsikeitimas pinigų srautais.</w:t>
      </w:r>
      <w:r w:rsidRPr="00A91E83">
        <w:rPr>
          <w:rStyle w:val="Puslapioinaosnuoroda"/>
          <w:rFonts w:ascii="Times New Roman" w:hAnsi="Times New Roman" w:cs="Times New Roman"/>
          <w:sz w:val="24"/>
          <w:szCs w:val="24"/>
        </w:rPr>
        <w:footnoteReference w:id="30"/>
      </w:r>
      <w:r w:rsidRPr="00A91E83">
        <w:rPr>
          <w:rFonts w:ascii="Times New Roman" w:hAnsi="Times New Roman" w:cs="Times New Roman"/>
          <w:sz w:val="24"/>
          <w:szCs w:val="24"/>
        </w:rPr>
        <w:t xml:space="preserve"> </w:t>
      </w:r>
      <w:r w:rsidR="00F33155" w:rsidRPr="00A91E83">
        <w:rPr>
          <w:rFonts w:ascii="Times New Roman" w:hAnsi="Times New Roman" w:cs="Times New Roman"/>
          <w:sz w:val="24"/>
          <w:szCs w:val="24"/>
        </w:rPr>
        <w:t xml:space="preserve">Pačios populiariausios </w:t>
      </w:r>
      <w:proofErr w:type="spellStart"/>
      <w:r w:rsidR="00F33155" w:rsidRPr="00A91E83">
        <w:rPr>
          <w:rFonts w:ascii="Times New Roman" w:hAnsi="Times New Roman" w:cs="Times New Roman"/>
          <w:sz w:val="24"/>
          <w:szCs w:val="24"/>
        </w:rPr>
        <w:t>užbiržinės</w:t>
      </w:r>
      <w:proofErr w:type="spellEnd"/>
      <w:r w:rsidR="00F33155" w:rsidRPr="00A91E83">
        <w:rPr>
          <w:rFonts w:ascii="Times New Roman" w:hAnsi="Times New Roman" w:cs="Times New Roman"/>
          <w:sz w:val="24"/>
          <w:szCs w:val="24"/>
        </w:rPr>
        <w:t xml:space="preserve"> išvestinės finansinės priemonės yra palūkanų normų apsikeitimo sandoriai</w:t>
      </w:r>
      <w:r w:rsidR="00505FE2" w:rsidRPr="00A91E83">
        <w:rPr>
          <w:rFonts w:ascii="Times New Roman" w:hAnsi="Times New Roman" w:cs="Times New Roman"/>
          <w:sz w:val="24"/>
          <w:szCs w:val="24"/>
        </w:rPr>
        <w:t>.</w:t>
      </w:r>
      <w:r w:rsidR="00F33155" w:rsidRPr="00A91E83">
        <w:rPr>
          <w:rStyle w:val="Puslapioinaosnuoroda"/>
          <w:rFonts w:ascii="Times New Roman" w:hAnsi="Times New Roman" w:cs="Times New Roman"/>
          <w:sz w:val="24"/>
          <w:szCs w:val="24"/>
        </w:rPr>
        <w:footnoteReference w:id="31"/>
      </w:r>
      <w:r w:rsidR="00F33155" w:rsidRPr="00A91E83">
        <w:rPr>
          <w:rFonts w:ascii="Times New Roman" w:hAnsi="Times New Roman" w:cs="Times New Roman"/>
          <w:sz w:val="24"/>
          <w:szCs w:val="24"/>
        </w:rPr>
        <w:t xml:space="preserve"> </w:t>
      </w:r>
      <w:r w:rsidR="00980728" w:rsidRPr="00A91E83">
        <w:rPr>
          <w:rFonts w:ascii="Times New Roman" w:hAnsi="Times New Roman" w:cs="Times New Roman"/>
          <w:sz w:val="24"/>
          <w:szCs w:val="24"/>
        </w:rPr>
        <w:t>Jų platus naudoji</w:t>
      </w:r>
      <w:r w:rsidR="00505FE2" w:rsidRPr="00A91E83">
        <w:rPr>
          <w:rFonts w:ascii="Times New Roman" w:hAnsi="Times New Roman" w:cs="Times New Roman"/>
          <w:sz w:val="24"/>
          <w:szCs w:val="24"/>
        </w:rPr>
        <w:t>mas siejamas su aplinkybe, jog</w:t>
      </w:r>
      <w:r w:rsidR="00F33155" w:rsidRPr="00A91E83">
        <w:rPr>
          <w:rFonts w:ascii="Times New Roman" w:hAnsi="Times New Roman" w:cs="Times New Roman"/>
          <w:sz w:val="24"/>
          <w:szCs w:val="24"/>
        </w:rPr>
        <w:t xml:space="preserve"> </w:t>
      </w:r>
      <w:r w:rsidR="00505FE2" w:rsidRPr="00A91E83">
        <w:rPr>
          <w:rFonts w:ascii="Times New Roman" w:hAnsi="Times New Roman" w:cs="Times New Roman"/>
          <w:sz w:val="24"/>
          <w:szCs w:val="24"/>
        </w:rPr>
        <w:t>visos</w:t>
      </w:r>
      <w:r w:rsidR="00F33155" w:rsidRPr="00A91E83">
        <w:rPr>
          <w:rFonts w:ascii="Times New Roman" w:hAnsi="Times New Roman" w:cs="Times New Roman"/>
          <w:sz w:val="24"/>
          <w:szCs w:val="24"/>
        </w:rPr>
        <w:t xml:space="preserve"> verslo sritys</w:t>
      </w:r>
      <w:r w:rsidR="00505FE2" w:rsidRPr="00A91E83">
        <w:rPr>
          <w:rFonts w:ascii="Times New Roman" w:hAnsi="Times New Roman" w:cs="Times New Roman"/>
          <w:sz w:val="24"/>
          <w:szCs w:val="24"/>
        </w:rPr>
        <w:t>, daugiau ar mažiau, patiria palūkanų normos rizik</w:t>
      </w:r>
      <w:r w:rsidR="001F07C4" w:rsidRPr="00A91E83">
        <w:rPr>
          <w:rFonts w:ascii="Times New Roman" w:hAnsi="Times New Roman" w:cs="Times New Roman"/>
          <w:sz w:val="24"/>
          <w:szCs w:val="24"/>
        </w:rPr>
        <w:t>ą</w:t>
      </w:r>
      <w:r w:rsidR="00505FE2" w:rsidRPr="00A91E83">
        <w:rPr>
          <w:rFonts w:ascii="Times New Roman" w:hAnsi="Times New Roman" w:cs="Times New Roman"/>
          <w:sz w:val="24"/>
          <w:szCs w:val="24"/>
        </w:rPr>
        <w:t>, todėl naudotojų ratas ir skaičius pats didžiausias. Kiti</w:t>
      </w:r>
      <w:r w:rsidR="00F33155" w:rsidRPr="00A91E83">
        <w:rPr>
          <w:rFonts w:ascii="Times New Roman" w:hAnsi="Times New Roman" w:cs="Times New Roman"/>
          <w:sz w:val="24"/>
          <w:szCs w:val="24"/>
        </w:rPr>
        <w:t xml:space="preserve"> išvestiniai instrumentai daugiau būdingi specifiniams rizikos valdymo poreikiams tenkinti</w:t>
      </w:r>
      <w:r w:rsidR="00505FE2" w:rsidRPr="00A91E83">
        <w:rPr>
          <w:rFonts w:ascii="Times New Roman" w:hAnsi="Times New Roman" w:cs="Times New Roman"/>
          <w:sz w:val="24"/>
          <w:szCs w:val="24"/>
        </w:rPr>
        <w:t>, todėl jų paklausa mažesnė.</w:t>
      </w:r>
      <w:r w:rsidR="00F33155" w:rsidRPr="00A91E83">
        <w:rPr>
          <w:rFonts w:ascii="Times New Roman" w:hAnsi="Times New Roman" w:cs="Times New Roman"/>
          <w:sz w:val="24"/>
          <w:szCs w:val="24"/>
        </w:rPr>
        <w:t xml:space="preserve"> </w:t>
      </w:r>
      <w:r w:rsidR="00505FE2" w:rsidRPr="00A91E83">
        <w:rPr>
          <w:rFonts w:ascii="Times New Roman" w:hAnsi="Times New Roman" w:cs="Times New Roman"/>
          <w:sz w:val="24"/>
          <w:szCs w:val="24"/>
        </w:rPr>
        <w:t>Toliau</w:t>
      </w:r>
      <w:r w:rsidR="00F33155" w:rsidRPr="00A91E83">
        <w:rPr>
          <w:rFonts w:ascii="Times New Roman" w:hAnsi="Times New Roman" w:cs="Times New Roman"/>
          <w:sz w:val="24"/>
          <w:szCs w:val="24"/>
        </w:rPr>
        <w:t xml:space="preserve"> pagal populi</w:t>
      </w:r>
      <w:r w:rsidR="000D10F4" w:rsidRPr="00A91E83">
        <w:rPr>
          <w:rFonts w:ascii="Times New Roman" w:hAnsi="Times New Roman" w:cs="Times New Roman"/>
          <w:sz w:val="24"/>
          <w:szCs w:val="24"/>
        </w:rPr>
        <w:t>arumą rikiuojasi kredito rizikos</w:t>
      </w:r>
      <w:r w:rsidR="00505FE2" w:rsidRPr="00A91E83">
        <w:rPr>
          <w:rStyle w:val="Puslapioinaosnuoroda"/>
          <w:rFonts w:ascii="Times New Roman" w:hAnsi="Times New Roman" w:cs="Times New Roman"/>
          <w:sz w:val="24"/>
          <w:szCs w:val="24"/>
        </w:rPr>
        <w:footnoteReference w:id="32"/>
      </w:r>
      <w:r w:rsidR="00F33155" w:rsidRPr="00A91E83">
        <w:rPr>
          <w:rFonts w:ascii="Times New Roman" w:hAnsi="Times New Roman" w:cs="Times New Roman"/>
          <w:sz w:val="24"/>
          <w:szCs w:val="24"/>
        </w:rPr>
        <w:t xml:space="preserve"> ir užsienio valiutos rizikai</w:t>
      </w:r>
      <w:r w:rsidR="00505FE2" w:rsidRPr="00A91E83">
        <w:rPr>
          <w:rStyle w:val="Puslapioinaosnuoroda"/>
          <w:rFonts w:ascii="Times New Roman" w:hAnsi="Times New Roman" w:cs="Times New Roman"/>
          <w:sz w:val="24"/>
          <w:szCs w:val="24"/>
        </w:rPr>
        <w:footnoteReference w:id="33"/>
      </w:r>
      <w:r w:rsidR="00F33155" w:rsidRPr="00A91E83">
        <w:rPr>
          <w:rFonts w:ascii="Times New Roman" w:hAnsi="Times New Roman" w:cs="Times New Roman"/>
          <w:sz w:val="24"/>
          <w:szCs w:val="24"/>
        </w:rPr>
        <w:t xml:space="preserve"> valdyti naudojamos išvestinės finansinės priemonės. Pastarųjų platus naudojimas yra siejamas su išvestinių finansinių priemonių rinkos vystymosi pradžia, </w:t>
      </w:r>
      <w:r w:rsidR="008C26F1" w:rsidRPr="00A91E83">
        <w:rPr>
          <w:rFonts w:ascii="Times New Roman" w:hAnsi="Times New Roman" w:cs="Times New Roman"/>
          <w:sz w:val="24"/>
          <w:szCs w:val="24"/>
        </w:rPr>
        <w:t>t. y.</w:t>
      </w:r>
      <w:r w:rsidR="00F33155" w:rsidRPr="00A91E83">
        <w:rPr>
          <w:rFonts w:ascii="Times New Roman" w:hAnsi="Times New Roman" w:cs="Times New Roman"/>
          <w:sz w:val="24"/>
          <w:szCs w:val="24"/>
        </w:rPr>
        <w:t xml:space="preserve"> nuo </w:t>
      </w:r>
      <w:proofErr w:type="spellStart"/>
      <w:r w:rsidR="00F33155" w:rsidRPr="00A91E83">
        <w:rPr>
          <w:rFonts w:ascii="Times New Roman" w:hAnsi="Times New Roman" w:cs="Times New Roman"/>
          <w:sz w:val="24"/>
          <w:szCs w:val="24"/>
        </w:rPr>
        <w:t>Bretton</w:t>
      </w:r>
      <w:proofErr w:type="spellEnd"/>
      <w:r w:rsidR="00F33155" w:rsidRPr="00A91E83">
        <w:rPr>
          <w:rFonts w:ascii="Times New Roman" w:hAnsi="Times New Roman" w:cs="Times New Roman"/>
          <w:sz w:val="24"/>
          <w:szCs w:val="24"/>
        </w:rPr>
        <w:t xml:space="preserve"> </w:t>
      </w:r>
      <w:proofErr w:type="spellStart"/>
      <w:r w:rsidR="00F33155" w:rsidRPr="00A91E83">
        <w:rPr>
          <w:rFonts w:ascii="Times New Roman" w:hAnsi="Times New Roman" w:cs="Times New Roman"/>
          <w:sz w:val="24"/>
          <w:szCs w:val="24"/>
        </w:rPr>
        <w:t>Woods</w:t>
      </w:r>
      <w:proofErr w:type="spellEnd"/>
      <w:r w:rsidR="00F33155" w:rsidRPr="00A91E83">
        <w:rPr>
          <w:rStyle w:val="Puslapioinaosnuoroda"/>
          <w:rFonts w:ascii="Times New Roman" w:hAnsi="Times New Roman" w:cs="Times New Roman"/>
          <w:sz w:val="24"/>
          <w:szCs w:val="24"/>
        </w:rPr>
        <w:footnoteReference w:id="34"/>
      </w:r>
      <w:r w:rsidR="00F33155" w:rsidRPr="00A91E83">
        <w:rPr>
          <w:rFonts w:ascii="Times New Roman" w:hAnsi="Times New Roman" w:cs="Times New Roman"/>
          <w:sz w:val="24"/>
          <w:szCs w:val="24"/>
        </w:rPr>
        <w:t xml:space="preserve"> monetarinės, fiksuotų valiutos ku</w:t>
      </w:r>
      <w:r w:rsidR="00262799" w:rsidRPr="00A91E83">
        <w:rPr>
          <w:rFonts w:ascii="Times New Roman" w:hAnsi="Times New Roman" w:cs="Times New Roman"/>
          <w:sz w:val="24"/>
          <w:szCs w:val="24"/>
        </w:rPr>
        <w:t xml:space="preserve">rsų, sistemos žlugimo 1971 </w:t>
      </w:r>
      <w:proofErr w:type="spellStart"/>
      <w:r w:rsidR="00262799" w:rsidRPr="00A91E83">
        <w:rPr>
          <w:rFonts w:ascii="Times New Roman" w:hAnsi="Times New Roman" w:cs="Times New Roman"/>
          <w:sz w:val="24"/>
          <w:szCs w:val="24"/>
        </w:rPr>
        <w:t>m</w:t>
      </w:r>
      <w:proofErr w:type="spellEnd"/>
      <w:r w:rsidR="00262799" w:rsidRPr="00A91E83">
        <w:rPr>
          <w:rFonts w:ascii="Times New Roman" w:hAnsi="Times New Roman" w:cs="Times New Roman"/>
          <w:sz w:val="24"/>
          <w:szCs w:val="24"/>
        </w:rPr>
        <w:t>. Tuo tarpu kr</w:t>
      </w:r>
      <w:r w:rsidR="00F33155" w:rsidRPr="00A91E83">
        <w:rPr>
          <w:rFonts w:ascii="Times New Roman" w:hAnsi="Times New Roman" w:cs="Times New Roman"/>
          <w:sz w:val="24"/>
          <w:szCs w:val="24"/>
        </w:rPr>
        <w:t xml:space="preserve">edito išvestinių finansinių priemonių rinka pradėjo vystytis </w:t>
      </w:r>
      <w:r w:rsidR="00EB68B0" w:rsidRPr="00A91E83">
        <w:rPr>
          <w:rFonts w:ascii="Times New Roman" w:hAnsi="Times New Roman" w:cs="Times New Roman"/>
          <w:sz w:val="24"/>
          <w:szCs w:val="24"/>
        </w:rPr>
        <w:t xml:space="preserve">kiek vėliau </w:t>
      </w:r>
      <w:r w:rsidR="008C26F1" w:rsidRPr="00A91E83">
        <w:rPr>
          <w:rFonts w:ascii="Times New Roman" w:hAnsi="Times New Roman" w:cs="Times New Roman"/>
          <w:sz w:val="24"/>
          <w:szCs w:val="24"/>
        </w:rPr>
        <w:t>t. y.</w:t>
      </w:r>
      <w:r w:rsidR="00EB68B0" w:rsidRPr="00A91E83">
        <w:rPr>
          <w:rFonts w:ascii="Times New Roman" w:hAnsi="Times New Roman" w:cs="Times New Roman"/>
          <w:sz w:val="24"/>
          <w:szCs w:val="24"/>
        </w:rPr>
        <w:t xml:space="preserve"> </w:t>
      </w:r>
      <w:r w:rsidR="00F33155" w:rsidRPr="00A91E83">
        <w:rPr>
          <w:rFonts w:ascii="Times New Roman" w:hAnsi="Times New Roman" w:cs="Times New Roman"/>
          <w:sz w:val="24"/>
          <w:szCs w:val="24"/>
        </w:rPr>
        <w:t>tik 90-ųjų viduryje. Toks spartus augimas buvo nulemtas ne tik bendrai išaugusio finansinio turto, bet ir nacionalinių bei tarptautinių kapitalo judėjimo kliūčių sumažinimu.</w:t>
      </w:r>
      <w:r w:rsidR="000E7A91" w:rsidRPr="00A91E83">
        <w:rPr>
          <w:rStyle w:val="Puslapioinaosnuoroda"/>
          <w:rFonts w:ascii="Times New Roman" w:hAnsi="Times New Roman" w:cs="Times New Roman"/>
          <w:sz w:val="24"/>
          <w:szCs w:val="24"/>
        </w:rPr>
        <w:footnoteReference w:id="35"/>
      </w:r>
    </w:p>
    <w:p w:rsidR="00FA46BA" w:rsidRPr="00A91E83" w:rsidRDefault="000E7A91"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Apsikeitimo</w:t>
      </w:r>
      <w:r w:rsidR="00C15331" w:rsidRPr="00A91E83">
        <w:rPr>
          <w:rFonts w:ascii="Times New Roman" w:hAnsi="Times New Roman" w:cs="Times New Roman"/>
          <w:sz w:val="24"/>
          <w:szCs w:val="24"/>
        </w:rPr>
        <w:t xml:space="preserve"> </w:t>
      </w:r>
      <w:proofErr w:type="spellStart"/>
      <w:r w:rsidR="00C15331" w:rsidRPr="00A91E83">
        <w:rPr>
          <w:rFonts w:ascii="Times New Roman" w:hAnsi="Times New Roman" w:cs="Times New Roman"/>
          <w:sz w:val="24"/>
          <w:szCs w:val="24"/>
        </w:rPr>
        <w:t>užbiržinių</w:t>
      </w:r>
      <w:proofErr w:type="spellEnd"/>
      <w:r w:rsidR="00C15331" w:rsidRPr="00A91E83">
        <w:rPr>
          <w:rFonts w:ascii="Times New Roman" w:hAnsi="Times New Roman" w:cs="Times New Roman"/>
          <w:sz w:val="24"/>
          <w:szCs w:val="24"/>
        </w:rPr>
        <w:t xml:space="preserve"> sandorių apyvartos sudaro daugiau nei 95% visų išvestinių finansinių priemonių</w:t>
      </w:r>
      <w:r w:rsidR="00EB68B0" w:rsidRPr="00A91E83">
        <w:rPr>
          <w:rFonts w:ascii="Times New Roman" w:hAnsi="Times New Roman" w:cs="Times New Roman"/>
          <w:sz w:val="24"/>
          <w:szCs w:val="24"/>
        </w:rPr>
        <w:t xml:space="preserve">, todėl </w:t>
      </w:r>
      <w:r w:rsidR="00102B5E" w:rsidRPr="00A91E83">
        <w:rPr>
          <w:rFonts w:ascii="Times New Roman" w:hAnsi="Times New Roman" w:cs="Times New Roman"/>
          <w:sz w:val="24"/>
          <w:szCs w:val="24"/>
        </w:rPr>
        <w:t xml:space="preserve">siekiant išnagrinėti išvestinių finansinių priemonių esmę, </w:t>
      </w:r>
      <w:r w:rsidR="00EB68B0" w:rsidRPr="00A91E83">
        <w:rPr>
          <w:rFonts w:ascii="Times New Roman" w:hAnsi="Times New Roman" w:cs="Times New Roman"/>
          <w:sz w:val="24"/>
          <w:szCs w:val="24"/>
        </w:rPr>
        <w:t xml:space="preserve">aptarsime </w:t>
      </w:r>
      <w:r w:rsidR="00EB68B0" w:rsidRPr="00A91E83">
        <w:rPr>
          <w:rFonts w:ascii="Times New Roman" w:hAnsi="Times New Roman" w:cs="Times New Roman"/>
          <w:sz w:val="24"/>
          <w:szCs w:val="24"/>
        </w:rPr>
        <w:lastRenderedPageBreak/>
        <w:t>jiems būdingus bruožus plačiau.</w:t>
      </w:r>
      <w:r w:rsidR="008F06BC" w:rsidRPr="00A91E83">
        <w:rPr>
          <w:rStyle w:val="Puslapioinaosnuoroda"/>
          <w:rFonts w:ascii="Times New Roman" w:hAnsi="Times New Roman" w:cs="Times New Roman"/>
          <w:sz w:val="24"/>
          <w:szCs w:val="24"/>
        </w:rPr>
        <w:footnoteReference w:id="36"/>
      </w:r>
      <w:r w:rsidR="0013014B" w:rsidRPr="00A91E83">
        <w:rPr>
          <w:rFonts w:ascii="Times New Roman" w:hAnsi="Times New Roman" w:cs="Times New Roman"/>
          <w:sz w:val="24"/>
          <w:szCs w:val="24"/>
        </w:rPr>
        <w:t xml:space="preserve"> </w:t>
      </w:r>
      <w:r w:rsidR="00DE3A17" w:rsidRPr="00A91E83">
        <w:rPr>
          <w:rFonts w:ascii="Times New Roman" w:hAnsi="Times New Roman" w:cs="Times New Roman"/>
          <w:sz w:val="24"/>
          <w:szCs w:val="24"/>
        </w:rPr>
        <w:t xml:space="preserve">Palūkanų </w:t>
      </w:r>
      <w:r w:rsidR="000D10F4" w:rsidRPr="00A91E83">
        <w:rPr>
          <w:rFonts w:ascii="Times New Roman" w:hAnsi="Times New Roman" w:cs="Times New Roman"/>
          <w:sz w:val="24"/>
          <w:szCs w:val="24"/>
        </w:rPr>
        <w:t>(</w:t>
      </w:r>
      <w:proofErr w:type="spellStart"/>
      <w:r w:rsidR="000D10F4" w:rsidRPr="00A91E83">
        <w:rPr>
          <w:rFonts w:ascii="Times New Roman" w:hAnsi="Times New Roman" w:cs="Times New Roman"/>
          <w:sz w:val="24"/>
          <w:szCs w:val="24"/>
        </w:rPr>
        <w:t>angl</w:t>
      </w:r>
      <w:proofErr w:type="spellEnd"/>
      <w:r w:rsidR="000D10F4" w:rsidRPr="00A91E83">
        <w:rPr>
          <w:rFonts w:ascii="Times New Roman" w:hAnsi="Times New Roman" w:cs="Times New Roman"/>
          <w:i/>
          <w:sz w:val="24"/>
          <w:szCs w:val="24"/>
        </w:rPr>
        <w:t xml:space="preserve">. </w:t>
      </w:r>
      <w:proofErr w:type="spellStart"/>
      <w:r w:rsidR="000D10F4" w:rsidRPr="00A91E83">
        <w:rPr>
          <w:rFonts w:ascii="Times New Roman" w:hAnsi="Times New Roman" w:cs="Times New Roman"/>
          <w:i/>
          <w:sz w:val="24"/>
          <w:szCs w:val="24"/>
        </w:rPr>
        <w:t>interest</w:t>
      </w:r>
      <w:proofErr w:type="spellEnd"/>
      <w:r w:rsidR="000D10F4" w:rsidRPr="00A91E83">
        <w:rPr>
          <w:rFonts w:ascii="Times New Roman" w:hAnsi="Times New Roman" w:cs="Times New Roman"/>
          <w:i/>
          <w:sz w:val="24"/>
          <w:szCs w:val="24"/>
        </w:rPr>
        <w:t xml:space="preserve"> rate </w:t>
      </w:r>
      <w:proofErr w:type="spellStart"/>
      <w:r w:rsidR="000D10F4" w:rsidRPr="00A91E83">
        <w:rPr>
          <w:rFonts w:ascii="Times New Roman" w:hAnsi="Times New Roman" w:cs="Times New Roman"/>
          <w:i/>
          <w:sz w:val="24"/>
          <w:szCs w:val="24"/>
        </w:rPr>
        <w:t>swaps</w:t>
      </w:r>
      <w:proofErr w:type="spellEnd"/>
      <w:r w:rsidR="000D10F4" w:rsidRPr="00A91E83">
        <w:rPr>
          <w:rFonts w:ascii="Times New Roman" w:hAnsi="Times New Roman" w:cs="Times New Roman"/>
          <w:sz w:val="24"/>
          <w:szCs w:val="24"/>
        </w:rPr>
        <w:t>)</w:t>
      </w:r>
      <w:r w:rsidR="00DE3A17" w:rsidRPr="00A91E83">
        <w:rPr>
          <w:rFonts w:ascii="Times New Roman" w:hAnsi="Times New Roman" w:cs="Times New Roman"/>
          <w:sz w:val="24"/>
          <w:szCs w:val="24"/>
        </w:rPr>
        <w:t xml:space="preserve">, kredito </w:t>
      </w:r>
      <w:r w:rsidR="00D57B43" w:rsidRPr="00A91E83">
        <w:rPr>
          <w:rFonts w:ascii="Times New Roman" w:hAnsi="Times New Roman" w:cs="Times New Roman"/>
          <w:sz w:val="24"/>
          <w:szCs w:val="24"/>
        </w:rPr>
        <w:t xml:space="preserve">įsipareigojimų nevykdymo </w:t>
      </w:r>
      <w:r w:rsidR="000D10F4" w:rsidRPr="00A91E83">
        <w:rPr>
          <w:rFonts w:ascii="Times New Roman" w:hAnsi="Times New Roman" w:cs="Times New Roman"/>
          <w:sz w:val="24"/>
          <w:szCs w:val="24"/>
        </w:rPr>
        <w:t>(</w:t>
      </w:r>
      <w:proofErr w:type="spellStart"/>
      <w:r w:rsidR="000D10F4" w:rsidRPr="00A91E83">
        <w:rPr>
          <w:rFonts w:ascii="Times New Roman" w:hAnsi="Times New Roman" w:cs="Times New Roman"/>
          <w:sz w:val="24"/>
          <w:szCs w:val="24"/>
        </w:rPr>
        <w:t>angl</w:t>
      </w:r>
      <w:proofErr w:type="spellEnd"/>
      <w:r w:rsidR="000D10F4" w:rsidRPr="00A91E83">
        <w:rPr>
          <w:rFonts w:ascii="Times New Roman" w:hAnsi="Times New Roman" w:cs="Times New Roman"/>
          <w:sz w:val="24"/>
          <w:szCs w:val="24"/>
        </w:rPr>
        <w:t xml:space="preserve">. </w:t>
      </w:r>
      <w:proofErr w:type="spellStart"/>
      <w:r w:rsidR="000D10F4" w:rsidRPr="00A91E83">
        <w:rPr>
          <w:rFonts w:ascii="Times New Roman" w:hAnsi="Times New Roman" w:cs="Times New Roman"/>
          <w:i/>
          <w:sz w:val="24"/>
          <w:szCs w:val="24"/>
        </w:rPr>
        <w:t>credit</w:t>
      </w:r>
      <w:proofErr w:type="spellEnd"/>
      <w:r w:rsidR="000D10F4" w:rsidRPr="00A91E83">
        <w:rPr>
          <w:rFonts w:ascii="Times New Roman" w:hAnsi="Times New Roman" w:cs="Times New Roman"/>
          <w:i/>
          <w:sz w:val="24"/>
          <w:szCs w:val="24"/>
        </w:rPr>
        <w:t xml:space="preserve"> </w:t>
      </w:r>
      <w:proofErr w:type="spellStart"/>
      <w:r w:rsidR="000D10F4" w:rsidRPr="00A91E83">
        <w:rPr>
          <w:rFonts w:ascii="Times New Roman" w:hAnsi="Times New Roman" w:cs="Times New Roman"/>
          <w:i/>
          <w:sz w:val="24"/>
          <w:szCs w:val="24"/>
        </w:rPr>
        <w:t>default</w:t>
      </w:r>
      <w:proofErr w:type="spellEnd"/>
      <w:r w:rsidR="000D10F4" w:rsidRPr="00A91E83">
        <w:rPr>
          <w:rFonts w:ascii="Times New Roman" w:hAnsi="Times New Roman" w:cs="Times New Roman"/>
          <w:i/>
          <w:sz w:val="24"/>
          <w:szCs w:val="24"/>
        </w:rPr>
        <w:t xml:space="preserve"> </w:t>
      </w:r>
      <w:proofErr w:type="spellStart"/>
      <w:r w:rsidR="000D10F4" w:rsidRPr="00A91E83">
        <w:rPr>
          <w:rFonts w:ascii="Times New Roman" w:hAnsi="Times New Roman" w:cs="Times New Roman"/>
          <w:i/>
          <w:sz w:val="24"/>
          <w:szCs w:val="24"/>
        </w:rPr>
        <w:t>swaps</w:t>
      </w:r>
      <w:proofErr w:type="spellEnd"/>
      <w:r w:rsidR="000D10F4" w:rsidRPr="00A91E83">
        <w:rPr>
          <w:rFonts w:ascii="Times New Roman" w:hAnsi="Times New Roman" w:cs="Times New Roman"/>
          <w:sz w:val="24"/>
          <w:szCs w:val="24"/>
        </w:rPr>
        <w:t xml:space="preserve">) </w:t>
      </w:r>
      <w:r w:rsidR="00F44382" w:rsidRPr="00A91E83">
        <w:rPr>
          <w:rFonts w:ascii="Times New Roman" w:hAnsi="Times New Roman" w:cs="Times New Roman"/>
          <w:sz w:val="24"/>
          <w:szCs w:val="24"/>
        </w:rPr>
        <w:t xml:space="preserve">ir </w:t>
      </w:r>
      <w:r w:rsidR="00D57B43" w:rsidRPr="00A91E83">
        <w:rPr>
          <w:rFonts w:ascii="Times New Roman" w:hAnsi="Times New Roman" w:cs="Times New Roman"/>
          <w:sz w:val="24"/>
          <w:szCs w:val="24"/>
        </w:rPr>
        <w:t>užsienio valiutos</w:t>
      </w:r>
      <w:r w:rsidR="00F44382" w:rsidRPr="00A91E83">
        <w:rPr>
          <w:rFonts w:ascii="Times New Roman" w:hAnsi="Times New Roman" w:cs="Times New Roman"/>
          <w:sz w:val="24"/>
          <w:szCs w:val="24"/>
        </w:rPr>
        <w:t xml:space="preserve"> </w:t>
      </w:r>
      <w:r w:rsidR="00756D58" w:rsidRPr="00A91E83">
        <w:rPr>
          <w:rFonts w:ascii="Times New Roman" w:hAnsi="Times New Roman" w:cs="Times New Roman"/>
          <w:sz w:val="24"/>
          <w:szCs w:val="24"/>
        </w:rPr>
        <w:t>(</w:t>
      </w:r>
      <w:proofErr w:type="spellStart"/>
      <w:r w:rsidR="00756D58" w:rsidRPr="00A91E83">
        <w:rPr>
          <w:rFonts w:ascii="Times New Roman" w:hAnsi="Times New Roman" w:cs="Times New Roman"/>
          <w:sz w:val="24"/>
          <w:szCs w:val="24"/>
        </w:rPr>
        <w:t>angl</w:t>
      </w:r>
      <w:proofErr w:type="spellEnd"/>
      <w:r w:rsidR="00756D58" w:rsidRPr="00A91E83">
        <w:rPr>
          <w:rFonts w:ascii="Times New Roman" w:hAnsi="Times New Roman" w:cs="Times New Roman"/>
          <w:sz w:val="24"/>
          <w:szCs w:val="24"/>
        </w:rPr>
        <w:t xml:space="preserve">. </w:t>
      </w:r>
      <w:proofErr w:type="spellStart"/>
      <w:r w:rsidR="00756D58" w:rsidRPr="00A91E83">
        <w:rPr>
          <w:rFonts w:ascii="Times New Roman" w:hAnsi="Times New Roman" w:cs="Times New Roman"/>
          <w:i/>
          <w:sz w:val="24"/>
          <w:szCs w:val="24"/>
        </w:rPr>
        <w:t>Forex</w:t>
      </w:r>
      <w:proofErr w:type="spellEnd"/>
      <w:r w:rsidR="00756D58" w:rsidRPr="00A91E83">
        <w:rPr>
          <w:rFonts w:ascii="Times New Roman" w:hAnsi="Times New Roman" w:cs="Times New Roman"/>
          <w:i/>
          <w:sz w:val="24"/>
          <w:szCs w:val="24"/>
        </w:rPr>
        <w:t xml:space="preserve"> </w:t>
      </w:r>
      <w:proofErr w:type="spellStart"/>
      <w:r w:rsidR="00756D58" w:rsidRPr="00A91E83">
        <w:rPr>
          <w:rFonts w:ascii="Times New Roman" w:hAnsi="Times New Roman" w:cs="Times New Roman"/>
          <w:i/>
          <w:sz w:val="24"/>
          <w:szCs w:val="24"/>
        </w:rPr>
        <w:t>swaps</w:t>
      </w:r>
      <w:proofErr w:type="spellEnd"/>
      <w:r w:rsidR="00756D58" w:rsidRPr="00A91E83">
        <w:rPr>
          <w:rFonts w:ascii="Times New Roman" w:hAnsi="Times New Roman" w:cs="Times New Roman"/>
          <w:sz w:val="24"/>
          <w:szCs w:val="24"/>
        </w:rPr>
        <w:t xml:space="preserve">) </w:t>
      </w:r>
      <w:r w:rsidR="00F44382" w:rsidRPr="00A91E83">
        <w:rPr>
          <w:rFonts w:ascii="Times New Roman" w:hAnsi="Times New Roman" w:cs="Times New Roman"/>
          <w:sz w:val="24"/>
          <w:szCs w:val="24"/>
        </w:rPr>
        <w:t>apsikeitimo</w:t>
      </w:r>
      <w:r w:rsidR="00DE3A17" w:rsidRPr="00A91E83">
        <w:rPr>
          <w:rFonts w:ascii="Times New Roman" w:hAnsi="Times New Roman" w:cs="Times New Roman"/>
          <w:sz w:val="24"/>
          <w:szCs w:val="24"/>
        </w:rPr>
        <w:t xml:space="preserve"> sandoriai, tai </w:t>
      </w:r>
      <w:r w:rsidR="000D10F4" w:rsidRPr="00A91E83">
        <w:rPr>
          <w:rFonts w:ascii="Times New Roman" w:hAnsi="Times New Roman" w:cs="Times New Roman"/>
          <w:sz w:val="24"/>
          <w:szCs w:val="24"/>
        </w:rPr>
        <w:t xml:space="preserve">dažniausiai </w:t>
      </w:r>
      <w:proofErr w:type="spellStart"/>
      <w:r w:rsidR="000D10F4" w:rsidRPr="00A91E83">
        <w:rPr>
          <w:rFonts w:ascii="Times New Roman" w:hAnsi="Times New Roman" w:cs="Times New Roman"/>
          <w:sz w:val="24"/>
          <w:szCs w:val="24"/>
        </w:rPr>
        <w:t>užbiržinėje</w:t>
      </w:r>
      <w:proofErr w:type="spellEnd"/>
      <w:r w:rsidR="000D10F4" w:rsidRPr="00A91E83">
        <w:rPr>
          <w:rFonts w:ascii="Times New Roman" w:hAnsi="Times New Roman" w:cs="Times New Roman"/>
          <w:sz w:val="24"/>
          <w:szCs w:val="24"/>
        </w:rPr>
        <w:t xml:space="preserve"> rinkoje </w:t>
      </w:r>
      <w:r w:rsidR="00C82BB5" w:rsidRPr="00A91E83">
        <w:rPr>
          <w:rFonts w:ascii="Times New Roman" w:hAnsi="Times New Roman" w:cs="Times New Roman"/>
          <w:sz w:val="24"/>
          <w:szCs w:val="24"/>
        </w:rPr>
        <w:t>sudaromi</w:t>
      </w:r>
      <w:r w:rsidR="000D10F4" w:rsidRPr="00A91E83">
        <w:rPr>
          <w:rFonts w:ascii="Times New Roman" w:hAnsi="Times New Roman" w:cs="Times New Roman"/>
          <w:sz w:val="24"/>
          <w:szCs w:val="24"/>
        </w:rPr>
        <w:t xml:space="preserve"> sandoriai.</w:t>
      </w:r>
      <w:r w:rsidR="000D10F4" w:rsidRPr="00A91E83">
        <w:rPr>
          <w:rStyle w:val="Puslapioinaosnuoroda"/>
          <w:rFonts w:ascii="Times New Roman" w:hAnsi="Times New Roman" w:cs="Times New Roman"/>
          <w:sz w:val="24"/>
          <w:szCs w:val="24"/>
        </w:rPr>
        <w:footnoteReference w:id="37"/>
      </w:r>
      <w:r w:rsidR="00DE3A17" w:rsidRPr="00A91E83">
        <w:rPr>
          <w:rFonts w:ascii="Times New Roman" w:hAnsi="Times New Roman" w:cs="Times New Roman"/>
          <w:sz w:val="24"/>
          <w:szCs w:val="24"/>
        </w:rPr>
        <w:t xml:space="preserve"> </w:t>
      </w:r>
      <w:r w:rsidR="00FA46BA" w:rsidRPr="00A91E83">
        <w:rPr>
          <w:rFonts w:ascii="Times New Roman" w:hAnsi="Times New Roman" w:cs="Times New Roman"/>
          <w:sz w:val="24"/>
          <w:szCs w:val="24"/>
        </w:rPr>
        <w:t>Apsikeitimo sandoriai savo esme yra laikomi daugkartiniais išankstiniais sandoriais</w:t>
      </w:r>
      <w:r w:rsidR="003E755A" w:rsidRPr="00A91E83">
        <w:rPr>
          <w:rFonts w:ascii="Times New Roman" w:hAnsi="Times New Roman" w:cs="Times New Roman"/>
          <w:sz w:val="24"/>
          <w:szCs w:val="24"/>
        </w:rPr>
        <w:t>,</w:t>
      </w:r>
      <w:r w:rsidR="00A35C63" w:rsidRPr="00A91E83">
        <w:rPr>
          <w:rStyle w:val="Puslapioinaosnuoroda"/>
          <w:rFonts w:ascii="Times New Roman" w:hAnsi="Times New Roman" w:cs="Times New Roman"/>
          <w:sz w:val="24"/>
          <w:szCs w:val="24"/>
        </w:rPr>
        <w:footnoteReference w:id="38"/>
      </w:r>
      <w:r w:rsidR="00FA46BA" w:rsidRPr="00A91E83">
        <w:rPr>
          <w:rFonts w:ascii="Times New Roman" w:hAnsi="Times New Roman" w:cs="Times New Roman"/>
          <w:sz w:val="24"/>
          <w:szCs w:val="24"/>
        </w:rPr>
        <w:t xml:space="preserve"> kurie vykdomi nustatytą periodų skaičių.</w:t>
      </w:r>
      <w:r w:rsidR="00CD5E04" w:rsidRPr="00A91E83">
        <w:rPr>
          <w:rStyle w:val="Puslapioinaosnuoroda"/>
          <w:rFonts w:ascii="Times New Roman" w:hAnsi="Times New Roman" w:cs="Times New Roman"/>
          <w:sz w:val="24"/>
          <w:szCs w:val="24"/>
        </w:rPr>
        <w:footnoteReference w:id="39"/>
      </w:r>
      <w:r w:rsidR="00FA46BA" w:rsidRPr="00A91E83">
        <w:rPr>
          <w:rFonts w:ascii="Times New Roman" w:hAnsi="Times New Roman" w:cs="Times New Roman"/>
          <w:sz w:val="24"/>
          <w:szCs w:val="24"/>
        </w:rPr>
        <w:t xml:space="preserve"> Finansinių </w:t>
      </w:r>
      <w:r w:rsidR="006B2B00" w:rsidRPr="00A91E83">
        <w:rPr>
          <w:rFonts w:ascii="Times New Roman" w:hAnsi="Times New Roman" w:cs="Times New Roman"/>
          <w:sz w:val="24"/>
          <w:szCs w:val="24"/>
        </w:rPr>
        <w:t>apsikeitimo</w:t>
      </w:r>
      <w:r w:rsidR="00FA46BA" w:rsidRPr="00A91E83">
        <w:rPr>
          <w:rFonts w:ascii="Times New Roman" w:hAnsi="Times New Roman" w:cs="Times New Roman"/>
          <w:sz w:val="24"/>
          <w:szCs w:val="24"/>
        </w:rPr>
        <w:t xml:space="preserve"> </w:t>
      </w:r>
      <w:r w:rsidR="00625871" w:rsidRPr="00A91E83">
        <w:rPr>
          <w:rFonts w:ascii="Times New Roman" w:hAnsi="Times New Roman" w:cs="Times New Roman"/>
          <w:sz w:val="24"/>
          <w:szCs w:val="24"/>
        </w:rPr>
        <w:t xml:space="preserve">sandorių </w:t>
      </w:r>
      <w:r w:rsidR="00FA46BA" w:rsidRPr="00A91E83">
        <w:rPr>
          <w:rFonts w:ascii="Times New Roman" w:hAnsi="Times New Roman" w:cs="Times New Roman"/>
          <w:sz w:val="24"/>
          <w:szCs w:val="24"/>
        </w:rPr>
        <w:t xml:space="preserve">rinkos plėtrą nulėmė </w:t>
      </w:r>
      <w:r w:rsidR="006B2B00" w:rsidRPr="00A91E83">
        <w:rPr>
          <w:rFonts w:ascii="Times New Roman" w:hAnsi="Times New Roman" w:cs="Times New Roman"/>
          <w:sz w:val="24"/>
          <w:szCs w:val="24"/>
        </w:rPr>
        <w:t>apsikeitimo</w:t>
      </w:r>
      <w:r w:rsidR="00FA46BA" w:rsidRPr="00A91E83">
        <w:rPr>
          <w:rFonts w:ascii="Times New Roman" w:hAnsi="Times New Roman" w:cs="Times New Roman"/>
          <w:sz w:val="24"/>
          <w:szCs w:val="24"/>
        </w:rPr>
        <w:t xml:space="preserve"> sandorių pranašumai, palyginti su ilgalaikiais išankstiniais sandoriais. </w:t>
      </w:r>
      <w:r w:rsidR="00CD5E04" w:rsidRPr="00A91E83">
        <w:rPr>
          <w:rFonts w:ascii="Times New Roman" w:hAnsi="Times New Roman" w:cs="Times New Roman"/>
          <w:sz w:val="24"/>
          <w:szCs w:val="24"/>
        </w:rPr>
        <w:t>Apsikeitimo</w:t>
      </w:r>
      <w:r w:rsidR="00FA46BA" w:rsidRPr="00A91E83">
        <w:rPr>
          <w:rFonts w:ascii="Times New Roman" w:hAnsi="Times New Roman" w:cs="Times New Roman"/>
          <w:sz w:val="24"/>
          <w:szCs w:val="24"/>
        </w:rPr>
        <w:t xml:space="preserve"> sandorių pranašumų priežastys yra šios: </w:t>
      </w:r>
    </w:p>
    <w:p w:rsidR="00FA46BA" w:rsidRPr="00A91E83" w:rsidRDefault="003E755A" w:rsidP="00587AC4">
      <w:pPr>
        <w:pStyle w:val="Sraopastraipa"/>
        <w:numPr>
          <w:ilvl w:val="0"/>
          <w:numId w:val="14"/>
        </w:numPr>
        <w:tabs>
          <w:tab w:val="left" w:pos="851"/>
        </w:tabs>
        <w:spacing w:after="0" w:line="360" w:lineRule="auto"/>
        <w:ind w:left="1418" w:hanging="284"/>
        <w:jc w:val="both"/>
        <w:rPr>
          <w:rFonts w:ascii="Times New Roman" w:hAnsi="Times New Roman" w:cs="Times New Roman"/>
          <w:sz w:val="24"/>
          <w:szCs w:val="24"/>
        </w:rPr>
      </w:pPr>
      <w:r w:rsidRPr="00A91E83">
        <w:rPr>
          <w:rFonts w:ascii="Times New Roman" w:hAnsi="Times New Roman" w:cs="Times New Roman"/>
          <w:sz w:val="24"/>
          <w:szCs w:val="24"/>
        </w:rPr>
        <w:t>i</w:t>
      </w:r>
      <w:r w:rsidR="00FA46BA" w:rsidRPr="00A91E83">
        <w:rPr>
          <w:rFonts w:ascii="Times New Roman" w:hAnsi="Times New Roman" w:cs="Times New Roman"/>
          <w:sz w:val="24"/>
          <w:szCs w:val="24"/>
        </w:rPr>
        <w:t>šankstinių ir ateities</w:t>
      </w:r>
      <w:r w:rsidR="00365FF3" w:rsidRPr="00A91E83">
        <w:rPr>
          <w:rStyle w:val="Puslapioinaosnuoroda"/>
          <w:rFonts w:ascii="Times New Roman" w:hAnsi="Times New Roman" w:cs="Times New Roman"/>
          <w:sz w:val="24"/>
          <w:szCs w:val="24"/>
        </w:rPr>
        <w:footnoteReference w:id="40"/>
      </w:r>
      <w:r w:rsidR="00FA46BA" w:rsidRPr="00A91E83">
        <w:rPr>
          <w:rFonts w:ascii="Times New Roman" w:hAnsi="Times New Roman" w:cs="Times New Roman"/>
          <w:sz w:val="24"/>
          <w:szCs w:val="24"/>
        </w:rPr>
        <w:t xml:space="preserve"> sandorių terminai dėl galimos rizikos </w:t>
      </w:r>
      <w:r w:rsidR="00A64846" w:rsidRPr="00A91E83">
        <w:rPr>
          <w:rFonts w:ascii="Times New Roman" w:hAnsi="Times New Roman" w:cs="Times New Roman"/>
          <w:sz w:val="24"/>
          <w:szCs w:val="24"/>
        </w:rPr>
        <w:t xml:space="preserve">yra gerokai trumpesni nei finansinių </w:t>
      </w:r>
      <w:r w:rsidR="006B2B00" w:rsidRPr="00A91E83">
        <w:rPr>
          <w:rFonts w:ascii="Times New Roman" w:hAnsi="Times New Roman" w:cs="Times New Roman"/>
          <w:sz w:val="24"/>
          <w:szCs w:val="24"/>
        </w:rPr>
        <w:t xml:space="preserve">apsikeitimo </w:t>
      </w:r>
      <w:r w:rsidR="00A64846" w:rsidRPr="00A91E83">
        <w:rPr>
          <w:rFonts w:ascii="Times New Roman" w:hAnsi="Times New Roman" w:cs="Times New Roman"/>
          <w:sz w:val="24"/>
          <w:szCs w:val="24"/>
        </w:rPr>
        <w:t>terminai;</w:t>
      </w:r>
    </w:p>
    <w:p w:rsidR="00A64846" w:rsidRPr="00A91E83" w:rsidRDefault="003E755A" w:rsidP="00587AC4">
      <w:pPr>
        <w:pStyle w:val="Sraopastraipa"/>
        <w:numPr>
          <w:ilvl w:val="0"/>
          <w:numId w:val="14"/>
        </w:numPr>
        <w:tabs>
          <w:tab w:val="left" w:pos="851"/>
        </w:tabs>
        <w:spacing w:after="0" w:line="360" w:lineRule="auto"/>
        <w:ind w:left="1418" w:hanging="284"/>
        <w:jc w:val="both"/>
        <w:rPr>
          <w:rFonts w:ascii="Times New Roman" w:hAnsi="Times New Roman" w:cs="Times New Roman"/>
          <w:sz w:val="24"/>
          <w:szCs w:val="24"/>
        </w:rPr>
      </w:pPr>
      <w:r w:rsidRPr="00A91E83">
        <w:rPr>
          <w:rFonts w:ascii="Times New Roman" w:hAnsi="Times New Roman" w:cs="Times New Roman"/>
          <w:sz w:val="24"/>
          <w:szCs w:val="24"/>
        </w:rPr>
        <w:t>a</w:t>
      </w:r>
      <w:r w:rsidR="006B2B00" w:rsidRPr="00A91E83">
        <w:rPr>
          <w:rFonts w:ascii="Times New Roman" w:hAnsi="Times New Roman" w:cs="Times New Roman"/>
          <w:sz w:val="24"/>
          <w:szCs w:val="24"/>
        </w:rPr>
        <w:t>psikeitimo</w:t>
      </w:r>
      <w:r w:rsidR="00A64846" w:rsidRPr="00A91E83">
        <w:rPr>
          <w:rFonts w:ascii="Times New Roman" w:hAnsi="Times New Roman" w:cs="Times New Roman"/>
          <w:sz w:val="24"/>
          <w:szCs w:val="24"/>
        </w:rPr>
        <w:t xml:space="preserve"> sandoris sudaromas vieną kartą, o pasikartojantys išankstiniai sandoriai turi būti sudaromi kiekvienam laikotarpiui atskirai.</w:t>
      </w:r>
      <w:r w:rsidR="00363E3F" w:rsidRPr="00A91E83">
        <w:rPr>
          <w:rFonts w:ascii="Times New Roman" w:hAnsi="Times New Roman" w:cs="Times New Roman"/>
          <w:sz w:val="24"/>
          <w:szCs w:val="24"/>
          <w:vertAlign w:val="superscript"/>
        </w:rPr>
        <w:footnoteReference w:id="41"/>
      </w:r>
    </w:p>
    <w:p w:rsidR="00A1771B" w:rsidRPr="00A91E83" w:rsidRDefault="00A1771B" w:rsidP="00B46A53">
      <w:pPr>
        <w:tabs>
          <w:tab w:val="left" w:pos="851"/>
        </w:tabs>
        <w:spacing w:after="0" w:line="360" w:lineRule="auto"/>
        <w:ind w:firstLine="851"/>
        <w:jc w:val="both"/>
        <w:rPr>
          <w:rFonts w:ascii="Times New Roman" w:hAnsi="Times New Roman" w:cs="Times New Roman"/>
          <w:sz w:val="24"/>
          <w:szCs w:val="24"/>
        </w:rPr>
      </w:pPr>
    </w:p>
    <w:p w:rsidR="00737866" w:rsidRPr="00A91E83" w:rsidRDefault="00DE3A17" w:rsidP="0026550C">
      <w:pPr>
        <w:pStyle w:val="Sraopastraipa"/>
        <w:numPr>
          <w:ilvl w:val="2"/>
          <w:numId w:val="4"/>
        </w:numPr>
        <w:tabs>
          <w:tab w:val="left" w:pos="851"/>
        </w:tabs>
        <w:spacing w:after="0" w:line="360" w:lineRule="auto"/>
        <w:ind w:left="0" w:firstLine="0"/>
        <w:jc w:val="both"/>
        <w:outlineLvl w:val="2"/>
        <w:rPr>
          <w:rFonts w:ascii="Times New Roman" w:hAnsi="Times New Roman" w:cs="Times New Roman"/>
          <w:b/>
          <w:sz w:val="24"/>
          <w:szCs w:val="24"/>
        </w:rPr>
      </w:pPr>
      <w:bookmarkStart w:id="5" w:name="_Toc280546445"/>
      <w:r w:rsidRPr="00A91E83">
        <w:rPr>
          <w:rFonts w:ascii="Times New Roman" w:hAnsi="Times New Roman" w:cs="Times New Roman"/>
          <w:b/>
          <w:sz w:val="24"/>
          <w:szCs w:val="24"/>
        </w:rPr>
        <w:t>Palūka</w:t>
      </w:r>
      <w:r w:rsidR="00265BB6" w:rsidRPr="00A91E83">
        <w:rPr>
          <w:rFonts w:ascii="Times New Roman" w:hAnsi="Times New Roman" w:cs="Times New Roman"/>
          <w:b/>
          <w:sz w:val="24"/>
          <w:szCs w:val="24"/>
        </w:rPr>
        <w:t>nų normų apsikeitimo sandorių samprata</w:t>
      </w:r>
      <w:bookmarkEnd w:id="5"/>
    </w:p>
    <w:p w:rsidR="00A1771B" w:rsidRPr="00A91E83" w:rsidRDefault="00A1771B" w:rsidP="00B46A53">
      <w:pPr>
        <w:tabs>
          <w:tab w:val="left" w:pos="851"/>
        </w:tabs>
        <w:spacing w:after="0" w:line="360" w:lineRule="auto"/>
        <w:ind w:firstLine="851"/>
        <w:jc w:val="both"/>
        <w:rPr>
          <w:rFonts w:ascii="Times New Roman" w:hAnsi="Times New Roman" w:cs="Times New Roman"/>
          <w:sz w:val="24"/>
          <w:szCs w:val="24"/>
        </w:rPr>
      </w:pPr>
    </w:p>
    <w:p w:rsidR="00B853B7" w:rsidRPr="00A91E83" w:rsidRDefault="00115566"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Palūkanų normų apsikeitimo sandoris – tai šalių susitarimas atlikti periodines įmokas</w:t>
      </w:r>
      <w:r w:rsidR="007E3260" w:rsidRPr="00A91E83">
        <w:rPr>
          <w:rFonts w:ascii="Times New Roman" w:hAnsi="Times New Roman" w:cs="Times New Roman"/>
          <w:sz w:val="24"/>
          <w:szCs w:val="24"/>
        </w:rPr>
        <w:t>,</w:t>
      </w:r>
      <w:r w:rsidRPr="00A91E83">
        <w:rPr>
          <w:rFonts w:ascii="Times New Roman" w:hAnsi="Times New Roman" w:cs="Times New Roman"/>
          <w:sz w:val="24"/>
          <w:szCs w:val="24"/>
        </w:rPr>
        <w:t xml:space="preserve"> viena kitos atžvilgiu, lygias palūkanų normos vertei</w:t>
      </w:r>
      <w:r w:rsidR="004F502B" w:rsidRPr="00A91E83">
        <w:rPr>
          <w:rFonts w:ascii="Times New Roman" w:hAnsi="Times New Roman" w:cs="Times New Roman"/>
          <w:sz w:val="24"/>
          <w:szCs w:val="24"/>
        </w:rPr>
        <w:t>, apskaičiuotai remiantis pagrindinio</w:t>
      </w:r>
      <w:r w:rsidRPr="00A91E83">
        <w:rPr>
          <w:rFonts w:ascii="Times New Roman" w:hAnsi="Times New Roman" w:cs="Times New Roman"/>
          <w:sz w:val="24"/>
          <w:szCs w:val="24"/>
        </w:rPr>
        <w:t xml:space="preserve"> </w:t>
      </w:r>
      <w:r w:rsidR="004F502B" w:rsidRPr="00A91E83">
        <w:rPr>
          <w:rFonts w:ascii="Times New Roman" w:hAnsi="Times New Roman" w:cs="Times New Roman"/>
          <w:sz w:val="24"/>
          <w:szCs w:val="24"/>
        </w:rPr>
        <w:t>sandorio vertės atžvilgiu</w:t>
      </w:r>
      <w:r w:rsidRPr="00A91E83">
        <w:rPr>
          <w:rFonts w:ascii="Times New Roman" w:hAnsi="Times New Roman" w:cs="Times New Roman"/>
          <w:sz w:val="24"/>
          <w:szCs w:val="24"/>
        </w:rPr>
        <w:t>, tačiau skirtingais pagrindais.</w:t>
      </w:r>
      <w:r w:rsidRPr="00A91E83">
        <w:rPr>
          <w:rStyle w:val="Puslapioinaosnuoroda"/>
          <w:rFonts w:ascii="Times New Roman" w:hAnsi="Times New Roman" w:cs="Times New Roman"/>
          <w:sz w:val="24"/>
          <w:szCs w:val="24"/>
        </w:rPr>
        <w:footnoteReference w:id="42"/>
      </w:r>
      <w:r w:rsidRPr="00A91E83">
        <w:rPr>
          <w:rFonts w:ascii="Times New Roman" w:hAnsi="Times New Roman" w:cs="Times New Roman"/>
          <w:sz w:val="24"/>
          <w:szCs w:val="24"/>
        </w:rPr>
        <w:t xml:space="preserve"> </w:t>
      </w:r>
      <w:r w:rsidR="00A1771B" w:rsidRPr="00A91E83">
        <w:rPr>
          <w:rFonts w:ascii="Times New Roman" w:hAnsi="Times New Roman" w:cs="Times New Roman"/>
          <w:sz w:val="24"/>
          <w:szCs w:val="24"/>
        </w:rPr>
        <w:t>Pagal paprasčiausius palūkanų normų mainus</w:t>
      </w:r>
      <w:r w:rsidR="00C20F3D" w:rsidRPr="00A91E83">
        <w:rPr>
          <w:rFonts w:ascii="Times New Roman" w:hAnsi="Times New Roman" w:cs="Times New Roman"/>
          <w:sz w:val="24"/>
          <w:szCs w:val="24"/>
        </w:rPr>
        <w:t>,</w:t>
      </w:r>
      <w:r w:rsidR="00A1771B" w:rsidRPr="00A91E83">
        <w:rPr>
          <w:rFonts w:ascii="Times New Roman" w:hAnsi="Times New Roman" w:cs="Times New Roman"/>
          <w:sz w:val="24"/>
          <w:szCs w:val="24"/>
        </w:rPr>
        <w:t xml:space="preserve"> viena sandorio šalis moka nustatytas (fiksuotas), o kita – kintamas palūkanas.</w:t>
      </w:r>
      <w:r w:rsidR="00566607" w:rsidRPr="00A91E83">
        <w:rPr>
          <w:rStyle w:val="Puslapioinaosnuoroda"/>
          <w:rFonts w:ascii="Times New Roman" w:hAnsi="Times New Roman" w:cs="Times New Roman"/>
          <w:sz w:val="24"/>
          <w:szCs w:val="24"/>
        </w:rPr>
        <w:footnoteReference w:id="43"/>
      </w:r>
      <w:r w:rsidR="00A1771B" w:rsidRPr="00A91E83">
        <w:rPr>
          <w:rFonts w:ascii="Times New Roman" w:hAnsi="Times New Roman" w:cs="Times New Roman"/>
          <w:sz w:val="24"/>
          <w:szCs w:val="24"/>
        </w:rPr>
        <w:t xml:space="preserve"> </w:t>
      </w:r>
      <w:r w:rsidR="007E3260" w:rsidRPr="00A91E83">
        <w:rPr>
          <w:rFonts w:ascii="Times New Roman" w:hAnsi="Times New Roman" w:cs="Times New Roman"/>
          <w:sz w:val="24"/>
          <w:szCs w:val="24"/>
        </w:rPr>
        <w:t>Kintamų palūkanų norma</w:t>
      </w:r>
      <w:r w:rsidR="00C92FD5" w:rsidRPr="00A91E83">
        <w:rPr>
          <w:rFonts w:ascii="Times New Roman" w:hAnsi="Times New Roman" w:cs="Times New Roman"/>
          <w:sz w:val="24"/>
          <w:szCs w:val="24"/>
        </w:rPr>
        <w:t xml:space="preserve"> keičiasi nuo tam tikro finansų rinkos rodiklio kitimo</w:t>
      </w:r>
      <w:r w:rsidR="00C20F3D" w:rsidRPr="00A91E83">
        <w:rPr>
          <w:rFonts w:ascii="Times New Roman" w:hAnsi="Times New Roman" w:cs="Times New Roman"/>
          <w:sz w:val="24"/>
          <w:szCs w:val="24"/>
        </w:rPr>
        <w:t>,</w:t>
      </w:r>
      <w:r w:rsidR="00C92FD5" w:rsidRPr="00A91E83">
        <w:rPr>
          <w:rFonts w:ascii="Times New Roman" w:hAnsi="Times New Roman" w:cs="Times New Roman"/>
          <w:sz w:val="24"/>
          <w:szCs w:val="24"/>
        </w:rPr>
        <w:t xml:space="preserve"> </w:t>
      </w:r>
      <w:proofErr w:type="spellStart"/>
      <w:r w:rsidR="00C92FD5" w:rsidRPr="00A91E83">
        <w:rPr>
          <w:rFonts w:ascii="Times New Roman" w:hAnsi="Times New Roman" w:cs="Times New Roman"/>
          <w:sz w:val="24"/>
          <w:szCs w:val="24"/>
        </w:rPr>
        <w:t>pvz</w:t>
      </w:r>
      <w:proofErr w:type="spellEnd"/>
      <w:r w:rsidR="00C92FD5" w:rsidRPr="00A91E83">
        <w:rPr>
          <w:rFonts w:ascii="Times New Roman" w:hAnsi="Times New Roman" w:cs="Times New Roman"/>
          <w:sz w:val="24"/>
          <w:szCs w:val="24"/>
        </w:rPr>
        <w:t xml:space="preserve">.: </w:t>
      </w:r>
      <w:r w:rsidR="007E3260" w:rsidRPr="00A91E83">
        <w:rPr>
          <w:rFonts w:ascii="Times New Roman" w:hAnsi="Times New Roman" w:cs="Times New Roman"/>
          <w:sz w:val="24"/>
          <w:szCs w:val="24"/>
        </w:rPr>
        <w:t xml:space="preserve">nuo </w:t>
      </w:r>
      <w:r w:rsidR="00C92FD5" w:rsidRPr="00A91E83">
        <w:rPr>
          <w:rFonts w:ascii="Times New Roman" w:hAnsi="Times New Roman" w:cs="Times New Roman"/>
          <w:sz w:val="24"/>
          <w:szCs w:val="24"/>
        </w:rPr>
        <w:t>LIBOR</w:t>
      </w:r>
      <w:r w:rsidR="00A1771B" w:rsidRPr="00A91E83">
        <w:rPr>
          <w:rFonts w:ascii="Times New Roman" w:hAnsi="Times New Roman" w:cs="Times New Roman"/>
          <w:sz w:val="24"/>
          <w:szCs w:val="24"/>
        </w:rPr>
        <w:t xml:space="preserve"> </w:t>
      </w:r>
      <w:r w:rsidR="00EF00E1" w:rsidRPr="00A91E83">
        <w:rPr>
          <w:rFonts w:ascii="Times New Roman" w:hAnsi="Times New Roman" w:cs="Times New Roman"/>
          <w:sz w:val="24"/>
          <w:szCs w:val="24"/>
        </w:rPr>
        <w:t>(</w:t>
      </w:r>
      <w:proofErr w:type="spellStart"/>
      <w:r w:rsidR="00EF00E1" w:rsidRPr="00A91E83">
        <w:rPr>
          <w:rFonts w:ascii="Times New Roman" w:hAnsi="Times New Roman" w:cs="Times New Roman"/>
          <w:sz w:val="24"/>
          <w:szCs w:val="24"/>
        </w:rPr>
        <w:t>angl</w:t>
      </w:r>
      <w:proofErr w:type="spellEnd"/>
      <w:r w:rsidR="00EF00E1" w:rsidRPr="00A91E83">
        <w:rPr>
          <w:rFonts w:ascii="Times New Roman" w:hAnsi="Times New Roman" w:cs="Times New Roman"/>
          <w:sz w:val="24"/>
          <w:szCs w:val="24"/>
        </w:rPr>
        <w:t xml:space="preserve">. </w:t>
      </w:r>
      <w:proofErr w:type="spellStart"/>
      <w:r w:rsidR="00EF00E1" w:rsidRPr="00A91E83">
        <w:rPr>
          <w:rFonts w:ascii="Times New Roman" w:hAnsi="Times New Roman" w:cs="Times New Roman"/>
          <w:i/>
          <w:sz w:val="24"/>
          <w:szCs w:val="24"/>
        </w:rPr>
        <w:t>London</w:t>
      </w:r>
      <w:proofErr w:type="spellEnd"/>
      <w:r w:rsidR="00EF00E1" w:rsidRPr="00A91E83">
        <w:rPr>
          <w:rFonts w:ascii="Times New Roman" w:hAnsi="Times New Roman" w:cs="Times New Roman"/>
          <w:i/>
          <w:sz w:val="24"/>
          <w:szCs w:val="24"/>
        </w:rPr>
        <w:t xml:space="preserve"> </w:t>
      </w:r>
      <w:proofErr w:type="spellStart"/>
      <w:r w:rsidR="00EF00E1" w:rsidRPr="00A91E83">
        <w:rPr>
          <w:rFonts w:ascii="Times New Roman" w:hAnsi="Times New Roman" w:cs="Times New Roman"/>
          <w:i/>
          <w:sz w:val="24"/>
          <w:szCs w:val="24"/>
        </w:rPr>
        <w:t>interbank</w:t>
      </w:r>
      <w:proofErr w:type="spellEnd"/>
      <w:r w:rsidR="00EF00E1" w:rsidRPr="00A91E83">
        <w:rPr>
          <w:rFonts w:ascii="Times New Roman" w:hAnsi="Times New Roman" w:cs="Times New Roman"/>
          <w:i/>
          <w:sz w:val="24"/>
          <w:szCs w:val="24"/>
        </w:rPr>
        <w:t xml:space="preserve"> </w:t>
      </w:r>
      <w:proofErr w:type="spellStart"/>
      <w:r w:rsidR="00EF00E1" w:rsidRPr="00A91E83">
        <w:rPr>
          <w:rFonts w:ascii="Times New Roman" w:hAnsi="Times New Roman" w:cs="Times New Roman"/>
          <w:i/>
          <w:sz w:val="24"/>
          <w:szCs w:val="24"/>
        </w:rPr>
        <w:t>offered</w:t>
      </w:r>
      <w:proofErr w:type="spellEnd"/>
      <w:r w:rsidR="00EF00E1" w:rsidRPr="00A91E83">
        <w:rPr>
          <w:rFonts w:ascii="Times New Roman" w:hAnsi="Times New Roman" w:cs="Times New Roman"/>
          <w:i/>
          <w:sz w:val="24"/>
          <w:szCs w:val="24"/>
        </w:rPr>
        <w:t xml:space="preserve"> rate</w:t>
      </w:r>
      <w:r w:rsidR="00EF00E1" w:rsidRPr="00A91E83">
        <w:rPr>
          <w:rFonts w:ascii="Times New Roman" w:hAnsi="Times New Roman" w:cs="Times New Roman"/>
          <w:sz w:val="24"/>
          <w:szCs w:val="24"/>
        </w:rPr>
        <w:t xml:space="preserve">) </w:t>
      </w:r>
      <w:r w:rsidR="00A1771B" w:rsidRPr="00A91E83">
        <w:rPr>
          <w:rFonts w:ascii="Times New Roman" w:hAnsi="Times New Roman" w:cs="Times New Roman"/>
          <w:sz w:val="24"/>
          <w:szCs w:val="24"/>
        </w:rPr>
        <w:t>tarpb</w:t>
      </w:r>
      <w:r w:rsidR="00220121" w:rsidRPr="00A91E83">
        <w:rPr>
          <w:rFonts w:ascii="Times New Roman" w:hAnsi="Times New Roman" w:cs="Times New Roman"/>
          <w:sz w:val="24"/>
          <w:szCs w:val="24"/>
        </w:rPr>
        <w:t>ankinės paskolų rinkos palūkanų normos</w:t>
      </w:r>
      <w:r w:rsidR="00A1771B" w:rsidRPr="00A91E83">
        <w:rPr>
          <w:rFonts w:ascii="Times New Roman" w:hAnsi="Times New Roman" w:cs="Times New Roman"/>
          <w:sz w:val="24"/>
          <w:szCs w:val="24"/>
        </w:rPr>
        <w:t xml:space="preserve">. </w:t>
      </w:r>
      <w:r w:rsidR="00C92FD5" w:rsidRPr="00A91E83">
        <w:rPr>
          <w:rFonts w:ascii="Times New Roman" w:hAnsi="Times New Roman" w:cs="Times New Roman"/>
          <w:sz w:val="24"/>
          <w:szCs w:val="24"/>
        </w:rPr>
        <w:t>Šis apsikeitimas</w:t>
      </w:r>
      <w:r w:rsidR="00C20F3D" w:rsidRPr="00A91E83">
        <w:rPr>
          <w:rFonts w:ascii="Times New Roman" w:hAnsi="Times New Roman" w:cs="Times New Roman"/>
          <w:sz w:val="24"/>
          <w:szCs w:val="24"/>
        </w:rPr>
        <w:t>,</w:t>
      </w:r>
      <w:r w:rsidR="00C92FD5" w:rsidRPr="00A91E83">
        <w:rPr>
          <w:rFonts w:ascii="Times New Roman" w:hAnsi="Times New Roman" w:cs="Times New Roman"/>
          <w:sz w:val="24"/>
          <w:szCs w:val="24"/>
        </w:rPr>
        <w:t xml:space="preserve"> palūkanų normų</w:t>
      </w:r>
      <w:r w:rsidR="00BF4D06" w:rsidRPr="00A91E83">
        <w:rPr>
          <w:rFonts w:ascii="Times New Roman" w:hAnsi="Times New Roman" w:cs="Times New Roman"/>
          <w:sz w:val="24"/>
          <w:szCs w:val="24"/>
        </w:rPr>
        <w:t xml:space="preserve"> mokėjima</w:t>
      </w:r>
      <w:r w:rsidR="00C20F3D" w:rsidRPr="00A91E83">
        <w:rPr>
          <w:rFonts w:ascii="Times New Roman" w:hAnsi="Times New Roman" w:cs="Times New Roman"/>
          <w:sz w:val="24"/>
          <w:szCs w:val="24"/>
        </w:rPr>
        <w:t>i</w:t>
      </w:r>
      <w:r w:rsidR="00C92FD5" w:rsidRPr="00A91E83">
        <w:rPr>
          <w:rFonts w:ascii="Times New Roman" w:hAnsi="Times New Roman" w:cs="Times New Roman"/>
          <w:sz w:val="24"/>
          <w:szCs w:val="24"/>
        </w:rPr>
        <w:t>s</w:t>
      </w:r>
      <w:r w:rsidR="00C20F3D" w:rsidRPr="00A91E83">
        <w:rPr>
          <w:rFonts w:ascii="Times New Roman" w:hAnsi="Times New Roman" w:cs="Times New Roman"/>
          <w:sz w:val="24"/>
          <w:szCs w:val="24"/>
        </w:rPr>
        <w:t>,</w:t>
      </w:r>
      <w:r w:rsidR="00C92FD5" w:rsidRPr="00A91E83">
        <w:rPr>
          <w:rFonts w:ascii="Times New Roman" w:hAnsi="Times New Roman" w:cs="Times New Roman"/>
          <w:sz w:val="24"/>
          <w:szCs w:val="24"/>
        </w:rPr>
        <w:t xml:space="preserve"> vyksta </w:t>
      </w:r>
      <w:r w:rsidR="00AB5458" w:rsidRPr="00A91E83">
        <w:rPr>
          <w:rFonts w:ascii="Times New Roman" w:hAnsi="Times New Roman" w:cs="Times New Roman"/>
          <w:sz w:val="24"/>
          <w:szCs w:val="24"/>
        </w:rPr>
        <w:t xml:space="preserve">iš anksto </w:t>
      </w:r>
      <w:r w:rsidR="00C92FD5" w:rsidRPr="00A91E83">
        <w:rPr>
          <w:rFonts w:ascii="Times New Roman" w:hAnsi="Times New Roman" w:cs="Times New Roman"/>
          <w:sz w:val="24"/>
          <w:szCs w:val="24"/>
        </w:rPr>
        <w:t xml:space="preserve">tam tikru nustatytu laiku, </w:t>
      </w:r>
      <w:r w:rsidR="008C26F1" w:rsidRPr="00A91E83">
        <w:rPr>
          <w:rFonts w:ascii="Times New Roman" w:hAnsi="Times New Roman" w:cs="Times New Roman"/>
          <w:sz w:val="24"/>
          <w:szCs w:val="24"/>
        </w:rPr>
        <w:t>t. y.</w:t>
      </w:r>
      <w:r w:rsidR="00C92FD5" w:rsidRPr="00A91E83">
        <w:rPr>
          <w:rFonts w:ascii="Times New Roman" w:hAnsi="Times New Roman" w:cs="Times New Roman"/>
          <w:sz w:val="24"/>
          <w:szCs w:val="24"/>
        </w:rPr>
        <w:t xml:space="preserve"> pinigų srautai juda kas mėnesį, kas pusę metų, kas metus ir </w:t>
      </w:r>
      <w:r w:rsidR="008C26F1" w:rsidRPr="00A91E83">
        <w:rPr>
          <w:rFonts w:ascii="Times New Roman" w:hAnsi="Times New Roman" w:cs="Times New Roman"/>
          <w:sz w:val="24"/>
          <w:szCs w:val="24"/>
        </w:rPr>
        <w:t>t. t.</w:t>
      </w:r>
      <w:r w:rsidR="00BF4D06" w:rsidRPr="00A91E83">
        <w:rPr>
          <w:rFonts w:ascii="Times New Roman" w:hAnsi="Times New Roman" w:cs="Times New Roman"/>
          <w:sz w:val="24"/>
          <w:szCs w:val="24"/>
        </w:rPr>
        <w:t xml:space="preserve"> </w:t>
      </w:r>
      <w:r w:rsidR="00B853B7" w:rsidRPr="00A91E83">
        <w:rPr>
          <w:rFonts w:ascii="Times New Roman" w:hAnsi="Times New Roman" w:cs="Times New Roman"/>
          <w:sz w:val="24"/>
          <w:szCs w:val="24"/>
        </w:rPr>
        <w:t>Priešpriešinių įsipareigojimų įvykdymo data sutampa, kad būtų galima įskaityt</w:t>
      </w:r>
      <w:r w:rsidR="00492F96" w:rsidRPr="00A91E83">
        <w:rPr>
          <w:rFonts w:ascii="Times New Roman" w:hAnsi="Times New Roman" w:cs="Times New Roman"/>
          <w:sz w:val="24"/>
          <w:szCs w:val="24"/>
        </w:rPr>
        <w:t xml:space="preserve">i </w:t>
      </w:r>
      <w:r w:rsidR="00B853B7" w:rsidRPr="00A91E83">
        <w:rPr>
          <w:rFonts w:ascii="Times New Roman" w:hAnsi="Times New Roman" w:cs="Times New Roman"/>
          <w:sz w:val="24"/>
          <w:szCs w:val="24"/>
        </w:rPr>
        <w:t>mokėjimus.</w:t>
      </w:r>
      <w:r w:rsidR="00551530" w:rsidRPr="00A91E83">
        <w:rPr>
          <w:rStyle w:val="Puslapioinaosnuoroda"/>
          <w:rFonts w:ascii="Times New Roman" w:hAnsi="Times New Roman" w:cs="Times New Roman"/>
          <w:sz w:val="24"/>
          <w:szCs w:val="24"/>
        </w:rPr>
        <w:footnoteReference w:id="44"/>
      </w:r>
    </w:p>
    <w:p w:rsidR="00492F96" w:rsidRPr="00A91E83" w:rsidRDefault="00B853B7"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Pagrindinė priežastis kodėl sudaromi </w:t>
      </w:r>
      <w:r w:rsidR="00892AF2" w:rsidRPr="00A91E83">
        <w:rPr>
          <w:rFonts w:ascii="Times New Roman" w:hAnsi="Times New Roman" w:cs="Times New Roman"/>
          <w:sz w:val="24"/>
          <w:szCs w:val="24"/>
        </w:rPr>
        <w:t>aptarti</w:t>
      </w:r>
      <w:r w:rsidRPr="00A91E83">
        <w:rPr>
          <w:rFonts w:ascii="Times New Roman" w:hAnsi="Times New Roman" w:cs="Times New Roman"/>
          <w:sz w:val="24"/>
          <w:szCs w:val="24"/>
        </w:rPr>
        <w:t xml:space="preserve"> sandoriai yra skirtingo kreditingumo pajėgumai. </w:t>
      </w:r>
      <w:r w:rsidR="00892AF2" w:rsidRPr="00A91E83">
        <w:rPr>
          <w:rFonts w:ascii="Times New Roman" w:hAnsi="Times New Roman" w:cs="Times New Roman"/>
          <w:sz w:val="24"/>
          <w:szCs w:val="24"/>
        </w:rPr>
        <w:t>Tarkime ba</w:t>
      </w:r>
      <w:r w:rsidRPr="00A91E83">
        <w:rPr>
          <w:rFonts w:ascii="Times New Roman" w:hAnsi="Times New Roman" w:cs="Times New Roman"/>
          <w:sz w:val="24"/>
          <w:szCs w:val="24"/>
        </w:rPr>
        <w:t xml:space="preserve">nkas </w:t>
      </w:r>
      <w:r w:rsidR="005A6F93" w:rsidRPr="00A91E83">
        <w:rPr>
          <w:rFonts w:ascii="Times New Roman" w:hAnsi="Times New Roman" w:cs="Times New Roman"/>
          <w:sz w:val="24"/>
          <w:szCs w:val="24"/>
        </w:rPr>
        <w:t xml:space="preserve">A </w:t>
      </w:r>
      <w:r w:rsidRPr="00A91E83">
        <w:rPr>
          <w:rFonts w:ascii="Times New Roman" w:hAnsi="Times New Roman" w:cs="Times New Roman"/>
          <w:sz w:val="24"/>
          <w:szCs w:val="24"/>
        </w:rPr>
        <w:t xml:space="preserve">turi aukštą kredito reitingą ir gali pigiai skolintis fiksuotų palūkanų norma, </w:t>
      </w:r>
      <w:proofErr w:type="spellStart"/>
      <w:r w:rsidRPr="00A91E83">
        <w:rPr>
          <w:rFonts w:ascii="Times New Roman" w:hAnsi="Times New Roman" w:cs="Times New Roman"/>
          <w:sz w:val="24"/>
          <w:szCs w:val="24"/>
        </w:rPr>
        <w:t>pvz</w:t>
      </w:r>
      <w:proofErr w:type="spellEnd"/>
      <w:r w:rsidRPr="00A91E83">
        <w:rPr>
          <w:rFonts w:ascii="Times New Roman" w:hAnsi="Times New Roman" w:cs="Times New Roman"/>
          <w:sz w:val="24"/>
          <w:szCs w:val="24"/>
        </w:rPr>
        <w:t>.: išleisdamas euroobligacijas</w:t>
      </w:r>
      <w:r w:rsidRPr="00A91E83">
        <w:rPr>
          <w:rStyle w:val="Puslapioinaosnuoroda"/>
          <w:rFonts w:ascii="Times New Roman" w:hAnsi="Times New Roman" w:cs="Times New Roman"/>
          <w:sz w:val="24"/>
          <w:szCs w:val="24"/>
        </w:rPr>
        <w:footnoteReference w:id="45"/>
      </w:r>
      <w:r w:rsidR="009732A6" w:rsidRPr="00A91E83">
        <w:rPr>
          <w:rFonts w:ascii="Times New Roman" w:hAnsi="Times New Roman" w:cs="Times New Roman"/>
          <w:sz w:val="24"/>
          <w:szCs w:val="24"/>
        </w:rPr>
        <w:t xml:space="preserve"> ir už jas mokėdama fiksuotą 10% palūkanų normą</w:t>
      </w:r>
      <w:r w:rsidR="00892AF2" w:rsidRPr="00A91E83">
        <w:rPr>
          <w:rFonts w:ascii="Times New Roman" w:hAnsi="Times New Roman" w:cs="Times New Roman"/>
          <w:sz w:val="24"/>
          <w:szCs w:val="24"/>
        </w:rPr>
        <w:t>. Kita</w:t>
      </w:r>
      <w:r w:rsidRPr="00A91E83">
        <w:rPr>
          <w:rFonts w:ascii="Times New Roman" w:hAnsi="Times New Roman" w:cs="Times New Roman"/>
          <w:sz w:val="24"/>
          <w:szCs w:val="24"/>
        </w:rPr>
        <w:t xml:space="preserve"> bendrovė </w:t>
      </w:r>
      <w:r w:rsidR="00C72CA5" w:rsidRPr="00A91E83">
        <w:rPr>
          <w:rFonts w:ascii="Times New Roman" w:hAnsi="Times New Roman" w:cs="Times New Roman"/>
          <w:sz w:val="24"/>
          <w:szCs w:val="24"/>
        </w:rPr>
        <w:t>B</w:t>
      </w:r>
      <w:r w:rsidR="00892AF2" w:rsidRPr="00A91E83">
        <w:rPr>
          <w:rFonts w:ascii="Times New Roman" w:hAnsi="Times New Roman" w:cs="Times New Roman"/>
          <w:sz w:val="24"/>
          <w:szCs w:val="24"/>
        </w:rPr>
        <w:t>,</w:t>
      </w:r>
      <w:r w:rsidR="00C72CA5" w:rsidRPr="00A91E83">
        <w:rPr>
          <w:rFonts w:ascii="Times New Roman" w:hAnsi="Times New Roman" w:cs="Times New Roman"/>
          <w:sz w:val="24"/>
          <w:szCs w:val="24"/>
        </w:rPr>
        <w:t xml:space="preserve"> turėdama žemą kreditingumo reitingą, neturi tokios galimybės</w:t>
      </w:r>
      <w:r w:rsidR="00AB5458" w:rsidRPr="00A91E83">
        <w:rPr>
          <w:rFonts w:ascii="Times New Roman" w:hAnsi="Times New Roman" w:cs="Times New Roman"/>
          <w:sz w:val="24"/>
          <w:szCs w:val="24"/>
        </w:rPr>
        <w:t xml:space="preserve"> ir gali </w:t>
      </w:r>
      <w:r w:rsidR="00AB5458" w:rsidRPr="00A91E83">
        <w:rPr>
          <w:rFonts w:ascii="Times New Roman" w:hAnsi="Times New Roman" w:cs="Times New Roman"/>
          <w:sz w:val="24"/>
          <w:szCs w:val="24"/>
        </w:rPr>
        <w:lastRenderedPageBreak/>
        <w:t>skolintis iš banko tik kintama palūkanų norma. T</w:t>
      </w:r>
      <w:r w:rsidR="00F8553A" w:rsidRPr="00A91E83">
        <w:rPr>
          <w:rFonts w:ascii="Times New Roman" w:hAnsi="Times New Roman" w:cs="Times New Roman"/>
          <w:sz w:val="24"/>
          <w:szCs w:val="24"/>
        </w:rPr>
        <w:t xml:space="preserve">ai bankas A </w:t>
      </w:r>
      <w:r w:rsidR="00AB5458" w:rsidRPr="00A91E83">
        <w:rPr>
          <w:rFonts w:ascii="Times New Roman" w:hAnsi="Times New Roman" w:cs="Times New Roman"/>
          <w:sz w:val="24"/>
          <w:szCs w:val="24"/>
        </w:rPr>
        <w:t xml:space="preserve">tampa galimas </w:t>
      </w:r>
      <w:r w:rsidR="007F6995" w:rsidRPr="00A91E83">
        <w:rPr>
          <w:rFonts w:ascii="Times New Roman" w:hAnsi="Times New Roman" w:cs="Times New Roman"/>
          <w:sz w:val="24"/>
          <w:szCs w:val="24"/>
        </w:rPr>
        <w:t xml:space="preserve">bendrovės B </w:t>
      </w:r>
      <w:r w:rsidR="00492F96" w:rsidRPr="00A91E83">
        <w:rPr>
          <w:rFonts w:ascii="Times New Roman" w:hAnsi="Times New Roman" w:cs="Times New Roman"/>
          <w:sz w:val="24"/>
          <w:szCs w:val="24"/>
        </w:rPr>
        <w:t>kontrahentas</w:t>
      </w:r>
      <w:r w:rsidR="00F8553A" w:rsidRPr="00A91E83">
        <w:rPr>
          <w:rFonts w:ascii="Times New Roman" w:hAnsi="Times New Roman" w:cs="Times New Roman"/>
          <w:sz w:val="24"/>
          <w:szCs w:val="24"/>
        </w:rPr>
        <w:t xml:space="preserve"> palūkanų normų </w:t>
      </w:r>
      <w:r w:rsidR="00347818" w:rsidRPr="00A91E83">
        <w:rPr>
          <w:rFonts w:ascii="Times New Roman" w:hAnsi="Times New Roman" w:cs="Times New Roman"/>
          <w:sz w:val="24"/>
          <w:szCs w:val="24"/>
        </w:rPr>
        <w:t>apsikeitimo sandorio atžvilgiu.</w:t>
      </w:r>
      <w:r w:rsidR="00F8553A" w:rsidRPr="00A91E83">
        <w:rPr>
          <w:rFonts w:ascii="Times New Roman" w:hAnsi="Times New Roman" w:cs="Times New Roman"/>
          <w:sz w:val="24"/>
          <w:szCs w:val="24"/>
        </w:rPr>
        <w:t xml:space="preserve"> </w:t>
      </w:r>
      <w:r w:rsidR="007F6995" w:rsidRPr="00A91E83">
        <w:rPr>
          <w:rFonts w:ascii="Times New Roman" w:hAnsi="Times New Roman" w:cs="Times New Roman"/>
          <w:sz w:val="24"/>
          <w:szCs w:val="24"/>
        </w:rPr>
        <w:t>A</w:t>
      </w:r>
      <w:r w:rsidR="00A2774A" w:rsidRPr="00A91E83">
        <w:rPr>
          <w:rFonts w:ascii="Times New Roman" w:hAnsi="Times New Roman" w:cs="Times New Roman"/>
          <w:sz w:val="24"/>
          <w:szCs w:val="24"/>
        </w:rPr>
        <w:t> </w:t>
      </w:r>
      <w:r w:rsidR="007F6995" w:rsidRPr="00A91E83">
        <w:rPr>
          <w:rFonts w:ascii="Times New Roman" w:hAnsi="Times New Roman" w:cs="Times New Roman"/>
          <w:sz w:val="24"/>
          <w:szCs w:val="24"/>
        </w:rPr>
        <w:t xml:space="preserve">stengiasi uždirbti iš mažėjančių </w:t>
      </w:r>
      <w:r w:rsidR="0045000B" w:rsidRPr="00A91E83">
        <w:rPr>
          <w:rFonts w:ascii="Times New Roman" w:hAnsi="Times New Roman" w:cs="Times New Roman"/>
          <w:sz w:val="24"/>
          <w:szCs w:val="24"/>
        </w:rPr>
        <w:t xml:space="preserve">kintamų palūkanų, o B užsitikrina fiksuotų palūkanų mokėjimą. </w:t>
      </w:r>
      <w:r w:rsidR="00F8553A" w:rsidRPr="00A91E83">
        <w:rPr>
          <w:rFonts w:ascii="Times New Roman" w:hAnsi="Times New Roman" w:cs="Times New Roman"/>
          <w:sz w:val="24"/>
          <w:szCs w:val="24"/>
        </w:rPr>
        <w:t>Priešpriešiniai mokėjimai nėra tikrosios palūkanos, bet sumos, lygios palūkanoms</w:t>
      </w:r>
      <w:r w:rsidR="00892AF2" w:rsidRPr="00A91E83">
        <w:rPr>
          <w:rFonts w:ascii="Times New Roman" w:hAnsi="Times New Roman" w:cs="Times New Roman"/>
          <w:sz w:val="24"/>
          <w:szCs w:val="24"/>
        </w:rPr>
        <w:t>,</w:t>
      </w:r>
      <w:r w:rsidR="00F8553A" w:rsidRPr="00A91E83">
        <w:rPr>
          <w:rFonts w:ascii="Times New Roman" w:hAnsi="Times New Roman" w:cs="Times New Roman"/>
          <w:sz w:val="24"/>
          <w:szCs w:val="24"/>
        </w:rPr>
        <w:t xml:space="preserve"> apskaičiuoto</w:t>
      </w:r>
      <w:r w:rsidR="00C72CA5" w:rsidRPr="00A91E83">
        <w:rPr>
          <w:rFonts w:ascii="Times New Roman" w:hAnsi="Times New Roman" w:cs="Times New Roman"/>
          <w:sz w:val="24"/>
          <w:szCs w:val="24"/>
        </w:rPr>
        <w:t xml:space="preserve">ms pagrindinio </w:t>
      </w:r>
      <w:r w:rsidR="00892AF2" w:rsidRPr="00A91E83">
        <w:rPr>
          <w:rFonts w:ascii="Times New Roman" w:hAnsi="Times New Roman" w:cs="Times New Roman"/>
          <w:sz w:val="24"/>
          <w:szCs w:val="24"/>
        </w:rPr>
        <w:t>sandorio vertės</w:t>
      </w:r>
      <w:r w:rsidR="00C72CA5" w:rsidRPr="00A91E83">
        <w:rPr>
          <w:rFonts w:ascii="Times New Roman" w:hAnsi="Times New Roman" w:cs="Times New Roman"/>
          <w:sz w:val="24"/>
          <w:szCs w:val="24"/>
        </w:rPr>
        <w:t xml:space="preserve"> atžvilgiu.</w:t>
      </w:r>
    </w:p>
    <w:p w:rsidR="00AC548C" w:rsidRPr="00A91E83" w:rsidRDefault="005A6F93" w:rsidP="00EE7EE1">
      <w:pPr>
        <w:tabs>
          <w:tab w:val="left" w:pos="0"/>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Banko </w:t>
      </w:r>
      <w:r w:rsidR="002C777C" w:rsidRPr="00A91E83">
        <w:rPr>
          <w:rFonts w:ascii="Times New Roman" w:hAnsi="Times New Roman" w:cs="Times New Roman"/>
          <w:sz w:val="24"/>
          <w:szCs w:val="24"/>
        </w:rPr>
        <w:t xml:space="preserve">A ir </w:t>
      </w:r>
      <w:r w:rsidRPr="00A91E83">
        <w:rPr>
          <w:rFonts w:ascii="Times New Roman" w:hAnsi="Times New Roman" w:cs="Times New Roman"/>
          <w:sz w:val="24"/>
          <w:szCs w:val="24"/>
        </w:rPr>
        <w:t xml:space="preserve">bendrovės </w:t>
      </w:r>
      <w:r w:rsidR="002C777C" w:rsidRPr="00A91E83">
        <w:rPr>
          <w:rFonts w:ascii="Times New Roman" w:hAnsi="Times New Roman" w:cs="Times New Roman"/>
          <w:sz w:val="24"/>
          <w:szCs w:val="24"/>
        </w:rPr>
        <w:t xml:space="preserve">B </w:t>
      </w:r>
      <w:r w:rsidRPr="00A91E83">
        <w:rPr>
          <w:rFonts w:ascii="Times New Roman" w:hAnsi="Times New Roman" w:cs="Times New Roman"/>
          <w:sz w:val="24"/>
          <w:szCs w:val="24"/>
        </w:rPr>
        <w:t>k</w:t>
      </w:r>
      <w:r w:rsidR="00F8553A" w:rsidRPr="00A91E83">
        <w:rPr>
          <w:rFonts w:ascii="Times New Roman" w:hAnsi="Times New Roman" w:cs="Times New Roman"/>
          <w:sz w:val="24"/>
          <w:szCs w:val="24"/>
        </w:rPr>
        <w:t>reditoriai nėra paveikti</w:t>
      </w:r>
      <w:r w:rsidR="00967331" w:rsidRPr="00A91E83">
        <w:rPr>
          <w:rFonts w:ascii="Times New Roman" w:hAnsi="Times New Roman" w:cs="Times New Roman"/>
          <w:sz w:val="24"/>
          <w:szCs w:val="24"/>
        </w:rPr>
        <w:t>,</w:t>
      </w:r>
      <w:r w:rsidR="00F8553A" w:rsidRPr="00A91E83">
        <w:rPr>
          <w:rFonts w:ascii="Times New Roman" w:hAnsi="Times New Roman" w:cs="Times New Roman"/>
          <w:sz w:val="24"/>
          <w:szCs w:val="24"/>
        </w:rPr>
        <w:t xml:space="preserve"> vienu ar kitu būdu</w:t>
      </w:r>
      <w:r w:rsidR="00967331" w:rsidRPr="00A91E83">
        <w:rPr>
          <w:rFonts w:ascii="Times New Roman" w:hAnsi="Times New Roman" w:cs="Times New Roman"/>
          <w:sz w:val="24"/>
          <w:szCs w:val="24"/>
        </w:rPr>
        <w:t>,</w:t>
      </w:r>
      <w:r w:rsidR="00F8553A" w:rsidRPr="00A91E83">
        <w:rPr>
          <w:rFonts w:ascii="Times New Roman" w:hAnsi="Times New Roman" w:cs="Times New Roman"/>
          <w:sz w:val="24"/>
          <w:szCs w:val="24"/>
        </w:rPr>
        <w:t xml:space="preserve"> sudarius palūkanų normų apsikeitimo sandorį</w:t>
      </w:r>
      <w:r w:rsidR="00967331" w:rsidRPr="00A91E83">
        <w:rPr>
          <w:rFonts w:ascii="Times New Roman" w:hAnsi="Times New Roman" w:cs="Times New Roman"/>
          <w:sz w:val="24"/>
          <w:szCs w:val="24"/>
        </w:rPr>
        <w:t>.</w:t>
      </w:r>
      <w:r w:rsidR="00F8553A" w:rsidRPr="00A91E83">
        <w:rPr>
          <w:rFonts w:ascii="Times New Roman" w:hAnsi="Times New Roman" w:cs="Times New Roman"/>
          <w:sz w:val="24"/>
          <w:szCs w:val="24"/>
        </w:rPr>
        <w:t xml:space="preserve"> </w:t>
      </w:r>
      <w:r w:rsidR="00967331" w:rsidRPr="00A91E83">
        <w:rPr>
          <w:rFonts w:ascii="Times New Roman" w:hAnsi="Times New Roman" w:cs="Times New Roman"/>
          <w:sz w:val="24"/>
          <w:szCs w:val="24"/>
        </w:rPr>
        <w:t>B</w:t>
      </w:r>
      <w:r w:rsidR="00F8553A" w:rsidRPr="00A91E83">
        <w:rPr>
          <w:rFonts w:ascii="Times New Roman" w:hAnsi="Times New Roman" w:cs="Times New Roman"/>
          <w:sz w:val="24"/>
          <w:szCs w:val="24"/>
        </w:rPr>
        <w:t>ankas A ir bendrovė B ir toliau privalo mokėti savo tikriesiems kreditoriams palūkanas</w:t>
      </w:r>
      <w:r w:rsidR="009732A6" w:rsidRPr="00A91E83">
        <w:rPr>
          <w:rFonts w:ascii="Times New Roman" w:hAnsi="Times New Roman" w:cs="Times New Roman"/>
          <w:sz w:val="24"/>
          <w:szCs w:val="24"/>
        </w:rPr>
        <w:t xml:space="preserve"> už atitinkamai suteiktus kreditus</w:t>
      </w:r>
      <w:r w:rsidR="00F8553A" w:rsidRPr="00A91E83">
        <w:rPr>
          <w:rFonts w:ascii="Times New Roman" w:hAnsi="Times New Roman" w:cs="Times New Roman"/>
          <w:sz w:val="24"/>
          <w:szCs w:val="24"/>
        </w:rPr>
        <w:t>,</w:t>
      </w:r>
      <w:r w:rsidR="007768A1" w:rsidRPr="00A91E83">
        <w:rPr>
          <w:rFonts w:ascii="Times New Roman" w:hAnsi="Times New Roman" w:cs="Times New Roman"/>
          <w:sz w:val="24"/>
          <w:szCs w:val="24"/>
        </w:rPr>
        <w:t xml:space="preserve"> paskolas</w:t>
      </w:r>
      <w:r w:rsidR="00967331" w:rsidRPr="00A91E83">
        <w:rPr>
          <w:rFonts w:ascii="Times New Roman" w:hAnsi="Times New Roman" w:cs="Times New Roman"/>
          <w:sz w:val="24"/>
          <w:szCs w:val="24"/>
        </w:rPr>
        <w:t>,</w:t>
      </w:r>
      <w:r w:rsidR="00F8553A" w:rsidRPr="00A91E83">
        <w:rPr>
          <w:rFonts w:ascii="Times New Roman" w:hAnsi="Times New Roman" w:cs="Times New Roman"/>
          <w:sz w:val="24"/>
          <w:szCs w:val="24"/>
        </w:rPr>
        <w:t xml:space="preserve"> neatsižvelgiant </w:t>
      </w:r>
      <w:r w:rsidR="009732A6" w:rsidRPr="00A91E83">
        <w:rPr>
          <w:rFonts w:ascii="Times New Roman" w:hAnsi="Times New Roman" w:cs="Times New Roman"/>
          <w:sz w:val="24"/>
          <w:szCs w:val="24"/>
        </w:rPr>
        <w:t>ar kita palūkanų normų apsikeitimo sandorio šali</w:t>
      </w:r>
      <w:r w:rsidR="00492F96" w:rsidRPr="00A91E83">
        <w:rPr>
          <w:rFonts w:ascii="Times New Roman" w:hAnsi="Times New Roman" w:cs="Times New Roman"/>
          <w:sz w:val="24"/>
          <w:szCs w:val="24"/>
        </w:rPr>
        <w:t>s</w:t>
      </w:r>
      <w:r w:rsidR="009732A6" w:rsidRPr="00A91E83">
        <w:rPr>
          <w:rFonts w:ascii="Times New Roman" w:hAnsi="Times New Roman" w:cs="Times New Roman"/>
          <w:sz w:val="24"/>
          <w:szCs w:val="24"/>
        </w:rPr>
        <w:t xml:space="preserve"> vykdo savo įsipareigojimus. Kitaip tariant, net ir jeigu bendrovė B tampa nemoki, tai bankas A vis tiek privalo mokėti </w:t>
      </w:r>
      <w:r w:rsidR="006E1539" w:rsidRPr="00A91E83">
        <w:rPr>
          <w:rFonts w:ascii="Times New Roman" w:hAnsi="Times New Roman" w:cs="Times New Roman"/>
          <w:sz w:val="24"/>
          <w:szCs w:val="24"/>
        </w:rPr>
        <w:t>išleistų</w:t>
      </w:r>
      <w:r w:rsidR="009732A6" w:rsidRPr="00A91E83">
        <w:rPr>
          <w:rFonts w:ascii="Times New Roman" w:hAnsi="Times New Roman" w:cs="Times New Roman"/>
          <w:sz w:val="24"/>
          <w:szCs w:val="24"/>
        </w:rPr>
        <w:t xml:space="preserve"> obligacijų </w:t>
      </w:r>
      <w:r w:rsidR="006E1539" w:rsidRPr="00A91E83">
        <w:rPr>
          <w:rFonts w:ascii="Times New Roman" w:hAnsi="Times New Roman" w:cs="Times New Roman"/>
          <w:sz w:val="24"/>
          <w:szCs w:val="24"/>
        </w:rPr>
        <w:t xml:space="preserve">savininkams </w:t>
      </w:r>
      <w:r w:rsidR="007768A1" w:rsidRPr="00A91E83">
        <w:rPr>
          <w:rFonts w:ascii="Times New Roman" w:hAnsi="Times New Roman" w:cs="Times New Roman"/>
          <w:sz w:val="24"/>
          <w:szCs w:val="24"/>
        </w:rPr>
        <w:t>10%</w:t>
      </w:r>
      <w:r w:rsidR="009732A6" w:rsidRPr="00A91E83">
        <w:rPr>
          <w:rFonts w:ascii="Times New Roman" w:hAnsi="Times New Roman" w:cs="Times New Roman"/>
          <w:sz w:val="24"/>
          <w:szCs w:val="24"/>
        </w:rPr>
        <w:t xml:space="preserve">, nepaisant to, jog bankas A nebegauna atitinkamų mokėjimų </w:t>
      </w:r>
      <w:r w:rsidR="00975ED4" w:rsidRPr="00A91E83">
        <w:rPr>
          <w:rFonts w:ascii="Times New Roman" w:hAnsi="Times New Roman" w:cs="Times New Roman"/>
          <w:sz w:val="24"/>
          <w:szCs w:val="24"/>
        </w:rPr>
        <w:t>pagal</w:t>
      </w:r>
      <w:r w:rsidR="009732A6" w:rsidRPr="00A91E83">
        <w:rPr>
          <w:rFonts w:ascii="Times New Roman" w:hAnsi="Times New Roman" w:cs="Times New Roman"/>
          <w:sz w:val="24"/>
          <w:szCs w:val="24"/>
        </w:rPr>
        <w:t xml:space="preserve"> palūkanų apsikeitimo sandorio iš bendrovės B. </w:t>
      </w:r>
      <w:r w:rsidR="00967331" w:rsidRPr="00A91E83">
        <w:rPr>
          <w:rFonts w:ascii="Times New Roman" w:hAnsi="Times New Roman" w:cs="Times New Roman"/>
          <w:sz w:val="24"/>
          <w:szCs w:val="24"/>
        </w:rPr>
        <w:t xml:space="preserve">Siekiant išvengti minėtos </w:t>
      </w:r>
      <w:r w:rsidR="00CA181C" w:rsidRPr="00A91E83">
        <w:rPr>
          <w:rFonts w:ascii="Times New Roman" w:hAnsi="Times New Roman" w:cs="Times New Roman"/>
          <w:sz w:val="24"/>
          <w:szCs w:val="24"/>
        </w:rPr>
        <w:t>kredito</w:t>
      </w:r>
      <w:r w:rsidR="00967331" w:rsidRPr="00A91E83">
        <w:rPr>
          <w:rFonts w:ascii="Times New Roman" w:hAnsi="Times New Roman" w:cs="Times New Roman"/>
          <w:sz w:val="24"/>
          <w:szCs w:val="24"/>
        </w:rPr>
        <w:t xml:space="preserve"> rizikos gali būti naudojamas, kitame poskyryje aptariamas sandoris dėl išvestinių finansinių priemonių – kredito įsipareigojimų nevykdymo apsikeitimo sandoris. </w:t>
      </w:r>
      <w:r w:rsidR="00587F39" w:rsidRPr="00A91E83">
        <w:rPr>
          <w:rFonts w:ascii="Times New Roman" w:hAnsi="Times New Roman" w:cs="Times New Roman"/>
          <w:sz w:val="24"/>
          <w:szCs w:val="24"/>
        </w:rPr>
        <w:t>Be to, jeigu bendrovei B iškelta bankroto byla, tai paskirtas bankroto administratorius gali reikalauti, jog bankas A ir toliau vykdytų įsipareigojimus pagal palūkanų apsikeitimo sandorį, o pats nemokėti iškart nieko ir pasiūlytų bankui A stoti į kreditorių eilę bankroto procese. Teisinė problema susidaro, jo</w:t>
      </w:r>
      <w:r w:rsidR="00A65FCC" w:rsidRPr="00A91E83">
        <w:rPr>
          <w:rFonts w:ascii="Times New Roman" w:hAnsi="Times New Roman" w:cs="Times New Roman"/>
          <w:sz w:val="24"/>
          <w:szCs w:val="24"/>
        </w:rPr>
        <w:t>g bankas A</w:t>
      </w:r>
      <w:r w:rsidR="00587F39" w:rsidRPr="00A91E83">
        <w:rPr>
          <w:rFonts w:ascii="Times New Roman" w:hAnsi="Times New Roman" w:cs="Times New Roman"/>
          <w:sz w:val="24"/>
          <w:szCs w:val="24"/>
        </w:rPr>
        <w:t xml:space="preserve"> patiria dvigubus nuostolius.</w:t>
      </w:r>
      <w:r w:rsidR="00AC548C" w:rsidRPr="00A91E83">
        <w:rPr>
          <w:rFonts w:ascii="Times New Roman" w:hAnsi="Times New Roman" w:cs="Times New Roman"/>
          <w:sz w:val="24"/>
          <w:szCs w:val="24"/>
        </w:rPr>
        <w:t xml:space="preserve"> </w:t>
      </w:r>
      <w:r w:rsidR="00EE7EE1" w:rsidRPr="00A91E83">
        <w:rPr>
          <w:rFonts w:ascii="Times New Roman" w:hAnsi="Times New Roman" w:cs="Times New Roman"/>
          <w:sz w:val="24"/>
          <w:szCs w:val="24"/>
        </w:rPr>
        <w:t xml:space="preserve">Todėl </w:t>
      </w:r>
      <w:r w:rsidR="00AC548C" w:rsidRPr="00A91E83">
        <w:rPr>
          <w:rFonts w:ascii="Times New Roman" w:hAnsi="Times New Roman" w:cs="Times New Roman"/>
          <w:sz w:val="24"/>
          <w:szCs w:val="24"/>
        </w:rPr>
        <w:t xml:space="preserve">praktikoje </w:t>
      </w:r>
      <w:r w:rsidR="00C770CF" w:rsidRPr="00A91E83">
        <w:rPr>
          <w:rFonts w:ascii="Times New Roman" w:hAnsi="Times New Roman" w:cs="Times New Roman"/>
          <w:sz w:val="24"/>
          <w:szCs w:val="24"/>
        </w:rPr>
        <w:t xml:space="preserve">tokie </w:t>
      </w:r>
      <w:r w:rsidR="00AC548C" w:rsidRPr="00A91E83">
        <w:rPr>
          <w:rFonts w:ascii="Times New Roman" w:hAnsi="Times New Roman" w:cs="Times New Roman"/>
          <w:sz w:val="24"/>
          <w:szCs w:val="24"/>
        </w:rPr>
        <w:t>sandoriai dažniausiai nutraukiami</w:t>
      </w:r>
      <w:r w:rsidR="00D10682" w:rsidRPr="00A91E83">
        <w:rPr>
          <w:rFonts w:ascii="Times New Roman" w:hAnsi="Times New Roman" w:cs="Times New Roman"/>
          <w:sz w:val="24"/>
          <w:szCs w:val="24"/>
        </w:rPr>
        <w:t xml:space="preserve"> vienašališkai, net jeigu tai ir nebuvo numatyta sutartyje</w:t>
      </w:r>
      <w:r w:rsidR="00AC548C" w:rsidRPr="00A91E83">
        <w:rPr>
          <w:rFonts w:ascii="Times New Roman" w:hAnsi="Times New Roman" w:cs="Times New Roman"/>
          <w:sz w:val="24"/>
          <w:szCs w:val="24"/>
        </w:rPr>
        <w:t>, nes kontrahentai patiria mažiau nuostolių sumokėdami netesybas nei tęsdami bendradarbiavimą su bankrutuojančia įmone ir vėliau laukdami reikalavimo patenkinimo bendra tvarka.</w:t>
      </w:r>
      <w:r w:rsidR="00AC548C" w:rsidRPr="00A91E83">
        <w:rPr>
          <w:rStyle w:val="Puslapioinaosnuoroda"/>
          <w:rFonts w:ascii="Times New Roman" w:hAnsi="Times New Roman" w:cs="Times New Roman"/>
          <w:sz w:val="24"/>
          <w:szCs w:val="24"/>
        </w:rPr>
        <w:footnoteReference w:id="46"/>
      </w:r>
    </w:p>
    <w:p w:rsidR="00492F96" w:rsidRPr="00A91E83" w:rsidRDefault="00492F96" w:rsidP="00B46A53">
      <w:pPr>
        <w:tabs>
          <w:tab w:val="left" w:pos="851"/>
        </w:tabs>
        <w:spacing w:after="0" w:line="360" w:lineRule="auto"/>
        <w:ind w:firstLine="851"/>
        <w:jc w:val="both"/>
        <w:rPr>
          <w:rFonts w:ascii="Times New Roman" w:hAnsi="Times New Roman" w:cs="Times New Roman"/>
          <w:sz w:val="24"/>
          <w:szCs w:val="24"/>
        </w:rPr>
      </w:pPr>
    </w:p>
    <w:p w:rsidR="004D7E44" w:rsidRPr="00A91E83" w:rsidRDefault="00310644" w:rsidP="0026550C">
      <w:pPr>
        <w:pStyle w:val="Sraopastraipa"/>
        <w:numPr>
          <w:ilvl w:val="2"/>
          <w:numId w:val="4"/>
        </w:numPr>
        <w:tabs>
          <w:tab w:val="left" w:pos="851"/>
        </w:tabs>
        <w:spacing w:after="0" w:line="360" w:lineRule="auto"/>
        <w:ind w:left="0" w:firstLine="0"/>
        <w:jc w:val="both"/>
        <w:outlineLvl w:val="2"/>
        <w:rPr>
          <w:rFonts w:ascii="Times New Roman" w:hAnsi="Times New Roman" w:cs="Times New Roman"/>
          <w:b/>
          <w:sz w:val="24"/>
          <w:szCs w:val="24"/>
        </w:rPr>
      </w:pPr>
      <w:bookmarkStart w:id="6" w:name="_Toc280546446"/>
      <w:r w:rsidRPr="00A91E83">
        <w:rPr>
          <w:rFonts w:ascii="Times New Roman" w:hAnsi="Times New Roman" w:cs="Times New Roman"/>
          <w:b/>
          <w:sz w:val="24"/>
          <w:szCs w:val="24"/>
        </w:rPr>
        <w:t>Kredito įsipareigojimų nevykdymo apsikeitimo sandoriai</w:t>
      </w:r>
      <w:bookmarkEnd w:id="6"/>
      <w:r w:rsidR="00856522" w:rsidRPr="00A91E83">
        <w:rPr>
          <w:rFonts w:ascii="Times New Roman" w:hAnsi="Times New Roman" w:cs="Times New Roman"/>
          <w:b/>
          <w:sz w:val="24"/>
          <w:szCs w:val="24"/>
        </w:rPr>
        <w:t xml:space="preserve"> </w:t>
      </w:r>
    </w:p>
    <w:p w:rsidR="00915BEF" w:rsidRPr="00A91E83" w:rsidRDefault="00915BEF" w:rsidP="00B46A53">
      <w:pPr>
        <w:tabs>
          <w:tab w:val="left" w:pos="851"/>
        </w:tabs>
        <w:spacing w:after="0" w:line="360" w:lineRule="auto"/>
        <w:ind w:firstLine="851"/>
        <w:jc w:val="both"/>
        <w:rPr>
          <w:rFonts w:ascii="Times New Roman" w:hAnsi="Times New Roman" w:cs="Times New Roman"/>
          <w:sz w:val="24"/>
          <w:szCs w:val="24"/>
        </w:rPr>
      </w:pPr>
    </w:p>
    <w:p w:rsidR="00EC2DD2" w:rsidRPr="00A91E83" w:rsidRDefault="00A67B7B"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Kredito įsipareigojimų nevykdymo apsikeitimo sandoriai </w:t>
      </w:r>
      <w:r w:rsidR="0026550C" w:rsidRPr="00A91E83">
        <w:rPr>
          <w:rFonts w:ascii="Times New Roman" w:hAnsi="Times New Roman" w:cs="Times New Roman"/>
          <w:sz w:val="24"/>
          <w:szCs w:val="24"/>
        </w:rPr>
        <w:t>(</w:t>
      </w:r>
      <w:proofErr w:type="spellStart"/>
      <w:r w:rsidR="0026550C" w:rsidRPr="00A91E83">
        <w:rPr>
          <w:rFonts w:ascii="Times New Roman" w:hAnsi="Times New Roman" w:cs="Times New Roman"/>
          <w:sz w:val="24"/>
          <w:szCs w:val="24"/>
        </w:rPr>
        <w:t>angl</w:t>
      </w:r>
      <w:proofErr w:type="spellEnd"/>
      <w:r w:rsidR="0026550C" w:rsidRPr="00A91E83">
        <w:rPr>
          <w:rFonts w:ascii="Times New Roman" w:hAnsi="Times New Roman" w:cs="Times New Roman"/>
          <w:sz w:val="24"/>
          <w:szCs w:val="24"/>
        </w:rPr>
        <w:t xml:space="preserve">. </w:t>
      </w:r>
      <w:proofErr w:type="spellStart"/>
      <w:r w:rsidR="0026550C" w:rsidRPr="00A91E83">
        <w:rPr>
          <w:rFonts w:ascii="Times New Roman" w:hAnsi="Times New Roman" w:cs="Times New Roman"/>
          <w:i/>
          <w:sz w:val="24"/>
          <w:szCs w:val="24"/>
        </w:rPr>
        <w:t>credit</w:t>
      </w:r>
      <w:proofErr w:type="spellEnd"/>
      <w:r w:rsidR="0026550C" w:rsidRPr="00A91E83">
        <w:rPr>
          <w:rFonts w:ascii="Times New Roman" w:hAnsi="Times New Roman" w:cs="Times New Roman"/>
          <w:i/>
          <w:sz w:val="24"/>
          <w:szCs w:val="24"/>
        </w:rPr>
        <w:t xml:space="preserve"> </w:t>
      </w:r>
      <w:proofErr w:type="spellStart"/>
      <w:r w:rsidR="0026550C" w:rsidRPr="00A91E83">
        <w:rPr>
          <w:rFonts w:ascii="Times New Roman" w:hAnsi="Times New Roman" w:cs="Times New Roman"/>
          <w:i/>
          <w:sz w:val="24"/>
          <w:szCs w:val="24"/>
        </w:rPr>
        <w:t>default</w:t>
      </w:r>
      <w:proofErr w:type="spellEnd"/>
      <w:r w:rsidR="0026550C" w:rsidRPr="00A91E83">
        <w:rPr>
          <w:rFonts w:ascii="Times New Roman" w:hAnsi="Times New Roman" w:cs="Times New Roman"/>
          <w:i/>
          <w:sz w:val="24"/>
          <w:szCs w:val="24"/>
        </w:rPr>
        <w:t xml:space="preserve"> </w:t>
      </w:r>
      <w:proofErr w:type="spellStart"/>
      <w:r w:rsidR="0026550C" w:rsidRPr="00A91E83">
        <w:rPr>
          <w:rFonts w:ascii="Times New Roman" w:hAnsi="Times New Roman" w:cs="Times New Roman"/>
          <w:i/>
          <w:sz w:val="24"/>
          <w:szCs w:val="24"/>
        </w:rPr>
        <w:t>swaps</w:t>
      </w:r>
      <w:proofErr w:type="spellEnd"/>
      <w:r w:rsidR="0026550C" w:rsidRPr="00A91E83">
        <w:rPr>
          <w:rFonts w:ascii="Times New Roman" w:hAnsi="Times New Roman" w:cs="Times New Roman"/>
          <w:i/>
          <w:sz w:val="24"/>
          <w:szCs w:val="24"/>
        </w:rPr>
        <w:t>)</w:t>
      </w:r>
      <w:r w:rsidR="0026550C" w:rsidRPr="00A91E83">
        <w:rPr>
          <w:rFonts w:ascii="Times New Roman" w:hAnsi="Times New Roman" w:cs="Times New Roman"/>
          <w:b/>
          <w:i/>
          <w:sz w:val="24"/>
          <w:szCs w:val="24"/>
        </w:rPr>
        <w:t xml:space="preserve"> </w:t>
      </w:r>
      <w:r w:rsidR="00A66C87" w:rsidRPr="00A91E83">
        <w:rPr>
          <w:rFonts w:ascii="Times New Roman" w:hAnsi="Times New Roman" w:cs="Times New Roman"/>
          <w:sz w:val="24"/>
          <w:szCs w:val="24"/>
        </w:rPr>
        <w:t>yra dvišalė</w:t>
      </w:r>
      <w:r w:rsidR="009A76B9" w:rsidRPr="00A91E83">
        <w:rPr>
          <w:rFonts w:ascii="Times New Roman" w:hAnsi="Times New Roman" w:cs="Times New Roman"/>
          <w:sz w:val="24"/>
          <w:szCs w:val="24"/>
        </w:rPr>
        <w:t>, sudaryta ne biržoje sutartis, kai viena šalis įsipareigo</w:t>
      </w:r>
      <w:r w:rsidR="00D26EFB" w:rsidRPr="00A91E83">
        <w:rPr>
          <w:rFonts w:ascii="Times New Roman" w:hAnsi="Times New Roman" w:cs="Times New Roman"/>
          <w:sz w:val="24"/>
          <w:szCs w:val="24"/>
        </w:rPr>
        <w:t>ja mokėti kontrahentui tam tikras periodines sumas</w:t>
      </w:r>
      <w:r w:rsidR="009A76B9" w:rsidRPr="00A91E83">
        <w:rPr>
          <w:rFonts w:ascii="Times New Roman" w:hAnsi="Times New Roman" w:cs="Times New Roman"/>
          <w:sz w:val="24"/>
          <w:szCs w:val="24"/>
        </w:rPr>
        <w:t xml:space="preserve">, </w:t>
      </w:r>
      <w:r w:rsidR="00D26EFB" w:rsidRPr="00A91E83">
        <w:rPr>
          <w:rFonts w:ascii="Times New Roman" w:hAnsi="Times New Roman" w:cs="Times New Roman"/>
          <w:sz w:val="24"/>
          <w:szCs w:val="24"/>
        </w:rPr>
        <w:t xml:space="preserve">o kita šalis atitinkamai sumoka išmoką, </w:t>
      </w:r>
      <w:r w:rsidR="009A76B9" w:rsidRPr="00A91E83">
        <w:rPr>
          <w:rFonts w:ascii="Times New Roman" w:hAnsi="Times New Roman" w:cs="Times New Roman"/>
          <w:sz w:val="24"/>
          <w:szCs w:val="24"/>
        </w:rPr>
        <w:t>nust</w:t>
      </w:r>
      <w:r w:rsidR="00AF3D4F" w:rsidRPr="00A91E83">
        <w:rPr>
          <w:rFonts w:ascii="Times New Roman" w:hAnsi="Times New Roman" w:cs="Times New Roman"/>
          <w:sz w:val="24"/>
          <w:szCs w:val="24"/>
        </w:rPr>
        <w:t xml:space="preserve">atytą atsižvelgiant į </w:t>
      </w:r>
      <w:r w:rsidR="00B155D5" w:rsidRPr="00A91E83">
        <w:rPr>
          <w:rFonts w:ascii="Times New Roman" w:hAnsi="Times New Roman" w:cs="Times New Roman"/>
          <w:sz w:val="24"/>
          <w:szCs w:val="24"/>
        </w:rPr>
        <w:t xml:space="preserve">pagrindinio </w:t>
      </w:r>
      <w:r w:rsidR="00AF3D4F" w:rsidRPr="00A91E83">
        <w:rPr>
          <w:rFonts w:ascii="Times New Roman" w:hAnsi="Times New Roman" w:cs="Times New Roman"/>
          <w:sz w:val="24"/>
          <w:szCs w:val="24"/>
        </w:rPr>
        <w:t xml:space="preserve">sandorio </w:t>
      </w:r>
      <w:r w:rsidR="007D67D9" w:rsidRPr="00A91E83">
        <w:rPr>
          <w:rFonts w:ascii="Times New Roman" w:hAnsi="Times New Roman" w:cs="Times New Roman"/>
          <w:sz w:val="24"/>
          <w:szCs w:val="24"/>
        </w:rPr>
        <w:t>nominalią</w:t>
      </w:r>
      <w:r w:rsidR="00B155D5" w:rsidRPr="00A91E83">
        <w:rPr>
          <w:rFonts w:ascii="Times New Roman" w:hAnsi="Times New Roman" w:cs="Times New Roman"/>
          <w:sz w:val="24"/>
          <w:szCs w:val="24"/>
        </w:rPr>
        <w:t xml:space="preserve"> </w:t>
      </w:r>
      <w:r w:rsidR="00AF3D4F" w:rsidRPr="00A91E83">
        <w:rPr>
          <w:rFonts w:ascii="Times New Roman" w:hAnsi="Times New Roman" w:cs="Times New Roman"/>
          <w:sz w:val="24"/>
          <w:szCs w:val="24"/>
        </w:rPr>
        <w:t>vertę,</w:t>
      </w:r>
      <w:r w:rsidR="00D26EFB" w:rsidRPr="00A91E83">
        <w:rPr>
          <w:rFonts w:ascii="Times New Roman" w:hAnsi="Times New Roman" w:cs="Times New Roman"/>
          <w:sz w:val="24"/>
          <w:szCs w:val="24"/>
        </w:rPr>
        <w:t xml:space="preserve"> jeigu atsitinka iš</w:t>
      </w:r>
      <w:r w:rsidR="007F6995" w:rsidRPr="00A91E83">
        <w:rPr>
          <w:rFonts w:ascii="Times New Roman" w:hAnsi="Times New Roman" w:cs="Times New Roman"/>
          <w:sz w:val="24"/>
          <w:szCs w:val="24"/>
        </w:rPr>
        <w:t xml:space="preserve"> </w:t>
      </w:r>
      <w:r w:rsidR="006A6BB7" w:rsidRPr="00A91E83">
        <w:rPr>
          <w:rFonts w:ascii="Times New Roman" w:hAnsi="Times New Roman" w:cs="Times New Roman"/>
          <w:sz w:val="24"/>
          <w:szCs w:val="24"/>
        </w:rPr>
        <w:t xml:space="preserve">anksto </w:t>
      </w:r>
      <w:r w:rsidR="00D26EFB" w:rsidRPr="00A91E83">
        <w:rPr>
          <w:rFonts w:ascii="Times New Roman" w:hAnsi="Times New Roman" w:cs="Times New Roman"/>
          <w:sz w:val="24"/>
          <w:szCs w:val="24"/>
        </w:rPr>
        <w:t xml:space="preserve">numatytas </w:t>
      </w:r>
      <w:r w:rsidR="0027505F" w:rsidRPr="00A91E83">
        <w:rPr>
          <w:rFonts w:ascii="Times New Roman" w:hAnsi="Times New Roman" w:cs="Times New Roman"/>
          <w:sz w:val="24"/>
          <w:szCs w:val="24"/>
        </w:rPr>
        <w:t>įvykis iki tam tikros datos ateityje</w:t>
      </w:r>
      <w:r w:rsidR="00D26EFB" w:rsidRPr="00A91E83">
        <w:rPr>
          <w:rFonts w:ascii="Times New Roman" w:hAnsi="Times New Roman" w:cs="Times New Roman"/>
          <w:sz w:val="24"/>
          <w:szCs w:val="24"/>
        </w:rPr>
        <w:t>.</w:t>
      </w:r>
      <w:r w:rsidR="006A6BB7" w:rsidRPr="00A91E83">
        <w:rPr>
          <w:rStyle w:val="Puslapioinaosnuoroda"/>
          <w:rFonts w:ascii="Times New Roman" w:hAnsi="Times New Roman" w:cs="Times New Roman"/>
          <w:sz w:val="24"/>
          <w:szCs w:val="24"/>
        </w:rPr>
        <w:footnoteReference w:id="47"/>
      </w:r>
      <w:r w:rsidR="009A76B9" w:rsidRPr="00A91E83">
        <w:rPr>
          <w:rFonts w:ascii="Times New Roman" w:hAnsi="Times New Roman" w:cs="Times New Roman"/>
          <w:sz w:val="24"/>
          <w:szCs w:val="24"/>
        </w:rPr>
        <w:t xml:space="preserve"> </w:t>
      </w:r>
      <w:r w:rsidR="00BD43B1" w:rsidRPr="00A91E83">
        <w:rPr>
          <w:rFonts w:ascii="Times New Roman" w:hAnsi="Times New Roman" w:cs="Times New Roman"/>
          <w:sz w:val="24"/>
          <w:szCs w:val="24"/>
        </w:rPr>
        <w:t>Minėtas sandoris</w:t>
      </w:r>
      <w:r w:rsidR="00B11A45" w:rsidRPr="00A91E83">
        <w:rPr>
          <w:rFonts w:ascii="Times New Roman" w:hAnsi="Times New Roman" w:cs="Times New Roman"/>
          <w:sz w:val="24"/>
          <w:szCs w:val="24"/>
        </w:rPr>
        <w:t xml:space="preserve"> perkelia trečios šalies nemokumo riziką iš vienos šalies kitam kontrahentui mainais į periodines įmokas.</w:t>
      </w:r>
      <w:r w:rsidR="00B11A45" w:rsidRPr="00A91E83">
        <w:rPr>
          <w:rStyle w:val="Puslapioinaosnuoroda"/>
          <w:rFonts w:ascii="Times New Roman" w:hAnsi="Times New Roman" w:cs="Times New Roman"/>
          <w:sz w:val="24"/>
          <w:szCs w:val="24"/>
        </w:rPr>
        <w:footnoteReference w:id="48"/>
      </w:r>
      <w:r w:rsidR="00B11A45" w:rsidRPr="00A91E83">
        <w:rPr>
          <w:rFonts w:ascii="Times New Roman" w:hAnsi="Times New Roman" w:cs="Times New Roman"/>
          <w:sz w:val="24"/>
          <w:szCs w:val="24"/>
        </w:rPr>
        <w:t xml:space="preserve"> </w:t>
      </w:r>
      <w:r w:rsidR="00097B2D" w:rsidRPr="00A91E83">
        <w:rPr>
          <w:rFonts w:ascii="Times New Roman" w:hAnsi="Times New Roman" w:cs="Times New Roman"/>
          <w:sz w:val="24"/>
          <w:szCs w:val="24"/>
        </w:rPr>
        <w:t>S</w:t>
      </w:r>
      <w:r w:rsidR="000222A1" w:rsidRPr="00A91E83">
        <w:rPr>
          <w:rFonts w:ascii="Times New Roman" w:hAnsi="Times New Roman" w:cs="Times New Roman"/>
          <w:sz w:val="24"/>
          <w:szCs w:val="24"/>
        </w:rPr>
        <w:t xml:space="preserve">andorio </w:t>
      </w:r>
      <w:r w:rsidR="00303C10" w:rsidRPr="00A91E83">
        <w:rPr>
          <w:rFonts w:ascii="Times New Roman" w:hAnsi="Times New Roman" w:cs="Times New Roman"/>
          <w:sz w:val="24"/>
          <w:szCs w:val="24"/>
        </w:rPr>
        <w:t>šalys yra dvi, tačiau siekiant atskleisti sandorio struktūros ypatumus schemoje naudojamai trys dalyviai</w:t>
      </w:r>
      <w:r w:rsidR="000222A1" w:rsidRPr="00A91E83">
        <w:rPr>
          <w:rFonts w:ascii="Times New Roman" w:hAnsi="Times New Roman" w:cs="Times New Roman"/>
          <w:sz w:val="24"/>
          <w:szCs w:val="24"/>
        </w:rPr>
        <w:t>: (A) apsaugos pirkėjas</w:t>
      </w:r>
      <w:r w:rsidR="00201B40" w:rsidRPr="00A91E83">
        <w:rPr>
          <w:rFonts w:ascii="Times New Roman" w:hAnsi="Times New Roman" w:cs="Times New Roman"/>
          <w:sz w:val="24"/>
          <w:szCs w:val="24"/>
        </w:rPr>
        <w:t xml:space="preserve"> B </w:t>
      </w:r>
      <w:r w:rsidR="00201B40" w:rsidRPr="00A91E83">
        <w:rPr>
          <w:rFonts w:ascii="Times New Roman" w:hAnsi="Times New Roman" w:cs="Times New Roman"/>
          <w:sz w:val="24"/>
          <w:szCs w:val="24"/>
        </w:rPr>
        <w:lastRenderedPageBreak/>
        <w:t>atžvilgiu ir apsaugos pardavėjas C atžvilgiu</w:t>
      </w:r>
      <w:r w:rsidR="000222A1" w:rsidRPr="00A91E83">
        <w:rPr>
          <w:rFonts w:ascii="Times New Roman" w:hAnsi="Times New Roman" w:cs="Times New Roman"/>
          <w:sz w:val="24"/>
          <w:szCs w:val="24"/>
        </w:rPr>
        <w:t>, (B) apsaugos pardavėjas</w:t>
      </w:r>
      <w:r w:rsidR="00201B40" w:rsidRPr="00A91E83">
        <w:rPr>
          <w:rFonts w:ascii="Times New Roman" w:hAnsi="Times New Roman" w:cs="Times New Roman"/>
          <w:sz w:val="24"/>
          <w:szCs w:val="24"/>
        </w:rPr>
        <w:t>, (C) apsaugos pirkėjas ir</w:t>
      </w:r>
      <w:r w:rsidR="00EC2DD2" w:rsidRPr="00A91E83">
        <w:rPr>
          <w:rFonts w:ascii="Times New Roman" w:hAnsi="Times New Roman" w:cs="Times New Roman"/>
          <w:sz w:val="24"/>
          <w:szCs w:val="24"/>
        </w:rPr>
        <w:t xml:space="preserve"> </w:t>
      </w:r>
      <w:r w:rsidR="000222A1" w:rsidRPr="00A91E83">
        <w:rPr>
          <w:rFonts w:ascii="Times New Roman" w:hAnsi="Times New Roman" w:cs="Times New Roman"/>
          <w:sz w:val="24"/>
          <w:szCs w:val="24"/>
        </w:rPr>
        <w:t>(Z) emitentas</w:t>
      </w:r>
      <w:r w:rsidR="00430F06" w:rsidRPr="00A91E83">
        <w:rPr>
          <w:rStyle w:val="Puslapioinaosnuoroda"/>
          <w:rFonts w:ascii="Times New Roman" w:hAnsi="Times New Roman" w:cs="Times New Roman"/>
          <w:sz w:val="24"/>
          <w:szCs w:val="24"/>
        </w:rPr>
        <w:footnoteReference w:id="49"/>
      </w:r>
      <w:r w:rsidR="00EC2DD2" w:rsidRPr="00A91E83">
        <w:rPr>
          <w:rFonts w:ascii="Times New Roman" w:hAnsi="Times New Roman" w:cs="Times New Roman"/>
          <w:sz w:val="24"/>
          <w:szCs w:val="24"/>
        </w:rPr>
        <w:t>. Schemoje</w:t>
      </w:r>
      <w:r w:rsidR="00D401F8" w:rsidRPr="00A91E83">
        <w:rPr>
          <w:rFonts w:ascii="Times New Roman" w:hAnsi="Times New Roman" w:cs="Times New Roman"/>
          <w:sz w:val="24"/>
          <w:szCs w:val="24"/>
        </w:rPr>
        <w:t xml:space="preserve"> </w:t>
      </w:r>
      <w:proofErr w:type="spellStart"/>
      <w:r w:rsidR="00D401F8" w:rsidRPr="00A91E83">
        <w:rPr>
          <w:rFonts w:ascii="Times New Roman" w:hAnsi="Times New Roman" w:cs="Times New Roman"/>
          <w:sz w:val="24"/>
          <w:szCs w:val="24"/>
        </w:rPr>
        <w:t>Nr</w:t>
      </w:r>
      <w:proofErr w:type="spellEnd"/>
      <w:r w:rsidR="00D401F8" w:rsidRPr="00A91E83">
        <w:rPr>
          <w:rFonts w:ascii="Times New Roman" w:hAnsi="Times New Roman" w:cs="Times New Roman"/>
          <w:sz w:val="24"/>
          <w:szCs w:val="24"/>
        </w:rPr>
        <w:t xml:space="preserve">. 1 </w:t>
      </w:r>
      <w:r w:rsidR="00EC2DD2" w:rsidRPr="00A91E83">
        <w:rPr>
          <w:rFonts w:ascii="Times New Roman" w:hAnsi="Times New Roman" w:cs="Times New Roman"/>
          <w:sz w:val="24"/>
          <w:szCs w:val="24"/>
        </w:rPr>
        <w:t xml:space="preserve">jie </w:t>
      </w:r>
      <w:r w:rsidR="00E718E3" w:rsidRPr="00A91E83">
        <w:rPr>
          <w:rFonts w:ascii="Times New Roman" w:hAnsi="Times New Roman" w:cs="Times New Roman"/>
          <w:sz w:val="24"/>
          <w:szCs w:val="24"/>
        </w:rPr>
        <w:t>išsidėstytų tokia tvarka</w:t>
      </w:r>
      <w:r w:rsidR="00EC2DD2" w:rsidRPr="00A91E83">
        <w:rPr>
          <w:rFonts w:ascii="Times New Roman" w:hAnsi="Times New Roman" w:cs="Times New Roman"/>
          <w:sz w:val="24"/>
          <w:szCs w:val="24"/>
        </w:rPr>
        <w:t>:</w:t>
      </w:r>
    </w:p>
    <w:p w:rsidR="00D401F8" w:rsidRPr="00A91E83" w:rsidRDefault="00D401F8" w:rsidP="004E06DA">
      <w:pPr>
        <w:tabs>
          <w:tab w:val="left" w:pos="851"/>
        </w:tabs>
        <w:spacing w:after="0" w:line="360" w:lineRule="auto"/>
        <w:jc w:val="center"/>
        <w:rPr>
          <w:rFonts w:ascii="Times New Roman" w:hAnsi="Times New Roman" w:cs="Times New Roman"/>
          <w:sz w:val="24"/>
          <w:szCs w:val="24"/>
        </w:rPr>
      </w:pPr>
      <w:r w:rsidRPr="00A91E83">
        <w:rPr>
          <w:rFonts w:ascii="Times New Roman" w:hAnsi="Times New Roman" w:cs="Times New Roman"/>
          <w:sz w:val="24"/>
          <w:szCs w:val="24"/>
        </w:rPr>
        <w:t xml:space="preserve">Schema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1</w:t>
      </w:r>
    </w:p>
    <w:p w:rsidR="009178AD" w:rsidRPr="00A91E83" w:rsidRDefault="00D401F8" w:rsidP="00D401F8">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469131F9" wp14:editId="4B36E922">
            <wp:simplePos x="0" y="0"/>
            <wp:positionH relativeFrom="column">
              <wp:posOffset>35560</wp:posOffset>
            </wp:positionH>
            <wp:positionV relativeFrom="paragraph">
              <wp:posOffset>3810</wp:posOffset>
            </wp:positionV>
            <wp:extent cx="5818505" cy="2517140"/>
            <wp:effectExtent l="0" t="0" r="0" b="0"/>
            <wp:wrapTight wrapText="bothSides">
              <wp:wrapPolygon edited="0">
                <wp:start x="0" y="0"/>
                <wp:lineTo x="0" y="21415"/>
                <wp:lineTo x="21499" y="21415"/>
                <wp:lineTo x="2149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8505" cy="2517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1E83">
        <w:rPr>
          <w:rFonts w:ascii="Times New Roman" w:hAnsi="Times New Roman" w:cs="Times New Roman"/>
          <w:sz w:val="24"/>
          <w:szCs w:val="24"/>
        </w:rPr>
        <w:t>T</w:t>
      </w:r>
      <w:r w:rsidR="008E5BB6" w:rsidRPr="00A91E83">
        <w:rPr>
          <w:rFonts w:ascii="Times New Roman" w:hAnsi="Times New Roman" w:cs="Times New Roman"/>
          <w:sz w:val="24"/>
          <w:szCs w:val="24"/>
        </w:rPr>
        <w:t xml:space="preserve">arkime, jog </w:t>
      </w:r>
      <w:r w:rsidR="004933C2" w:rsidRPr="00A91E83">
        <w:rPr>
          <w:rFonts w:ascii="Times New Roman" w:hAnsi="Times New Roman" w:cs="Times New Roman"/>
          <w:sz w:val="24"/>
          <w:szCs w:val="24"/>
        </w:rPr>
        <w:t xml:space="preserve">Z yra išleidęs obligacijų, kurias įsigijo </w:t>
      </w:r>
      <w:r w:rsidR="008546FC" w:rsidRPr="00A91E83">
        <w:rPr>
          <w:rFonts w:ascii="Times New Roman" w:hAnsi="Times New Roman" w:cs="Times New Roman"/>
          <w:sz w:val="24"/>
          <w:szCs w:val="24"/>
        </w:rPr>
        <w:t>A</w:t>
      </w:r>
      <w:r w:rsidR="00706A35" w:rsidRPr="00A91E83">
        <w:rPr>
          <w:rFonts w:ascii="Times New Roman" w:hAnsi="Times New Roman" w:cs="Times New Roman"/>
          <w:sz w:val="24"/>
          <w:szCs w:val="24"/>
        </w:rPr>
        <w:t xml:space="preserve">, kitais žodžiais tariant </w:t>
      </w:r>
      <w:r w:rsidR="004933C2" w:rsidRPr="00A91E83">
        <w:rPr>
          <w:rFonts w:ascii="Times New Roman" w:hAnsi="Times New Roman" w:cs="Times New Roman"/>
          <w:sz w:val="24"/>
          <w:szCs w:val="24"/>
        </w:rPr>
        <w:t>A yra pirminis kredit</w:t>
      </w:r>
      <w:r w:rsidR="008546FC" w:rsidRPr="00A91E83">
        <w:rPr>
          <w:rFonts w:ascii="Times New Roman" w:hAnsi="Times New Roman" w:cs="Times New Roman"/>
          <w:sz w:val="24"/>
          <w:szCs w:val="24"/>
        </w:rPr>
        <w:t>orius, o Z – pirminis</w:t>
      </w:r>
      <w:r w:rsidR="004933C2" w:rsidRPr="00A91E83">
        <w:rPr>
          <w:rFonts w:ascii="Times New Roman" w:hAnsi="Times New Roman" w:cs="Times New Roman"/>
          <w:sz w:val="24"/>
          <w:szCs w:val="24"/>
        </w:rPr>
        <w:t xml:space="preserve"> skolinink</w:t>
      </w:r>
      <w:r w:rsidR="008546FC" w:rsidRPr="00A91E83">
        <w:rPr>
          <w:rFonts w:ascii="Times New Roman" w:hAnsi="Times New Roman" w:cs="Times New Roman"/>
          <w:sz w:val="24"/>
          <w:szCs w:val="24"/>
        </w:rPr>
        <w:t>as</w:t>
      </w:r>
      <w:r w:rsidR="00DA0DC7" w:rsidRPr="00A91E83">
        <w:rPr>
          <w:rFonts w:ascii="Times New Roman" w:hAnsi="Times New Roman" w:cs="Times New Roman"/>
          <w:sz w:val="24"/>
          <w:szCs w:val="24"/>
        </w:rPr>
        <w:t>,</w:t>
      </w:r>
      <w:r w:rsidR="004933C2" w:rsidRPr="00A91E83">
        <w:rPr>
          <w:rFonts w:ascii="Times New Roman" w:hAnsi="Times New Roman" w:cs="Times New Roman"/>
          <w:sz w:val="24"/>
          <w:szCs w:val="24"/>
        </w:rPr>
        <w:t xml:space="preserve"> </w:t>
      </w:r>
      <w:r w:rsidR="008546FC" w:rsidRPr="00A91E83">
        <w:rPr>
          <w:rFonts w:ascii="Times New Roman" w:hAnsi="Times New Roman" w:cs="Times New Roman"/>
          <w:sz w:val="24"/>
          <w:szCs w:val="24"/>
        </w:rPr>
        <w:t xml:space="preserve">pagrindinio sandorio </w:t>
      </w:r>
      <w:r w:rsidR="00BA62DF" w:rsidRPr="00A91E83">
        <w:rPr>
          <w:rFonts w:ascii="Times New Roman" w:hAnsi="Times New Roman" w:cs="Times New Roman"/>
          <w:sz w:val="24"/>
          <w:szCs w:val="24"/>
        </w:rPr>
        <w:t xml:space="preserve">(obligacijų </w:t>
      </w:r>
      <w:r w:rsidR="00DC38E3" w:rsidRPr="00A91E83">
        <w:rPr>
          <w:rFonts w:ascii="Times New Roman" w:hAnsi="Times New Roman" w:cs="Times New Roman"/>
          <w:sz w:val="24"/>
          <w:szCs w:val="24"/>
        </w:rPr>
        <w:t>platinimo</w:t>
      </w:r>
      <w:r w:rsidR="00BA62DF" w:rsidRPr="00A91E83">
        <w:rPr>
          <w:rFonts w:ascii="Times New Roman" w:hAnsi="Times New Roman" w:cs="Times New Roman"/>
          <w:sz w:val="24"/>
          <w:szCs w:val="24"/>
        </w:rPr>
        <w:t xml:space="preserve">) </w:t>
      </w:r>
      <w:r w:rsidR="008546FC" w:rsidRPr="00A91E83">
        <w:rPr>
          <w:rFonts w:ascii="Times New Roman" w:hAnsi="Times New Roman" w:cs="Times New Roman"/>
          <w:sz w:val="24"/>
          <w:szCs w:val="24"/>
        </w:rPr>
        <w:t>tarp A ir Z atžvilgiu</w:t>
      </w:r>
      <w:r w:rsidR="004933C2" w:rsidRPr="00A91E83">
        <w:rPr>
          <w:rFonts w:ascii="Times New Roman" w:hAnsi="Times New Roman" w:cs="Times New Roman"/>
          <w:sz w:val="24"/>
          <w:szCs w:val="24"/>
        </w:rPr>
        <w:t>.</w:t>
      </w:r>
      <w:r w:rsidR="00A6501B" w:rsidRPr="00A91E83">
        <w:rPr>
          <w:rFonts w:ascii="Times New Roman" w:hAnsi="Times New Roman" w:cs="Times New Roman"/>
          <w:sz w:val="24"/>
          <w:szCs w:val="24"/>
        </w:rPr>
        <w:t xml:space="preserve"> </w:t>
      </w:r>
      <w:r w:rsidR="008E5BB6" w:rsidRPr="00A91E83">
        <w:rPr>
          <w:rFonts w:ascii="Times New Roman" w:hAnsi="Times New Roman" w:cs="Times New Roman"/>
          <w:sz w:val="24"/>
          <w:szCs w:val="24"/>
        </w:rPr>
        <w:t xml:space="preserve">Tai </w:t>
      </w:r>
      <w:r w:rsidR="00A6501B" w:rsidRPr="00A91E83">
        <w:rPr>
          <w:rFonts w:ascii="Times New Roman" w:hAnsi="Times New Roman" w:cs="Times New Roman"/>
          <w:sz w:val="24"/>
          <w:szCs w:val="24"/>
        </w:rPr>
        <w:t>A</w:t>
      </w:r>
      <w:r w:rsidR="008E5BB6" w:rsidRPr="00A91E83">
        <w:rPr>
          <w:rFonts w:ascii="Times New Roman" w:hAnsi="Times New Roman" w:cs="Times New Roman"/>
          <w:sz w:val="24"/>
          <w:szCs w:val="24"/>
        </w:rPr>
        <w:t xml:space="preserve"> ir B sudaro</w:t>
      </w:r>
      <w:r w:rsidR="00A6501B" w:rsidRPr="00A91E83">
        <w:rPr>
          <w:rFonts w:ascii="Times New Roman" w:hAnsi="Times New Roman" w:cs="Times New Roman"/>
          <w:sz w:val="24"/>
          <w:szCs w:val="24"/>
        </w:rPr>
        <w:t xml:space="preserve"> </w:t>
      </w:r>
      <w:r w:rsidR="00815588" w:rsidRPr="00A91E83">
        <w:rPr>
          <w:rFonts w:ascii="Times New Roman" w:hAnsi="Times New Roman" w:cs="Times New Roman"/>
          <w:sz w:val="24"/>
          <w:szCs w:val="24"/>
        </w:rPr>
        <w:t>kredito įsipareigojimų nevykdymo apsikeitimo sandorį, pagal kurį</w:t>
      </w:r>
      <w:r w:rsidR="00A6501B" w:rsidRPr="00A91E83">
        <w:rPr>
          <w:rFonts w:ascii="Times New Roman" w:hAnsi="Times New Roman" w:cs="Times New Roman"/>
          <w:sz w:val="24"/>
          <w:szCs w:val="24"/>
        </w:rPr>
        <w:t xml:space="preserve"> </w:t>
      </w:r>
      <w:r w:rsidR="004933C2" w:rsidRPr="00A91E83">
        <w:rPr>
          <w:rFonts w:ascii="Times New Roman" w:hAnsi="Times New Roman" w:cs="Times New Roman"/>
          <w:sz w:val="24"/>
          <w:szCs w:val="24"/>
        </w:rPr>
        <w:t xml:space="preserve">B </w:t>
      </w:r>
      <w:r w:rsidR="00EC2DD2" w:rsidRPr="00A91E83">
        <w:rPr>
          <w:rFonts w:ascii="Times New Roman" w:hAnsi="Times New Roman" w:cs="Times New Roman"/>
          <w:sz w:val="24"/>
          <w:szCs w:val="24"/>
        </w:rPr>
        <w:t xml:space="preserve">sutinka sumokėti A atitinkamą sumą, jeigu </w:t>
      </w:r>
      <w:r w:rsidR="004F489A" w:rsidRPr="00A91E83">
        <w:rPr>
          <w:rFonts w:ascii="Times New Roman" w:hAnsi="Times New Roman" w:cs="Times New Roman"/>
          <w:sz w:val="24"/>
          <w:szCs w:val="24"/>
        </w:rPr>
        <w:t>atsitiks</w:t>
      </w:r>
      <w:r w:rsidR="00EC2DD2" w:rsidRPr="00A91E83">
        <w:rPr>
          <w:rFonts w:ascii="Times New Roman" w:hAnsi="Times New Roman" w:cs="Times New Roman"/>
          <w:sz w:val="24"/>
          <w:szCs w:val="24"/>
        </w:rPr>
        <w:t xml:space="preserve"> tam tikras </w:t>
      </w:r>
      <w:r w:rsidR="00E10FC5" w:rsidRPr="00A91E83">
        <w:rPr>
          <w:rFonts w:ascii="Times New Roman" w:hAnsi="Times New Roman" w:cs="Times New Roman"/>
          <w:sz w:val="24"/>
          <w:szCs w:val="24"/>
        </w:rPr>
        <w:t xml:space="preserve">kreditinis </w:t>
      </w:r>
      <w:r w:rsidR="00EC2DD2" w:rsidRPr="00A91E83">
        <w:rPr>
          <w:rFonts w:ascii="Times New Roman" w:hAnsi="Times New Roman" w:cs="Times New Roman"/>
          <w:sz w:val="24"/>
          <w:szCs w:val="24"/>
        </w:rPr>
        <w:t>įvykis</w:t>
      </w:r>
      <w:r w:rsidR="004933C2" w:rsidRPr="00A91E83">
        <w:rPr>
          <w:rFonts w:ascii="Times New Roman" w:hAnsi="Times New Roman" w:cs="Times New Roman"/>
          <w:sz w:val="24"/>
          <w:szCs w:val="24"/>
        </w:rPr>
        <w:t xml:space="preserve">, </w:t>
      </w:r>
      <w:r w:rsidR="00A6501B" w:rsidRPr="00A91E83">
        <w:rPr>
          <w:rFonts w:ascii="Times New Roman" w:hAnsi="Times New Roman" w:cs="Times New Roman"/>
          <w:sz w:val="24"/>
          <w:szCs w:val="24"/>
        </w:rPr>
        <w:t xml:space="preserve">per sutartą laikotarpį, </w:t>
      </w:r>
      <w:proofErr w:type="spellStart"/>
      <w:r w:rsidR="00A6501B" w:rsidRPr="00A91E83">
        <w:rPr>
          <w:rFonts w:ascii="Times New Roman" w:hAnsi="Times New Roman" w:cs="Times New Roman"/>
          <w:sz w:val="24"/>
          <w:szCs w:val="24"/>
        </w:rPr>
        <w:t>p</w:t>
      </w:r>
      <w:r w:rsidR="004933C2" w:rsidRPr="00A91E83">
        <w:rPr>
          <w:rFonts w:ascii="Times New Roman" w:hAnsi="Times New Roman" w:cs="Times New Roman"/>
          <w:sz w:val="24"/>
          <w:szCs w:val="24"/>
        </w:rPr>
        <w:t>vz</w:t>
      </w:r>
      <w:proofErr w:type="spellEnd"/>
      <w:r w:rsidR="004933C2" w:rsidRPr="00A91E83">
        <w:rPr>
          <w:rFonts w:ascii="Times New Roman" w:hAnsi="Times New Roman" w:cs="Times New Roman"/>
          <w:sz w:val="24"/>
          <w:szCs w:val="24"/>
        </w:rPr>
        <w:t xml:space="preserve">.: Z bankrutuos ir negalės </w:t>
      </w:r>
      <w:r w:rsidR="008E5BB6" w:rsidRPr="00A91E83">
        <w:rPr>
          <w:rFonts w:ascii="Times New Roman" w:hAnsi="Times New Roman" w:cs="Times New Roman"/>
          <w:sz w:val="24"/>
          <w:szCs w:val="24"/>
        </w:rPr>
        <w:t xml:space="preserve">toliau </w:t>
      </w:r>
      <w:r w:rsidR="004933C2" w:rsidRPr="00A91E83">
        <w:rPr>
          <w:rFonts w:ascii="Times New Roman" w:hAnsi="Times New Roman" w:cs="Times New Roman"/>
          <w:sz w:val="24"/>
          <w:szCs w:val="24"/>
        </w:rPr>
        <w:t xml:space="preserve">mokėti </w:t>
      </w:r>
      <w:r w:rsidR="007E0CCE" w:rsidRPr="00A91E83">
        <w:rPr>
          <w:rFonts w:ascii="Times New Roman" w:hAnsi="Times New Roman" w:cs="Times New Roman"/>
          <w:sz w:val="24"/>
          <w:szCs w:val="24"/>
        </w:rPr>
        <w:t xml:space="preserve">A </w:t>
      </w:r>
      <w:r w:rsidR="004933C2" w:rsidRPr="00A91E83">
        <w:rPr>
          <w:rFonts w:ascii="Times New Roman" w:hAnsi="Times New Roman" w:cs="Times New Roman"/>
          <w:sz w:val="24"/>
          <w:szCs w:val="24"/>
        </w:rPr>
        <w:t>sutartų fiksuotų palūkanų dydžio už išleistas obligacijas</w:t>
      </w:r>
      <w:r w:rsidR="008E5BB6" w:rsidRPr="00A91E83">
        <w:rPr>
          <w:rFonts w:ascii="Times New Roman" w:hAnsi="Times New Roman" w:cs="Times New Roman"/>
          <w:sz w:val="24"/>
          <w:szCs w:val="24"/>
        </w:rPr>
        <w:t>.</w:t>
      </w:r>
      <w:r w:rsidR="004933C2" w:rsidRPr="00A91E83">
        <w:rPr>
          <w:rFonts w:ascii="Times New Roman" w:hAnsi="Times New Roman" w:cs="Times New Roman"/>
          <w:sz w:val="24"/>
          <w:szCs w:val="24"/>
        </w:rPr>
        <w:t xml:space="preserve"> </w:t>
      </w:r>
      <w:r w:rsidR="008E5BB6" w:rsidRPr="00A91E83">
        <w:rPr>
          <w:rFonts w:ascii="Times New Roman" w:hAnsi="Times New Roman" w:cs="Times New Roman"/>
          <w:sz w:val="24"/>
          <w:szCs w:val="24"/>
        </w:rPr>
        <w:t>T</w:t>
      </w:r>
      <w:r w:rsidR="004933C2" w:rsidRPr="00A91E83">
        <w:rPr>
          <w:rFonts w:ascii="Times New Roman" w:hAnsi="Times New Roman" w:cs="Times New Roman"/>
          <w:sz w:val="24"/>
          <w:szCs w:val="24"/>
        </w:rPr>
        <w:t>odėl</w:t>
      </w:r>
      <w:r w:rsidR="00DA0DC7" w:rsidRPr="00A91E83">
        <w:rPr>
          <w:rFonts w:ascii="Times New Roman" w:hAnsi="Times New Roman" w:cs="Times New Roman"/>
          <w:sz w:val="24"/>
          <w:szCs w:val="24"/>
        </w:rPr>
        <w:t>,</w:t>
      </w:r>
      <w:r w:rsidR="004933C2" w:rsidRPr="00A91E83">
        <w:rPr>
          <w:rFonts w:ascii="Times New Roman" w:hAnsi="Times New Roman" w:cs="Times New Roman"/>
          <w:sz w:val="24"/>
          <w:szCs w:val="24"/>
        </w:rPr>
        <w:t xml:space="preserve"> dėka </w:t>
      </w:r>
      <w:r w:rsidR="00815588" w:rsidRPr="00A91E83">
        <w:rPr>
          <w:rFonts w:ascii="Times New Roman" w:hAnsi="Times New Roman" w:cs="Times New Roman"/>
          <w:sz w:val="24"/>
          <w:szCs w:val="24"/>
        </w:rPr>
        <w:t>minėto sandorio</w:t>
      </w:r>
      <w:r w:rsidR="00DA0DC7" w:rsidRPr="00A91E83">
        <w:rPr>
          <w:rFonts w:ascii="Times New Roman" w:hAnsi="Times New Roman" w:cs="Times New Roman"/>
          <w:sz w:val="24"/>
          <w:szCs w:val="24"/>
        </w:rPr>
        <w:t>,</w:t>
      </w:r>
      <w:r w:rsidR="004933C2" w:rsidRPr="00A91E83">
        <w:rPr>
          <w:rFonts w:ascii="Times New Roman" w:hAnsi="Times New Roman" w:cs="Times New Roman"/>
          <w:sz w:val="24"/>
          <w:szCs w:val="24"/>
        </w:rPr>
        <w:t xml:space="preserve"> tokią kompensaciją A gaus iš B.</w:t>
      </w:r>
      <w:r w:rsidR="00EC2DD2" w:rsidRPr="00A91E83">
        <w:rPr>
          <w:rFonts w:ascii="Times New Roman" w:hAnsi="Times New Roman" w:cs="Times New Roman"/>
          <w:sz w:val="24"/>
          <w:szCs w:val="24"/>
        </w:rPr>
        <w:t xml:space="preserve"> </w:t>
      </w:r>
      <w:r w:rsidR="00DA0DC7" w:rsidRPr="00A91E83">
        <w:rPr>
          <w:rFonts w:ascii="Times New Roman" w:hAnsi="Times New Roman" w:cs="Times New Roman"/>
          <w:sz w:val="24"/>
          <w:szCs w:val="24"/>
        </w:rPr>
        <w:t>A u</w:t>
      </w:r>
      <w:r w:rsidR="007A152B" w:rsidRPr="00A91E83">
        <w:rPr>
          <w:rFonts w:ascii="Times New Roman" w:hAnsi="Times New Roman" w:cs="Times New Roman"/>
          <w:sz w:val="24"/>
          <w:szCs w:val="24"/>
        </w:rPr>
        <w:t>ž tokią apsaugą moka mokestį B, dažniausiai periodiškai sumokan</w:t>
      </w:r>
      <w:r w:rsidR="008E5BB6" w:rsidRPr="00A91E83">
        <w:rPr>
          <w:rFonts w:ascii="Times New Roman" w:hAnsi="Times New Roman" w:cs="Times New Roman"/>
          <w:sz w:val="24"/>
          <w:szCs w:val="24"/>
        </w:rPr>
        <w:t>t</w:t>
      </w:r>
      <w:r w:rsidR="007A152B" w:rsidRPr="00A91E83">
        <w:rPr>
          <w:rFonts w:ascii="Times New Roman" w:hAnsi="Times New Roman" w:cs="Times New Roman"/>
          <w:sz w:val="24"/>
          <w:szCs w:val="24"/>
        </w:rPr>
        <w:t xml:space="preserve"> tam tikrą procentą pagrindinio sandorio nominalios vertės. </w:t>
      </w:r>
      <w:r w:rsidR="00D751B4" w:rsidRPr="00A91E83">
        <w:rPr>
          <w:rFonts w:ascii="Times New Roman" w:hAnsi="Times New Roman" w:cs="Times New Roman"/>
          <w:sz w:val="24"/>
          <w:szCs w:val="24"/>
        </w:rPr>
        <w:t xml:space="preserve">Taigi </w:t>
      </w:r>
      <w:r w:rsidR="009178AD" w:rsidRPr="00A91E83">
        <w:rPr>
          <w:rFonts w:ascii="Times New Roman" w:hAnsi="Times New Roman" w:cs="Times New Roman"/>
          <w:sz w:val="24"/>
          <w:szCs w:val="24"/>
        </w:rPr>
        <w:t xml:space="preserve">A su B apsikeičia pagrindinio sandorio </w:t>
      </w:r>
      <w:r w:rsidR="00D751B4" w:rsidRPr="00A91E83">
        <w:rPr>
          <w:rFonts w:ascii="Times New Roman" w:hAnsi="Times New Roman" w:cs="Times New Roman"/>
          <w:sz w:val="24"/>
          <w:szCs w:val="24"/>
        </w:rPr>
        <w:t>skolininko nemokumo rizika</w:t>
      </w:r>
      <w:r w:rsidR="00D27CA5" w:rsidRPr="00A91E83">
        <w:rPr>
          <w:rFonts w:ascii="Times New Roman" w:hAnsi="Times New Roman" w:cs="Times New Roman"/>
          <w:sz w:val="24"/>
          <w:szCs w:val="24"/>
        </w:rPr>
        <w:t>, arba kitaip sakant</w:t>
      </w:r>
      <w:r w:rsidR="004309D4" w:rsidRPr="00A91E83">
        <w:rPr>
          <w:rFonts w:ascii="Times New Roman" w:hAnsi="Times New Roman" w:cs="Times New Roman"/>
          <w:sz w:val="24"/>
          <w:szCs w:val="24"/>
        </w:rPr>
        <w:t>,</w:t>
      </w:r>
      <w:r w:rsidR="00D27CA5" w:rsidRPr="00A91E83">
        <w:rPr>
          <w:rFonts w:ascii="Times New Roman" w:hAnsi="Times New Roman" w:cs="Times New Roman"/>
          <w:sz w:val="24"/>
          <w:szCs w:val="24"/>
        </w:rPr>
        <w:t xml:space="preserve"> A</w:t>
      </w:r>
      <w:r w:rsidR="00D751B4" w:rsidRPr="00A91E83">
        <w:rPr>
          <w:rFonts w:ascii="Times New Roman" w:hAnsi="Times New Roman" w:cs="Times New Roman"/>
          <w:sz w:val="24"/>
          <w:szCs w:val="24"/>
        </w:rPr>
        <w:t xml:space="preserve"> apsidraudžia dėl Z nemokumo. </w:t>
      </w:r>
      <w:r w:rsidR="009178AD" w:rsidRPr="00A91E83">
        <w:rPr>
          <w:rFonts w:ascii="Times New Roman" w:hAnsi="Times New Roman" w:cs="Times New Roman"/>
          <w:sz w:val="24"/>
          <w:szCs w:val="24"/>
        </w:rPr>
        <w:t xml:space="preserve">Dėl savo esmės </w:t>
      </w:r>
      <w:r w:rsidR="00815588" w:rsidRPr="00A91E83">
        <w:rPr>
          <w:rFonts w:ascii="Times New Roman" w:hAnsi="Times New Roman" w:cs="Times New Roman"/>
          <w:sz w:val="24"/>
          <w:szCs w:val="24"/>
        </w:rPr>
        <w:t>kredito įsipareigojimų nevykdymo apsikeitimo sandorio</w:t>
      </w:r>
      <w:r w:rsidR="009178AD" w:rsidRPr="00A91E83">
        <w:rPr>
          <w:rFonts w:ascii="Times New Roman" w:hAnsi="Times New Roman" w:cs="Times New Roman"/>
          <w:sz w:val="24"/>
          <w:szCs w:val="24"/>
        </w:rPr>
        <w:t xml:space="preserve"> pavadinimas galėtų būti „kredito draudimo polisas“ (</w:t>
      </w:r>
      <w:proofErr w:type="spellStart"/>
      <w:r w:rsidR="009178AD" w:rsidRPr="00A91E83">
        <w:rPr>
          <w:rFonts w:ascii="Times New Roman" w:hAnsi="Times New Roman" w:cs="Times New Roman"/>
          <w:sz w:val="24"/>
          <w:szCs w:val="24"/>
        </w:rPr>
        <w:t>angl</w:t>
      </w:r>
      <w:proofErr w:type="spellEnd"/>
      <w:r w:rsidR="009178AD" w:rsidRPr="00A91E83">
        <w:rPr>
          <w:rFonts w:ascii="Times New Roman" w:hAnsi="Times New Roman" w:cs="Times New Roman"/>
          <w:sz w:val="24"/>
          <w:szCs w:val="24"/>
        </w:rPr>
        <w:t xml:space="preserve">. </w:t>
      </w:r>
      <w:proofErr w:type="spellStart"/>
      <w:r w:rsidR="009178AD" w:rsidRPr="00A91E83">
        <w:rPr>
          <w:rFonts w:ascii="Times New Roman" w:hAnsi="Times New Roman" w:cs="Times New Roman"/>
          <w:sz w:val="24"/>
          <w:szCs w:val="24"/>
        </w:rPr>
        <w:t>credit</w:t>
      </w:r>
      <w:proofErr w:type="spellEnd"/>
      <w:r w:rsidR="009178AD" w:rsidRPr="00A91E83">
        <w:rPr>
          <w:rFonts w:ascii="Times New Roman" w:hAnsi="Times New Roman" w:cs="Times New Roman"/>
          <w:sz w:val="24"/>
          <w:szCs w:val="24"/>
        </w:rPr>
        <w:t xml:space="preserve"> </w:t>
      </w:r>
      <w:proofErr w:type="spellStart"/>
      <w:r w:rsidR="009178AD" w:rsidRPr="00A91E83">
        <w:rPr>
          <w:rFonts w:ascii="Times New Roman" w:hAnsi="Times New Roman" w:cs="Times New Roman"/>
          <w:sz w:val="24"/>
          <w:szCs w:val="24"/>
        </w:rPr>
        <w:t>event</w:t>
      </w:r>
      <w:proofErr w:type="spellEnd"/>
      <w:r w:rsidR="009178AD" w:rsidRPr="00A91E83">
        <w:rPr>
          <w:rFonts w:ascii="Times New Roman" w:hAnsi="Times New Roman" w:cs="Times New Roman"/>
          <w:sz w:val="24"/>
          <w:szCs w:val="24"/>
        </w:rPr>
        <w:t xml:space="preserve"> </w:t>
      </w:r>
      <w:proofErr w:type="spellStart"/>
      <w:r w:rsidR="009178AD" w:rsidRPr="00A91E83">
        <w:rPr>
          <w:rFonts w:ascii="Times New Roman" w:hAnsi="Times New Roman" w:cs="Times New Roman"/>
          <w:sz w:val="24"/>
          <w:szCs w:val="24"/>
        </w:rPr>
        <w:t>insurance</w:t>
      </w:r>
      <w:proofErr w:type="spellEnd"/>
      <w:r w:rsidR="009178AD" w:rsidRPr="00A91E83">
        <w:rPr>
          <w:rFonts w:ascii="Times New Roman" w:hAnsi="Times New Roman" w:cs="Times New Roman"/>
          <w:sz w:val="24"/>
          <w:szCs w:val="24"/>
        </w:rPr>
        <w:t xml:space="preserve"> </w:t>
      </w:r>
      <w:proofErr w:type="spellStart"/>
      <w:r w:rsidR="009178AD" w:rsidRPr="00A91E83">
        <w:rPr>
          <w:rFonts w:ascii="Times New Roman" w:hAnsi="Times New Roman" w:cs="Times New Roman"/>
          <w:sz w:val="24"/>
          <w:szCs w:val="24"/>
        </w:rPr>
        <w:t>policy</w:t>
      </w:r>
      <w:proofErr w:type="spellEnd"/>
      <w:r w:rsidR="009178AD" w:rsidRPr="00A91E83">
        <w:rPr>
          <w:rFonts w:ascii="Times New Roman" w:hAnsi="Times New Roman" w:cs="Times New Roman"/>
          <w:sz w:val="24"/>
          <w:szCs w:val="24"/>
        </w:rPr>
        <w:t>).</w:t>
      </w:r>
      <w:r w:rsidR="009178AD" w:rsidRPr="00A91E83">
        <w:rPr>
          <w:rStyle w:val="Puslapioinaosnuoroda"/>
          <w:rFonts w:ascii="Times New Roman" w:hAnsi="Times New Roman" w:cs="Times New Roman"/>
          <w:sz w:val="24"/>
          <w:szCs w:val="24"/>
        </w:rPr>
        <w:t xml:space="preserve"> </w:t>
      </w:r>
      <w:r w:rsidR="009178AD" w:rsidRPr="00A91E83">
        <w:rPr>
          <w:rStyle w:val="Puslapioinaosnuoroda"/>
          <w:rFonts w:ascii="Times New Roman" w:hAnsi="Times New Roman" w:cs="Times New Roman"/>
          <w:sz w:val="24"/>
          <w:szCs w:val="24"/>
        </w:rPr>
        <w:footnoteReference w:id="50"/>
      </w:r>
    </w:p>
    <w:p w:rsidR="008A5B63" w:rsidRPr="00A91E83" w:rsidRDefault="008A5B63"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Kompensacija įvykus kreditiniam įvykiui gali būti teikiama dvejopa: B gali sumokėti obligacijos rinkos vertę ir pats tapti obligacijos savininku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i/>
          <w:sz w:val="24"/>
          <w:szCs w:val="24"/>
        </w:rPr>
        <w:t>physically</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settled</w:t>
      </w:r>
      <w:proofErr w:type="spellEnd"/>
      <w:r w:rsidRPr="00A91E83">
        <w:rPr>
          <w:rFonts w:ascii="Times New Roman" w:hAnsi="Times New Roman" w:cs="Times New Roman"/>
          <w:sz w:val="24"/>
          <w:szCs w:val="24"/>
        </w:rPr>
        <w:t>), arba sumokėti A skirtumą tarp pradinės obligacijos kainos, buvusios sudarant kredito įsipareigojimų nevykdymo apsikeitimo sandorį ir rinkos vertės kainos po kreditinio įvykio, dėl kurio Z nebegalėjo atsiskaityti su A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i/>
          <w:sz w:val="24"/>
          <w:szCs w:val="24"/>
        </w:rPr>
        <w:t>cash</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settled</w:t>
      </w:r>
      <w:proofErr w:type="spellEnd"/>
      <w:r w:rsidRPr="00A91E83">
        <w:rPr>
          <w:rFonts w:ascii="Times New Roman" w:hAnsi="Times New Roman" w:cs="Times New Roman"/>
          <w:sz w:val="24"/>
          <w:szCs w:val="24"/>
        </w:rPr>
        <w:t>).</w:t>
      </w:r>
    </w:p>
    <w:p w:rsidR="00617483" w:rsidRPr="00A91E83" w:rsidRDefault="00680985"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Paminėtina, jog k</w:t>
      </w:r>
      <w:r w:rsidR="008A5B63" w:rsidRPr="00A91E83">
        <w:rPr>
          <w:rFonts w:ascii="Times New Roman" w:hAnsi="Times New Roman" w:cs="Times New Roman"/>
          <w:sz w:val="24"/>
          <w:szCs w:val="24"/>
        </w:rPr>
        <w:t>artais apsaugos pardavėjas perveda pagrindinio sandorio nominalią vertę apsaugos pirkėjui tam, kad užtikrintų prievolės įvykdymą</w:t>
      </w:r>
      <w:r w:rsidRPr="00A91E83">
        <w:rPr>
          <w:rFonts w:ascii="Times New Roman" w:hAnsi="Times New Roman" w:cs="Times New Roman"/>
          <w:sz w:val="24"/>
          <w:szCs w:val="24"/>
        </w:rPr>
        <w:t>.</w:t>
      </w:r>
      <w:r w:rsidR="008A5B63" w:rsidRPr="00A91E83">
        <w:rPr>
          <w:rStyle w:val="Puslapioinaosnuoroda"/>
          <w:rFonts w:ascii="Times New Roman" w:hAnsi="Times New Roman" w:cs="Times New Roman"/>
          <w:sz w:val="24"/>
          <w:szCs w:val="24"/>
        </w:rPr>
        <w:footnoteReference w:id="51"/>
      </w:r>
      <w:r w:rsidR="008A5B63" w:rsidRPr="00A91E83">
        <w:rPr>
          <w:rFonts w:ascii="Times New Roman" w:hAnsi="Times New Roman" w:cs="Times New Roman"/>
          <w:sz w:val="24"/>
          <w:szCs w:val="24"/>
        </w:rPr>
        <w:t xml:space="preserve"> Vis dėlto tokia sandorių </w:t>
      </w:r>
      <w:r w:rsidR="008A5B63" w:rsidRPr="00A91E83">
        <w:rPr>
          <w:rFonts w:ascii="Times New Roman" w:hAnsi="Times New Roman" w:cs="Times New Roman"/>
          <w:sz w:val="24"/>
          <w:szCs w:val="24"/>
        </w:rPr>
        <w:lastRenderedPageBreak/>
        <w:t>sudarymo struktūra yra brangi ir nepopuliari rinkoje.</w:t>
      </w:r>
      <w:r w:rsidR="00DA0DC7" w:rsidRPr="00A91E83">
        <w:rPr>
          <w:rFonts w:ascii="Times New Roman" w:hAnsi="Times New Roman" w:cs="Times New Roman"/>
          <w:sz w:val="24"/>
          <w:szCs w:val="24"/>
        </w:rPr>
        <w:t xml:space="preserve"> </w:t>
      </w:r>
      <w:r w:rsidR="009178AD" w:rsidRPr="00A91E83">
        <w:rPr>
          <w:rFonts w:ascii="Times New Roman" w:hAnsi="Times New Roman" w:cs="Times New Roman"/>
          <w:sz w:val="24"/>
          <w:szCs w:val="24"/>
        </w:rPr>
        <w:t xml:space="preserve">Kontrahento rizika skiriasi nuo kredito rizikos. </w:t>
      </w:r>
      <w:r w:rsidR="007E7BEE" w:rsidRPr="00A91E83">
        <w:rPr>
          <w:rFonts w:ascii="Times New Roman" w:hAnsi="Times New Roman" w:cs="Times New Roman"/>
          <w:sz w:val="24"/>
          <w:szCs w:val="24"/>
        </w:rPr>
        <w:t xml:space="preserve">Nepaisant to, kad A perleidžia Z kredito riziką B, tačiau prisiima kontrahento, </w:t>
      </w:r>
      <w:r w:rsidR="008C26F1" w:rsidRPr="00A91E83">
        <w:rPr>
          <w:rFonts w:ascii="Times New Roman" w:hAnsi="Times New Roman" w:cs="Times New Roman"/>
          <w:sz w:val="24"/>
          <w:szCs w:val="24"/>
        </w:rPr>
        <w:t>t. y.</w:t>
      </w:r>
      <w:r w:rsidR="007E7BEE" w:rsidRPr="00A91E83">
        <w:rPr>
          <w:rFonts w:ascii="Times New Roman" w:hAnsi="Times New Roman" w:cs="Times New Roman"/>
          <w:sz w:val="24"/>
          <w:szCs w:val="24"/>
        </w:rPr>
        <w:t xml:space="preserve"> B nemokumo riziką. </w:t>
      </w:r>
      <w:r w:rsidR="009178AD" w:rsidRPr="00A91E83">
        <w:rPr>
          <w:rFonts w:ascii="Times New Roman" w:hAnsi="Times New Roman" w:cs="Times New Roman"/>
          <w:sz w:val="24"/>
          <w:szCs w:val="24"/>
        </w:rPr>
        <w:t>Atitinkamai B papildomai</w:t>
      </w:r>
      <w:r w:rsidR="007E7BEE" w:rsidRPr="00A91E83">
        <w:rPr>
          <w:rFonts w:ascii="Times New Roman" w:hAnsi="Times New Roman" w:cs="Times New Roman"/>
          <w:sz w:val="24"/>
          <w:szCs w:val="24"/>
        </w:rPr>
        <w:t xml:space="preserve"> prie prisii</w:t>
      </w:r>
      <w:r w:rsidR="009178AD" w:rsidRPr="00A91E83">
        <w:rPr>
          <w:rFonts w:ascii="Times New Roman" w:hAnsi="Times New Roman" w:cs="Times New Roman"/>
          <w:sz w:val="24"/>
          <w:szCs w:val="24"/>
        </w:rPr>
        <w:t>mtos Z kredito rizikos</w:t>
      </w:r>
      <w:r w:rsidR="007E7BEE" w:rsidRPr="00A91E83">
        <w:rPr>
          <w:rFonts w:ascii="Times New Roman" w:hAnsi="Times New Roman" w:cs="Times New Roman"/>
          <w:sz w:val="24"/>
          <w:szCs w:val="24"/>
        </w:rPr>
        <w:t xml:space="preserve"> pris</w:t>
      </w:r>
      <w:r w:rsidR="00136193" w:rsidRPr="00A91E83">
        <w:rPr>
          <w:rFonts w:ascii="Times New Roman" w:hAnsi="Times New Roman" w:cs="Times New Roman"/>
          <w:sz w:val="24"/>
          <w:szCs w:val="24"/>
        </w:rPr>
        <w:t>iima ir A šalies nemokumo riziką</w:t>
      </w:r>
      <w:r w:rsidR="007E7BEE" w:rsidRPr="00A91E83">
        <w:rPr>
          <w:rFonts w:ascii="Times New Roman" w:hAnsi="Times New Roman" w:cs="Times New Roman"/>
          <w:sz w:val="24"/>
          <w:szCs w:val="24"/>
        </w:rPr>
        <w:t xml:space="preserve">, </w:t>
      </w:r>
      <w:r w:rsidR="008C26F1" w:rsidRPr="00A91E83">
        <w:rPr>
          <w:rFonts w:ascii="Times New Roman" w:hAnsi="Times New Roman" w:cs="Times New Roman"/>
          <w:sz w:val="24"/>
          <w:szCs w:val="24"/>
        </w:rPr>
        <w:t>t. y.</w:t>
      </w:r>
      <w:r w:rsidR="007E7BEE" w:rsidRPr="00A91E83">
        <w:rPr>
          <w:rFonts w:ascii="Times New Roman" w:hAnsi="Times New Roman" w:cs="Times New Roman"/>
          <w:sz w:val="24"/>
          <w:szCs w:val="24"/>
        </w:rPr>
        <w:t xml:space="preserve"> A nebegalint vykdyti savo įsipareigojimų pagal </w:t>
      </w:r>
      <w:r w:rsidR="008C062E" w:rsidRPr="00A91E83">
        <w:rPr>
          <w:rFonts w:ascii="Times New Roman" w:hAnsi="Times New Roman" w:cs="Times New Roman"/>
          <w:sz w:val="24"/>
          <w:szCs w:val="24"/>
        </w:rPr>
        <w:t>sudarytą sandorį</w:t>
      </w:r>
      <w:r w:rsidR="00862185" w:rsidRPr="00A91E83">
        <w:rPr>
          <w:rFonts w:ascii="Times New Roman" w:hAnsi="Times New Roman" w:cs="Times New Roman"/>
          <w:sz w:val="24"/>
          <w:szCs w:val="24"/>
        </w:rPr>
        <w:t>,</w:t>
      </w:r>
      <w:r w:rsidR="007E7BEE" w:rsidRPr="00A91E83">
        <w:rPr>
          <w:rFonts w:ascii="Times New Roman" w:hAnsi="Times New Roman" w:cs="Times New Roman"/>
          <w:sz w:val="24"/>
          <w:szCs w:val="24"/>
        </w:rPr>
        <w:t xml:space="preserve"> B rizikuoja prarasti periodines įmokas.</w:t>
      </w:r>
      <w:r w:rsidR="00862185" w:rsidRPr="00A91E83">
        <w:rPr>
          <w:rStyle w:val="Puslapioinaosnuoroda"/>
          <w:rFonts w:ascii="Times New Roman" w:hAnsi="Times New Roman" w:cs="Times New Roman"/>
          <w:sz w:val="24"/>
          <w:szCs w:val="24"/>
        </w:rPr>
        <w:footnoteReference w:id="52"/>
      </w:r>
    </w:p>
    <w:p w:rsidR="008E5BB6" w:rsidRPr="00A91E83" w:rsidRDefault="00AA0A61" w:rsidP="00025FE0">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Teisinė problema gali susidaryti tada, kai A nusipirkęs iš B apsaugą nusprendžia parduoti apsaugą C, sudarydamas </w:t>
      </w:r>
      <w:r w:rsidR="00367A91" w:rsidRPr="00A91E83">
        <w:rPr>
          <w:rFonts w:ascii="Times New Roman" w:hAnsi="Times New Roman" w:cs="Times New Roman"/>
          <w:sz w:val="24"/>
          <w:szCs w:val="24"/>
        </w:rPr>
        <w:t>kredito įsipareigojimų nevykdymo apsikeitimo sandorį</w:t>
      </w:r>
      <w:r w:rsidRPr="00A91E83">
        <w:rPr>
          <w:rFonts w:ascii="Times New Roman" w:hAnsi="Times New Roman" w:cs="Times New Roman"/>
          <w:sz w:val="24"/>
          <w:szCs w:val="24"/>
        </w:rPr>
        <w:t xml:space="preserve"> analogiškomis sąlygomis. </w:t>
      </w:r>
      <w:r w:rsidR="00367A91" w:rsidRPr="00A91E83">
        <w:rPr>
          <w:rFonts w:ascii="Times New Roman" w:hAnsi="Times New Roman" w:cs="Times New Roman"/>
          <w:sz w:val="24"/>
          <w:szCs w:val="24"/>
        </w:rPr>
        <w:t>Kredito įsipareigojimų nevykdymo apsikeitimo sandoris</w:t>
      </w:r>
      <w:r w:rsidR="00FB6F86" w:rsidRPr="00A91E83">
        <w:rPr>
          <w:rFonts w:ascii="Times New Roman" w:hAnsi="Times New Roman" w:cs="Times New Roman"/>
          <w:sz w:val="24"/>
          <w:szCs w:val="24"/>
        </w:rPr>
        <w:t xml:space="preserve"> nereikalauja, jog nei </w:t>
      </w:r>
      <w:r w:rsidR="001F1DA1" w:rsidRPr="00A91E83">
        <w:rPr>
          <w:rFonts w:ascii="Times New Roman" w:hAnsi="Times New Roman" w:cs="Times New Roman"/>
          <w:sz w:val="24"/>
          <w:szCs w:val="24"/>
        </w:rPr>
        <w:t>A</w:t>
      </w:r>
      <w:r w:rsidR="00FB6F86" w:rsidRPr="00A91E83">
        <w:rPr>
          <w:rFonts w:ascii="Times New Roman" w:hAnsi="Times New Roman" w:cs="Times New Roman"/>
          <w:sz w:val="24"/>
          <w:szCs w:val="24"/>
        </w:rPr>
        <w:t xml:space="preserve">, nei </w:t>
      </w:r>
      <w:r w:rsidR="001F1DA1" w:rsidRPr="00A91E83">
        <w:rPr>
          <w:rFonts w:ascii="Times New Roman" w:hAnsi="Times New Roman" w:cs="Times New Roman"/>
          <w:sz w:val="24"/>
          <w:szCs w:val="24"/>
        </w:rPr>
        <w:t>B, nei C</w:t>
      </w:r>
      <w:r w:rsidR="00FB6F86" w:rsidRPr="00A91E83">
        <w:rPr>
          <w:rFonts w:ascii="Times New Roman" w:hAnsi="Times New Roman" w:cs="Times New Roman"/>
          <w:sz w:val="24"/>
          <w:szCs w:val="24"/>
        </w:rPr>
        <w:t xml:space="preserve"> turėtų tiesioginius ryšius su </w:t>
      </w:r>
      <w:r w:rsidR="003B59A6" w:rsidRPr="00A91E83">
        <w:rPr>
          <w:rFonts w:ascii="Times New Roman" w:hAnsi="Times New Roman" w:cs="Times New Roman"/>
          <w:sz w:val="24"/>
          <w:szCs w:val="24"/>
        </w:rPr>
        <w:t>Z.</w:t>
      </w:r>
      <w:r w:rsidR="00A06C22" w:rsidRPr="00A91E83">
        <w:rPr>
          <w:rStyle w:val="Puslapioinaosnuoroda"/>
          <w:rFonts w:ascii="Times New Roman" w:hAnsi="Times New Roman" w:cs="Times New Roman"/>
          <w:sz w:val="24"/>
          <w:szCs w:val="24"/>
        </w:rPr>
        <w:footnoteReference w:id="53"/>
      </w:r>
      <w:r w:rsidR="00FB6F86" w:rsidRPr="00A91E83">
        <w:rPr>
          <w:rFonts w:ascii="Times New Roman" w:hAnsi="Times New Roman" w:cs="Times New Roman"/>
          <w:sz w:val="24"/>
          <w:szCs w:val="24"/>
        </w:rPr>
        <w:t xml:space="preserve"> </w:t>
      </w:r>
      <w:r w:rsidRPr="00A91E83">
        <w:rPr>
          <w:rFonts w:ascii="Times New Roman" w:hAnsi="Times New Roman" w:cs="Times New Roman"/>
          <w:sz w:val="24"/>
          <w:szCs w:val="24"/>
        </w:rPr>
        <w:t xml:space="preserve">Taigi susidaro situacija, kad A tampa tik tarpininkas tarp B ir C periodinių mokėjimų atžvilgiu. A gavęs įmoką iš C už suteiktą </w:t>
      </w:r>
      <w:r w:rsidR="007F6995" w:rsidRPr="00A91E83">
        <w:rPr>
          <w:rFonts w:ascii="Times New Roman" w:hAnsi="Times New Roman" w:cs="Times New Roman"/>
          <w:sz w:val="24"/>
          <w:szCs w:val="24"/>
        </w:rPr>
        <w:t>apsaugą</w:t>
      </w:r>
      <w:r w:rsidR="00E26A20" w:rsidRPr="00A91E83">
        <w:rPr>
          <w:rFonts w:ascii="Times New Roman" w:hAnsi="Times New Roman" w:cs="Times New Roman"/>
          <w:sz w:val="24"/>
          <w:szCs w:val="24"/>
        </w:rPr>
        <w:t>,</w:t>
      </w:r>
      <w:r w:rsidRPr="00A91E83">
        <w:rPr>
          <w:rFonts w:ascii="Times New Roman" w:hAnsi="Times New Roman" w:cs="Times New Roman"/>
          <w:sz w:val="24"/>
          <w:szCs w:val="24"/>
        </w:rPr>
        <w:t xml:space="preserve"> jas </w:t>
      </w:r>
      <w:r w:rsidR="007F6995" w:rsidRPr="00A91E83">
        <w:rPr>
          <w:rFonts w:ascii="Times New Roman" w:hAnsi="Times New Roman" w:cs="Times New Roman"/>
          <w:sz w:val="24"/>
          <w:szCs w:val="24"/>
        </w:rPr>
        <w:t xml:space="preserve">išskart </w:t>
      </w:r>
      <w:r w:rsidRPr="00A91E83">
        <w:rPr>
          <w:rFonts w:ascii="Times New Roman" w:hAnsi="Times New Roman" w:cs="Times New Roman"/>
          <w:sz w:val="24"/>
          <w:szCs w:val="24"/>
        </w:rPr>
        <w:t xml:space="preserve">sumoka B, tokiu būdu eliminuojama </w:t>
      </w:r>
      <w:r w:rsidR="00617351" w:rsidRPr="00A91E83">
        <w:rPr>
          <w:rFonts w:ascii="Times New Roman" w:hAnsi="Times New Roman" w:cs="Times New Roman"/>
          <w:sz w:val="24"/>
          <w:szCs w:val="24"/>
        </w:rPr>
        <w:t>kredito įsipareigojimų nevykdymo apsikeitimo sandorio</w:t>
      </w:r>
      <w:r w:rsidRPr="00A91E83">
        <w:rPr>
          <w:rFonts w:ascii="Times New Roman" w:hAnsi="Times New Roman" w:cs="Times New Roman"/>
          <w:sz w:val="24"/>
          <w:szCs w:val="24"/>
        </w:rPr>
        <w:t xml:space="preserve"> kredito rizika. Nepaisant to, kontrahento rizika išlieka, </w:t>
      </w:r>
      <w:r w:rsidR="0095247D" w:rsidRPr="00A91E83">
        <w:rPr>
          <w:rFonts w:ascii="Times New Roman" w:hAnsi="Times New Roman" w:cs="Times New Roman"/>
          <w:sz w:val="24"/>
          <w:szCs w:val="24"/>
        </w:rPr>
        <w:t xml:space="preserve">nes jeigu C negalės įvykdyti savo įsipareigojimų, tai A vis tiek turės sumokėti periodines įmokas B už teikiamą apsaugą. Dar didesnė šalies nemokumo rizika gali atsirasti, </w:t>
      </w:r>
      <w:proofErr w:type="spellStart"/>
      <w:r w:rsidR="001F1DA1" w:rsidRPr="00A91E83">
        <w:rPr>
          <w:rFonts w:ascii="Times New Roman" w:hAnsi="Times New Roman" w:cs="Times New Roman"/>
          <w:sz w:val="24"/>
          <w:szCs w:val="24"/>
        </w:rPr>
        <w:t>pvz</w:t>
      </w:r>
      <w:proofErr w:type="spellEnd"/>
      <w:r w:rsidR="001F1DA1" w:rsidRPr="00A91E83">
        <w:rPr>
          <w:rFonts w:ascii="Times New Roman" w:hAnsi="Times New Roman" w:cs="Times New Roman"/>
          <w:sz w:val="24"/>
          <w:szCs w:val="24"/>
        </w:rPr>
        <w:t xml:space="preserve">.: </w:t>
      </w:r>
      <w:r w:rsidR="0095247D" w:rsidRPr="00A91E83">
        <w:rPr>
          <w:rFonts w:ascii="Times New Roman" w:hAnsi="Times New Roman" w:cs="Times New Roman"/>
          <w:sz w:val="24"/>
          <w:szCs w:val="24"/>
        </w:rPr>
        <w:t>jeigu</w:t>
      </w:r>
      <w:r w:rsidR="001F1DA1" w:rsidRPr="00A91E83">
        <w:rPr>
          <w:rFonts w:ascii="Times New Roman" w:hAnsi="Times New Roman" w:cs="Times New Roman"/>
          <w:sz w:val="24"/>
          <w:szCs w:val="24"/>
        </w:rPr>
        <w:t xml:space="preserve"> </w:t>
      </w:r>
      <w:r w:rsidR="0095247D" w:rsidRPr="00A91E83">
        <w:rPr>
          <w:rFonts w:ascii="Times New Roman" w:hAnsi="Times New Roman" w:cs="Times New Roman"/>
          <w:sz w:val="24"/>
          <w:szCs w:val="24"/>
        </w:rPr>
        <w:t>trečioji šalis (</w:t>
      </w:r>
      <w:proofErr w:type="spellStart"/>
      <w:r w:rsidR="0095247D" w:rsidRPr="00A91E83">
        <w:rPr>
          <w:rFonts w:ascii="Times New Roman" w:hAnsi="Times New Roman" w:cs="Times New Roman"/>
          <w:sz w:val="24"/>
          <w:szCs w:val="24"/>
        </w:rPr>
        <w:t>angl</w:t>
      </w:r>
      <w:proofErr w:type="spellEnd"/>
      <w:r w:rsidR="0095247D" w:rsidRPr="00A91E83">
        <w:rPr>
          <w:rFonts w:ascii="Times New Roman" w:hAnsi="Times New Roman" w:cs="Times New Roman"/>
          <w:sz w:val="24"/>
          <w:szCs w:val="24"/>
        </w:rPr>
        <w:t xml:space="preserve">. </w:t>
      </w:r>
      <w:proofErr w:type="spellStart"/>
      <w:r w:rsidR="0095247D" w:rsidRPr="00A91E83">
        <w:rPr>
          <w:rFonts w:ascii="Times New Roman" w:hAnsi="Times New Roman" w:cs="Times New Roman"/>
          <w:i/>
          <w:sz w:val="24"/>
          <w:szCs w:val="24"/>
        </w:rPr>
        <w:t>reference</w:t>
      </w:r>
      <w:proofErr w:type="spellEnd"/>
      <w:r w:rsidR="0095247D" w:rsidRPr="00A91E83">
        <w:rPr>
          <w:rFonts w:ascii="Times New Roman" w:hAnsi="Times New Roman" w:cs="Times New Roman"/>
          <w:i/>
          <w:sz w:val="24"/>
          <w:szCs w:val="24"/>
        </w:rPr>
        <w:t xml:space="preserve"> </w:t>
      </w:r>
      <w:proofErr w:type="spellStart"/>
      <w:r w:rsidR="0095247D" w:rsidRPr="00A91E83">
        <w:rPr>
          <w:rFonts w:ascii="Times New Roman" w:hAnsi="Times New Roman" w:cs="Times New Roman"/>
          <w:i/>
          <w:sz w:val="24"/>
          <w:szCs w:val="24"/>
        </w:rPr>
        <w:t>entity</w:t>
      </w:r>
      <w:proofErr w:type="spellEnd"/>
      <w:r w:rsidR="000D501E" w:rsidRPr="00A91E83">
        <w:rPr>
          <w:rFonts w:ascii="Times New Roman" w:hAnsi="Times New Roman" w:cs="Times New Roman"/>
          <w:sz w:val="24"/>
          <w:szCs w:val="24"/>
        </w:rPr>
        <w:t>),</w:t>
      </w:r>
      <w:r w:rsidR="0095247D" w:rsidRPr="00A91E83">
        <w:rPr>
          <w:rFonts w:ascii="Times New Roman" w:hAnsi="Times New Roman" w:cs="Times New Roman"/>
          <w:sz w:val="24"/>
          <w:szCs w:val="24"/>
        </w:rPr>
        <w:t xml:space="preserve"> nuo kurios nemokumo buvo draustasi naudojant </w:t>
      </w:r>
      <w:r w:rsidR="00617351" w:rsidRPr="00A91E83">
        <w:rPr>
          <w:rFonts w:ascii="Times New Roman" w:hAnsi="Times New Roman" w:cs="Times New Roman"/>
          <w:sz w:val="24"/>
          <w:szCs w:val="24"/>
        </w:rPr>
        <w:t>kredito įsipareigojimų nevykdymo apsikeitimo sandorį</w:t>
      </w:r>
      <w:r w:rsidR="001F1DA1" w:rsidRPr="00A91E83">
        <w:rPr>
          <w:rFonts w:ascii="Times New Roman" w:hAnsi="Times New Roman" w:cs="Times New Roman"/>
          <w:sz w:val="24"/>
          <w:szCs w:val="24"/>
        </w:rPr>
        <w:t>,</w:t>
      </w:r>
      <w:r w:rsidR="007F6995" w:rsidRPr="00A91E83">
        <w:rPr>
          <w:rFonts w:ascii="Times New Roman" w:hAnsi="Times New Roman" w:cs="Times New Roman"/>
          <w:sz w:val="24"/>
          <w:szCs w:val="24"/>
        </w:rPr>
        <w:t xml:space="preserve"> taptų nemoki. Tokiu atveju B</w:t>
      </w:r>
      <w:r w:rsidR="0095247D" w:rsidRPr="00A91E83">
        <w:rPr>
          <w:rFonts w:ascii="Times New Roman" w:hAnsi="Times New Roman" w:cs="Times New Roman"/>
          <w:sz w:val="24"/>
          <w:szCs w:val="24"/>
        </w:rPr>
        <w:t xml:space="preserve"> turėtų sumokėti A, o A sumokėti kompensaciją</w:t>
      </w:r>
      <w:r w:rsidR="001F1DA1" w:rsidRPr="00A91E83">
        <w:rPr>
          <w:rFonts w:ascii="Times New Roman" w:hAnsi="Times New Roman" w:cs="Times New Roman"/>
          <w:sz w:val="24"/>
          <w:szCs w:val="24"/>
        </w:rPr>
        <w:t xml:space="preserve"> C</w:t>
      </w:r>
      <w:r w:rsidR="0095247D" w:rsidRPr="00A91E83">
        <w:rPr>
          <w:rFonts w:ascii="Times New Roman" w:hAnsi="Times New Roman" w:cs="Times New Roman"/>
          <w:sz w:val="24"/>
          <w:szCs w:val="24"/>
        </w:rPr>
        <w:t xml:space="preserve">. Jeigu B negali sumokėti, ar lygiai taip pat jeigu B </w:t>
      </w:r>
      <w:r w:rsidR="001C4140" w:rsidRPr="00A91E83">
        <w:rPr>
          <w:rFonts w:ascii="Times New Roman" w:hAnsi="Times New Roman" w:cs="Times New Roman"/>
          <w:sz w:val="24"/>
          <w:szCs w:val="24"/>
        </w:rPr>
        <w:t>negauna</w:t>
      </w:r>
      <w:r w:rsidR="0095247D" w:rsidRPr="00A91E83">
        <w:rPr>
          <w:rFonts w:ascii="Times New Roman" w:hAnsi="Times New Roman" w:cs="Times New Roman"/>
          <w:sz w:val="24"/>
          <w:szCs w:val="24"/>
        </w:rPr>
        <w:t xml:space="preserve"> </w:t>
      </w:r>
      <w:r w:rsidR="00C46232" w:rsidRPr="00A91E83">
        <w:rPr>
          <w:rFonts w:ascii="Times New Roman" w:hAnsi="Times New Roman" w:cs="Times New Roman"/>
          <w:sz w:val="24"/>
          <w:szCs w:val="24"/>
        </w:rPr>
        <w:t xml:space="preserve">kompensacijos </w:t>
      </w:r>
      <w:r w:rsidR="001C4140" w:rsidRPr="00A91E83">
        <w:rPr>
          <w:rFonts w:ascii="Times New Roman" w:hAnsi="Times New Roman" w:cs="Times New Roman"/>
          <w:sz w:val="24"/>
          <w:szCs w:val="24"/>
        </w:rPr>
        <w:t>iš kitos</w:t>
      </w:r>
      <w:r w:rsidR="007F6995" w:rsidRPr="00A91E83">
        <w:rPr>
          <w:rFonts w:ascii="Times New Roman" w:hAnsi="Times New Roman" w:cs="Times New Roman"/>
          <w:sz w:val="24"/>
          <w:szCs w:val="24"/>
        </w:rPr>
        <w:t xml:space="preserve"> šali</w:t>
      </w:r>
      <w:r w:rsidR="001C4140" w:rsidRPr="00A91E83">
        <w:rPr>
          <w:rFonts w:ascii="Times New Roman" w:hAnsi="Times New Roman" w:cs="Times New Roman"/>
          <w:sz w:val="24"/>
          <w:szCs w:val="24"/>
        </w:rPr>
        <w:t>e</w:t>
      </w:r>
      <w:r w:rsidR="007F6995" w:rsidRPr="00A91E83">
        <w:rPr>
          <w:rFonts w:ascii="Times New Roman" w:hAnsi="Times New Roman" w:cs="Times New Roman"/>
          <w:sz w:val="24"/>
          <w:szCs w:val="24"/>
        </w:rPr>
        <w:t>s</w:t>
      </w:r>
      <w:r w:rsidR="0095247D" w:rsidRPr="00A91E83">
        <w:rPr>
          <w:rFonts w:ascii="Times New Roman" w:hAnsi="Times New Roman" w:cs="Times New Roman"/>
          <w:sz w:val="24"/>
          <w:szCs w:val="24"/>
        </w:rPr>
        <w:t xml:space="preserve"> iš kurios B pirko apsaugą, tai </w:t>
      </w:r>
      <w:r w:rsidR="00C46232" w:rsidRPr="00A91E83">
        <w:rPr>
          <w:rFonts w:ascii="Times New Roman" w:hAnsi="Times New Roman" w:cs="Times New Roman"/>
          <w:sz w:val="24"/>
          <w:szCs w:val="24"/>
        </w:rPr>
        <w:t xml:space="preserve">dėl glaudžių tarpusavio </w:t>
      </w:r>
      <w:r w:rsidR="001F1DA1" w:rsidRPr="00A91E83">
        <w:rPr>
          <w:rFonts w:ascii="Times New Roman" w:hAnsi="Times New Roman" w:cs="Times New Roman"/>
          <w:sz w:val="24"/>
          <w:szCs w:val="24"/>
        </w:rPr>
        <w:t>š</w:t>
      </w:r>
      <w:r w:rsidR="007F6995" w:rsidRPr="00A91E83">
        <w:rPr>
          <w:rFonts w:ascii="Times New Roman" w:hAnsi="Times New Roman" w:cs="Times New Roman"/>
          <w:sz w:val="24"/>
          <w:szCs w:val="24"/>
        </w:rPr>
        <w:t>alių</w:t>
      </w:r>
      <w:r w:rsidR="00C46232" w:rsidRPr="00A91E83">
        <w:rPr>
          <w:rFonts w:ascii="Times New Roman" w:hAnsi="Times New Roman" w:cs="Times New Roman"/>
          <w:sz w:val="24"/>
          <w:szCs w:val="24"/>
        </w:rPr>
        <w:t xml:space="preserve"> santykio </w:t>
      </w:r>
      <w:r w:rsidR="0095247D" w:rsidRPr="00A91E83">
        <w:rPr>
          <w:rFonts w:ascii="Times New Roman" w:hAnsi="Times New Roman" w:cs="Times New Roman"/>
          <w:sz w:val="24"/>
          <w:szCs w:val="24"/>
        </w:rPr>
        <w:t xml:space="preserve">susidaro </w:t>
      </w:r>
      <w:r w:rsidR="007F6995" w:rsidRPr="00A91E83">
        <w:rPr>
          <w:rFonts w:ascii="Times New Roman" w:hAnsi="Times New Roman" w:cs="Times New Roman"/>
          <w:sz w:val="24"/>
          <w:szCs w:val="24"/>
        </w:rPr>
        <w:t>didelė tikimybė</w:t>
      </w:r>
      <w:r w:rsidR="0095247D" w:rsidRPr="00A91E83">
        <w:rPr>
          <w:rFonts w:ascii="Times New Roman" w:hAnsi="Times New Roman" w:cs="Times New Roman"/>
          <w:sz w:val="24"/>
          <w:szCs w:val="24"/>
        </w:rPr>
        <w:t>,</w:t>
      </w:r>
      <w:r w:rsidR="00C46232" w:rsidRPr="00A91E83">
        <w:rPr>
          <w:rFonts w:ascii="Times New Roman" w:hAnsi="Times New Roman" w:cs="Times New Roman"/>
          <w:sz w:val="24"/>
          <w:szCs w:val="24"/>
        </w:rPr>
        <w:t xml:space="preserve"> jog </w:t>
      </w:r>
      <w:r w:rsidR="007F6995" w:rsidRPr="00A91E83">
        <w:rPr>
          <w:rFonts w:ascii="Times New Roman" w:hAnsi="Times New Roman" w:cs="Times New Roman"/>
          <w:sz w:val="24"/>
          <w:szCs w:val="24"/>
        </w:rPr>
        <w:t>grandinė</w:t>
      </w:r>
      <w:r w:rsidR="00C46232" w:rsidRPr="00A91E83">
        <w:rPr>
          <w:rFonts w:ascii="Times New Roman" w:hAnsi="Times New Roman" w:cs="Times New Roman"/>
          <w:sz w:val="24"/>
          <w:szCs w:val="24"/>
        </w:rPr>
        <w:t xml:space="preserve"> kažkur nutrūks</w:t>
      </w:r>
      <w:r w:rsidR="00A76A34" w:rsidRPr="00A91E83">
        <w:rPr>
          <w:rFonts w:ascii="Times New Roman" w:hAnsi="Times New Roman" w:cs="Times New Roman"/>
          <w:sz w:val="24"/>
          <w:szCs w:val="24"/>
        </w:rPr>
        <w:t xml:space="preserve"> ir C kompensacija nepasieks.</w:t>
      </w:r>
    </w:p>
    <w:p w:rsidR="00E718E3" w:rsidRPr="00A91E83" w:rsidRDefault="00861D15"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Dažniausiai bankų ir draudimo bendrovių </w:t>
      </w:r>
      <w:r w:rsidR="00763045" w:rsidRPr="00A91E83">
        <w:rPr>
          <w:rFonts w:ascii="Times New Roman" w:hAnsi="Times New Roman" w:cs="Times New Roman"/>
          <w:sz w:val="24"/>
          <w:szCs w:val="24"/>
        </w:rPr>
        <w:t>kredito įsipareigojimų nevykdymo apsikeitimo sandorai</w:t>
      </w:r>
      <w:r w:rsidRPr="00A91E83">
        <w:rPr>
          <w:rFonts w:ascii="Times New Roman" w:hAnsi="Times New Roman" w:cs="Times New Roman"/>
          <w:sz w:val="24"/>
          <w:szCs w:val="24"/>
        </w:rPr>
        <w:t xml:space="preserve"> yra naudojami siekiant valdyti riziką, pavyzdžiui diversifikuojant riziką geografinių regionų</w:t>
      </w:r>
      <w:r w:rsidR="00763045" w:rsidRPr="00A91E83">
        <w:rPr>
          <w:rFonts w:ascii="Times New Roman" w:hAnsi="Times New Roman" w:cs="Times New Roman"/>
          <w:sz w:val="24"/>
          <w:szCs w:val="24"/>
        </w:rPr>
        <w:t>,</w:t>
      </w:r>
      <w:r w:rsidR="003A51A6" w:rsidRPr="00A91E83">
        <w:rPr>
          <w:rStyle w:val="Puslapioinaosnuoroda"/>
          <w:rFonts w:ascii="Times New Roman" w:hAnsi="Times New Roman" w:cs="Times New Roman"/>
          <w:sz w:val="24"/>
          <w:szCs w:val="24"/>
        </w:rPr>
        <w:footnoteReference w:id="54"/>
      </w:r>
      <w:r w:rsidR="00617483" w:rsidRPr="00A91E83">
        <w:rPr>
          <w:rFonts w:ascii="Times New Roman" w:hAnsi="Times New Roman" w:cs="Times New Roman"/>
          <w:sz w:val="24"/>
          <w:szCs w:val="24"/>
        </w:rPr>
        <w:t xml:space="preserve"> sektorių atžvilgiu</w:t>
      </w:r>
      <w:r w:rsidRPr="00A91E83">
        <w:rPr>
          <w:rFonts w:ascii="Times New Roman" w:hAnsi="Times New Roman" w:cs="Times New Roman"/>
          <w:sz w:val="24"/>
          <w:szCs w:val="24"/>
        </w:rPr>
        <w:t xml:space="preserve"> ar </w:t>
      </w:r>
      <w:r w:rsidR="00D32FE6" w:rsidRPr="00A91E83">
        <w:rPr>
          <w:rFonts w:ascii="Times New Roman" w:hAnsi="Times New Roman" w:cs="Times New Roman"/>
          <w:sz w:val="24"/>
          <w:szCs w:val="24"/>
        </w:rPr>
        <w:t>atlaisvinant lėšas papildomoms kredito linijoms</w:t>
      </w:r>
      <w:r w:rsidRPr="00A91E83">
        <w:rPr>
          <w:rFonts w:ascii="Times New Roman" w:hAnsi="Times New Roman" w:cs="Times New Roman"/>
          <w:sz w:val="24"/>
          <w:szCs w:val="24"/>
        </w:rPr>
        <w:t>. Tuo tarpu uždarojo tipo fondai siekia pasinaudoti netiksliu kainos nustatymu, informacijos asimetrija</w:t>
      </w:r>
      <w:r w:rsidR="00E26A20" w:rsidRPr="00A91E83">
        <w:rPr>
          <w:rFonts w:ascii="Times New Roman" w:hAnsi="Times New Roman" w:cs="Times New Roman"/>
          <w:sz w:val="24"/>
          <w:szCs w:val="24"/>
        </w:rPr>
        <w:t>,</w:t>
      </w:r>
      <w:r w:rsidRPr="00A91E83">
        <w:rPr>
          <w:rFonts w:ascii="Times New Roman" w:hAnsi="Times New Roman" w:cs="Times New Roman"/>
          <w:sz w:val="24"/>
          <w:szCs w:val="24"/>
        </w:rPr>
        <w:t xml:space="preserve"> susijusia su sandorių dėl kredito</w:t>
      </w:r>
      <w:r w:rsidR="00357431" w:rsidRPr="00A91E83">
        <w:rPr>
          <w:rFonts w:ascii="Times New Roman" w:hAnsi="Times New Roman" w:cs="Times New Roman"/>
          <w:sz w:val="24"/>
          <w:szCs w:val="24"/>
        </w:rPr>
        <w:t xml:space="preserve"> išvestinių finansinių priemonėmis,</w:t>
      </w:r>
      <w:r w:rsidRPr="00A91E83">
        <w:rPr>
          <w:rFonts w:ascii="Times New Roman" w:hAnsi="Times New Roman" w:cs="Times New Roman"/>
          <w:sz w:val="24"/>
          <w:szCs w:val="24"/>
        </w:rPr>
        <w:t xml:space="preserve"> ir iš to pasipelnyti.</w:t>
      </w:r>
      <w:r w:rsidR="00D751B4" w:rsidRPr="00A91E83">
        <w:rPr>
          <w:rStyle w:val="Puslapioinaosnuoroda"/>
          <w:rFonts w:ascii="Times New Roman" w:hAnsi="Times New Roman" w:cs="Times New Roman"/>
          <w:sz w:val="24"/>
          <w:szCs w:val="24"/>
        </w:rPr>
        <w:footnoteReference w:id="55"/>
      </w:r>
      <w:r w:rsidR="009E033D" w:rsidRPr="00A91E83">
        <w:rPr>
          <w:rFonts w:ascii="Times New Roman" w:hAnsi="Times New Roman" w:cs="Times New Roman"/>
          <w:sz w:val="24"/>
          <w:szCs w:val="24"/>
        </w:rPr>
        <w:t xml:space="preserve"> </w:t>
      </w:r>
      <w:r w:rsidR="00652056" w:rsidRPr="00A91E83">
        <w:rPr>
          <w:rFonts w:ascii="Times New Roman" w:hAnsi="Times New Roman" w:cs="Times New Roman"/>
          <w:sz w:val="24"/>
          <w:szCs w:val="24"/>
        </w:rPr>
        <w:t>Apibendrintai</w:t>
      </w:r>
      <w:r w:rsidR="006861DD" w:rsidRPr="00A91E83">
        <w:rPr>
          <w:rFonts w:ascii="Times New Roman" w:hAnsi="Times New Roman" w:cs="Times New Roman"/>
          <w:sz w:val="24"/>
          <w:szCs w:val="24"/>
        </w:rPr>
        <w:t>, minė</w:t>
      </w:r>
      <w:r w:rsidR="00031DAE" w:rsidRPr="00A91E83">
        <w:rPr>
          <w:rFonts w:ascii="Times New Roman" w:hAnsi="Times New Roman" w:cs="Times New Roman"/>
          <w:sz w:val="24"/>
          <w:szCs w:val="24"/>
        </w:rPr>
        <w:t xml:space="preserve">ti sandoriai susilaukia prieštaringų nuomonių, </w:t>
      </w:r>
      <w:proofErr w:type="spellStart"/>
      <w:r w:rsidR="00031DAE" w:rsidRPr="00A91E83">
        <w:rPr>
          <w:rFonts w:ascii="Times New Roman" w:hAnsi="Times New Roman" w:cs="Times New Roman"/>
          <w:sz w:val="24"/>
          <w:szCs w:val="24"/>
        </w:rPr>
        <w:t>pvz</w:t>
      </w:r>
      <w:proofErr w:type="spellEnd"/>
      <w:r w:rsidR="00031DAE" w:rsidRPr="00A91E83">
        <w:rPr>
          <w:rFonts w:ascii="Times New Roman" w:hAnsi="Times New Roman" w:cs="Times New Roman"/>
          <w:sz w:val="24"/>
          <w:szCs w:val="24"/>
        </w:rPr>
        <w:t>.: George Soros teigia</w:t>
      </w:r>
      <w:r w:rsidR="00652056" w:rsidRPr="00A91E83">
        <w:rPr>
          <w:rFonts w:ascii="Times New Roman" w:hAnsi="Times New Roman" w:cs="Times New Roman"/>
          <w:sz w:val="24"/>
          <w:szCs w:val="24"/>
        </w:rPr>
        <w:t xml:space="preserve">, jog </w:t>
      </w:r>
      <w:r w:rsidR="00763045" w:rsidRPr="00A91E83">
        <w:rPr>
          <w:rFonts w:ascii="Times New Roman" w:hAnsi="Times New Roman" w:cs="Times New Roman"/>
          <w:sz w:val="24"/>
          <w:szCs w:val="24"/>
        </w:rPr>
        <w:t>kredito įsipareigojimų nevykdymo apsikeitimo sandor</w:t>
      </w:r>
      <w:r w:rsidR="006861DD" w:rsidRPr="00A91E83">
        <w:rPr>
          <w:rFonts w:ascii="Times New Roman" w:hAnsi="Times New Roman" w:cs="Times New Roman"/>
          <w:sz w:val="24"/>
          <w:szCs w:val="24"/>
        </w:rPr>
        <w:t>i</w:t>
      </w:r>
      <w:r w:rsidR="00763045" w:rsidRPr="00A91E83">
        <w:rPr>
          <w:rFonts w:ascii="Times New Roman" w:hAnsi="Times New Roman" w:cs="Times New Roman"/>
          <w:sz w:val="24"/>
          <w:szCs w:val="24"/>
        </w:rPr>
        <w:t>ai</w:t>
      </w:r>
      <w:r w:rsidR="009E033D" w:rsidRPr="00A91E83">
        <w:rPr>
          <w:rFonts w:ascii="Times New Roman" w:hAnsi="Times New Roman" w:cs="Times New Roman"/>
          <w:sz w:val="24"/>
          <w:szCs w:val="24"/>
        </w:rPr>
        <w:t xml:space="preserve">, kaip </w:t>
      </w:r>
      <w:r w:rsidR="00AA2CDD" w:rsidRPr="00A91E83">
        <w:rPr>
          <w:rFonts w:ascii="Times New Roman" w:hAnsi="Times New Roman" w:cs="Times New Roman"/>
          <w:sz w:val="24"/>
          <w:szCs w:val="24"/>
        </w:rPr>
        <w:t>„</w:t>
      </w:r>
      <w:proofErr w:type="spellStart"/>
      <w:r w:rsidR="009E033D" w:rsidRPr="00A91E83">
        <w:rPr>
          <w:rFonts w:ascii="Times New Roman" w:hAnsi="Times New Roman" w:cs="Times New Roman"/>
          <w:sz w:val="24"/>
          <w:szCs w:val="24"/>
        </w:rPr>
        <w:t>Damoklo</w:t>
      </w:r>
      <w:proofErr w:type="spellEnd"/>
      <w:r w:rsidR="009E033D" w:rsidRPr="00A91E83">
        <w:rPr>
          <w:rFonts w:ascii="Times New Roman" w:hAnsi="Times New Roman" w:cs="Times New Roman"/>
          <w:sz w:val="24"/>
          <w:szCs w:val="24"/>
        </w:rPr>
        <w:t xml:space="preserve"> kard</w:t>
      </w:r>
      <w:r w:rsidR="00652056" w:rsidRPr="00A91E83">
        <w:rPr>
          <w:rFonts w:ascii="Times New Roman" w:hAnsi="Times New Roman" w:cs="Times New Roman"/>
          <w:sz w:val="24"/>
          <w:szCs w:val="24"/>
        </w:rPr>
        <w:t>as</w:t>
      </w:r>
      <w:r w:rsidR="00AA2CDD" w:rsidRPr="00A91E83">
        <w:rPr>
          <w:rFonts w:ascii="Times New Roman" w:hAnsi="Times New Roman" w:cs="Times New Roman"/>
          <w:sz w:val="24"/>
          <w:szCs w:val="24"/>
        </w:rPr>
        <w:t>“</w:t>
      </w:r>
      <w:r w:rsidR="00652056" w:rsidRPr="00A91E83">
        <w:rPr>
          <w:rFonts w:ascii="Times New Roman" w:hAnsi="Times New Roman" w:cs="Times New Roman"/>
          <w:sz w:val="24"/>
          <w:szCs w:val="24"/>
        </w:rPr>
        <w:t xml:space="preserve"> kabantis</w:t>
      </w:r>
      <w:r w:rsidR="009E033D" w:rsidRPr="00A91E83">
        <w:rPr>
          <w:rFonts w:ascii="Times New Roman" w:hAnsi="Times New Roman" w:cs="Times New Roman"/>
          <w:sz w:val="24"/>
          <w:szCs w:val="24"/>
        </w:rPr>
        <w:t xml:space="preserve"> virš finansinių rinkų,</w:t>
      </w:r>
      <w:r w:rsidR="009E033D" w:rsidRPr="00A91E83">
        <w:rPr>
          <w:rStyle w:val="Puslapioinaosnuoroda"/>
          <w:rFonts w:ascii="Times New Roman" w:hAnsi="Times New Roman" w:cs="Times New Roman"/>
          <w:sz w:val="24"/>
          <w:szCs w:val="24"/>
        </w:rPr>
        <w:footnoteReference w:id="56"/>
      </w:r>
      <w:r w:rsidR="009E033D" w:rsidRPr="00A91E83">
        <w:rPr>
          <w:rFonts w:ascii="Times New Roman" w:hAnsi="Times New Roman" w:cs="Times New Roman"/>
          <w:sz w:val="24"/>
          <w:szCs w:val="24"/>
        </w:rPr>
        <w:t xml:space="preserve"> nes rinka </w:t>
      </w:r>
      <w:r w:rsidR="00652056" w:rsidRPr="00A91E83">
        <w:rPr>
          <w:rFonts w:ascii="Times New Roman" w:hAnsi="Times New Roman" w:cs="Times New Roman"/>
          <w:sz w:val="24"/>
          <w:szCs w:val="24"/>
        </w:rPr>
        <w:t>nėra tikra</w:t>
      </w:r>
      <w:r w:rsidR="009E033D" w:rsidRPr="00A91E83">
        <w:rPr>
          <w:rFonts w:ascii="Times New Roman" w:hAnsi="Times New Roman" w:cs="Times New Roman"/>
          <w:sz w:val="24"/>
          <w:szCs w:val="24"/>
        </w:rPr>
        <w:t>, ar jų kontrahentai yra tinkamai apsisaugoję.</w:t>
      </w:r>
      <w:r w:rsidR="00652056" w:rsidRPr="00A91E83">
        <w:rPr>
          <w:rStyle w:val="Puslapioinaosnuoroda"/>
          <w:rFonts w:ascii="Times New Roman" w:hAnsi="Times New Roman" w:cs="Times New Roman"/>
          <w:sz w:val="24"/>
          <w:szCs w:val="24"/>
        </w:rPr>
        <w:footnoteReference w:id="57"/>
      </w:r>
      <w:r w:rsidR="00E63BDA" w:rsidRPr="00A91E83">
        <w:rPr>
          <w:rFonts w:ascii="Times New Roman" w:hAnsi="Times New Roman" w:cs="Times New Roman"/>
          <w:sz w:val="24"/>
          <w:szCs w:val="24"/>
        </w:rPr>
        <w:t xml:space="preserve"> </w:t>
      </w:r>
      <w:r w:rsidR="00031DAE" w:rsidRPr="00A91E83">
        <w:rPr>
          <w:rFonts w:ascii="Times New Roman" w:hAnsi="Times New Roman" w:cs="Times New Roman"/>
          <w:sz w:val="24"/>
          <w:szCs w:val="24"/>
        </w:rPr>
        <w:t xml:space="preserve">Vis dėlto </w:t>
      </w:r>
      <w:r w:rsidR="00031DAE" w:rsidRPr="00A91E83">
        <w:rPr>
          <w:rFonts w:ascii="Times New Roman" w:hAnsi="Times New Roman" w:cs="Times New Roman"/>
          <w:sz w:val="24"/>
          <w:szCs w:val="24"/>
        </w:rPr>
        <w:lastRenderedPageBreak/>
        <w:t xml:space="preserve">autorius labiau pritaria </w:t>
      </w:r>
      <w:proofErr w:type="spellStart"/>
      <w:r w:rsidR="00C66CDA" w:rsidRPr="00A91E83">
        <w:rPr>
          <w:rFonts w:ascii="Times New Roman" w:hAnsi="Times New Roman" w:cs="Times New Roman"/>
          <w:sz w:val="24"/>
          <w:szCs w:val="24"/>
        </w:rPr>
        <w:t>Wood</w:t>
      </w:r>
      <w:proofErr w:type="spellEnd"/>
      <w:r w:rsidR="00C66CDA" w:rsidRPr="00A91E83">
        <w:rPr>
          <w:rFonts w:ascii="Times New Roman" w:hAnsi="Times New Roman" w:cs="Times New Roman"/>
          <w:sz w:val="24"/>
          <w:szCs w:val="24"/>
        </w:rPr>
        <w:t>.</w:t>
      </w:r>
      <w:r w:rsidR="00031DAE" w:rsidRPr="00A91E83">
        <w:rPr>
          <w:rFonts w:ascii="Times New Roman" w:hAnsi="Times New Roman" w:cs="Times New Roman"/>
          <w:sz w:val="24"/>
          <w:szCs w:val="24"/>
        </w:rPr>
        <w:t xml:space="preserve"> P.R. prieštaravimui </w:t>
      </w:r>
      <w:r w:rsidR="009073CF" w:rsidRPr="00A91E83">
        <w:rPr>
          <w:rFonts w:ascii="Times New Roman" w:hAnsi="Times New Roman" w:cs="Times New Roman"/>
          <w:sz w:val="24"/>
          <w:szCs w:val="24"/>
        </w:rPr>
        <w:t>dėl minėto argumento</w:t>
      </w:r>
      <w:r w:rsidR="00031DAE" w:rsidRPr="00A91E83">
        <w:rPr>
          <w:rFonts w:ascii="Times New Roman" w:hAnsi="Times New Roman" w:cs="Times New Roman"/>
          <w:sz w:val="24"/>
          <w:szCs w:val="24"/>
        </w:rPr>
        <w:t>, jog</w:t>
      </w:r>
      <w:r w:rsidR="00E63BDA" w:rsidRPr="00A91E83">
        <w:rPr>
          <w:rFonts w:ascii="Times New Roman" w:hAnsi="Times New Roman" w:cs="Times New Roman"/>
          <w:sz w:val="24"/>
          <w:szCs w:val="24"/>
        </w:rPr>
        <w:t xml:space="preserve"> tokia kritika tada tinka bet kokiai draudimo formai.</w:t>
      </w:r>
    </w:p>
    <w:p w:rsidR="007E0CCE" w:rsidRPr="00A91E83" w:rsidRDefault="007E0CCE" w:rsidP="00B46A53">
      <w:pPr>
        <w:tabs>
          <w:tab w:val="left" w:pos="851"/>
        </w:tabs>
        <w:spacing w:after="0" w:line="360" w:lineRule="auto"/>
        <w:ind w:firstLine="851"/>
        <w:jc w:val="both"/>
        <w:rPr>
          <w:rFonts w:ascii="Times New Roman" w:hAnsi="Times New Roman" w:cs="Times New Roman"/>
          <w:b/>
          <w:sz w:val="24"/>
          <w:szCs w:val="24"/>
        </w:rPr>
      </w:pPr>
    </w:p>
    <w:p w:rsidR="005600B3" w:rsidRPr="00A91E83" w:rsidRDefault="00F217D8" w:rsidP="0026550C">
      <w:pPr>
        <w:pStyle w:val="Sraopastraipa"/>
        <w:numPr>
          <w:ilvl w:val="2"/>
          <w:numId w:val="4"/>
        </w:numPr>
        <w:tabs>
          <w:tab w:val="left" w:pos="851"/>
        </w:tabs>
        <w:spacing w:after="0" w:line="360" w:lineRule="auto"/>
        <w:ind w:left="0" w:firstLine="0"/>
        <w:jc w:val="both"/>
        <w:outlineLvl w:val="2"/>
        <w:rPr>
          <w:rFonts w:ascii="Times New Roman" w:hAnsi="Times New Roman" w:cs="Times New Roman"/>
          <w:b/>
          <w:sz w:val="24"/>
          <w:szCs w:val="24"/>
        </w:rPr>
      </w:pPr>
      <w:bookmarkStart w:id="7" w:name="_Toc280546447"/>
      <w:r w:rsidRPr="00A91E83">
        <w:rPr>
          <w:rFonts w:ascii="Times New Roman" w:hAnsi="Times New Roman" w:cs="Times New Roman"/>
          <w:b/>
          <w:sz w:val="24"/>
          <w:szCs w:val="24"/>
        </w:rPr>
        <w:t>Užsienio valiutos apsikeitimo sandori</w:t>
      </w:r>
      <w:r w:rsidR="0026550C" w:rsidRPr="00A91E83">
        <w:rPr>
          <w:rFonts w:ascii="Times New Roman" w:hAnsi="Times New Roman" w:cs="Times New Roman"/>
          <w:b/>
          <w:sz w:val="24"/>
          <w:szCs w:val="24"/>
        </w:rPr>
        <w:t>ų</w:t>
      </w:r>
      <w:r w:rsidR="003640A9" w:rsidRPr="00A91E83">
        <w:rPr>
          <w:rFonts w:ascii="Times New Roman" w:hAnsi="Times New Roman" w:cs="Times New Roman"/>
          <w:b/>
          <w:sz w:val="24"/>
          <w:szCs w:val="24"/>
        </w:rPr>
        <w:t xml:space="preserve"> samprata</w:t>
      </w:r>
      <w:bookmarkEnd w:id="7"/>
    </w:p>
    <w:p w:rsidR="00AC760D" w:rsidRPr="00A91E83" w:rsidRDefault="00AC760D" w:rsidP="00B46A53">
      <w:pPr>
        <w:tabs>
          <w:tab w:val="left" w:pos="851"/>
        </w:tabs>
        <w:spacing w:after="0" w:line="360" w:lineRule="auto"/>
        <w:ind w:firstLine="851"/>
        <w:jc w:val="both"/>
        <w:rPr>
          <w:rFonts w:ascii="Times New Roman" w:hAnsi="Times New Roman" w:cs="Times New Roman"/>
          <w:sz w:val="24"/>
          <w:szCs w:val="24"/>
        </w:rPr>
      </w:pPr>
    </w:p>
    <w:p w:rsidR="00AC760D" w:rsidRPr="00A91E83" w:rsidRDefault="000B1899"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Valiutų</w:t>
      </w:r>
      <w:r w:rsidR="00AC760D" w:rsidRPr="00A91E83">
        <w:rPr>
          <w:rFonts w:ascii="Times New Roman" w:hAnsi="Times New Roman" w:cs="Times New Roman"/>
          <w:sz w:val="24"/>
          <w:szCs w:val="24"/>
        </w:rPr>
        <w:t xml:space="preserve"> apsikeitimo sandoris </w:t>
      </w:r>
      <w:r w:rsidR="0026550C" w:rsidRPr="00A91E83">
        <w:rPr>
          <w:rFonts w:ascii="Times New Roman" w:hAnsi="Times New Roman" w:cs="Times New Roman"/>
          <w:sz w:val="24"/>
          <w:szCs w:val="24"/>
        </w:rPr>
        <w:t>(</w:t>
      </w:r>
      <w:proofErr w:type="spellStart"/>
      <w:r w:rsidR="0026550C" w:rsidRPr="00A91E83">
        <w:rPr>
          <w:rFonts w:ascii="Times New Roman" w:hAnsi="Times New Roman" w:cs="Times New Roman"/>
          <w:sz w:val="24"/>
          <w:szCs w:val="24"/>
        </w:rPr>
        <w:t>angl</w:t>
      </w:r>
      <w:proofErr w:type="spellEnd"/>
      <w:r w:rsidR="0026550C" w:rsidRPr="00A91E83">
        <w:rPr>
          <w:rFonts w:ascii="Times New Roman" w:hAnsi="Times New Roman" w:cs="Times New Roman"/>
          <w:sz w:val="24"/>
          <w:szCs w:val="24"/>
        </w:rPr>
        <w:t xml:space="preserve">. </w:t>
      </w:r>
      <w:proofErr w:type="spellStart"/>
      <w:r w:rsidR="0026550C" w:rsidRPr="00A91E83">
        <w:rPr>
          <w:rFonts w:ascii="Times New Roman" w:hAnsi="Times New Roman" w:cs="Times New Roman"/>
          <w:i/>
          <w:sz w:val="24"/>
          <w:szCs w:val="24"/>
        </w:rPr>
        <w:t>forex</w:t>
      </w:r>
      <w:proofErr w:type="spellEnd"/>
      <w:r w:rsidR="0026550C" w:rsidRPr="00A91E83">
        <w:rPr>
          <w:rFonts w:ascii="Times New Roman" w:hAnsi="Times New Roman" w:cs="Times New Roman"/>
          <w:i/>
          <w:sz w:val="24"/>
          <w:szCs w:val="24"/>
        </w:rPr>
        <w:t xml:space="preserve"> </w:t>
      </w:r>
      <w:proofErr w:type="spellStart"/>
      <w:r w:rsidR="0026550C" w:rsidRPr="00A91E83">
        <w:rPr>
          <w:rFonts w:ascii="Times New Roman" w:hAnsi="Times New Roman" w:cs="Times New Roman"/>
          <w:i/>
          <w:sz w:val="24"/>
          <w:szCs w:val="24"/>
        </w:rPr>
        <w:t>swap</w:t>
      </w:r>
      <w:proofErr w:type="spellEnd"/>
      <w:r w:rsidR="0026550C" w:rsidRPr="00A91E83">
        <w:rPr>
          <w:rFonts w:ascii="Times New Roman" w:hAnsi="Times New Roman" w:cs="Times New Roman"/>
          <w:sz w:val="24"/>
          <w:szCs w:val="24"/>
        </w:rPr>
        <w:t xml:space="preserve">) </w:t>
      </w:r>
      <w:r w:rsidR="00AC760D" w:rsidRPr="00A91E83">
        <w:rPr>
          <w:rFonts w:ascii="Times New Roman" w:hAnsi="Times New Roman" w:cs="Times New Roman"/>
          <w:sz w:val="24"/>
          <w:szCs w:val="24"/>
        </w:rPr>
        <w:t xml:space="preserve">– tai </w:t>
      </w:r>
      <w:r w:rsidR="005501ED" w:rsidRPr="00A91E83">
        <w:rPr>
          <w:rFonts w:ascii="Times New Roman" w:hAnsi="Times New Roman" w:cs="Times New Roman"/>
          <w:sz w:val="24"/>
          <w:szCs w:val="24"/>
        </w:rPr>
        <w:t>sandorio šalių</w:t>
      </w:r>
      <w:r w:rsidR="00AC760D" w:rsidRPr="00A91E83">
        <w:rPr>
          <w:rFonts w:ascii="Times New Roman" w:hAnsi="Times New Roman" w:cs="Times New Roman"/>
          <w:sz w:val="24"/>
          <w:szCs w:val="24"/>
        </w:rPr>
        <w:t xml:space="preserve"> susitarimas apsikeisti valiutomis einamu kursu, tuo pat metu susitariant atsikeisti tomis valiutomis iš anksto žinomu kursu, tam tikrą datą ateityje.</w:t>
      </w:r>
      <w:r w:rsidR="00BD7D02" w:rsidRPr="00A91E83">
        <w:rPr>
          <w:rStyle w:val="Puslapioinaosnuoroda"/>
          <w:rFonts w:ascii="Times New Roman" w:hAnsi="Times New Roman" w:cs="Times New Roman"/>
          <w:sz w:val="24"/>
          <w:szCs w:val="24"/>
        </w:rPr>
        <w:footnoteReference w:id="58"/>
      </w:r>
      <w:r w:rsidRPr="00A91E83">
        <w:rPr>
          <w:rFonts w:ascii="Times New Roman" w:hAnsi="Times New Roman" w:cs="Times New Roman"/>
          <w:sz w:val="24"/>
          <w:szCs w:val="24"/>
        </w:rPr>
        <w:t xml:space="preserve"> Praktiškai toks valiutų apsikeitimo sandoris įforminamas kaip du savarankiški valiutos sandoriai, atsiskaitant skirtingais valiutos kursais. Iš esmės valiutų apsikeitimo sandorio metu sudaromas nedelsiamasis ir išankstinis valiutos sandoriai. Pagal vieną sandorį atsiskaitomą nedelsiant, </w:t>
      </w:r>
      <w:proofErr w:type="spellStart"/>
      <w:r w:rsidRPr="00A91E83">
        <w:rPr>
          <w:rFonts w:ascii="Times New Roman" w:hAnsi="Times New Roman" w:cs="Times New Roman"/>
          <w:sz w:val="24"/>
          <w:szCs w:val="24"/>
        </w:rPr>
        <w:t>pvz</w:t>
      </w:r>
      <w:proofErr w:type="spellEnd"/>
      <w:r w:rsidRPr="00A91E83">
        <w:rPr>
          <w:rFonts w:ascii="Times New Roman" w:hAnsi="Times New Roman" w:cs="Times New Roman"/>
          <w:sz w:val="24"/>
          <w:szCs w:val="24"/>
        </w:rPr>
        <w:t>.: bendrovė parduoda litus už dolerius nedelsiamuoju kursu, o pagal kitą – išankstinį sandorį bendrovė privalo išankstiniu kursu atpirkti litus už dolerius.</w:t>
      </w:r>
      <w:r w:rsidR="00245F06" w:rsidRPr="00A91E83">
        <w:rPr>
          <w:rFonts w:ascii="Times New Roman" w:hAnsi="Times New Roman" w:cs="Times New Roman"/>
          <w:sz w:val="24"/>
          <w:szCs w:val="24"/>
        </w:rPr>
        <w:t xml:space="preserve"> </w:t>
      </w:r>
      <w:r w:rsidR="00D35295" w:rsidRPr="00A91E83">
        <w:rPr>
          <w:rFonts w:ascii="Times New Roman" w:hAnsi="Times New Roman" w:cs="Times New Roman"/>
          <w:sz w:val="24"/>
          <w:szCs w:val="24"/>
        </w:rPr>
        <w:t xml:space="preserve">Kadangi atskirų valiutų palūkanų normos yra skirtingos, tai valiutų apsikeitimo sandoryje palūkanų skirtumas turi būti kompensuojamas. </w:t>
      </w:r>
      <w:r w:rsidR="00245F06" w:rsidRPr="00A91E83">
        <w:rPr>
          <w:rFonts w:ascii="Times New Roman" w:hAnsi="Times New Roman" w:cs="Times New Roman"/>
          <w:sz w:val="24"/>
          <w:szCs w:val="24"/>
        </w:rPr>
        <w:t>Kom</w:t>
      </w:r>
      <w:r w:rsidR="00D35295" w:rsidRPr="00A91E83">
        <w:rPr>
          <w:rFonts w:ascii="Times New Roman" w:hAnsi="Times New Roman" w:cs="Times New Roman"/>
          <w:sz w:val="24"/>
          <w:szCs w:val="24"/>
        </w:rPr>
        <w:t>pensuojama įvertinant išankstinį valiutos keitimo kursą.</w:t>
      </w:r>
      <w:r w:rsidR="00A011C4" w:rsidRPr="00A91E83">
        <w:rPr>
          <w:rStyle w:val="Puslapioinaosnuoroda"/>
          <w:rFonts w:ascii="Times New Roman" w:hAnsi="Times New Roman" w:cs="Times New Roman"/>
          <w:sz w:val="24"/>
          <w:szCs w:val="24"/>
        </w:rPr>
        <w:footnoteReference w:id="59"/>
      </w:r>
    </w:p>
    <w:p w:rsidR="00D35295" w:rsidRPr="00A91E83" w:rsidRDefault="001A3499"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Pirmas užsienio valiutų apsikeitimo sandoris</w:t>
      </w:r>
      <w:r w:rsidR="0044394C" w:rsidRPr="00A91E83">
        <w:rPr>
          <w:rFonts w:ascii="Times New Roman" w:hAnsi="Times New Roman" w:cs="Times New Roman"/>
          <w:sz w:val="24"/>
          <w:szCs w:val="24"/>
        </w:rPr>
        <w:t>,</w:t>
      </w:r>
      <w:r w:rsidRPr="00A91E83">
        <w:rPr>
          <w:rFonts w:ascii="Times New Roman" w:hAnsi="Times New Roman" w:cs="Times New Roman"/>
          <w:sz w:val="24"/>
          <w:szCs w:val="24"/>
        </w:rPr>
        <w:t xml:space="preserve"> manoma, jog buvo sudarytas tarp IBM ir Tarptautinio valiutos fondo.</w:t>
      </w:r>
      <w:r w:rsidRPr="00A91E83">
        <w:rPr>
          <w:rStyle w:val="Puslapioinaosnuoroda"/>
          <w:rFonts w:ascii="Times New Roman" w:hAnsi="Times New Roman" w:cs="Times New Roman"/>
          <w:sz w:val="24"/>
          <w:szCs w:val="24"/>
        </w:rPr>
        <w:footnoteReference w:id="60"/>
      </w:r>
      <w:r w:rsidR="00D35295" w:rsidRPr="00A91E83">
        <w:rPr>
          <w:rFonts w:ascii="Times New Roman" w:hAnsi="Times New Roman" w:cs="Times New Roman"/>
          <w:sz w:val="24"/>
          <w:szCs w:val="24"/>
        </w:rPr>
        <w:t>Valiutų apsikeitimo sandoriai išpopuliarėjo dėl jų akivaizdžios naudos. Sudaryti vieną sandorį yra pigiau negu du atskirus sandorius (nedelsiamąjį ir išankstinį), nes antruoju atveju bendrovė turėtų sumokėti bankui maržą du kartus.</w:t>
      </w:r>
      <w:r w:rsidR="0064774B" w:rsidRPr="00A91E83">
        <w:rPr>
          <w:rStyle w:val="Puslapioinaosnuoroda"/>
          <w:rFonts w:ascii="Times New Roman" w:hAnsi="Times New Roman" w:cs="Times New Roman"/>
          <w:sz w:val="24"/>
          <w:szCs w:val="24"/>
        </w:rPr>
        <w:footnoteReference w:id="61"/>
      </w:r>
      <w:r w:rsidR="007D7DE2" w:rsidRPr="00A91E83">
        <w:rPr>
          <w:rFonts w:ascii="Times New Roman" w:hAnsi="Times New Roman" w:cs="Times New Roman"/>
          <w:sz w:val="24"/>
          <w:szCs w:val="24"/>
        </w:rPr>
        <w:t xml:space="preserve"> </w:t>
      </w:r>
    </w:p>
    <w:p w:rsidR="00950DF6" w:rsidRPr="00A91E83" w:rsidRDefault="00950DF6"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Apsikeitimo sandoriai dažnai naudojami pinigų srautams reguliuoti. Pavyzdžiui, bendrovė </w:t>
      </w:r>
      <w:r w:rsidR="0048204D" w:rsidRPr="00A91E83">
        <w:rPr>
          <w:rFonts w:ascii="Times New Roman" w:hAnsi="Times New Roman" w:cs="Times New Roman"/>
          <w:sz w:val="24"/>
          <w:szCs w:val="24"/>
        </w:rPr>
        <w:t xml:space="preserve">JAV </w:t>
      </w:r>
      <w:r w:rsidRPr="00A91E83">
        <w:rPr>
          <w:rFonts w:ascii="Times New Roman" w:hAnsi="Times New Roman" w:cs="Times New Roman"/>
          <w:sz w:val="24"/>
          <w:szCs w:val="24"/>
        </w:rPr>
        <w:t xml:space="preserve">turi eurų ir žino, kad </w:t>
      </w:r>
      <w:r w:rsidR="00DD68EE" w:rsidRPr="00A91E83">
        <w:rPr>
          <w:rFonts w:ascii="Times New Roman" w:hAnsi="Times New Roman" w:cs="Times New Roman"/>
          <w:sz w:val="24"/>
          <w:szCs w:val="24"/>
        </w:rPr>
        <w:t xml:space="preserve">jų reikės tik po </w:t>
      </w:r>
      <w:r w:rsidRPr="00A91E83">
        <w:rPr>
          <w:rFonts w:ascii="Times New Roman" w:hAnsi="Times New Roman" w:cs="Times New Roman"/>
          <w:sz w:val="24"/>
          <w:szCs w:val="24"/>
        </w:rPr>
        <w:t>mėnesio</w:t>
      </w:r>
      <w:r w:rsidR="00DD68EE" w:rsidRPr="00A91E83">
        <w:rPr>
          <w:rFonts w:ascii="Times New Roman" w:hAnsi="Times New Roman" w:cs="Times New Roman"/>
          <w:sz w:val="24"/>
          <w:szCs w:val="24"/>
        </w:rPr>
        <w:t>, nes</w:t>
      </w:r>
      <w:r w:rsidRPr="00A91E83">
        <w:rPr>
          <w:rFonts w:ascii="Times New Roman" w:hAnsi="Times New Roman" w:cs="Times New Roman"/>
          <w:sz w:val="24"/>
          <w:szCs w:val="24"/>
        </w:rPr>
        <w:t xml:space="preserve"> teks atsiskaityti už prekes</w:t>
      </w:r>
      <w:r w:rsidR="000E30A8" w:rsidRPr="00A91E83">
        <w:rPr>
          <w:rFonts w:ascii="Times New Roman" w:hAnsi="Times New Roman" w:cs="Times New Roman"/>
          <w:sz w:val="24"/>
          <w:szCs w:val="24"/>
        </w:rPr>
        <w:t xml:space="preserve"> eurais</w:t>
      </w:r>
      <w:r w:rsidRPr="00A91E83">
        <w:rPr>
          <w:rFonts w:ascii="Times New Roman" w:hAnsi="Times New Roman" w:cs="Times New Roman"/>
          <w:sz w:val="24"/>
          <w:szCs w:val="24"/>
        </w:rPr>
        <w:t xml:space="preserve">. Tačiau kasdieninei apyvartai reikalingi </w:t>
      </w:r>
      <w:r w:rsidR="0048204D" w:rsidRPr="00A91E83">
        <w:rPr>
          <w:rFonts w:ascii="Times New Roman" w:hAnsi="Times New Roman" w:cs="Times New Roman"/>
          <w:sz w:val="24"/>
          <w:szCs w:val="24"/>
        </w:rPr>
        <w:t>doleriai</w:t>
      </w:r>
      <w:r w:rsidRPr="00A91E83">
        <w:rPr>
          <w:rFonts w:ascii="Times New Roman" w:hAnsi="Times New Roman" w:cs="Times New Roman"/>
          <w:sz w:val="24"/>
          <w:szCs w:val="24"/>
        </w:rPr>
        <w:t xml:space="preserve">, kurių jai trūksta. Užuot pardavusi eurus ar </w:t>
      </w:r>
      <w:r w:rsidR="00E07FD9" w:rsidRPr="00A91E83">
        <w:rPr>
          <w:rFonts w:ascii="Times New Roman" w:hAnsi="Times New Roman" w:cs="Times New Roman"/>
          <w:sz w:val="24"/>
          <w:szCs w:val="24"/>
        </w:rPr>
        <w:t>atidariusi vieno mėnesio termin</w:t>
      </w:r>
      <w:r w:rsidRPr="00A91E83">
        <w:rPr>
          <w:rFonts w:ascii="Times New Roman" w:hAnsi="Times New Roman" w:cs="Times New Roman"/>
          <w:sz w:val="24"/>
          <w:szCs w:val="24"/>
        </w:rPr>
        <w:t>uotojo indėlio sąskaitą eurais, bendrovė gali sudaryti vieno mėnesio valiutos apsikeitimo sandorį.</w:t>
      </w:r>
      <w:r w:rsidR="007D7DE2" w:rsidRPr="00A91E83">
        <w:rPr>
          <w:rFonts w:ascii="Times New Roman" w:hAnsi="Times New Roman" w:cs="Times New Roman"/>
          <w:sz w:val="24"/>
          <w:szCs w:val="24"/>
        </w:rPr>
        <w:t xml:space="preserve"> </w:t>
      </w:r>
      <w:r w:rsidRPr="00A91E83">
        <w:rPr>
          <w:rFonts w:ascii="Times New Roman" w:hAnsi="Times New Roman" w:cs="Times New Roman"/>
          <w:sz w:val="24"/>
          <w:szCs w:val="24"/>
        </w:rPr>
        <w:t xml:space="preserve">Tokiu atveju vienam mėnesiui perduoda turimus eurus bankui, o iš jo gauna reikalingus </w:t>
      </w:r>
      <w:r w:rsidR="0048204D" w:rsidRPr="00A91E83">
        <w:rPr>
          <w:rFonts w:ascii="Times New Roman" w:hAnsi="Times New Roman" w:cs="Times New Roman"/>
          <w:sz w:val="24"/>
          <w:szCs w:val="24"/>
        </w:rPr>
        <w:t>dolerius</w:t>
      </w:r>
      <w:r w:rsidRPr="00A91E83">
        <w:rPr>
          <w:rFonts w:ascii="Times New Roman" w:hAnsi="Times New Roman" w:cs="Times New Roman"/>
          <w:sz w:val="24"/>
          <w:szCs w:val="24"/>
        </w:rPr>
        <w:t>. Po mė</w:t>
      </w:r>
      <w:r w:rsidR="007D7DE2" w:rsidRPr="00A91E83">
        <w:rPr>
          <w:rFonts w:ascii="Times New Roman" w:hAnsi="Times New Roman" w:cs="Times New Roman"/>
          <w:sz w:val="24"/>
          <w:szCs w:val="24"/>
        </w:rPr>
        <w:t xml:space="preserve">nesio, grąžinusi </w:t>
      </w:r>
      <w:r w:rsidR="0048204D" w:rsidRPr="00A91E83">
        <w:rPr>
          <w:rFonts w:ascii="Times New Roman" w:hAnsi="Times New Roman" w:cs="Times New Roman"/>
          <w:sz w:val="24"/>
          <w:szCs w:val="24"/>
        </w:rPr>
        <w:t>dolerius</w:t>
      </w:r>
      <w:r w:rsidR="007D7DE2" w:rsidRPr="00A91E83">
        <w:rPr>
          <w:rFonts w:ascii="Times New Roman" w:hAnsi="Times New Roman" w:cs="Times New Roman"/>
          <w:sz w:val="24"/>
          <w:szCs w:val="24"/>
        </w:rPr>
        <w:t xml:space="preserve"> bankui, bendrovė</w:t>
      </w:r>
      <w:r w:rsidRPr="00A91E83">
        <w:rPr>
          <w:rFonts w:ascii="Times New Roman" w:hAnsi="Times New Roman" w:cs="Times New Roman"/>
          <w:sz w:val="24"/>
          <w:szCs w:val="24"/>
        </w:rPr>
        <w:t xml:space="preserve"> atgauna eurus, kuriais atsiskaito už gautas prekes.</w:t>
      </w:r>
      <w:r w:rsidR="00CB664D" w:rsidRPr="00A91E83">
        <w:rPr>
          <w:rStyle w:val="Puslapioinaosnuoroda"/>
          <w:rFonts w:ascii="Times New Roman" w:hAnsi="Times New Roman" w:cs="Times New Roman"/>
          <w:sz w:val="24"/>
          <w:szCs w:val="24"/>
        </w:rPr>
        <w:footnoteReference w:id="62"/>
      </w:r>
      <w:r w:rsidRPr="00A91E83">
        <w:rPr>
          <w:rFonts w:ascii="Times New Roman" w:hAnsi="Times New Roman" w:cs="Times New Roman"/>
          <w:sz w:val="24"/>
          <w:szCs w:val="24"/>
        </w:rPr>
        <w:t xml:space="preserve"> Toks būdas dažniausiai yra pigesnis, negu atsidarant </w:t>
      </w:r>
      <w:r w:rsidR="0048204D" w:rsidRPr="00A91E83">
        <w:rPr>
          <w:rFonts w:ascii="Times New Roman" w:hAnsi="Times New Roman" w:cs="Times New Roman"/>
          <w:sz w:val="24"/>
          <w:szCs w:val="24"/>
        </w:rPr>
        <w:t>dolerių</w:t>
      </w:r>
      <w:r w:rsidRPr="00A91E83">
        <w:rPr>
          <w:rFonts w:ascii="Times New Roman" w:hAnsi="Times New Roman" w:cs="Times New Roman"/>
          <w:sz w:val="24"/>
          <w:szCs w:val="24"/>
        </w:rPr>
        <w:t xml:space="preserve"> (ar kitos valiutos) indėlio sąskaitą ir paimant paskolą </w:t>
      </w:r>
      <w:r w:rsidR="0048204D" w:rsidRPr="00A91E83">
        <w:rPr>
          <w:rFonts w:ascii="Times New Roman" w:hAnsi="Times New Roman" w:cs="Times New Roman"/>
          <w:sz w:val="24"/>
          <w:szCs w:val="24"/>
        </w:rPr>
        <w:t>doleriais</w:t>
      </w:r>
      <w:r w:rsidRPr="00A91E83">
        <w:rPr>
          <w:rFonts w:ascii="Times New Roman" w:hAnsi="Times New Roman" w:cs="Times New Roman"/>
          <w:sz w:val="24"/>
          <w:szCs w:val="24"/>
        </w:rPr>
        <w:t>.</w:t>
      </w:r>
      <w:r w:rsidR="00024BF2" w:rsidRPr="00A91E83">
        <w:rPr>
          <w:rStyle w:val="Puslapioinaosnuoroda"/>
          <w:rFonts w:ascii="Times New Roman" w:hAnsi="Times New Roman" w:cs="Times New Roman"/>
          <w:sz w:val="24"/>
          <w:szCs w:val="24"/>
        </w:rPr>
        <w:footnoteReference w:id="63"/>
      </w:r>
      <w:r w:rsidRPr="00A91E83">
        <w:rPr>
          <w:rFonts w:ascii="Times New Roman" w:hAnsi="Times New Roman" w:cs="Times New Roman"/>
          <w:sz w:val="24"/>
          <w:szCs w:val="24"/>
        </w:rPr>
        <w:t xml:space="preserve"> Kita vertus, šis būdas yra patogesnis, nes nereikalingos paskolos įforminimo procedūros, o užsienio valiuta gauta suma pagal atpirkimo sandorį yra lygi grąžinamai sumai.</w:t>
      </w:r>
    </w:p>
    <w:p w:rsidR="000E30A8" w:rsidRPr="00A91E83" w:rsidRDefault="00DD42C9" w:rsidP="000E30A8">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lastRenderedPageBreak/>
        <w:t>Situacija</w:t>
      </w:r>
      <w:r w:rsidR="0003787B" w:rsidRPr="00A91E83">
        <w:rPr>
          <w:rFonts w:ascii="Times New Roman" w:hAnsi="Times New Roman" w:cs="Times New Roman"/>
          <w:sz w:val="24"/>
          <w:szCs w:val="24"/>
        </w:rPr>
        <w:t xml:space="preserve"> susidaro tokia, jog įvykdžius pirmąją užsienio valiutos apsikeitimo sandorio dalį, </w:t>
      </w:r>
      <w:r w:rsidR="008C26F1" w:rsidRPr="00A91E83">
        <w:rPr>
          <w:rFonts w:ascii="Times New Roman" w:hAnsi="Times New Roman" w:cs="Times New Roman"/>
          <w:sz w:val="24"/>
          <w:szCs w:val="24"/>
        </w:rPr>
        <w:t>t. y.</w:t>
      </w:r>
      <w:r w:rsidR="0003787B" w:rsidRPr="00A91E83">
        <w:rPr>
          <w:rFonts w:ascii="Times New Roman" w:hAnsi="Times New Roman" w:cs="Times New Roman"/>
          <w:sz w:val="24"/>
          <w:szCs w:val="24"/>
        </w:rPr>
        <w:t xml:space="preserve"> pardavus valiutą nedelsiamuoju kursu, kita dali</w:t>
      </w:r>
      <w:r w:rsidR="00A65FCC" w:rsidRPr="00A91E83">
        <w:rPr>
          <w:rFonts w:ascii="Times New Roman" w:hAnsi="Times New Roman" w:cs="Times New Roman"/>
          <w:sz w:val="24"/>
          <w:szCs w:val="24"/>
        </w:rPr>
        <w:t>s</w:t>
      </w:r>
      <w:r w:rsidR="0003787B" w:rsidRPr="00A91E83">
        <w:rPr>
          <w:rFonts w:ascii="Times New Roman" w:hAnsi="Times New Roman" w:cs="Times New Roman"/>
          <w:sz w:val="24"/>
          <w:szCs w:val="24"/>
        </w:rPr>
        <w:t xml:space="preserve"> gali ir nebebūti įvykdyta, jeigu kontrahentas, </w:t>
      </w:r>
      <w:proofErr w:type="spellStart"/>
      <w:r w:rsidR="0003787B" w:rsidRPr="00A91E83">
        <w:rPr>
          <w:rFonts w:ascii="Times New Roman" w:hAnsi="Times New Roman" w:cs="Times New Roman"/>
          <w:sz w:val="24"/>
          <w:szCs w:val="24"/>
        </w:rPr>
        <w:t>pvz</w:t>
      </w:r>
      <w:proofErr w:type="spellEnd"/>
      <w:r w:rsidR="0003787B" w:rsidRPr="00A91E83">
        <w:rPr>
          <w:rFonts w:ascii="Times New Roman" w:hAnsi="Times New Roman" w:cs="Times New Roman"/>
          <w:sz w:val="24"/>
          <w:szCs w:val="24"/>
        </w:rPr>
        <w:t>.: bankas bankrutuos anksčiau, nei sueis terminas, kada reikia įvykdyti antrąją sandorio dalį.</w:t>
      </w:r>
      <w:r w:rsidR="000E30A8" w:rsidRPr="00A91E83">
        <w:rPr>
          <w:rStyle w:val="Puslapioinaosnuoroda"/>
          <w:rFonts w:ascii="Times New Roman" w:hAnsi="Times New Roman" w:cs="Times New Roman"/>
          <w:sz w:val="24"/>
          <w:szCs w:val="24"/>
        </w:rPr>
        <w:footnoteReference w:id="64"/>
      </w:r>
      <w:r w:rsidR="0003787B" w:rsidRPr="00A91E83">
        <w:rPr>
          <w:rFonts w:ascii="Times New Roman" w:hAnsi="Times New Roman" w:cs="Times New Roman"/>
          <w:sz w:val="24"/>
          <w:szCs w:val="24"/>
        </w:rPr>
        <w:t xml:space="preserve"> </w:t>
      </w:r>
      <w:r w:rsidR="000E30A8" w:rsidRPr="00A91E83">
        <w:rPr>
          <w:rFonts w:ascii="Times New Roman" w:hAnsi="Times New Roman" w:cs="Times New Roman"/>
          <w:sz w:val="24"/>
          <w:szCs w:val="24"/>
        </w:rPr>
        <w:t>Atsiranda rizika, jog, kaip ir aptarta palūkanų normų apsikeitimo sandorio atveju, b</w:t>
      </w:r>
      <w:r w:rsidR="0003787B" w:rsidRPr="00A91E83">
        <w:rPr>
          <w:rFonts w:ascii="Times New Roman" w:hAnsi="Times New Roman" w:cs="Times New Roman"/>
          <w:sz w:val="24"/>
          <w:szCs w:val="24"/>
        </w:rPr>
        <w:t xml:space="preserve">ankroto administratorius </w:t>
      </w:r>
      <w:r w:rsidRPr="00A91E83">
        <w:rPr>
          <w:rFonts w:ascii="Times New Roman" w:hAnsi="Times New Roman" w:cs="Times New Roman"/>
          <w:sz w:val="24"/>
          <w:szCs w:val="24"/>
        </w:rPr>
        <w:t xml:space="preserve">gali </w:t>
      </w:r>
      <w:r w:rsidR="0003787B" w:rsidRPr="00A91E83">
        <w:rPr>
          <w:rFonts w:ascii="Times New Roman" w:hAnsi="Times New Roman" w:cs="Times New Roman"/>
          <w:sz w:val="24"/>
          <w:szCs w:val="24"/>
        </w:rPr>
        <w:t>reikalau</w:t>
      </w:r>
      <w:r w:rsidRPr="00A91E83">
        <w:rPr>
          <w:rFonts w:ascii="Times New Roman" w:hAnsi="Times New Roman" w:cs="Times New Roman"/>
          <w:sz w:val="24"/>
          <w:szCs w:val="24"/>
        </w:rPr>
        <w:t>ti</w:t>
      </w:r>
      <w:r w:rsidR="0003787B" w:rsidRPr="00A91E83">
        <w:rPr>
          <w:rFonts w:ascii="Times New Roman" w:hAnsi="Times New Roman" w:cs="Times New Roman"/>
          <w:sz w:val="24"/>
          <w:szCs w:val="24"/>
        </w:rPr>
        <w:t xml:space="preserve"> iš bendrovės įvykdyti prievolę pagal minėtą sandorį,</w:t>
      </w:r>
      <w:r w:rsidR="000E30A8" w:rsidRPr="00A91E83">
        <w:rPr>
          <w:rFonts w:ascii="Times New Roman" w:hAnsi="Times New Roman" w:cs="Times New Roman"/>
          <w:sz w:val="24"/>
          <w:szCs w:val="24"/>
        </w:rPr>
        <w:t xml:space="preserve"> </w:t>
      </w:r>
      <w:r w:rsidRPr="00A91E83">
        <w:rPr>
          <w:rFonts w:ascii="Times New Roman" w:hAnsi="Times New Roman" w:cs="Times New Roman"/>
          <w:sz w:val="24"/>
          <w:szCs w:val="24"/>
        </w:rPr>
        <w:t>o</w:t>
      </w:r>
      <w:r w:rsidR="007627AB" w:rsidRPr="00A91E83">
        <w:rPr>
          <w:rFonts w:ascii="Times New Roman" w:hAnsi="Times New Roman" w:cs="Times New Roman"/>
          <w:sz w:val="24"/>
          <w:szCs w:val="24"/>
        </w:rPr>
        <w:t xml:space="preserve"> </w:t>
      </w:r>
      <w:r w:rsidR="000E30A8" w:rsidRPr="00A91E83">
        <w:rPr>
          <w:rFonts w:ascii="Times New Roman" w:hAnsi="Times New Roman" w:cs="Times New Roman"/>
          <w:sz w:val="24"/>
          <w:szCs w:val="24"/>
        </w:rPr>
        <w:t>pats</w:t>
      </w:r>
      <w:r w:rsidR="0003787B" w:rsidRPr="00A91E83">
        <w:rPr>
          <w:rFonts w:ascii="Times New Roman" w:hAnsi="Times New Roman" w:cs="Times New Roman"/>
          <w:sz w:val="24"/>
          <w:szCs w:val="24"/>
        </w:rPr>
        <w:t xml:space="preserve"> grąžins </w:t>
      </w:r>
      <w:r w:rsidR="0044394C" w:rsidRPr="00A91E83">
        <w:rPr>
          <w:rFonts w:ascii="Times New Roman" w:hAnsi="Times New Roman" w:cs="Times New Roman"/>
          <w:sz w:val="24"/>
          <w:szCs w:val="24"/>
        </w:rPr>
        <w:t>atitinkamos užsienio valiutos vertę</w:t>
      </w:r>
      <w:r w:rsidR="0003787B" w:rsidRPr="00A91E83">
        <w:rPr>
          <w:rFonts w:ascii="Times New Roman" w:hAnsi="Times New Roman" w:cs="Times New Roman"/>
          <w:sz w:val="24"/>
          <w:szCs w:val="24"/>
        </w:rPr>
        <w:t xml:space="preserve"> bendrąją tvarka</w:t>
      </w:r>
      <w:r w:rsidR="0044394C" w:rsidRPr="00A91E83">
        <w:rPr>
          <w:rFonts w:ascii="Times New Roman" w:hAnsi="Times New Roman" w:cs="Times New Roman"/>
          <w:sz w:val="24"/>
          <w:szCs w:val="24"/>
        </w:rPr>
        <w:t>,</w:t>
      </w:r>
      <w:r w:rsidR="000E30A8" w:rsidRPr="00A91E83">
        <w:rPr>
          <w:rFonts w:ascii="Times New Roman" w:hAnsi="Times New Roman" w:cs="Times New Roman"/>
          <w:sz w:val="24"/>
          <w:szCs w:val="24"/>
        </w:rPr>
        <w:t xml:space="preserve"> tenkindamas reikalavimus</w:t>
      </w:r>
      <w:r w:rsidR="0003787B" w:rsidRPr="00A91E83">
        <w:rPr>
          <w:rFonts w:ascii="Times New Roman" w:hAnsi="Times New Roman" w:cs="Times New Roman"/>
          <w:sz w:val="24"/>
          <w:szCs w:val="24"/>
        </w:rPr>
        <w:t>, pagal kre</w:t>
      </w:r>
      <w:r w:rsidRPr="00A91E83">
        <w:rPr>
          <w:rFonts w:ascii="Times New Roman" w:hAnsi="Times New Roman" w:cs="Times New Roman"/>
          <w:sz w:val="24"/>
          <w:szCs w:val="24"/>
        </w:rPr>
        <w:t xml:space="preserve">ditorių eiliškumą (jeigu liks </w:t>
      </w:r>
      <w:r w:rsidR="00A65FCC" w:rsidRPr="00A91E83">
        <w:rPr>
          <w:rFonts w:ascii="Times New Roman" w:hAnsi="Times New Roman" w:cs="Times New Roman"/>
          <w:sz w:val="24"/>
          <w:szCs w:val="24"/>
        </w:rPr>
        <w:t xml:space="preserve">lėšų </w:t>
      </w:r>
      <w:r w:rsidR="000E30A8" w:rsidRPr="00A91E83">
        <w:rPr>
          <w:rFonts w:ascii="Times New Roman" w:hAnsi="Times New Roman" w:cs="Times New Roman"/>
          <w:sz w:val="24"/>
          <w:szCs w:val="24"/>
        </w:rPr>
        <w:t>iš viso).</w:t>
      </w:r>
    </w:p>
    <w:p w:rsidR="009763F7" w:rsidRPr="00A91E83" w:rsidRDefault="009763F7" w:rsidP="00B46A53">
      <w:pPr>
        <w:pStyle w:val="Sraopastraipa"/>
        <w:tabs>
          <w:tab w:val="left" w:pos="851"/>
        </w:tabs>
        <w:spacing w:after="0" w:line="360" w:lineRule="auto"/>
        <w:ind w:left="0" w:firstLine="851"/>
        <w:jc w:val="both"/>
        <w:rPr>
          <w:rFonts w:ascii="Times New Roman" w:hAnsi="Times New Roman" w:cs="Times New Roman"/>
          <w:b/>
          <w:sz w:val="24"/>
          <w:szCs w:val="24"/>
        </w:rPr>
      </w:pPr>
    </w:p>
    <w:p w:rsidR="005B2682" w:rsidRPr="00A91E83" w:rsidRDefault="0026550C" w:rsidP="0026550C">
      <w:pPr>
        <w:pStyle w:val="Sraopastraipa"/>
        <w:numPr>
          <w:ilvl w:val="1"/>
          <w:numId w:val="4"/>
        </w:numPr>
        <w:tabs>
          <w:tab w:val="left" w:pos="851"/>
        </w:tabs>
        <w:spacing w:after="0" w:line="360" w:lineRule="auto"/>
        <w:ind w:left="0" w:firstLine="0"/>
        <w:jc w:val="both"/>
        <w:outlineLvl w:val="1"/>
        <w:rPr>
          <w:rFonts w:ascii="Times New Roman" w:hAnsi="Times New Roman" w:cs="Times New Roman"/>
          <w:sz w:val="24"/>
          <w:szCs w:val="24"/>
        </w:rPr>
      </w:pPr>
      <w:bookmarkStart w:id="8" w:name="_Toc280546448"/>
      <w:r w:rsidRPr="00A91E83">
        <w:rPr>
          <w:rFonts w:ascii="Times New Roman" w:hAnsi="Times New Roman" w:cs="Times New Roman"/>
          <w:b/>
          <w:sz w:val="24"/>
          <w:szCs w:val="24"/>
        </w:rPr>
        <w:t xml:space="preserve">Biržoje ir už jos ribų sudaromų sandorių </w:t>
      </w:r>
      <w:r w:rsidR="004843C8" w:rsidRPr="00A91E83">
        <w:rPr>
          <w:rFonts w:ascii="Times New Roman" w:hAnsi="Times New Roman" w:cs="Times New Roman"/>
          <w:b/>
          <w:sz w:val="24"/>
          <w:szCs w:val="24"/>
        </w:rPr>
        <w:t xml:space="preserve">mokumo </w:t>
      </w:r>
      <w:r w:rsidRPr="00A91E83">
        <w:rPr>
          <w:rFonts w:ascii="Times New Roman" w:hAnsi="Times New Roman" w:cs="Times New Roman"/>
          <w:b/>
          <w:sz w:val="24"/>
          <w:szCs w:val="24"/>
        </w:rPr>
        <w:t>r</w:t>
      </w:r>
      <w:r w:rsidR="00E02035" w:rsidRPr="00A91E83">
        <w:rPr>
          <w:rFonts w:ascii="Times New Roman" w:hAnsi="Times New Roman" w:cs="Times New Roman"/>
          <w:b/>
          <w:sz w:val="24"/>
          <w:szCs w:val="24"/>
        </w:rPr>
        <w:t>izikos valdymo s</w:t>
      </w:r>
      <w:r w:rsidR="005B2682" w:rsidRPr="00A91E83">
        <w:rPr>
          <w:rFonts w:ascii="Times New Roman" w:hAnsi="Times New Roman" w:cs="Times New Roman"/>
          <w:b/>
          <w:sz w:val="24"/>
          <w:szCs w:val="24"/>
        </w:rPr>
        <w:t>kirtuma</w:t>
      </w:r>
      <w:r w:rsidRPr="00A91E83">
        <w:rPr>
          <w:rFonts w:ascii="Times New Roman" w:hAnsi="Times New Roman" w:cs="Times New Roman"/>
          <w:b/>
          <w:sz w:val="24"/>
          <w:szCs w:val="24"/>
        </w:rPr>
        <w:t>i</w:t>
      </w:r>
      <w:bookmarkEnd w:id="8"/>
    </w:p>
    <w:p w:rsidR="0026550C" w:rsidRPr="00A91E83" w:rsidRDefault="0026550C" w:rsidP="0026550C">
      <w:pPr>
        <w:tabs>
          <w:tab w:val="left" w:pos="851"/>
        </w:tabs>
        <w:spacing w:after="0" w:line="360" w:lineRule="auto"/>
        <w:jc w:val="both"/>
        <w:outlineLvl w:val="1"/>
        <w:rPr>
          <w:rFonts w:ascii="Times New Roman" w:hAnsi="Times New Roman" w:cs="Times New Roman"/>
          <w:sz w:val="24"/>
          <w:szCs w:val="24"/>
        </w:rPr>
      </w:pPr>
    </w:p>
    <w:p w:rsidR="00392114" w:rsidRPr="00A91E83" w:rsidRDefault="006C657E"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Vertybinių popierių biržose sudaromų sandorių dėl išvestinių finansinių priemonių </w:t>
      </w:r>
      <w:r w:rsidR="007C6F79" w:rsidRPr="00A91E83">
        <w:rPr>
          <w:rFonts w:ascii="Times New Roman" w:hAnsi="Times New Roman" w:cs="Times New Roman"/>
          <w:sz w:val="24"/>
          <w:szCs w:val="24"/>
        </w:rPr>
        <w:t xml:space="preserve">rizikos </w:t>
      </w:r>
      <w:r w:rsidRPr="00A91E83">
        <w:rPr>
          <w:rFonts w:ascii="Times New Roman" w:hAnsi="Times New Roman" w:cs="Times New Roman"/>
          <w:sz w:val="24"/>
          <w:szCs w:val="24"/>
        </w:rPr>
        <w:t xml:space="preserve">valdymas skiriasi </w:t>
      </w:r>
      <w:r w:rsidR="007C6F79" w:rsidRPr="00A91E83">
        <w:rPr>
          <w:rFonts w:ascii="Times New Roman" w:hAnsi="Times New Roman" w:cs="Times New Roman"/>
          <w:sz w:val="24"/>
          <w:szCs w:val="24"/>
        </w:rPr>
        <w:t>nuo sandorių</w:t>
      </w:r>
      <w:r w:rsidR="00574640" w:rsidRPr="00A91E83">
        <w:rPr>
          <w:rFonts w:ascii="Times New Roman" w:hAnsi="Times New Roman" w:cs="Times New Roman"/>
          <w:sz w:val="24"/>
          <w:szCs w:val="24"/>
        </w:rPr>
        <w:t>,</w:t>
      </w:r>
      <w:r w:rsidR="007C6F79" w:rsidRPr="00A91E83">
        <w:rPr>
          <w:rFonts w:ascii="Times New Roman" w:hAnsi="Times New Roman" w:cs="Times New Roman"/>
          <w:sz w:val="24"/>
          <w:szCs w:val="24"/>
        </w:rPr>
        <w:t xml:space="preserve"> sudarytų už biržos ribų</w:t>
      </w:r>
      <w:r w:rsidR="00574640" w:rsidRPr="00A91E83">
        <w:rPr>
          <w:rFonts w:ascii="Times New Roman" w:hAnsi="Times New Roman" w:cs="Times New Roman"/>
          <w:sz w:val="24"/>
          <w:szCs w:val="24"/>
        </w:rPr>
        <w:t>,</w:t>
      </w:r>
      <w:r w:rsidR="007C6F79" w:rsidRPr="00A91E83">
        <w:rPr>
          <w:rFonts w:ascii="Times New Roman" w:hAnsi="Times New Roman" w:cs="Times New Roman"/>
          <w:sz w:val="24"/>
          <w:szCs w:val="24"/>
        </w:rPr>
        <w:t xml:space="preserve"> </w:t>
      </w:r>
      <w:r w:rsidRPr="00A91E83">
        <w:rPr>
          <w:rFonts w:ascii="Times New Roman" w:hAnsi="Times New Roman" w:cs="Times New Roman"/>
          <w:sz w:val="24"/>
          <w:szCs w:val="24"/>
        </w:rPr>
        <w:t xml:space="preserve">iš esmės dėl </w:t>
      </w:r>
      <w:r w:rsidR="00D53609" w:rsidRPr="00A91E83">
        <w:rPr>
          <w:rFonts w:ascii="Times New Roman" w:hAnsi="Times New Roman" w:cs="Times New Roman"/>
          <w:sz w:val="24"/>
          <w:szCs w:val="24"/>
        </w:rPr>
        <w:t>kelių</w:t>
      </w:r>
      <w:r w:rsidRPr="00A91E83">
        <w:rPr>
          <w:rFonts w:ascii="Times New Roman" w:hAnsi="Times New Roman" w:cs="Times New Roman"/>
          <w:sz w:val="24"/>
          <w:szCs w:val="24"/>
        </w:rPr>
        <w:t xml:space="preserve"> </w:t>
      </w:r>
      <w:r w:rsidR="00D53609" w:rsidRPr="00A91E83">
        <w:rPr>
          <w:rFonts w:ascii="Times New Roman" w:hAnsi="Times New Roman" w:cs="Times New Roman"/>
          <w:sz w:val="24"/>
          <w:szCs w:val="24"/>
        </w:rPr>
        <w:t xml:space="preserve">rizikos valdymo </w:t>
      </w:r>
      <w:r w:rsidR="00574640" w:rsidRPr="00A91E83">
        <w:rPr>
          <w:rFonts w:ascii="Times New Roman" w:hAnsi="Times New Roman" w:cs="Times New Roman"/>
          <w:sz w:val="24"/>
          <w:szCs w:val="24"/>
        </w:rPr>
        <w:t>mechanizmo elementų</w:t>
      </w:r>
      <w:r w:rsidR="00EE10AF" w:rsidRPr="00A91E83">
        <w:rPr>
          <w:rFonts w:ascii="Times New Roman" w:hAnsi="Times New Roman" w:cs="Times New Roman"/>
          <w:sz w:val="24"/>
          <w:szCs w:val="24"/>
        </w:rPr>
        <w:t>, kurių</w:t>
      </w:r>
      <w:r w:rsidR="00574640" w:rsidRPr="00A91E83">
        <w:rPr>
          <w:rFonts w:ascii="Times New Roman" w:hAnsi="Times New Roman" w:cs="Times New Roman"/>
          <w:sz w:val="24"/>
          <w:szCs w:val="24"/>
        </w:rPr>
        <w:t xml:space="preserve"> vienas svarbiausių yra užskaitos galimybė net ir </w:t>
      </w:r>
      <w:r w:rsidR="00EE10AF" w:rsidRPr="00A91E83">
        <w:rPr>
          <w:rFonts w:ascii="Times New Roman" w:hAnsi="Times New Roman" w:cs="Times New Roman"/>
          <w:sz w:val="24"/>
          <w:szCs w:val="24"/>
        </w:rPr>
        <w:t>vienai iš šalių tapus nemokiai.</w:t>
      </w:r>
    </w:p>
    <w:p w:rsidR="00466256" w:rsidRPr="00A91E83" w:rsidRDefault="00392114"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Kontrahento rizika, tai rizika, jog išvestinės finansinės priemonės šalis</w:t>
      </w:r>
      <w:r w:rsidR="00C57195" w:rsidRPr="00A91E83">
        <w:rPr>
          <w:rFonts w:ascii="Times New Roman" w:hAnsi="Times New Roman" w:cs="Times New Roman"/>
          <w:sz w:val="24"/>
          <w:szCs w:val="24"/>
        </w:rPr>
        <w:t>,</w:t>
      </w:r>
      <w:r w:rsidRPr="00A91E83">
        <w:rPr>
          <w:rFonts w:ascii="Times New Roman" w:hAnsi="Times New Roman" w:cs="Times New Roman"/>
          <w:sz w:val="24"/>
          <w:szCs w:val="24"/>
        </w:rPr>
        <w:t xml:space="preserve"> prieš sueinant terminui įvykdyti savo prievolę</w:t>
      </w:r>
      <w:r w:rsidR="00C57195" w:rsidRPr="00A91E83">
        <w:rPr>
          <w:rFonts w:ascii="Times New Roman" w:hAnsi="Times New Roman" w:cs="Times New Roman"/>
          <w:sz w:val="24"/>
          <w:szCs w:val="24"/>
        </w:rPr>
        <w:t>,</w:t>
      </w:r>
      <w:r w:rsidRPr="00A91E83">
        <w:rPr>
          <w:rFonts w:ascii="Times New Roman" w:hAnsi="Times New Roman" w:cs="Times New Roman"/>
          <w:sz w:val="24"/>
          <w:szCs w:val="24"/>
        </w:rPr>
        <w:t xml:space="preserve"> taps nemoki.</w:t>
      </w:r>
      <w:r w:rsidRPr="00A91E83">
        <w:rPr>
          <w:rStyle w:val="Puslapioinaosnuoroda"/>
          <w:rFonts w:ascii="Times New Roman" w:hAnsi="Times New Roman" w:cs="Times New Roman"/>
          <w:sz w:val="24"/>
          <w:szCs w:val="24"/>
        </w:rPr>
        <w:footnoteReference w:id="65"/>
      </w:r>
      <w:r w:rsidRPr="00A91E83">
        <w:rPr>
          <w:rFonts w:ascii="Times New Roman" w:hAnsi="Times New Roman" w:cs="Times New Roman"/>
          <w:sz w:val="24"/>
          <w:szCs w:val="24"/>
        </w:rPr>
        <w:t xml:space="preserve"> </w:t>
      </w:r>
      <w:r w:rsidR="00466256" w:rsidRPr="00A91E83">
        <w:rPr>
          <w:rFonts w:ascii="Times New Roman" w:hAnsi="Times New Roman" w:cs="Times New Roman"/>
          <w:sz w:val="24"/>
          <w:szCs w:val="24"/>
        </w:rPr>
        <w:t>Vertybinių popi</w:t>
      </w:r>
      <w:r w:rsidR="00051D5C" w:rsidRPr="00A91E83">
        <w:rPr>
          <w:rFonts w:ascii="Times New Roman" w:hAnsi="Times New Roman" w:cs="Times New Roman"/>
          <w:sz w:val="24"/>
          <w:szCs w:val="24"/>
        </w:rPr>
        <w:t xml:space="preserve">erių biržose sudaromų sandorių </w:t>
      </w:r>
      <w:r w:rsidR="00466256" w:rsidRPr="00A91E83">
        <w:rPr>
          <w:rFonts w:ascii="Times New Roman" w:hAnsi="Times New Roman" w:cs="Times New Roman"/>
          <w:sz w:val="24"/>
          <w:szCs w:val="24"/>
        </w:rPr>
        <w:t>rizika yra sukoncentruota centrinio kontrahento rankose. Biržoje sudaromiems sandoriams būdinga tai, jog biržos narys (</w:t>
      </w:r>
      <w:proofErr w:type="spellStart"/>
      <w:r w:rsidR="00466256" w:rsidRPr="00A91E83">
        <w:rPr>
          <w:rFonts w:ascii="Times New Roman" w:hAnsi="Times New Roman" w:cs="Times New Roman"/>
          <w:sz w:val="24"/>
          <w:szCs w:val="24"/>
        </w:rPr>
        <w:t>pvz</w:t>
      </w:r>
      <w:proofErr w:type="spellEnd"/>
      <w:r w:rsidR="00466256" w:rsidRPr="00A91E83">
        <w:rPr>
          <w:rFonts w:ascii="Times New Roman" w:hAnsi="Times New Roman" w:cs="Times New Roman"/>
          <w:sz w:val="24"/>
          <w:szCs w:val="24"/>
        </w:rPr>
        <w:t>.: bankas ar finansų maklerio įmonė) pagal biržos taisykles sudaro sandorį su tarpuskaitos namais</w:t>
      </w:r>
      <w:r w:rsidR="00466256" w:rsidRPr="00A91E83">
        <w:rPr>
          <w:rStyle w:val="Puslapioinaosnuoroda"/>
          <w:rFonts w:ascii="Times New Roman" w:hAnsi="Times New Roman" w:cs="Times New Roman"/>
          <w:sz w:val="24"/>
          <w:szCs w:val="24"/>
        </w:rPr>
        <w:footnoteReference w:id="66"/>
      </w:r>
      <w:r w:rsidR="00466256" w:rsidRPr="00A91E83">
        <w:rPr>
          <w:rFonts w:ascii="Times New Roman" w:hAnsi="Times New Roman" w:cs="Times New Roman"/>
          <w:sz w:val="24"/>
          <w:szCs w:val="24"/>
        </w:rPr>
        <w:t xml:space="preserve"> (</w:t>
      </w:r>
      <w:proofErr w:type="spellStart"/>
      <w:r w:rsidR="00466256" w:rsidRPr="00A91E83">
        <w:rPr>
          <w:rFonts w:ascii="Times New Roman" w:hAnsi="Times New Roman" w:cs="Times New Roman"/>
          <w:sz w:val="24"/>
          <w:szCs w:val="24"/>
        </w:rPr>
        <w:t>angl</w:t>
      </w:r>
      <w:proofErr w:type="spellEnd"/>
      <w:r w:rsidR="00466256" w:rsidRPr="00A91E83">
        <w:rPr>
          <w:rFonts w:ascii="Times New Roman" w:hAnsi="Times New Roman" w:cs="Times New Roman"/>
          <w:i/>
          <w:sz w:val="24"/>
          <w:szCs w:val="24"/>
        </w:rPr>
        <w:t xml:space="preserve">. </w:t>
      </w:r>
      <w:proofErr w:type="spellStart"/>
      <w:r w:rsidR="00466256" w:rsidRPr="00A91E83">
        <w:rPr>
          <w:rFonts w:ascii="Times New Roman" w:hAnsi="Times New Roman" w:cs="Times New Roman"/>
          <w:i/>
          <w:sz w:val="24"/>
          <w:szCs w:val="24"/>
        </w:rPr>
        <w:t>clearing</w:t>
      </w:r>
      <w:proofErr w:type="spellEnd"/>
      <w:r w:rsidR="00466256" w:rsidRPr="00A91E83">
        <w:rPr>
          <w:rFonts w:ascii="Times New Roman" w:hAnsi="Times New Roman" w:cs="Times New Roman"/>
          <w:i/>
          <w:sz w:val="24"/>
          <w:szCs w:val="24"/>
        </w:rPr>
        <w:t xml:space="preserve"> </w:t>
      </w:r>
      <w:proofErr w:type="spellStart"/>
      <w:r w:rsidR="00466256" w:rsidRPr="00A91E83">
        <w:rPr>
          <w:rFonts w:ascii="Times New Roman" w:hAnsi="Times New Roman" w:cs="Times New Roman"/>
          <w:i/>
          <w:sz w:val="24"/>
          <w:szCs w:val="24"/>
        </w:rPr>
        <w:t>house</w:t>
      </w:r>
      <w:proofErr w:type="spellEnd"/>
      <w:r w:rsidR="00466256" w:rsidRPr="00A91E83">
        <w:rPr>
          <w:rFonts w:ascii="Times New Roman" w:hAnsi="Times New Roman" w:cs="Times New Roman"/>
          <w:sz w:val="24"/>
          <w:szCs w:val="24"/>
        </w:rPr>
        <w:t>), kurie atitinkamai sujungia sandorį su kitu biržos nariu. Jeigu biržos narys A sutinka parduoti nariui B, tada tai bus laikoma sandoriu tarp A ir tarpuskaitos namų, kurie sudarys identišką</w:t>
      </w:r>
      <w:r w:rsidR="003A7487" w:rsidRPr="00A91E83">
        <w:rPr>
          <w:rFonts w:ascii="Times New Roman" w:hAnsi="Times New Roman" w:cs="Times New Roman"/>
          <w:sz w:val="24"/>
          <w:szCs w:val="24"/>
        </w:rPr>
        <w:t xml:space="preserve"> savo apimtimi, bet priešpriešinį</w:t>
      </w:r>
      <w:r w:rsidR="00466256" w:rsidRPr="00A91E83">
        <w:rPr>
          <w:rFonts w:ascii="Times New Roman" w:hAnsi="Times New Roman" w:cs="Times New Roman"/>
          <w:sz w:val="24"/>
          <w:szCs w:val="24"/>
        </w:rPr>
        <w:t xml:space="preserve"> (veidrodinį) sandorį su B. Biržos nariai</w:t>
      </w:r>
      <w:r w:rsidR="00466256" w:rsidRPr="00A91E83">
        <w:rPr>
          <w:rStyle w:val="Puslapioinaosnuoroda"/>
          <w:rFonts w:ascii="Times New Roman" w:hAnsi="Times New Roman" w:cs="Times New Roman"/>
          <w:sz w:val="24"/>
          <w:szCs w:val="24"/>
        </w:rPr>
        <w:footnoteReference w:id="67"/>
      </w:r>
      <w:r w:rsidR="00466256" w:rsidRPr="00A91E83">
        <w:rPr>
          <w:rFonts w:ascii="Times New Roman" w:hAnsi="Times New Roman" w:cs="Times New Roman"/>
          <w:sz w:val="24"/>
          <w:szCs w:val="24"/>
        </w:rPr>
        <w:t xml:space="preserve"> neatlieka vienas kito mokumo vertinimo, nes ši rizika tenka tarpuskaitos namams. </w:t>
      </w:r>
      <w:r w:rsidR="00FF7F84" w:rsidRPr="00A91E83">
        <w:rPr>
          <w:rFonts w:ascii="Times New Roman" w:hAnsi="Times New Roman" w:cs="Times New Roman"/>
          <w:sz w:val="24"/>
          <w:szCs w:val="24"/>
        </w:rPr>
        <w:t xml:space="preserve">Taigi tarpuskaitos namai koncentruodami riziką vienose rankose iš esmės </w:t>
      </w:r>
      <w:r w:rsidR="00F3617D" w:rsidRPr="00A91E83">
        <w:rPr>
          <w:rFonts w:ascii="Times New Roman" w:hAnsi="Times New Roman" w:cs="Times New Roman"/>
          <w:sz w:val="24"/>
          <w:szCs w:val="24"/>
        </w:rPr>
        <w:t>nes</w:t>
      </w:r>
      <w:r w:rsidR="003A7487" w:rsidRPr="00A91E83">
        <w:rPr>
          <w:rFonts w:ascii="Times New Roman" w:hAnsi="Times New Roman" w:cs="Times New Roman"/>
          <w:sz w:val="24"/>
          <w:szCs w:val="24"/>
        </w:rPr>
        <w:t>umažina šalies nemokumo rizikos, tačiau dėl efektyvesnės rizikos kontrolės biržoje atliekami sandoriai laikomi mažiau rizikingais.</w:t>
      </w:r>
    </w:p>
    <w:p w:rsidR="00466256" w:rsidRPr="00A91E83" w:rsidRDefault="001C3500"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Tarpuskaitos namų</w:t>
      </w:r>
      <w:r w:rsidR="00F3617D" w:rsidRPr="00A91E83">
        <w:rPr>
          <w:rFonts w:ascii="Times New Roman" w:hAnsi="Times New Roman" w:cs="Times New Roman"/>
          <w:sz w:val="24"/>
          <w:szCs w:val="24"/>
        </w:rPr>
        <w:t xml:space="preserve"> prisiimtos rizikos valdymas turi griežtas taisykles. </w:t>
      </w:r>
      <w:r w:rsidRPr="00A91E83">
        <w:rPr>
          <w:rFonts w:ascii="Times New Roman" w:hAnsi="Times New Roman" w:cs="Times New Roman"/>
          <w:sz w:val="24"/>
          <w:szCs w:val="24"/>
        </w:rPr>
        <w:t xml:space="preserve">Tarpuskaitos namai paima pradinį </w:t>
      </w:r>
      <w:r w:rsidR="00E815A0" w:rsidRPr="00A91E83">
        <w:rPr>
          <w:rFonts w:ascii="Times New Roman" w:hAnsi="Times New Roman" w:cs="Times New Roman"/>
          <w:sz w:val="24"/>
          <w:szCs w:val="24"/>
        </w:rPr>
        <w:t xml:space="preserve">finansinį </w:t>
      </w:r>
      <w:r w:rsidRPr="00A91E83">
        <w:rPr>
          <w:rFonts w:ascii="Times New Roman" w:hAnsi="Times New Roman" w:cs="Times New Roman"/>
          <w:sz w:val="24"/>
          <w:szCs w:val="24"/>
        </w:rPr>
        <w:t xml:space="preserve">užstatą </w:t>
      </w:r>
      <w:r w:rsidR="00F93948" w:rsidRPr="00A91E83">
        <w:rPr>
          <w:rFonts w:ascii="Times New Roman" w:hAnsi="Times New Roman" w:cs="Times New Roman"/>
          <w:sz w:val="24"/>
          <w:szCs w:val="24"/>
        </w:rPr>
        <w:t>(</w:t>
      </w:r>
      <w:proofErr w:type="spellStart"/>
      <w:r w:rsidR="00F93948" w:rsidRPr="00A91E83">
        <w:rPr>
          <w:rFonts w:ascii="Times New Roman" w:hAnsi="Times New Roman" w:cs="Times New Roman"/>
          <w:sz w:val="24"/>
          <w:szCs w:val="24"/>
        </w:rPr>
        <w:t>angl</w:t>
      </w:r>
      <w:proofErr w:type="spellEnd"/>
      <w:r w:rsidR="00F93948" w:rsidRPr="00A91E83">
        <w:rPr>
          <w:rFonts w:ascii="Times New Roman" w:hAnsi="Times New Roman" w:cs="Times New Roman"/>
          <w:sz w:val="24"/>
          <w:szCs w:val="24"/>
        </w:rPr>
        <w:t>.</w:t>
      </w:r>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initial</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margin</w:t>
      </w:r>
      <w:proofErr w:type="spellEnd"/>
      <w:r w:rsidRPr="00A91E83">
        <w:rPr>
          <w:rFonts w:ascii="Times New Roman" w:hAnsi="Times New Roman" w:cs="Times New Roman"/>
          <w:sz w:val="24"/>
          <w:szCs w:val="24"/>
        </w:rPr>
        <w:t>) iš kiekvieno dalyvio.</w:t>
      </w:r>
      <w:r w:rsidRPr="00A91E83">
        <w:rPr>
          <w:rStyle w:val="Puslapioinaosnuoroda"/>
          <w:rFonts w:ascii="Times New Roman" w:hAnsi="Times New Roman" w:cs="Times New Roman"/>
          <w:sz w:val="24"/>
          <w:szCs w:val="24"/>
        </w:rPr>
        <w:footnoteReference w:id="68"/>
      </w:r>
      <w:r w:rsidRPr="00A91E83">
        <w:rPr>
          <w:rFonts w:ascii="Times New Roman" w:hAnsi="Times New Roman" w:cs="Times New Roman"/>
          <w:sz w:val="24"/>
          <w:szCs w:val="24"/>
        </w:rPr>
        <w:t xml:space="preserve"> </w:t>
      </w:r>
      <w:r w:rsidR="00F93948" w:rsidRPr="00A91E83">
        <w:rPr>
          <w:rFonts w:ascii="Times New Roman" w:hAnsi="Times New Roman" w:cs="Times New Roman"/>
          <w:sz w:val="24"/>
          <w:szCs w:val="24"/>
        </w:rPr>
        <w:t xml:space="preserve">Taip pat paimamas </w:t>
      </w:r>
      <w:r w:rsidR="00E815A0" w:rsidRPr="00A91E83">
        <w:rPr>
          <w:rFonts w:ascii="Times New Roman" w:hAnsi="Times New Roman" w:cs="Times New Roman"/>
          <w:sz w:val="24"/>
          <w:szCs w:val="24"/>
        </w:rPr>
        <w:t>ir papildomas užstatas</w:t>
      </w:r>
      <w:r w:rsidR="00F93948" w:rsidRPr="00A91E83">
        <w:rPr>
          <w:rFonts w:ascii="Times New Roman" w:hAnsi="Times New Roman" w:cs="Times New Roman"/>
          <w:sz w:val="24"/>
          <w:szCs w:val="24"/>
        </w:rPr>
        <w:t xml:space="preserve"> dėl ateities nuostolių, kuris</w:t>
      </w:r>
      <w:r w:rsidR="00466256" w:rsidRPr="00A91E83">
        <w:rPr>
          <w:rFonts w:ascii="Times New Roman" w:hAnsi="Times New Roman" w:cs="Times New Roman"/>
          <w:sz w:val="24"/>
          <w:szCs w:val="24"/>
        </w:rPr>
        <w:t xml:space="preserve"> nuolat pervertinamas </w:t>
      </w:r>
      <w:r w:rsidR="00F93948" w:rsidRPr="00A91E83">
        <w:rPr>
          <w:rFonts w:ascii="Times New Roman" w:hAnsi="Times New Roman" w:cs="Times New Roman"/>
          <w:sz w:val="24"/>
          <w:szCs w:val="24"/>
        </w:rPr>
        <w:t>(</w:t>
      </w:r>
      <w:proofErr w:type="spellStart"/>
      <w:r w:rsidR="00F93948" w:rsidRPr="00A91E83">
        <w:rPr>
          <w:rFonts w:ascii="Times New Roman" w:hAnsi="Times New Roman" w:cs="Times New Roman"/>
          <w:sz w:val="24"/>
          <w:szCs w:val="24"/>
        </w:rPr>
        <w:t>angl</w:t>
      </w:r>
      <w:proofErr w:type="spellEnd"/>
      <w:r w:rsidR="00F93948" w:rsidRPr="00A91E83">
        <w:rPr>
          <w:rFonts w:ascii="Times New Roman" w:hAnsi="Times New Roman" w:cs="Times New Roman"/>
          <w:sz w:val="24"/>
          <w:szCs w:val="24"/>
        </w:rPr>
        <w:t xml:space="preserve">. </w:t>
      </w:r>
      <w:proofErr w:type="spellStart"/>
      <w:r w:rsidR="00F93948" w:rsidRPr="00A91E83">
        <w:rPr>
          <w:rFonts w:ascii="Times New Roman" w:hAnsi="Times New Roman" w:cs="Times New Roman"/>
          <w:i/>
          <w:sz w:val="24"/>
          <w:szCs w:val="24"/>
        </w:rPr>
        <w:lastRenderedPageBreak/>
        <w:t>variation</w:t>
      </w:r>
      <w:proofErr w:type="spellEnd"/>
      <w:r w:rsidR="00F93948" w:rsidRPr="00A91E83">
        <w:rPr>
          <w:rFonts w:ascii="Times New Roman" w:hAnsi="Times New Roman" w:cs="Times New Roman"/>
          <w:i/>
          <w:sz w:val="24"/>
          <w:szCs w:val="24"/>
        </w:rPr>
        <w:t xml:space="preserve"> </w:t>
      </w:r>
      <w:proofErr w:type="spellStart"/>
      <w:r w:rsidR="00F93948" w:rsidRPr="00A91E83">
        <w:rPr>
          <w:rFonts w:ascii="Times New Roman" w:hAnsi="Times New Roman" w:cs="Times New Roman"/>
          <w:i/>
          <w:sz w:val="24"/>
          <w:szCs w:val="24"/>
        </w:rPr>
        <w:t>margin</w:t>
      </w:r>
      <w:proofErr w:type="spellEnd"/>
      <w:r w:rsidR="00F93948" w:rsidRPr="00A91E83">
        <w:rPr>
          <w:rFonts w:ascii="Times New Roman" w:hAnsi="Times New Roman" w:cs="Times New Roman"/>
          <w:i/>
          <w:sz w:val="24"/>
          <w:szCs w:val="24"/>
        </w:rPr>
        <w:t>)</w:t>
      </w:r>
      <w:r w:rsidR="00C57195" w:rsidRPr="00A91E83">
        <w:rPr>
          <w:rFonts w:ascii="Times New Roman" w:hAnsi="Times New Roman" w:cs="Times New Roman"/>
          <w:i/>
          <w:sz w:val="24"/>
          <w:szCs w:val="24"/>
        </w:rPr>
        <w:t>,</w:t>
      </w:r>
      <w:r w:rsidR="00F93948" w:rsidRPr="00A91E83">
        <w:rPr>
          <w:rFonts w:ascii="Times New Roman" w:hAnsi="Times New Roman" w:cs="Times New Roman"/>
          <w:sz w:val="24"/>
          <w:szCs w:val="24"/>
        </w:rPr>
        <w:t xml:space="preserve"> </w:t>
      </w:r>
      <w:r w:rsidR="00466256" w:rsidRPr="00A91E83">
        <w:rPr>
          <w:rFonts w:ascii="Times New Roman" w:hAnsi="Times New Roman" w:cs="Times New Roman"/>
          <w:sz w:val="24"/>
          <w:szCs w:val="24"/>
        </w:rPr>
        <w:t>atsižvelgiant į biržos nario sudaromų sandorių rizikos pokyčius</w:t>
      </w:r>
      <w:r w:rsidR="00E80CFF" w:rsidRPr="00A91E83">
        <w:rPr>
          <w:rStyle w:val="Puslapioinaosnuoroda"/>
          <w:rFonts w:ascii="Times New Roman" w:hAnsi="Times New Roman" w:cs="Times New Roman"/>
          <w:sz w:val="24"/>
          <w:szCs w:val="24"/>
        </w:rPr>
        <w:footnoteReference w:id="69"/>
      </w:r>
      <w:r w:rsidR="00466256" w:rsidRPr="00A91E83">
        <w:rPr>
          <w:rFonts w:ascii="Times New Roman" w:hAnsi="Times New Roman" w:cs="Times New Roman"/>
          <w:sz w:val="24"/>
          <w:szCs w:val="24"/>
        </w:rPr>
        <w:t xml:space="preserve"> bei </w:t>
      </w:r>
      <w:r w:rsidR="00FF7F84" w:rsidRPr="00A91E83">
        <w:rPr>
          <w:rFonts w:ascii="Times New Roman" w:hAnsi="Times New Roman" w:cs="Times New Roman"/>
          <w:sz w:val="24"/>
          <w:szCs w:val="24"/>
        </w:rPr>
        <w:t xml:space="preserve">finansinio </w:t>
      </w:r>
      <w:r w:rsidR="00466256" w:rsidRPr="00A91E83">
        <w:rPr>
          <w:rFonts w:ascii="Times New Roman" w:hAnsi="Times New Roman" w:cs="Times New Roman"/>
          <w:sz w:val="24"/>
          <w:szCs w:val="24"/>
        </w:rPr>
        <w:t xml:space="preserve">užstato vertės svyravimus rinkoje. Taip pat tarpuskaitos namų mokumas užtikrinamas nustatant įstatinio kapitalo ir </w:t>
      </w:r>
      <w:r w:rsidR="00574640" w:rsidRPr="00A91E83">
        <w:rPr>
          <w:rFonts w:ascii="Times New Roman" w:hAnsi="Times New Roman" w:cs="Times New Roman"/>
          <w:sz w:val="24"/>
          <w:szCs w:val="24"/>
        </w:rPr>
        <w:t>kapitalo likvidumo reikalavimus, be to tarpuskaitos namai papildomai apsidraudžia save ir draudimo rinkoje.</w:t>
      </w:r>
      <w:r w:rsidR="00574640" w:rsidRPr="00A91E83">
        <w:rPr>
          <w:rStyle w:val="Puslapioinaosnuoroda"/>
          <w:rFonts w:ascii="Times New Roman" w:hAnsi="Times New Roman" w:cs="Times New Roman"/>
          <w:sz w:val="24"/>
          <w:szCs w:val="24"/>
        </w:rPr>
        <w:footnoteReference w:id="70"/>
      </w:r>
      <w:r w:rsidR="00466256" w:rsidRPr="00A91E83">
        <w:rPr>
          <w:rFonts w:ascii="Times New Roman" w:hAnsi="Times New Roman" w:cs="Times New Roman"/>
          <w:sz w:val="24"/>
          <w:szCs w:val="24"/>
        </w:rPr>
        <w:t xml:space="preserve"> Kartais </w:t>
      </w:r>
      <w:r w:rsidR="00F3617D" w:rsidRPr="00A91E83">
        <w:rPr>
          <w:rFonts w:ascii="Times New Roman" w:hAnsi="Times New Roman" w:cs="Times New Roman"/>
          <w:sz w:val="24"/>
          <w:szCs w:val="24"/>
        </w:rPr>
        <w:t>papildomai</w:t>
      </w:r>
      <w:r w:rsidR="00466256" w:rsidRPr="00A91E83">
        <w:rPr>
          <w:rFonts w:ascii="Times New Roman" w:hAnsi="Times New Roman" w:cs="Times New Roman"/>
          <w:sz w:val="24"/>
          <w:szCs w:val="24"/>
        </w:rPr>
        <w:t xml:space="preserve"> kaupiamas atskiras nemokumo rizikos garantinis fondas. Visos šios nemokumo </w:t>
      </w:r>
      <w:r w:rsidR="00FF7F84" w:rsidRPr="00A91E83">
        <w:rPr>
          <w:rFonts w:ascii="Times New Roman" w:hAnsi="Times New Roman" w:cs="Times New Roman"/>
          <w:sz w:val="24"/>
          <w:szCs w:val="24"/>
        </w:rPr>
        <w:t>rizikos valdymo</w:t>
      </w:r>
      <w:r w:rsidR="00466256" w:rsidRPr="00A91E83">
        <w:rPr>
          <w:rFonts w:ascii="Times New Roman" w:hAnsi="Times New Roman" w:cs="Times New Roman"/>
          <w:sz w:val="24"/>
          <w:szCs w:val="24"/>
        </w:rPr>
        <w:t xml:space="preserve"> taisyklės varijuoja priklausomai nuo nusistovėjusios praktikos. T</w:t>
      </w:r>
      <w:r w:rsidR="00F3617D" w:rsidRPr="00A91E83">
        <w:rPr>
          <w:rFonts w:ascii="Times New Roman" w:hAnsi="Times New Roman" w:cs="Times New Roman"/>
          <w:sz w:val="24"/>
          <w:szCs w:val="24"/>
        </w:rPr>
        <w:t>aigi, teoriškai, dėl užstato ir finansinių įnašų</w:t>
      </w:r>
      <w:r w:rsidR="00466256" w:rsidRPr="00A91E83">
        <w:rPr>
          <w:rFonts w:ascii="Times New Roman" w:hAnsi="Times New Roman" w:cs="Times New Roman"/>
          <w:sz w:val="24"/>
          <w:szCs w:val="24"/>
        </w:rPr>
        <w:t xml:space="preserve"> tarpuskaitos namai nepatiria narių kredito rizikos.</w:t>
      </w:r>
      <w:r w:rsidR="00466256" w:rsidRPr="00A91E83">
        <w:rPr>
          <w:rStyle w:val="Puslapioinaosnuoroda"/>
          <w:rFonts w:ascii="Times New Roman" w:hAnsi="Times New Roman" w:cs="Times New Roman"/>
          <w:sz w:val="24"/>
          <w:szCs w:val="24"/>
        </w:rPr>
        <w:footnoteReference w:id="71"/>
      </w:r>
      <w:r w:rsidR="00466256" w:rsidRPr="00A91E83">
        <w:rPr>
          <w:rFonts w:ascii="Times New Roman" w:hAnsi="Times New Roman" w:cs="Times New Roman"/>
          <w:sz w:val="24"/>
          <w:szCs w:val="24"/>
        </w:rPr>
        <w:t xml:space="preserve"> </w:t>
      </w:r>
      <w:r w:rsidR="00F3617D" w:rsidRPr="00A91E83">
        <w:rPr>
          <w:rFonts w:ascii="Times New Roman" w:hAnsi="Times New Roman" w:cs="Times New Roman"/>
          <w:sz w:val="24"/>
          <w:szCs w:val="24"/>
        </w:rPr>
        <w:t>Akivaizdu, jog i</w:t>
      </w:r>
      <w:r w:rsidR="00466256" w:rsidRPr="00A91E83">
        <w:rPr>
          <w:rFonts w:ascii="Times New Roman" w:hAnsi="Times New Roman" w:cs="Times New Roman"/>
          <w:sz w:val="24"/>
          <w:szCs w:val="24"/>
        </w:rPr>
        <w:t xml:space="preserve">švestinių finansinių priemonių biržos nemokumo rizikos </w:t>
      </w:r>
      <w:r w:rsidR="00F3617D" w:rsidRPr="00A91E83">
        <w:rPr>
          <w:rFonts w:ascii="Times New Roman" w:hAnsi="Times New Roman" w:cs="Times New Roman"/>
          <w:sz w:val="24"/>
          <w:szCs w:val="24"/>
        </w:rPr>
        <w:t>kontrolės mechanizmas</w:t>
      </w:r>
      <w:r w:rsidR="00466256" w:rsidRPr="00A91E83">
        <w:rPr>
          <w:rFonts w:ascii="Times New Roman" w:hAnsi="Times New Roman" w:cs="Times New Roman"/>
          <w:sz w:val="24"/>
          <w:szCs w:val="24"/>
        </w:rPr>
        <w:t xml:space="preserve"> papildomai </w:t>
      </w:r>
      <w:r w:rsidR="00F3617D" w:rsidRPr="00A91E83">
        <w:rPr>
          <w:rFonts w:ascii="Times New Roman" w:hAnsi="Times New Roman" w:cs="Times New Roman"/>
          <w:sz w:val="24"/>
          <w:szCs w:val="24"/>
        </w:rPr>
        <w:t xml:space="preserve">kainuoja </w:t>
      </w:r>
      <w:r w:rsidR="00466256" w:rsidRPr="00A91E83">
        <w:rPr>
          <w:rFonts w:ascii="Times New Roman" w:hAnsi="Times New Roman" w:cs="Times New Roman"/>
          <w:sz w:val="24"/>
          <w:szCs w:val="24"/>
        </w:rPr>
        <w:t>biržos nariams</w:t>
      </w:r>
      <w:r w:rsidR="00F3617D" w:rsidRPr="00A91E83">
        <w:rPr>
          <w:rFonts w:ascii="Times New Roman" w:hAnsi="Times New Roman" w:cs="Times New Roman"/>
          <w:sz w:val="24"/>
          <w:szCs w:val="24"/>
        </w:rPr>
        <w:t>.</w:t>
      </w:r>
    </w:p>
    <w:p w:rsidR="005E7376" w:rsidRPr="00A91E83" w:rsidRDefault="0004490B"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Vis dėlto</w:t>
      </w:r>
      <w:r w:rsidR="00A91EA0" w:rsidRPr="00A91E83">
        <w:rPr>
          <w:rFonts w:ascii="Times New Roman" w:hAnsi="Times New Roman" w:cs="Times New Roman"/>
          <w:sz w:val="24"/>
          <w:szCs w:val="24"/>
        </w:rPr>
        <w:t xml:space="preserve"> </w:t>
      </w:r>
      <w:r w:rsidR="00C1452C" w:rsidRPr="00A91E83">
        <w:rPr>
          <w:rFonts w:ascii="Times New Roman" w:hAnsi="Times New Roman" w:cs="Times New Roman"/>
          <w:sz w:val="24"/>
          <w:szCs w:val="24"/>
        </w:rPr>
        <w:t xml:space="preserve">esminė </w:t>
      </w:r>
      <w:r w:rsidR="0062154F" w:rsidRPr="00A91E83">
        <w:rPr>
          <w:rFonts w:ascii="Times New Roman" w:hAnsi="Times New Roman" w:cs="Times New Roman"/>
          <w:sz w:val="24"/>
          <w:szCs w:val="24"/>
        </w:rPr>
        <w:t>priežastis</w:t>
      </w:r>
      <w:r w:rsidRPr="00A91E83">
        <w:rPr>
          <w:rStyle w:val="Puslapioinaosnuoroda"/>
          <w:rFonts w:ascii="Times New Roman" w:hAnsi="Times New Roman" w:cs="Times New Roman"/>
          <w:sz w:val="24"/>
          <w:szCs w:val="24"/>
        </w:rPr>
        <w:footnoteReference w:id="72"/>
      </w:r>
      <w:r w:rsidR="00C1452C" w:rsidRPr="00A91E83">
        <w:rPr>
          <w:rFonts w:ascii="Times New Roman" w:hAnsi="Times New Roman" w:cs="Times New Roman"/>
          <w:sz w:val="24"/>
          <w:szCs w:val="24"/>
        </w:rPr>
        <w:t>,</w:t>
      </w:r>
      <w:r w:rsidR="0062154F" w:rsidRPr="00A91E83">
        <w:rPr>
          <w:rFonts w:ascii="Times New Roman" w:hAnsi="Times New Roman" w:cs="Times New Roman"/>
          <w:sz w:val="24"/>
          <w:szCs w:val="24"/>
        </w:rPr>
        <w:t xml:space="preserve"> kodėl biržoje sudaryti sandoriai dėl išvestinių finansinių priemonių laikomi </w:t>
      </w:r>
      <w:r w:rsidR="00D44DB3" w:rsidRPr="00A91E83">
        <w:rPr>
          <w:rFonts w:ascii="Times New Roman" w:hAnsi="Times New Roman" w:cs="Times New Roman"/>
          <w:sz w:val="24"/>
          <w:szCs w:val="24"/>
        </w:rPr>
        <w:t>mažiau rizikingi</w:t>
      </w:r>
      <w:r w:rsidR="001351CD" w:rsidRPr="00A91E83">
        <w:rPr>
          <w:rFonts w:ascii="Times New Roman" w:hAnsi="Times New Roman" w:cs="Times New Roman"/>
          <w:sz w:val="24"/>
          <w:szCs w:val="24"/>
        </w:rPr>
        <w:t>, jog tarpus</w:t>
      </w:r>
      <w:r w:rsidR="0062154F" w:rsidRPr="00A91E83">
        <w:rPr>
          <w:rFonts w:ascii="Times New Roman" w:hAnsi="Times New Roman" w:cs="Times New Roman"/>
          <w:sz w:val="24"/>
          <w:szCs w:val="24"/>
        </w:rPr>
        <w:t xml:space="preserve">kaitos namai būdami visų sandorių šalimi gali atlikti </w:t>
      </w:r>
      <w:r w:rsidR="00B548C5" w:rsidRPr="00A91E83">
        <w:rPr>
          <w:rFonts w:ascii="Times New Roman" w:hAnsi="Times New Roman" w:cs="Times New Roman"/>
          <w:sz w:val="24"/>
          <w:szCs w:val="24"/>
        </w:rPr>
        <w:t>užskaitą</w:t>
      </w:r>
      <w:r w:rsidR="00D55E03" w:rsidRPr="00A91E83">
        <w:rPr>
          <w:rFonts w:ascii="Times New Roman" w:hAnsi="Times New Roman" w:cs="Times New Roman"/>
          <w:sz w:val="24"/>
          <w:szCs w:val="24"/>
        </w:rPr>
        <w:t xml:space="preserve">, net </w:t>
      </w:r>
      <w:r w:rsidR="00C733EB" w:rsidRPr="00A91E83">
        <w:rPr>
          <w:rFonts w:ascii="Times New Roman" w:hAnsi="Times New Roman" w:cs="Times New Roman"/>
          <w:sz w:val="24"/>
          <w:szCs w:val="24"/>
        </w:rPr>
        <w:t xml:space="preserve">jeigu viena iš šalių </w:t>
      </w:r>
      <w:r w:rsidR="00A91EA0" w:rsidRPr="00A91E83">
        <w:rPr>
          <w:rFonts w:ascii="Times New Roman" w:hAnsi="Times New Roman" w:cs="Times New Roman"/>
          <w:sz w:val="24"/>
          <w:szCs w:val="24"/>
        </w:rPr>
        <w:t>tapo nemoki.</w:t>
      </w:r>
      <w:r w:rsidR="00667E37" w:rsidRPr="00A91E83">
        <w:rPr>
          <w:rStyle w:val="Puslapioinaosnuoroda"/>
          <w:rFonts w:ascii="Times New Roman" w:hAnsi="Times New Roman" w:cs="Times New Roman"/>
          <w:sz w:val="24"/>
          <w:szCs w:val="24"/>
        </w:rPr>
        <w:footnoteReference w:id="73"/>
      </w:r>
      <w:r w:rsidR="00A91EA0" w:rsidRPr="00A91E83">
        <w:rPr>
          <w:rFonts w:ascii="Times New Roman" w:hAnsi="Times New Roman" w:cs="Times New Roman"/>
          <w:sz w:val="24"/>
          <w:szCs w:val="24"/>
        </w:rPr>
        <w:t xml:space="preserve"> </w:t>
      </w:r>
      <w:r w:rsidR="00411629" w:rsidRPr="00A91E83">
        <w:rPr>
          <w:rFonts w:ascii="Times New Roman" w:hAnsi="Times New Roman" w:cs="Times New Roman"/>
          <w:sz w:val="24"/>
          <w:szCs w:val="24"/>
        </w:rPr>
        <w:t xml:space="preserve">Tai padeda eliminuoti sisteminę riziką. </w:t>
      </w:r>
      <w:r w:rsidR="00A91EA0" w:rsidRPr="00A91E83">
        <w:rPr>
          <w:rFonts w:ascii="Times New Roman" w:hAnsi="Times New Roman" w:cs="Times New Roman"/>
          <w:sz w:val="24"/>
          <w:szCs w:val="24"/>
        </w:rPr>
        <w:t xml:space="preserve">Siekiant </w:t>
      </w:r>
      <w:r w:rsidR="00411629" w:rsidRPr="00A91E83">
        <w:rPr>
          <w:rFonts w:ascii="Times New Roman" w:hAnsi="Times New Roman" w:cs="Times New Roman"/>
          <w:sz w:val="24"/>
          <w:szCs w:val="24"/>
        </w:rPr>
        <w:t>sustiprinti sisteminės rizikos valdymo efektyvumą,</w:t>
      </w:r>
      <w:r w:rsidR="00A91EA0" w:rsidRPr="00A91E83">
        <w:rPr>
          <w:rFonts w:ascii="Times New Roman" w:hAnsi="Times New Roman" w:cs="Times New Roman"/>
          <w:sz w:val="24"/>
          <w:szCs w:val="24"/>
        </w:rPr>
        <w:t xml:space="preserve"> Lietuvoje įgyvendinta</w:t>
      </w:r>
      <w:r w:rsidR="005A6EB2" w:rsidRPr="00A91E83">
        <w:rPr>
          <w:rFonts w:ascii="Times New Roman" w:hAnsi="Times New Roman" w:cs="Times New Roman"/>
          <w:sz w:val="24"/>
          <w:szCs w:val="24"/>
        </w:rPr>
        <w:t xml:space="preserve"> </w:t>
      </w:r>
      <w:r w:rsidR="00C1452C" w:rsidRPr="00A91E83">
        <w:rPr>
          <w:rFonts w:ascii="Times New Roman" w:hAnsi="Times New Roman" w:cs="Times New Roman"/>
          <w:sz w:val="24"/>
          <w:szCs w:val="24"/>
        </w:rPr>
        <w:t xml:space="preserve">98/26EB </w:t>
      </w:r>
      <w:r w:rsidR="005A6EB2" w:rsidRPr="00A91E83">
        <w:rPr>
          <w:rFonts w:ascii="Times New Roman" w:hAnsi="Times New Roman" w:cs="Times New Roman"/>
          <w:sz w:val="24"/>
          <w:szCs w:val="24"/>
        </w:rPr>
        <w:t>d</w:t>
      </w:r>
      <w:r w:rsidR="00A91EA0" w:rsidRPr="00A91E83">
        <w:rPr>
          <w:rFonts w:ascii="Times New Roman" w:hAnsi="Times New Roman" w:cs="Times New Roman"/>
          <w:sz w:val="24"/>
          <w:szCs w:val="24"/>
        </w:rPr>
        <w:t>irektyva</w:t>
      </w:r>
      <w:r w:rsidR="00C1452C" w:rsidRPr="00A91E83">
        <w:rPr>
          <w:rFonts w:ascii="Times New Roman" w:hAnsi="Times New Roman" w:cs="Times New Roman"/>
          <w:sz w:val="24"/>
          <w:szCs w:val="24"/>
        </w:rPr>
        <w:t>,</w:t>
      </w:r>
      <w:r w:rsidR="00AA5206" w:rsidRPr="00A91E83">
        <w:rPr>
          <w:rStyle w:val="Puslapioinaosnuoroda"/>
          <w:rFonts w:ascii="Times New Roman" w:hAnsi="Times New Roman" w:cs="Times New Roman"/>
          <w:sz w:val="24"/>
          <w:szCs w:val="24"/>
        </w:rPr>
        <w:footnoteReference w:id="74"/>
      </w:r>
      <w:r w:rsidR="00A91EA0" w:rsidRPr="00A91E83">
        <w:rPr>
          <w:rFonts w:ascii="Times New Roman" w:hAnsi="Times New Roman" w:cs="Times New Roman"/>
          <w:sz w:val="24"/>
          <w:szCs w:val="24"/>
        </w:rPr>
        <w:t xml:space="preserve"> atitinkamai priimant Lietuvos Respublikos atsiskaitymų baigtinumo mokėjimo ir vertybinių popierių atsiskaitymo sistemose įstatymą, kuris suteikia galimybę atlikti </w:t>
      </w:r>
      <w:r w:rsidR="00B548C5" w:rsidRPr="00A91E83">
        <w:rPr>
          <w:rFonts w:ascii="Times New Roman" w:hAnsi="Times New Roman" w:cs="Times New Roman"/>
          <w:sz w:val="24"/>
          <w:szCs w:val="24"/>
        </w:rPr>
        <w:t>užskaitą</w:t>
      </w:r>
      <w:r w:rsidR="00A91EA0" w:rsidRPr="00A91E83">
        <w:rPr>
          <w:rFonts w:ascii="Times New Roman" w:hAnsi="Times New Roman" w:cs="Times New Roman"/>
          <w:sz w:val="24"/>
          <w:szCs w:val="24"/>
        </w:rPr>
        <w:t xml:space="preserve">, </w:t>
      </w:r>
      <w:r w:rsidR="00B67B4D" w:rsidRPr="00A91E83">
        <w:rPr>
          <w:rFonts w:ascii="Times New Roman" w:hAnsi="Times New Roman" w:cs="Times New Roman"/>
          <w:sz w:val="24"/>
          <w:szCs w:val="24"/>
        </w:rPr>
        <w:t xml:space="preserve">dėl vertybinių popierių prekiaujamų biržoje, </w:t>
      </w:r>
      <w:r w:rsidR="00A91EA0" w:rsidRPr="00A91E83">
        <w:rPr>
          <w:rFonts w:ascii="Times New Roman" w:hAnsi="Times New Roman" w:cs="Times New Roman"/>
          <w:sz w:val="24"/>
          <w:szCs w:val="24"/>
        </w:rPr>
        <w:t>net ir prasidėjus bankroto procedūroms, jeigu tai susiję su sandoriais, kurie buvo atlikti iki bankroto procedūros pradžios.</w:t>
      </w:r>
      <w:r w:rsidR="00F60546" w:rsidRPr="00A91E83">
        <w:rPr>
          <w:rStyle w:val="Puslapioinaosnuoroda"/>
          <w:rFonts w:ascii="Times New Roman" w:hAnsi="Times New Roman" w:cs="Times New Roman"/>
          <w:sz w:val="24"/>
          <w:szCs w:val="24"/>
        </w:rPr>
        <w:footnoteReference w:id="75"/>
      </w:r>
      <w:r w:rsidR="00A91EA0" w:rsidRPr="00A91E83">
        <w:rPr>
          <w:rFonts w:ascii="Times New Roman" w:hAnsi="Times New Roman" w:cs="Times New Roman"/>
          <w:sz w:val="24"/>
          <w:szCs w:val="24"/>
        </w:rPr>
        <w:t xml:space="preserve"> Sisteminę riziką galima apibrėžti kaip pavojų, kad, vienam iš mokėjimo ar vertybinių popierių atsiskaitymo sistemos dalyvių (arba tiesiog finansų rinkos dalyviui) neįvykdžius įsipareigojimų, kiti jo dalyviai ar finansų institucijos neįvykdys savo įsipareigojimų.</w:t>
      </w:r>
      <w:r w:rsidR="00A91EA0" w:rsidRPr="00A91E83">
        <w:rPr>
          <w:rStyle w:val="Puslapioinaosnuoroda"/>
          <w:rFonts w:ascii="Times New Roman" w:hAnsi="Times New Roman" w:cs="Times New Roman"/>
          <w:sz w:val="24"/>
          <w:szCs w:val="24"/>
        </w:rPr>
        <w:footnoteReference w:id="76"/>
      </w:r>
      <w:r w:rsidR="00A91EA0" w:rsidRPr="00A91E83">
        <w:rPr>
          <w:rFonts w:ascii="Times New Roman" w:hAnsi="Times New Roman" w:cs="Times New Roman"/>
          <w:sz w:val="24"/>
          <w:szCs w:val="24"/>
        </w:rPr>
        <w:t xml:space="preserve"> Tokiu </w:t>
      </w:r>
      <w:r w:rsidR="00D30115" w:rsidRPr="00A91E83">
        <w:rPr>
          <w:rFonts w:ascii="Times New Roman" w:hAnsi="Times New Roman" w:cs="Times New Roman"/>
          <w:sz w:val="24"/>
          <w:szCs w:val="24"/>
        </w:rPr>
        <w:t>pasirinktu teisiniu reguliavimu</w:t>
      </w:r>
      <w:r w:rsidR="00A91EA0" w:rsidRPr="00A91E83">
        <w:rPr>
          <w:rFonts w:ascii="Times New Roman" w:hAnsi="Times New Roman" w:cs="Times New Roman"/>
          <w:sz w:val="24"/>
          <w:szCs w:val="24"/>
        </w:rPr>
        <w:t xml:space="preserve"> padaroma išimtis iš kreditorių lygiateisiškumo principo, </w:t>
      </w:r>
      <w:r w:rsidR="008C26F1" w:rsidRPr="00A91E83">
        <w:rPr>
          <w:rFonts w:ascii="Times New Roman" w:hAnsi="Times New Roman" w:cs="Times New Roman"/>
          <w:sz w:val="24"/>
          <w:szCs w:val="24"/>
        </w:rPr>
        <w:t>t. y.</w:t>
      </w:r>
      <w:r w:rsidR="00A91EA0" w:rsidRPr="00A91E83">
        <w:rPr>
          <w:rFonts w:ascii="Times New Roman" w:hAnsi="Times New Roman" w:cs="Times New Roman"/>
          <w:sz w:val="24"/>
          <w:szCs w:val="24"/>
        </w:rPr>
        <w:t xml:space="preserve"> tam tikriems kreditoriams atitinkantiems </w:t>
      </w:r>
      <w:r w:rsidR="00D30115" w:rsidRPr="00A91E83">
        <w:rPr>
          <w:rFonts w:ascii="Times New Roman" w:hAnsi="Times New Roman" w:cs="Times New Roman"/>
          <w:sz w:val="24"/>
          <w:szCs w:val="24"/>
        </w:rPr>
        <w:t>minėto</w:t>
      </w:r>
      <w:r w:rsidR="00716764" w:rsidRPr="00A91E83">
        <w:rPr>
          <w:rFonts w:ascii="Times New Roman" w:hAnsi="Times New Roman" w:cs="Times New Roman"/>
          <w:sz w:val="24"/>
          <w:szCs w:val="24"/>
        </w:rPr>
        <w:t xml:space="preserve"> įstatymo numatytas sąlygas sut</w:t>
      </w:r>
      <w:r w:rsidR="00A91EA0" w:rsidRPr="00A91E83">
        <w:rPr>
          <w:rFonts w:ascii="Times New Roman" w:hAnsi="Times New Roman" w:cs="Times New Roman"/>
          <w:sz w:val="24"/>
          <w:szCs w:val="24"/>
        </w:rPr>
        <w:t>eikiamas prioritetas prasidėjus bankro</w:t>
      </w:r>
      <w:r w:rsidR="00D30115" w:rsidRPr="00A91E83">
        <w:rPr>
          <w:rFonts w:ascii="Times New Roman" w:hAnsi="Times New Roman" w:cs="Times New Roman"/>
          <w:sz w:val="24"/>
          <w:szCs w:val="24"/>
        </w:rPr>
        <w:t>to procedūrai.</w:t>
      </w:r>
      <w:r w:rsidR="005E7376" w:rsidRPr="00A91E83">
        <w:rPr>
          <w:rFonts w:ascii="Times New Roman" w:hAnsi="Times New Roman" w:cs="Times New Roman"/>
          <w:sz w:val="24"/>
          <w:szCs w:val="24"/>
        </w:rPr>
        <w:t xml:space="preserve"> Priešingai, </w:t>
      </w:r>
      <w:proofErr w:type="spellStart"/>
      <w:r w:rsidR="005E7376" w:rsidRPr="00A91E83">
        <w:rPr>
          <w:rFonts w:ascii="Times New Roman" w:hAnsi="Times New Roman" w:cs="Times New Roman"/>
          <w:sz w:val="24"/>
          <w:szCs w:val="24"/>
        </w:rPr>
        <w:t>užbiržiniai</w:t>
      </w:r>
      <w:proofErr w:type="spellEnd"/>
      <w:r w:rsidR="005E7376" w:rsidRPr="00A91E83">
        <w:rPr>
          <w:rFonts w:ascii="Times New Roman" w:hAnsi="Times New Roman" w:cs="Times New Roman"/>
          <w:sz w:val="24"/>
          <w:szCs w:val="24"/>
        </w:rPr>
        <w:t xml:space="preserve"> sandoriai dėl išvestinių finansinių priemonių patiria didesnę kontrahento nemokumo riziką, nes neturi tokio griežto, teisinio reglamentavimo išplėsto, rizikos valdymo mechanizmo, kaip kad jų privalo laikytis biržos nariai. Kadangi finansų rinkose </w:t>
      </w:r>
      <w:proofErr w:type="spellStart"/>
      <w:r w:rsidR="005E7376" w:rsidRPr="00A91E83">
        <w:rPr>
          <w:rFonts w:ascii="Times New Roman" w:hAnsi="Times New Roman" w:cs="Times New Roman"/>
          <w:sz w:val="24"/>
          <w:szCs w:val="24"/>
        </w:rPr>
        <w:t>užbiržiniai</w:t>
      </w:r>
      <w:proofErr w:type="spellEnd"/>
      <w:r w:rsidR="005E7376" w:rsidRPr="00A91E83">
        <w:rPr>
          <w:rFonts w:ascii="Times New Roman" w:hAnsi="Times New Roman" w:cs="Times New Roman"/>
          <w:sz w:val="24"/>
          <w:szCs w:val="24"/>
        </w:rPr>
        <w:t xml:space="preserve"> išvestiniai finansiniai instrumentai sudaro didžiąją finansų rinkos dalį, tai siekiant palaikyti finansinį stabilumą, ypatingas dėmesys turi būti skiriamas jų rizikos kontrolei.</w:t>
      </w:r>
    </w:p>
    <w:p w:rsidR="0062552A" w:rsidRPr="00A91E83" w:rsidRDefault="005E7376"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lastRenderedPageBreak/>
        <w:t>Taip pat pažymėtina, jog</w:t>
      </w:r>
      <w:r w:rsidR="000540E1" w:rsidRPr="00A91E83">
        <w:rPr>
          <w:rFonts w:ascii="Times New Roman" w:hAnsi="Times New Roman" w:cs="Times New Roman"/>
          <w:sz w:val="24"/>
          <w:szCs w:val="24"/>
        </w:rPr>
        <w:t xml:space="preserve"> dažnai bendrovių kreditingumo vertinimas yra sudėtingas, nes bendrovių, kurios užsiima išvestinių finansinių priemonių prekyba, sudaryti sandoriai ne visada atspindi finansinių ataskaitų rinkiniuose. Dažniausiai jų apskaita pažymima specialiais įrašais, kurie tik leidžia susitaryti apytikrį vaizdą apie bendrovės kreditingumą. Net ir jeigu jie yra detaliai apskaitomi, vis dėlto išvestinių finansinių instrumentų vertė yra labiausiai jautri staigiems rinkos pokyčiams, todėl manoma, jog paskelbti duomenys pasensta per kelias dienas.</w:t>
      </w:r>
      <w:r w:rsidR="000540E1" w:rsidRPr="00A91E83">
        <w:rPr>
          <w:rStyle w:val="Puslapioinaosnuoroda"/>
          <w:rFonts w:ascii="Times New Roman" w:hAnsi="Times New Roman" w:cs="Times New Roman"/>
          <w:sz w:val="24"/>
          <w:szCs w:val="24"/>
        </w:rPr>
        <w:footnoteReference w:id="77"/>
      </w:r>
      <w:r w:rsidR="00C72BC8" w:rsidRPr="00A91E83">
        <w:rPr>
          <w:rFonts w:ascii="Times New Roman" w:hAnsi="Times New Roman" w:cs="Times New Roman"/>
          <w:sz w:val="24"/>
          <w:szCs w:val="24"/>
        </w:rPr>
        <w:t xml:space="preserve"> Siekiant eliminuoti minėtą apskaitos neadekvatumą, išimtis iš kreditorių lygiateisiškumo principo yra priimtina.</w:t>
      </w:r>
      <w:r w:rsidRPr="00A91E83">
        <w:rPr>
          <w:rFonts w:ascii="Times New Roman" w:hAnsi="Times New Roman" w:cs="Times New Roman"/>
          <w:sz w:val="24"/>
          <w:szCs w:val="24"/>
        </w:rPr>
        <w:t xml:space="preserve"> Kita tendencija, jog</w:t>
      </w:r>
      <w:r w:rsidR="00A91EA0" w:rsidRPr="00A91E83">
        <w:rPr>
          <w:rFonts w:ascii="Times New Roman" w:hAnsi="Times New Roman" w:cs="Times New Roman"/>
          <w:sz w:val="24"/>
          <w:szCs w:val="24"/>
        </w:rPr>
        <w:t xml:space="preserve"> </w:t>
      </w:r>
      <w:r w:rsidR="002704BC" w:rsidRPr="00A91E83">
        <w:rPr>
          <w:rFonts w:ascii="Times New Roman" w:hAnsi="Times New Roman" w:cs="Times New Roman"/>
          <w:sz w:val="24"/>
          <w:szCs w:val="24"/>
        </w:rPr>
        <w:t xml:space="preserve">formuojasi </w:t>
      </w:r>
      <w:r w:rsidR="00C27ED9" w:rsidRPr="00A91E83">
        <w:rPr>
          <w:rFonts w:ascii="Times New Roman" w:hAnsi="Times New Roman" w:cs="Times New Roman"/>
          <w:sz w:val="24"/>
          <w:szCs w:val="24"/>
        </w:rPr>
        <w:t>globali</w:t>
      </w:r>
      <w:r w:rsidR="00A91EA0" w:rsidRPr="00A91E83">
        <w:rPr>
          <w:rFonts w:ascii="Times New Roman" w:hAnsi="Times New Roman" w:cs="Times New Roman"/>
          <w:sz w:val="24"/>
          <w:szCs w:val="24"/>
        </w:rPr>
        <w:t xml:space="preserve"> finansinių rinkų pri</w:t>
      </w:r>
      <w:r w:rsidRPr="00A91E83">
        <w:rPr>
          <w:rFonts w:ascii="Times New Roman" w:hAnsi="Times New Roman" w:cs="Times New Roman"/>
          <w:sz w:val="24"/>
          <w:szCs w:val="24"/>
        </w:rPr>
        <w:t>ežiūros institucijų nuomonė, kad</w:t>
      </w:r>
      <w:r w:rsidR="00A91EA0" w:rsidRPr="00A91E83">
        <w:rPr>
          <w:rFonts w:ascii="Times New Roman" w:hAnsi="Times New Roman" w:cs="Times New Roman"/>
          <w:sz w:val="24"/>
          <w:szCs w:val="24"/>
        </w:rPr>
        <w:t xml:space="preserve"> reikia standartizuoti ne biržoje sudaromus sandorius, kad </w:t>
      </w:r>
      <w:r w:rsidR="00C57195" w:rsidRPr="00A91E83">
        <w:rPr>
          <w:rFonts w:ascii="Times New Roman" w:hAnsi="Times New Roman" w:cs="Times New Roman"/>
          <w:sz w:val="24"/>
          <w:szCs w:val="24"/>
        </w:rPr>
        <w:t>būtų įmanoma</w:t>
      </w:r>
      <w:r w:rsidR="00A91EA0" w:rsidRPr="00A91E83">
        <w:rPr>
          <w:rFonts w:ascii="Times New Roman" w:hAnsi="Times New Roman" w:cs="Times New Roman"/>
          <w:sz w:val="24"/>
          <w:szCs w:val="24"/>
        </w:rPr>
        <w:t xml:space="preserve"> juos realizuoti per centrinį kontrahentą. </w:t>
      </w:r>
      <w:r w:rsidR="00262820" w:rsidRPr="00A91E83">
        <w:rPr>
          <w:rFonts w:ascii="Times New Roman" w:hAnsi="Times New Roman" w:cs="Times New Roman"/>
          <w:sz w:val="24"/>
          <w:szCs w:val="24"/>
        </w:rPr>
        <w:t>M</w:t>
      </w:r>
      <w:r w:rsidR="00BA014D" w:rsidRPr="00A91E83">
        <w:rPr>
          <w:rFonts w:ascii="Times New Roman" w:hAnsi="Times New Roman" w:cs="Times New Roman"/>
          <w:sz w:val="24"/>
          <w:szCs w:val="24"/>
        </w:rPr>
        <w:t xml:space="preserve">anoma, kad 80-90% </w:t>
      </w:r>
      <w:proofErr w:type="spellStart"/>
      <w:r w:rsidR="00C57195" w:rsidRPr="00A91E83">
        <w:rPr>
          <w:rFonts w:ascii="Times New Roman" w:hAnsi="Times New Roman" w:cs="Times New Roman"/>
          <w:sz w:val="24"/>
          <w:szCs w:val="24"/>
        </w:rPr>
        <w:t>užbiržinių</w:t>
      </w:r>
      <w:proofErr w:type="spellEnd"/>
      <w:r w:rsidR="00C57195" w:rsidRPr="00A91E83">
        <w:rPr>
          <w:rFonts w:ascii="Times New Roman" w:hAnsi="Times New Roman" w:cs="Times New Roman"/>
          <w:sz w:val="24"/>
          <w:szCs w:val="24"/>
        </w:rPr>
        <w:t xml:space="preserve"> sandorių apyvartos </w:t>
      </w:r>
      <w:r w:rsidR="00BA014D" w:rsidRPr="00A91E83">
        <w:rPr>
          <w:rFonts w:ascii="Times New Roman" w:hAnsi="Times New Roman" w:cs="Times New Roman"/>
          <w:sz w:val="24"/>
          <w:szCs w:val="24"/>
        </w:rPr>
        <w:t>perkeliant į centrinę atsiskaitymo sistemą</w:t>
      </w:r>
      <w:r w:rsidR="00C57195" w:rsidRPr="00A91E83">
        <w:rPr>
          <w:rFonts w:ascii="Times New Roman" w:hAnsi="Times New Roman" w:cs="Times New Roman"/>
          <w:sz w:val="24"/>
          <w:szCs w:val="24"/>
        </w:rPr>
        <w:t>,</w:t>
      </w:r>
      <w:r w:rsidR="00BA014D" w:rsidRPr="00A91E83">
        <w:rPr>
          <w:rFonts w:ascii="Times New Roman" w:hAnsi="Times New Roman" w:cs="Times New Roman"/>
          <w:sz w:val="24"/>
          <w:szCs w:val="24"/>
        </w:rPr>
        <w:t xml:space="preserve"> galėtų būti užtikrinamas skaidrumas bei priežiūros institucijų kontrolė.</w:t>
      </w:r>
      <w:r w:rsidR="00BA014D" w:rsidRPr="00A91E83">
        <w:rPr>
          <w:rStyle w:val="Puslapioinaosnuoroda"/>
          <w:rFonts w:ascii="Times New Roman" w:hAnsi="Times New Roman" w:cs="Times New Roman"/>
          <w:sz w:val="24"/>
          <w:szCs w:val="24"/>
        </w:rPr>
        <w:footnoteReference w:id="78"/>
      </w:r>
      <w:r w:rsidR="00BA014D" w:rsidRPr="00A91E83">
        <w:rPr>
          <w:rFonts w:ascii="Times New Roman" w:hAnsi="Times New Roman" w:cs="Times New Roman"/>
          <w:sz w:val="24"/>
          <w:szCs w:val="24"/>
        </w:rPr>
        <w:t xml:space="preserve"> </w:t>
      </w:r>
      <w:r w:rsidR="00262820" w:rsidRPr="00A91E83">
        <w:rPr>
          <w:rFonts w:ascii="Times New Roman" w:hAnsi="Times New Roman" w:cs="Times New Roman"/>
          <w:sz w:val="24"/>
          <w:szCs w:val="24"/>
        </w:rPr>
        <w:t>Vis dėlto vienareikšmiškas perkėlimas sandorių dėl išvestinių finansinių pri</w:t>
      </w:r>
      <w:r w:rsidR="00F31B14" w:rsidRPr="00A91E83">
        <w:rPr>
          <w:rFonts w:ascii="Times New Roman" w:hAnsi="Times New Roman" w:cs="Times New Roman"/>
          <w:sz w:val="24"/>
          <w:szCs w:val="24"/>
        </w:rPr>
        <w:t>emonių į biržas padidintų riziką</w:t>
      </w:r>
      <w:r w:rsidR="00262820" w:rsidRPr="00A91E83">
        <w:rPr>
          <w:rFonts w:ascii="Times New Roman" w:hAnsi="Times New Roman" w:cs="Times New Roman"/>
          <w:sz w:val="24"/>
          <w:szCs w:val="24"/>
        </w:rPr>
        <w:t xml:space="preserve"> ir tarpuskaitos namams. </w:t>
      </w:r>
      <w:r w:rsidR="00A771F5" w:rsidRPr="00A91E83">
        <w:rPr>
          <w:rFonts w:ascii="Times New Roman" w:hAnsi="Times New Roman" w:cs="Times New Roman"/>
          <w:sz w:val="24"/>
          <w:szCs w:val="24"/>
        </w:rPr>
        <w:t>Autoriaus nuomone, j</w:t>
      </w:r>
      <w:r w:rsidR="00BA014D" w:rsidRPr="00A91E83">
        <w:rPr>
          <w:rFonts w:ascii="Times New Roman" w:hAnsi="Times New Roman" w:cs="Times New Roman"/>
          <w:sz w:val="24"/>
          <w:szCs w:val="24"/>
        </w:rPr>
        <w:t>eigu Europoje yra 13 tarpuskaitos namų, tai vienam iš jų tapius nemokiam atsirastų labai didelė tikimybė, jog kiti gali tapti nemokūs taip pat. Sunku būtų įsivaizduoti tokias pasekmes</w:t>
      </w:r>
      <w:r w:rsidR="006C7B58" w:rsidRPr="00A91E83">
        <w:rPr>
          <w:rFonts w:ascii="Times New Roman" w:hAnsi="Times New Roman" w:cs="Times New Roman"/>
          <w:sz w:val="24"/>
          <w:szCs w:val="24"/>
        </w:rPr>
        <w:t xml:space="preserve"> finansų rinkų stabilumui</w:t>
      </w:r>
      <w:r w:rsidR="00BA014D" w:rsidRPr="00A91E83">
        <w:rPr>
          <w:rFonts w:ascii="Times New Roman" w:hAnsi="Times New Roman" w:cs="Times New Roman"/>
          <w:sz w:val="24"/>
          <w:szCs w:val="24"/>
        </w:rPr>
        <w:t xml:space="preserve">. Jų žlugimas </w:t>
      </w:r>
      <w:r w:rsidR="00343DD9" w:rsidRPr="00A91E83">
        <w:rPr>
          <w:rFonts w:ascii="Times New Roman" w:hAnsi="Times New Roman" w:cs="Times New Roman"/>
          <w:sz w:val="24"/>
          <w:szCs w:val="24"/>
        </w:rPr>
        <w:t xml:space="preserve">sisteminės rizikos mastu </w:t>
      </w:r>
      <w:r w:rsidR="00BA014D" w:rsidRPr="00A91E83">
        <w:rPr>
          <w:rFonts w:ascii="Times New Roman" w:hAnsi="Times New Roman" w:cs="Times New Roman"/>
          <w:sz w:val="24"/>
          <w:szCs w:val="24"/>
        </w:rPr>
        <w:t xml:space="preserve">būtų daug pavojingesnis nei bankrutavimas vienos iš </w:t>
      </w:r>
      <w:r w:rsidR="006F2842" w:rsidRPr="00A91E83">
        <w:rPr>
          <w:rFonts w:ascii="Times New Roman" w:hAnsi="Times New Roman" w:cs="Times New Roman"/>
          <w:sz w:val="24"/>
          <w:szCs w:val="24"/>
        </w:rPr>
        <w:t>privataus</w:t>
      </w:r>
      <w:r w:rsidR="00323096" w:rsidRPr="00A91E83">
        <w:rPr>
          <w:rFonts w:ascii="Times New Roman" w:hAnsi="Times New Roman" w:cs="Times New Roman"/>
          <w:sz w:val="24"/>
          <w:szCs w:val="24"/>
        </w:rPr>
        <w:t xml:space="preserve"> </w:t>
      </w:r>
      <w:r w:rsidR="00BA014D" w:rsidRPr="00A91E83">
        <w:rPr>
          <w:rFonts w:ascii="Times New Roman" w:hAnsi="Times New Roman" w:cs="Times New Roman"/>
          <w:sz w:val="24"/>
          <w:szCs w:val="24"/>
        </w:rPr>
        <w:t>sandorio šalių.</w:t>
      </w:r>
      <w:r w:rsidR="0062552A" w:rsidRPr="00A91E83">
        <w:rPr>
          <w:rFonts w:ascii="Times New Roman" w:hAnsi="Times New Roman" w:cs="Times New Roman"/>
          <w:sz w:val="24"/>
          <w:szCs w:val="24"/>
        </w:rPr>
        <w:t xml:space="preserve"> </w:t>
      </w:r>
    </w:p>
    <w:p w:rsidR="00842163" w:rsidRPr="00A91E83" w:rsidRDefault="0062552A"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Kadangi didžiosios daugumos </w:t>
      </w:r>
      <w:proofErr w:type="spellStart"/>
      <w:r w:rsidRPr="00A91E83">
        <w:rPr>
          <w:rFonts w:ascii="Times New Roman" w:hAnsi="Times New Roman" w:cs="Times New Roman"/>
          <w:sz w:val="24"/>
          <w:szCs w:val="24"/>
        </w:rPr>
        <w:t>užbiržinių</w:t>
      </w:r>
      <w:proofErr w:type="spellEnd"/>
      <w:r w:rsidRPr="00A91E83">
        <w:rPr>
          <w:rFonts w:ascii="Times New Roman" w:hAnsi="Times New Roman" w:cs="Times New Roman"/>
          <w:sz w:val="24"/>
          <w:szCs w:val="24"/>
        </w:rPr>
        <w:t xml:space="preserve"> sandorių perkėlimas į biržas yra tik tolima (jeigu išvis į</w:t>
      </w:r>
      <w:r w:rsidR="00E26358" w:rsidRPr="00A91E83">
        <w:rPr>
          <w:rFonts w:ascii="Times New Roman" w:hAnsi="Times New Roman" w:cs="Times New Roman"/>
          <w:sz w:val="24"/>
          <w:szCs w:val="24"/>
        </w:rPr>
        <w:t>manoma) perspektyva, tai esminė</w:t>
      </w:r>
      <w:r w:rsidRPr="00A91E83">
        <w:rPr>
          <w:rFonts w:ascii="Times New Roman" w:hAnsi="Times New Roman" w:cs="Times New Roman"/>
          <w:sz w:val="24"/>
          <w:szCs w:val="24"/>
        </w:rPr>
        <w:t xml:space="preserve"> problema šiuo metu ne biržoje sudaromų sandorių dėl išvestinių finansinių priemonių rizikos valdymas. </w:t>
      </w:r>
      <w:r w:rsidR="00343DD9" w:rsidRPr="00A91E83">
        <w:rPr>
          <w:rFonts w:ascii="Times New Roman" w:hAnsi="Times New Roman" w:cs="Times New Roman"/>
          <w:sz w:val="24"/>
          <w:szCs w:val="24"/>
        </w:rPr>
        <w:t xml:space="preserve">Užskaita yra </w:t>
      </w:r>
      <w:r w:rsidR="00D94F89" w:rsidRPr="00A91E83">
        <w:rPr>
          <w:rFonts w:ascii="Times New Roman" w:hAnsi="Times New Roman" w:cs="Times New Roman"/>
          <w:sz w:val="24"/>
          <w:szCs w:val="24"/>
        </w:rPr>
        <w:t xml:space="preserve">esminė ir </w:t>
      </w:r>
      <w:r w:rsidR="00343DD9" w:rsidRPr="00A91E83">
        <w:rPr>
          <w:rFonts w:ascii="Times New Roman" w:hAnsi="Times New Roman" w:cs="Times New Roman"/>
          <w:sz w:val="24"/>
          <w:szCs w:val="24"/>
        </w:rPr>
        <w:t xml:space="preserve">būtina </w:t>
      </w:r>
      <w:r w:rsidR="005E7376" w:rsidRPr="00A91E83">
        <w:rPr>
          <w:rFonts w:ascii="Times New Roman" w:hAnsi="Times New Roman" w:cs="Times New Roman"/>
          <w:sz w:val="24"/>
          <w:szCs w:val="24"/>
        </w:rPr>
        <w:t>ir efektyviausia priemonė</w:t>
      </w:r>
      <w:r w:rsidR="00D94F89" w:rsidRPr="00A91E83">
        <w:rPr>
          <w:rFonts w:ascii="Times New Roman" w:hAnsi="Times New Roman" w:cs="Times New Roman"/>
          <w:sz w:val="24"/>
          <w:szCs w:val="24"/>
        </w:rPr>
        <w:t xml:space="preserve"> </w:t>
      </w:r>
      <w:r w:rsidR="00343DD9" w:rsidRPr="00A91E83">
        <w:rPr>
          <w:rFonts w:ascii="Times New Roman" w:hAnsi="Times New Roman" w:cs="Times New Roman"/>
          <w:sz w:val="24"/>
          <w:szCs w:val="24"/>
        </w:rPr>
        <w:t xml:space="preserve">norint sistemingai stabilizuoti išvestinių finansinių </w:t>
      </w:r>
      <w:r w:rsidR="005E7376" w:rsidRPr="00A91E83">
        <w:rPr>
          <w:rFonts w:ascii="Times New Roman" w:hAnsi="Times New Roman" w:cs="Times New Roman"/>
          <w:sz w:val="24"/>
          <w:szCs w:val="24"/>
        </w:rPr>
        <w:t>instrumentų</w:t>
      </w:r>
      <w:r w:rsidR="00343DD9" w:rsidRPr="00A91E83">
        <w:rPr>
          <w:rFonts w:ascii="Times New Roman" w:hAnsi="Times New Roman" w:cs="Times New Roman"/>
          <w:sz w:val="24"/>
          <w:szCs w:val="24"/>
        </w:rPr>
        <w:t xml:space="preserve"> rinkas. </w:t>
      </w:r>
    </w:p>
    <w:p w:rsidR="003A36D8" w:rsidRPr="00A91E83" w:rsidRDefault="003A36D8" w:rsidP="00B46A53">
      <w:pPr>
        <w:tabs>
          <w:tab w:val="left" w:pos="851"/>
        </w:tabs>
        <w:spacing w:after="0" w:line="360" w:lineRule="auto"/>
        <w:ind w:firstLine="851"/>
        <w:jc w:val="both"/>
        <w:rPr>
          <w:rFonts w:ascii="Times New Roman" w:hAnsi="Times New Roman" w:cs="Times New Roman"/>
          <w:sz w:val="24"/>
          <w:szCs w:val="24"/>
        </w:rPr>
      </w:pPr>
    </w:p>
    <w:p w:rsidR="00D95F30" w:rsidRPr="00A91E83" w:rsidRDefault="00D95F30" w:rsidP="00586505">
      <w:pPr>
        <w:pStyle w:val="Sraopastraipa"/>
        <w:numPr>
          <w:ilvl w:val="0"/>
          <w:numId w:val="4"/>
        </w:numPr>
        <w:tabs>
          <w:tab w:val="left" w:pos="851"/>
        </w:tabs>
        <w:spacing w:after="0" w:line="360" w:lineRule="auto"/>
        <w:ind w:left="0" w:firstLine="0"/>
        <w:jc w:val="both"/>
        <w:outlineLvl w:val="0"/>
        <w:rPr>
          <w:rFonts w:ascii="Times New Roman" w:hAnsi="Times New Roman" w:cs="Times New Roman"/>
          <w:b/>
          <w:smallCaps/>
          <w:sz w:val="24"/>
          <w:szCs w:val="24"/>
        </w:rPr>
      </w:pPr>
      <w:r w:rsidRPr="00A91E83">
        <w:rPr>
          <w:rFonts w:ascii="Times New Roman" w:hAnsi="Times New Roman" w:cs="Times New Roman"/>
          <w:i/>
          <w:sz w:val="24"/>
          <w:szCs w:val="24"/>
        </w:rPr>
        <w:br w:type="column"/>
      </w:r>
      <w:bookmarkStart w:id="9" w:name="_Toc280546449"/>
      <w:r w:rsidR="00586505" w:rsidRPr="00A91E83">
        <w:rPr>
          <w:rFonts w:ascii="Times New Roman" w:hAnsi="Times New Roman" w:cs="Times New Roman"/>
          <w:b/>
          <w:smallCaps/>
          <w:sz w:val="24"/>
          <w:szCs w:val="24"/>
        </w:rPr>
        <w:lastRenderedPageBreak/>
        <w:t>u</w:t>
      </w:r>
      <w:r w:rsidR="00E015D9" w:rsidRPr="00A91E83">
        <w:rPr>
          <w:rFonts w:ascii="Times New Roman" w:hAnsi="Times New Roman" w:cs="Times New Roman"/>
          <w:b/>
          <w:smallCaps/>
          <w:sz w:val="24"/>
          <w:szCs w:val="24"/>
        </w:rPr>
        <w:t>žskaitos sampratos problematika</w:t>
      </w:r>
      <w:bookmarkEnd w:id="9"/>
    </w:p>
    <w:p w:rsidR="00BF7BE6" w:rsidRPr="00A91E83" w:rsidRDefault="00BF7BE6" w:rsidP="00F2262D">
      <w:pPr>
        <w:tabs>
          <w:tab w:val="left" w:pos="851"/>
        </w:tabs>
        <w:spacing w:after="0" w:line="360" w:lineRule="auto"/>
        <w:jc w:val="both"/>
        <w:rPr>
          <w:rFonts w:ascii="Times New Roman" w:hAnsi="Times New Roman" w:cs="Times New Roman"/>
          <w:b/>
          <w:sz w:val="24"/>
          <w:szCs w:val="24"/>
        </w:rPr>
      </w:pPr>
    </w:p>
    <w:p w:rsidR="00D95F30" w:rsidRPr="00A91E83" w:rsidRDefault="00BF7BE6"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Šioje tyrimo dalyje siekiant įgyvendinti išsikeltą </w:t>
      </w:r>
      <w:r w:rsidR="004362A5" w:rsidRPr="00A91E83">
        <w:rPr>
          <w:rFonts w:ascii="Times New Roman" w:hAnsi="Times New Roman" w:cs="Times New Roman"/>
          <w:sz w:val="24"/>
          <w:szCs w:val="24"/>
        </w:rPr>
        <w:t xml:space="preserve">antrąjį </w:t>
      </w:r>
      <w:r w:rsidRPr="00A91E83">
        <w:rPr>
          <w:rFonts w:ascii="Times New Roman" w:hAnsi="Times New Roman" w:cs="Times New Roman"/>
          <w:sz w:val="24"/>
          <w:szCs w:val="24"/>
        </w:rPr>
        <w:t xml:space="preserve">tikslą – išnagrinėti užskaitos sampratą </w:t>
      </w:r>
      <w:r w:rsidR="00EE1370" w:rsidRPr="00A91E83">
        <w:rPr>
          <w:rFonts w:ascii="Times New Roman" w:hAnsi="Times New Roman" w:cs="Times New Roman"/>
          <w:sz w:val="24"/>
          <w:szCs w:val="24"/>
        </w:rPr>
        <w:t xml:space="preserve">pirmiausia trumpai </w:t>
      </w:r>
      <w:r w:rsidRPr="00A91E83">
        <w:rPr>
          <w:rFonts w:ascii="Times New Roman" w:hAnsi="Times New Roman" w:cs="Times New Roman"/>
          <w:sz w:val="24"/>
          <w:szCs w:val="24"/>
        </w:rPr>
        <w:t xml:space="preserve">apžvelgsime </w:t>
      </w:r>
      <w:r w:rsidR="00EE1370" w:rsidRPr="00A91E83">
        <w:rPr>
          <w:rFonts w:ascii="Times New Roman" w:hAnsi="Times New Roman" w:cs="Times New Roman"/>
          <w:sz w:val="24"/>
          <w:szCs w:val="24"/>
        </w:rPr>
        <w:t xml:space="preserve">klasikinį civilinės teisės institutą – įskaitymą. </w:t>
      </w:r>
      <w:r w:rsidR="004362A5" w:rsidRPr="00A91E83">
        <w:rPr>
          <w:rFonts w:ascii="Times New Roman" w:hAnsi="Times New Roman" w:cs="Times New Roman"/>
          <w:sz w:val="24"/>
          <w:szCs w:val="24"/>
        </w:rPr>
        <w:t xml:space="preserve">Įskaitymo apžvalga nemokumo kontekste bus itin naudinga antroje poskyrio dalyje nagrinėjant ir lyginant </w:t>
      </w:r>
      <w:r w:rsidRPr="00A91E83">
        <w:rPr>
          <w:rFonts w:ascii="Times New Roman" w:hAnsi="Times New Roman" w:cs="Times New Roman"/>
          <w:sz w:val="24"/>
          <w:szCs w:val="24"/>
        </w:rPr>
        <w:t xml:space="preserve">dar kiek Lietuvos teisės sistemai neįprastą „užskaitos“ </w:t>
      </w:r>
      <w:r w:rsidR="006F3E9E" w:rsidRPr="00A91E83">
        <w:rPr>
          <w:rFonts w:ascii="Times New Roman" w:hAnsi="Times New Roman" w:cs="Times New Roman"/>
          <w:sz w:val="24"/>
          <w:szCs w:val="24"/>
        </w:rPr>
        <w:t xml:space="preserve">sąvoką, </w:t>
      </w:r>
      <w:r w:rsidR="003A4451" w:rsidRPr="00A91E83">
        <w:rPr>
          <w:rFonts w:ascii="Times New Roman" w:hAnsi="Times New Roman" w:cs="Times New Roman"/>
          <w:sz w:val="24"/>
          <w:szCs w:val="24"/>
        </w:rPr>
        <w:t>jos rūšis bei</w:t>
      </w:r>
      <w:r w:rsidR="006F3E9E" w:rsidRPr="00A91E83">
        <w:rPr>
          <w:rFonts w:ascii="Times New Roman" w:hAnsi="Times New Roman" w:cs="Times New Roman"/>
          <w:sz w:val="24"/>
          <w:szCs w:val="24"/>
        </w:rPr>
        <w:t xml:space="preserve"> privalumus ir trūkumus</w:t>
      </w:r>
      <w:r w:rsidR="00EE1370" w:rsidRPr="00A91E83">
        <w:rPr>
          <w:rFonts w:ascii="Times New Roman" w:hAnsi="Times New Roman" w:cs="Times New Roman"/>
          <w:sz w:val="24"/>
          <w:szCs w:val="24"/>
        </w:rPr>
        <w:t>.</w:t>
      </w:r>
    </w:p>
    <w:p w:rsidR="00EE1370" w:rsidRPr="00A91E83" w:rsidRDefault="00EE1370" w:rsidP="00B46A53">
      <w:pPr>
        <w:tabs>
          <w:tab w:val="left" w:pos="851"/>
        </w:tabs>
        <w:spacing w:after="0" w:line="360" w:lineRule="auto"/>
        <w:ind w:firstLine="851"/>
        <w:jc w:val="both"/>
        <w:rPr>
          <w:rFonts w:ascii="Times New Roman" w:hAnsi="Times New Roman" w:cs="Times New Roman"/>
          <w:sz w:val="24"/>
          <w:szCs w:val="24"/>
        </w:rPr>
      </w:pPr>
    </w:p>
    <w:p w:rsidR="00EE1370" w:rsidRPr="00A91E83" w:rsidRDefault="005C686B" w:rsidP="00586505">
      <w:pPr>
        <w:pStyle w:val="Sraopastraipa"/>
        <w:numPr>
          <w:ilvl w:val="1"/>
          <w:numId w:val="4"/>
        </w:numPr>
        <w:tabs>
          <w:tab w:val="left" w:pos="851"/>
        </w:tabs>
        <w:spacing w:after="0" w:line="360" w:lineRule="auto"/>
        <w:ind w:left="0" w:firstLine="0"/>
        <w:jc w:val="both"/>
        <w:outlineLvl w:val="1"/>
        <w:rPr>
          <w:rFonts w:ascii="Times New Roman" w:hAnsi="Times New Roman" w:cs="Times New Roman"/>
          <w:b/>
          <w:sz w:val="24"/>
          <w:szCs w:val="24"/>
        </w:rPr>
      </w:pPr>
      <w:bookmarkStart w:id="10" w:name="_Toc280546450"/>
      <w:r w:rsidRPr="00A91E83">
        <w:rPr>
          <w:rFonts w:ascii="Times New Roman" w:hAnsi="Times New Roman" w:cs="Times New Roman"/>
          <w:b/>
          <w:sz w:val="24"/>
          <w:szCs w:val="24"/>
        </w:rPr>
        <w:t>Įskaitymo</w:t>
      </w:r>
      <w:r w:rsidR="00EE1370" w:rsidRPr="00A91E83">
        <w:rPr>
          <w:rFonts w:ascii="Times New Roman" w:hAnsi="Times New Roman" w:cs="Times New Roman"/>
          <w:b/>
          <w:sz w:val="24"/>
          <w:szCs w:val="24"/>
        </w:rPr>
        <w:t xml:space="preserve"> </w:t>
      </w:r>
      <w:r w:rsidR="001E2306" w:rsidRPr="00A91E83">
        <w:rPr>
          <w:rFonts w:ascii="Times New Roman" w:hAnsi="Times New Roman" w:cs="Times New Roman"/>
          <w:b/>
          <w:sz w:val="24"/>
          <w:szCs w:val="24"/>
        </w:rPr>
        <w:t>draudimas bankroto kontekste</w:t>
      </w:r>
      <w:bookmarkEnd w:id="10"/>
    </w:p>
    <w:p w:rsidR="00EE1370" w:rsidRPr="00A91E83" w:rsidRDefault="00EE1370" w:rsidP="00EE1370">
      <w:pPr>
        <w:tabs>
          <w:tab w:val="left" w:pos="851"/>
        </w:tabs>
        <w:spacing w:after="0" w:line="360" w:lineRule="auto"/>
        <w:ind w:firstLine="851"/>
        <w:jc w:val="both"/>
        <w:rPr>
          <w:rFonts w:ascii="Times New Roman" w:hAnsi="Times New Roman" w:cs="Times New Roman"/>
          <w:sz w:val="24"/>
          <w:szCs w:val="24"/>
        </w:rPr>
      </w:pPr>
    </w:p>
    <w:p w:rsidR="00EE1370" w:rsidRPr="00A91E83" w:rsidRDefault="00EE1370" w:rsidP="00EE1370">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Aiškindamas ir taikydamas įskaitymo institutą, kaip vieną iš įstatyme nustatytų prievolės pasibaigimo pagrindų,</w:t>
      </w:r>
      <w:r w:rsidRPr="00A91E83">
        <w:rPr>
          <w:rStyle w:val="Puslapioinaosnuoroda"/>
          <w:rFonts w:ascii="Times New Roman" w:hAnsi="Times New Roman" w:cs="Times New Roman"/>
          <w:sz w:val="24"/>
          <w:szCs w:val="24"/>
        </w:rPr>
        <w:footnoteReference w:id="79"/>
      </w:r>
      <w:r w:rsidRPr="00A91E83">
        <w:rPr>
          <w:rFonts w:ascii="Times New Roman" w:hAnsi="Times New Roman" w:cs="Times New Roman"/>
          <w:sz w:val="24"/>
          <w:szCs w:val="24"/>
        </w:rPr>
        <w:t xml:space="preserve"> LAT yra suformavęs aiškias įskaitymo taikymo sąlygas</w:t>
      </w:r>
      <w:r w:rsidR="00700F62" w:rsidRPr="00A91E83">
        <w:rPr>
          <w:rFonts w:ascii="Times New Roman" w:hAnsi="Times New Roman" w:cs="Times New Roman"/>
          <w:sz w:val="24"/>
          <w:szCs w:val="24"/>
        </w:rPr>
        <w:t>:</w:t>
      </w:r>
      <w:r w:rsidR="00700F62" w:rsidRPr="00A91E83">
        <w:rPr>
          <w:rStyle w:val="Puslapioinaosnuoroda"/>
          <w:rFonts w:ascii="Times New Roman" w:hAnsi="Times New Roman" w:cs="Times New Roman"/>
          <w:sz w:val="24"/>
          <w:szCs w:val="24"/>
        </w:rPr>
        <w:footnoteReference w:id="80"/>
      </w:r>
      <w:r w:rsidR="00665D61" w:rsidRPr="00A91E83">
        <w:rPr>
          <w:rFonts w:ascii="Times New Roman" w:hAnsi="Times New Roman" w:cs="Times New Roman"/>
          <w:sz w:val="24"/>
          <w:szCs w:val="24"/>
        </w:rPr>
        <w:t xml:space="preserve"> </w:t>
      </w:r>
      <w:r w:rsidRPr="00A91E83">
        <w:rPr>
          <w:rFonts w:ascii="Times New Roman" w:hAnsi="Times New Roman" w:cs="Times New Roman"/>
          <w:sz w:val="24"/>
          <w:szCs w:val="24"/>
        </w:rPr>
        <w:t>(1) prievolės šalys turi turėti viena kitai abipusių teisių ir pareigų, t. y. skolininkas kartu turi būti ir savo kreditoriaus kreditorius, o kreditorius – ir savo skolininko skolininkas;</w:t>
      </w:r>
      <w:r w:rsidR="00700F62" w:rsidRPr="00A91E83">
        <w:rPr>
          <w:rFonts w:ascii="Times New Roman" w:hAnsi="Times New Roman" w:cs="Times New Roman"/>
          <w:sz w:val="24"/>
          <w:szCs w:val="24"/>
        </w:rPr>
        <w:t xml:space="preserve"> </w:t>
      </w:r>
      <w:r w:rsidRPr="00A91E83">
        <w:rPr>
          <w:rFonts w:ascii="Times New Roman" w:hAnsi="Times New Roman" w:cs="Times New Roman"/>
          <w:sz w:val="24"/>
          <w:szCs w:val="24"/>
        </w:rPr>
        <w:t>(2) šalių reikalavimai turi būti priešpriešiniai, t. y. nukreipti viena kitai, o ne trečiajam asmeniui, ir visiškai ar iš dalies padengti vienas kitą; (3) šie šalių reikalavimai turi būti vienarūšiai, t. y. sąvoka “vienarūšiai reikalavimai” yra taikytina ne prievolės rūšiai, o prievolės objektui; (4) abu reikalavimai turi būti galiojantys; (5) abu r</w:t>
      </w:r>
      <w:r w:rsidR="00665D61" w:rsidRPr="00A91E83">
        <w:rPr>
          <w:rFonts w:ascii="Times New Roman" w:hAnsi="Times New Roman" w:cs="Times New Roman"/>
          <w:sz w:val="24"/>
          <w:szCs w:val="24"/>
        </w:rPr>
        <w:t>eikalavimai turi būti vykdytini;</w:t>
      </w:r>
      <w:r w:rsidRPr="00A91E83">
        <w:rPr>
          <w:rFonts w:ascii="Times New Roman" w:hAnsi="Times New Roman" w:cs="Times New Roman"/>
          <w:sz w:val="24"/>
          <w:szCs w:val="24"/>
        </w:rPr>
        <w:t xml:space="preserve"> (6) abu reikalavimai turi būti apibrėžti.</w:t>
      </w:r>
    </w:p>
    <w:p w:rsidR="00EE1370" w:rsidRPr="00A91E83" w:rsidRDefault="00EE1370" w:rsidP="00EE1370">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Paminėtina, jog CK 6.140 straipsnis numato</w:t>
      </w:r>
      <w:r w:rsidR="00FE5B73" w:rsidRPr="00A91E83">
        <w:rPr>
          <w:rFonts w:ascii="Times New Roman" w:hAnsi="Times New Roman" w:cs="Times New Roman"/>
          <w:sz w:val="24"/>
          <w:szCs w:val="24"/>
        </w:rPr>
        <w:t>, jog</w:t>
      </w:r>
      <w:r w:rsidRPr="00A91E83">
        <w:rPr>
          <w:rFonts w:ascii="Times New Roman" w:hAnsi="Times New Roman" w:cs="Times New Roman"/>
          <w:sz w:val="24"/>
          <w:szCs w:val="24"/>
        </w:rPr>
        <w:t xml:space="preserve"> „kai skolininkas tampa nemokus, kreditoriai gali įskaityti savo reikalavimus, nors jų terminas ir nesuėjęs, jeigu įstatymai nenustato ko kita.“</w:t>
      </w:r>
      <w:r w:rsidRPr="00A91E83">
        <w:rPr>
          <w:rStyle w:val="Puslapioinaosnuoroda"/>
          <w:rFonts w:ascii="Times New Roman" w:hAnsi="Times New Roman" w:cs="Times New Roman"/>
          <w:sz w:val="24"/>
          <w:szCs w:val="24"/>
        </w:rPr>
        <w:footnoteReference w:id="81"/>
      </w:r>
      <w:r w:rsidRPr="00A91E83">
        <w:rPr>
          <w:rFonts w:ascii="Times New Roman" w:hAnsi="Times New Roman" w:cs="Times New Roman"/>
          <w:sz w:val="24"/>
          <w:szCs w:val="24"/>
        </w:rPr>
        <w:t xml:space="preserve"> Taigi lingvistiniu metodu nagrinėjant šią normą</w:t>
      </w:r>
      <w:r w:rsidR="006E2EC9" w:rsidRPr="00A91E83">
        <w:rPr>
          <w:rFonts w:ascii="Times New Roman" w:hAnsi="Times New Roman" w:cs="Times New Roman"/>
          <w:sz w:val="24"/>
          <w:szCs w:val="24"/>
        </w:rPr>
        <w:t xml:space="preserve"> gaunamas rezultatas,</w:t>
      </w:r>
      <w:r w:rsidRPr="00A91E83">
        <w:rPr>
          <w:rFonts w:ascii="Times New Roman" w:hAnsi="Times New Roman" w:cs="Times New Roman"/>
          <w:sz w:val="24"/>
          <w:szCs w:val="24"/>
        </w:rPr>
        <w:t xml:space="preserve"> jog įstatymų leidėjas leidžia taikyti įskaitymą nemokiam skolininkui, nebent būtų nustatyta </w:t>
      </w:r>
      <w:r w:rsidRPr="00A91E83">
        <w:rPr>
          <w:rFonts w:ascii="Times New Roman" w:hAnsi="Times New Roman" w:cs="Times New Roman"/>
          <w:i/>
          <w:sz w:val="24"/>
          <w:szCs w:val="24"/>
        </w:rPr>
        <w:t>įstatyminė išimtis</w:t>
      </w:r>
      <w:r w:rsidRPr="00A91E83">
        <w:rPr>
          <w:rFonts w:ascii="Times New Roman" w:hAnsi="Times New Roman" w:cs="Times New Roman"/>
          <w:sz w:val="24"/>
          <w:szCs w:val="24"/>
        </w:rPr>
        <w:t>. Pavyzdžiui, tokia išimtis numatyta Įmonių restruktūrizavimo įstatymo 8 straipsnio 1 dalyje</w:t>
      </w:r>
      <w:r w:rsidRPr="00A91E83">
        <w:rPr>
          <w:rStyle w:val="Puslapioinaosnuoroda"/>
          <w:rFonts w:ascii="Times New Roman" w:hAnsi="Times New Roman" w:cs="Times New Roman"/>
          <w:sz w:val="24"/>
          <w:szCs w:val="24"/>
        </w:rPr>
        <w:footnoteReference w:id="82"/>
      </w:r>
      <w:r w:rsidRPr="00A91E83">
        <w:rPr>
          <w:rFonts w:ascii="Times New Roman" w:hAnsi="Times New Roman" w:cs="Times New Roman"/>
          <w:sz w:val="24"/>
          <w:szCs w:val="24"/>
        </w:rPr>
        <w:t>. ĮBĮ aiškaus draudimo taikyti įskaitymą bankrutavus skolininkui nėra, tačiau</w:t>
      </w:r>
      <w:r w:rsidR="006E2EC9" w:rsidRPr="00A91E83">
        <w:rPr>
          <w:rFonts w:ascii="Times New Roman" w:hAnsi="Times New Roman" w:cs="Times New Roman"/>
          <w:sz w:val="24"/>
          <w:szCs w:val="24"/>
        </w:rPr>
        <w:t>,</w:t>
      </w:r>
      <w:r w:rsidRPr="00A91E83">
        <w:rPr>
          <w:rFonts w:ascii="Times New Roman" w:hAnsi="Times New Roman" w:cs="Times New Roman"/>
          <w:sz w:val="24"/>
          <w:szCs w:val="24"/>
        </w:rPr>
        <w:t xml:space="preserve"> kaip teigia </w:t>
      </w:r>
      <w:r w:rsidR="006E2EC9" w:rsidRPr="00A91E83">
        <w:rPr>
          <w:rFonts w:ascii="Times New Roman" w:hAnsi="Times New Roman" w:cs="Times New Roman"/>
          <w:sz w:val="24"/>
          <w:szCs w:val="24"/>
        </w:rPr>
        <w:t xml:space="preserve">civilinio kodekso </w:t>
      </w:r>
      <w:r w:rsidRPr="00A91E83">
        <w:rPr>
          <w:rFonts w:ascii="Times New Roman" w:hAnsi="Times New Roman" w:cs="Times New Roman"/>
          <w:sz w:val="24"/>
          <w:szCs w:val="24"/>
        </w:rPr>
        <w:t xml:space="preserve">komentaro autoriai, aiškinant minėtą Įmonių restruktūrizavimo įstatymo normą </w:t>
      </w:r>
      <w:proofErr w:type="spellStart"/>
      <w:r w:rsidRPr="00A91E83">
        <w:rPr>
          <w:rFonts w:ascii="Times New Roman" w:hAnsi="Times New Roman" w:cs="Times New Roman"/>
          <w:sz w:val="24"/>
          <w:szCs w:val="24"/>
        </w:rPr>
        <w:t>sistemiškai</w:t>
      </w:r>
      <w:proofErr w:type="spellEnd"/>
      <w:r w:rsidRPr="00A91E83">
        <w:rPr>
          <w:rFonts w:ascii="Times New Roman" w:hAnsi="Times New Roman" w:cs="Times New Roman"/>
          <w:sz w:val="24"/>
          <w:szCs w:val="24"/>
        </w:rPr>
        <w:t xml:space="preserve"> ir atsižvelgiant į jos tikslus dėl skolininko bankroto darytina </w:t>
      </w:r>
      <w:r w:rsidRPr="00A91E83">
        <w:rPr>
          <w:rFonts w:ascii="Times New Roman" w:hAnsi="Times New Roman" w:cs="Times New Roman"/>
          <w:i/>
          <w:sz w:val="24"/>
          <w:szCs w:val="24"/>
        </w:rPr>
        <w:t xml:space="preserve">a </w:t>
      </w:r>
      <w:proofErr w:type="spellStart"/>
      <w:r w:rsidRPr="00A91E83">
        <w:rPr>
          <w:rFonts w:ascii="Times New Roman" w:hAnsi="Times New Roman" w:cs="Times New Roman"/>
          <w:i/>
          <w:sz w:val="24"/>
          <w:szCs w:val="24"/>
        </w:rPr>
        <w:t>fortiori</w:t>
      </w:r>
      <w:proofErr w:type="spellEnd"/>
      <w:r w:rsidRPr="00A91E83">
        <w:rPr>
          <w:rFonts w:ascii="Times New Roman" w:hAnsi="Times New Roman" w:cs="Times New Roman"/>
          <w:sz w:val="24"/>
          <w:szCs w:val="24"/>
        </w:rPr>
        <w:t xml:space="preserve"> išvada: bankroto procedūros tikslas – apsaugoti visų kreditorių interesus. Leidimas įskaityti bankrutavus skolininkui prieštarautų šiam tikslui, todėl skolininkui iškėlus bankroto bylą jo kreditoriai negali </w:t>
      </w:r>
      <w:r w:rsidRPr="00A91E83">
        <w:rPr>
          <w:rFonts w:ascii="Times New Roman" w:hAnsi="Times New Roman" w:cs="Times New Roman"/>
          <w:sz w:val="24"/>
          <w:szCs w:val="24"/>
        </w:rPr>
        <w:lastRenderedPageBreak/>
        <w:t>pasinaudoti įskaitymo teise.</w:t>
      </w:r>
      <w:r w:rsidRPr="00A91E83">
        <w:rPr>
          <w:rStyle w:val="Puslapioinaosnuoroda"/>
          <w:rFonts w:ascii="Times New Roman" w:hAnsi="Times New Roman" w:cs="Times New Roman"/>
          <w:sz w:val="24"/>
          <w:szCs w:val="24"/>
        </w:rPr>
        <w:footnoteReference w:id="83"/>
      </w:r>
      <w:r w:rsidRPr="00A91E83">
        <w:rPr>
          <w:rFonts w:ascii="Times New Roman" w:hAnsi="Times New Roman" w:cs="Times New Roman"/>
          <w:sz w:val="24"/>
          <w:szCs w:val="24"/>
        </w:rPr>
        <w:t xml:space="preserve"> Taigi nors ir nėra bankroto atveju įtvirtinta išimtis dėl įskaitymo įstatyme, t. y. nėra tenkinama sąlyga numatyta CK 6.140 straipsnyje, tačiau net paties CK kūrėjai mano, kad tai nėra kliūtis pasitelkus sisteminį aiškinimą uždrausti įskaitymą nemokumo atveju.</w:t>
      </w:r>
    </w:p>
    <w:p w:rsidR="00EE1370" w:rsidRPr="00A91E83" w:rsidRDefault="00EE1370" w:rsidP="00EE1370">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LAT laikosi aiškios pozicijos, jog nuo teismo</w:t>
      </w:r>
      <w:bookmarkStart w:id="11" w:name="n4_34"/>
      <w:r w:rsidRPr="00A91E83">
        <w:rPr>
          <w:rFonts w:ascii="Times New Roman" w:hAnsi="Times New Roman" w:cs="Times New Roman"/>
          <w:sz w:val="24"/>
          <w:szCs w:val="24"/>
        </w:rPr>
        <w:t xml:space="preserve"> nutarties</w:t>
      </w:r>
      <w:bookmarkStart w:id="12" w:name="pn4_34"/>
      <w:bookmarkEnd w:id="11"/>
      <w:bookmarkEnd w:id="12"/>
      <w:r w:rsidRPr="00A91E83">
        <w:rPr>
          <w:rFonts w:ascii="Times New Roman" w:hAnsi="Times New Roman" w:cs="Times New Roman"/>
          <w:sz w:val="24"/>
          <w:szCs w:val="24"/>
        </w:rPr>
        <w:t xml:space="preserve"> iškelti įmonei bankroto bylą įsiteisėjimo draudžiama įmonei </w:t>
      </w:r>
      <w:r w:rsidRPr="00A91E83">
        <w:rPr>
          <w:rFonts w:ascii="Times New Roman" w:hAnsi="Times New Roman" w:cs="Times New Roman"/>
          <w:i/>
          <w:sz w:val="24"/>
          <w:szCs w:val="24"/>
        </w:rPr>
        <w:t xml:space="preserve">vykdyti </w:t>
      </w:r>
      <w:r w:rsidRPr="00A91E83">
        <w:rPr>
          <w:rFonts w:ascii="Times New Roman" w:hAnsi="Times New Roman" w:cs="Times New Roman"/>
          <w:sz w:val="24"/>
          <w:szCs w:val="24"/>
        </w:rPr>
        <w:t>visas finansines prievoles.</w:t>
      </w:r>
      <w:r w:rsidRPr="00A91E83">
        <w:rPr>
          <w:rStyle w:val="Puslapioinaosnuoroda"/>
          <w:rFonts w:ascii="Times New Roman" w:hAnsi="Times New Roman" w:cs="Times New Roman"/>
          <w:sz w:val="24"/>
          <w:szCs w:val="24"/>
        </w:rPr>
        <w:footnoteReference w:id="84"/>
      </w:r>
      <w:r w:rsidRPr="00A91E83">
        <w:rPr>
          <w:rFonts w:ascii="Times New Roman" w:hAnsi="Times New Roman" w:cs="Times New Roman"/>
          <w:sz w:val="24"/>
          <w:szCs w:val="24"/>
        </w:rPr>
        <w:t xml:space="preserve"> Kasacinio teismo teisėjų nuomone „CK 6.140 straipsnis nekalba apie tai, kad iškėlus bankroto bylą būtų leidžiama </w:t>
      </w:r>
      <w:r w:rsidRPr="00A91E83">
        <w:rPr>
          <w:rFonts w:ascii="Times New Roman" w:hAnsi="Times New Roman" w:cs="Times New Roman"/>
          <w:i/>
          <w:sz w:val="24"/>
          <w:szCs w:val="24"/>
        </w:rPr>
        <w:t>vykdyti įskaitymą</w:t>
      </w:r>
      <w:r w:rsidRPr="00A91E83">
        <w:rPr>
          <w:rFonts w:ascii="Times New Roman" w:hAnsi="Times New Roman" w:cs="Times New Roman"/>
          <w:sz w:val="24"/>
          <w:szCs w:val="24"/>
        </w:rPr>
        <w:t xml:space="preserve">. Vien tapimo skolininko nemokiu faktas, nesant iškeltos bankroto bylos, nedraudžia įskaityti kreditoriui savo reikalavimus </w:t>
      </w:r>
      <w:r w:rsidRPr="00A91E83">
        <w:rPr>
          <w:rFonts w:ascii="Times New Roman" w:hAnsi="Times New Roman" w:cs="Times New Roman"/>
          <w:i/>
          <w:sz w:val="24"/>
          <w:szCs w:val="24"/>
        </w:rPr>
        <w:t>nemokiam</w:t>
      </w:r>
      <w:r w:rsidRPr="00A91E83">
        <w:rPr>
          <w:rFonts w:ascii="Times New Roman" w:hAnsi="Times New Roman" w:cs="Times New Roman"/>
          <w:sz w:val="24"/>
          <w:szCs w:val="24"/>
        </w:rPr>
        <w:t xml:space="preserve"> skolininkui.“</w:t>
      </w:r>
      <w:r w:rsidRPr="00A91E83">
        <w:rPr>
          <w:rFonts w:ascii="Times New Roman" w:hAnsi="Times New Roman" w:cs="Times New Roman"/>
          <w:sz w:val="24"/>
          <w:szCs w:val="24"/>
          <w:vertAlign w:val="superscript"/>
        </w:rPr>
        <w:footnoteReference w:id="85"/>
      </w:r>
      <w:r w:rsidRPr="00A91E83">
        <w:rPr>
          <w:rFonts w:ascii="Times New Roman" w:hAnsi="Times New Roman" w:cs="Times New Roman"/>
          <w:sz w:val="24"/>
          <w:szCs w:val="24"/>
        </w:rPr>
        <w:t xml:space="preserve"> T</w:t>
      </w:r>
      <w:r w:rsidR="001D0749" w:rsidRPr="00A91E83">
        <w:rPr>
          <w:rFonts w:ascii="Times New Roman" w:hAnsi="Times New Roman" w:cs="Times New Roman"/>
          <w:sz w:val="24"/>
          <w:szCs w:val="24"/>
        </w:rPr>
        <w:t>aigi CK 6.140 straipsnis numato</w:t>
      </w:r>
      <w:r w:rsidRPr="00A91E83">
        <w:rPr>
          <w:rFonts w:ascii="Times New Roman" w:hAnsi="Times New Roman" w:cs="Times New Roman"/>
          <w:sz w:val="24"/>
          <w:szCs w:val="24"/>
        </w:rPr>
        <w:t xml:space="preserve">, jeigu skolininkas yra faktiškai nemokus, tačiau jam dar nėra iškelta bankroto byla, tai įskaitymas yra leidžiamas pagal CK 6.140, o kada jau yra iškelta bankroto byla, tai jis yra sustabdomas, nes pradeda galioti bankroto režimas, t. y. </w:t>
      </w:r>
      <w:r w:rsidR="001D0749" w:rsidRPr="00A91E83">
        <w:rPr>
          <w:rFonts w:ascii="Times New Roman" w:hAnsi="Times New Roman" w:cs="Times New Roman"/>
          <w:sz w:val="24"/>
          <w:szCs w:val="24"/>
        </w:rPr>
        <w:t xml:space="preserve">nemokios </w:t>
      </w:r>
      <w:r w:rsidRPr="00A91E83">
        <w:rPr>
          <w:rFonts w:ascii="Times New Roman" w:hAnsi="Times New Roman" w:cs="Times New Roman"/>
          <w:sz w:val="24"/>
          <w:szCs w:val="24"/>
        </w:rPr>
        <w:t xml:space="preserve">bendrovės prievolių vykdymas yra sustabdomas. Mūsų manymu nėra visiškai įtikinamas motyvas skirtingai traktuoti </w:t>
      </w:r>
      <w:proofErr w:type="spellStart"/>
      <w:r w:rsidRPr="00A91E83">
        <w:rPr>
          <w:rFonts w:ascii="Times New Roman" w:hAnsi="Times New Roman" w:cs="Times New Roman"/>
          <w:sz w:val="24"/>
          <w:szCs w:val="24"/>
        </w:rPr>
        <w:t>de</w:t>
      </w:r>
      <w:proofErr w:type="spellEnd"/>
      <w:r w:rsidRPr="00A91E83">
        <w:rPr>
          <w:rFonts w:ascii="Times New Roman" w:hAnsi="Times New Roman" w:cs="Times New Roman"/>
          <w:sz w:val="24"/>
          <w:szCs w:val="24"/>
        </w:rPr>
        <w:t xml:space="preserve"> facto ir </w:t>
      </w:r>
      <w:proofErr w:type="spellStart"/>
      <w:r w:rsidRPr="00A91E83">
        <w:rPr>
          <w:rFonts w:ascii="Times New Roman" w:hAnsi="Times New Roman" w:cs="Times New Roman"/>
          <w:sz w:val="24"/>
          <w:szCs w:val="24"/>
        </w:rPr>
        <w:t>de</w:t>
      </w:r>
      <w:proofErr w:type="spellEnd"/>
      <w:r w:rsidRPr="00A91E83">
        <w:rPr>
          <w:rFonts w:ascii="Times New Roman" w:hAnsi="Times New Roman" w:cs="Times New Roman"/>
          <w:sz w:val="24"/>
          <w:szCs w:val="24"/>
        </w:rPr>
        <w:t xml:space="preserve"> jure nemokumą. Nėra jokio esminio skirtumo, kuris gintų kokį nors pagrįstą interesą, lyginant kreditoriaus ir skolininko situaciją, kai vieną kartą įskaitymas bus leidžiamas, o kitą kartą draudžiamas vien dėl formalaus kriterijaus, t. y. ar jau </w:t>
      </w:r>
      <w:proofErr w:type="spellStart"/>
      <w:r w:rsidRPr="00A91E83">
        <w:rPr>
          <w:rFonts w:ascii="Times New Roman" w:hAnsi="Times New Roman" w:cs="Times New Roman"/>
          <w:sz w:val="24"/>
          <w:szCs w:val="24"/>
        </w:rPr>
        <w:t>įsiteisėjoiškelta</w:t>
      </w:r>
      <w:proofErr w:type="spellEnd"/>
      <w:r w:rsidRPr="00A91E83">
        <w:rPr>
          <w:rFonts w:ascii="Times New Roman" w:hAnsi="Times New Roman" w:cs="Times New Roman"/>
          <w:sz w:val="24"/>
          <w:szCs w:val="24"/>
        </w:rPr>
        <w:t xml:space="preserve"> bankroto byla.</w:t>
      </w:r>
      <w:r w:rsidR="006E2EC9" w:rsidRPr="00A91E83">
        <w:rPr>
          <w:rStyle w:val="Puslapioinaosnuoroda"/>
          <w:rFonts w:ascii="Times New Roman" w:hAnsi="Times New Roman" w:cs="Times New Roman"/>
          <w:sz w:val="24"/>
          <w:szCs w:val="24"/>
        </w:rPr>
        <w:t xml:space="preserve"> </w:t>
      </w:r>
      <w:r w:rsidR="006E2EC9" w:rsidRPr="00A91E83">
        <w:rPr>
          <w:rStyle w:val="Puslapioinaosnuoroda"/>
          <w:rFonts w:ascii="Times New Roman" w:hAnsi="Times New Roman" w:cs="Times New Roman"/>
          <w:sz w:val="24"/>
          <w:szCs w:val="24"/>
        </w:rPr>
        <w:footnoteReference w:id="86"/>
      </w:r>
      <w:r w:rsidR="006E2EC9" w:rsidRPr="00A91E83">
        <w:rPr>
          <w:rFonts w:ascii="Times New Roman" w:hAnsi="Times New Roman" w:cs="Times New Roman"/>
          <w:sz w:val="24"/>
          <w:szCs w:val="24"/>
        </w:rPr>
        <w:t xml:space="preserve"> </w:t>
      </w:r>
      <w:r w:rsidRPr="00A91E83">
        <w:rPr>
          <w:rFonts w:ascii="Times New Roman" w:hAnsi="Times New Roman" w:cs="Times New Roman"/>
          <w:sz w:val="24"/>
          <w:szCs w:val="24"/>
        </w:rPr>
        <w:t xml:space="preserve"> S. </w:t>
      </w:r>
      <w:proofErr w:type="spellStart"/>
      <w:r w:rsidRPr="00A91E83">
        <w:rPr>
          <w:rFonts w:ascii="Times New Roman" w:hAnsi="Times New Roman" w:cs="Times New Roman"/>
          <w:sz w:val="24"/>
          <w:szCs w:val="24"/>
        </w:rPr>
        <w:t>Kavalnė</w:t>
      </w:r>
      <w:proofErr w:type="spellEnd"/>
      <w:r w:rsidRPr="00A91E83">
        <w:rPr>
          <w:rFonts w:ascii="Times New Roman" w:hAnsi="Times New Roman" w:cs="Times New Roman"/>
          <w:sz w:val="24"/>
          <w:szCs w:val="24"/>
        </w:rPr>
        <w:t xml:space="preserve"> tyrime nurodo, jog Vokietija, Anglija, JAV ir kitos </w:t>
      </w:r>
      <w:r w:rsidR="001D0749" w:rsidRPr="00A91E83">
        <w:rPr>
          <w:rFonts w:ascii="Times New Roman" w:hAnsi="Times New Roman" w:cs="Times New Roman"/>
          <w:sz w:val="24"/>
          <w:szCs w:val="24"/>
        </w:rPr>
        <w:t xml:space="preserve">šalys leidžia įskaitymą, </w:t>
      </w:r>
      <w:r w:rsidRPr="00A91E83">
        <w:rPr>
          <w:rFonts w:ascii="Times New Roman" w:hAnsi="Times New Roman" w:cs="Times New Roman"/>
          <w:sz w:val="24"/>
          <w:szCs w:val="24"/>
        </w:rPr>
        <w:t>tais atvejais, kai galimybė įskaityti priešpriešinius vienarūšius reikalavimus buvo atsiradusi dar prieš iškeliant bankroto bylą.</w:t>
      </w:r>
      <w:r w:rsidRPr="00A91E83">
        <w:rPr>
          <w:rStyle w:val="Puslapioinaosnuoroda"/>
          <w:rFonts w:ascii="Times New Roman" w:hAnsi="Times New Roman" w:cs="Times New Roman"/>
          <w:sz w:val="24"/>
          <w:szCs w:val="24"/>
        </w:rPr>
        <w:footnoteReference w:id="87"/>
      </w:r>
      <w:r w:rsidRPr="00A91E83">
        <w:rPr>
          <w:rFonts w:ascii="Times New Roman" w:hAnsi="Times New Roman" w:cs="Times New Roman"/>
          <w:sz w:val="24"/>
          <w:szCs w:val="24"/>
        </w:rPr>
        <w:t xml:space="preserve"> Todėl absoliutus teismų praktikos suformuota</w:t>
      </w:r>
      <w:r w:rsidR="006E2EC9" w:rsidRPr="00A91E83">
        <w:rPr>
          <w:rFonts w:ascii="Times New Roman" w:hAnsi="Times New Roman" w:cs="Times New Roman"/>
          <w:sz w:val="24"/>
          <w:szCs w:val="24"/>
        </w:rPr>
        <w:t>s draudimas yra kvestionuotinas.</w:t>
      </w:r>
    </w:p>
    <w:p w:rsidR="00EE1370" w:rsidRPr="00A91E83" w:rsidRDefault="00EE1370" w:rsidP="00EE1370">
      <w:pPr>
        <w:pStyle w:val="prastasistinklapis"/>
        <w:tabs>
          <w:tab w:val="left" w:pos="851"/>
        </w:tabs>
        <w:spacing w:before="0" w:beforeAutospacing="0" w:after="0" w:afterAutospacing="0" w:line="360" w:lineRule="auto"/>
        <w:ind w:firstLine="851"/>
        <w:jc w:val="both"/>
      </w:pPr>
      <w:r w:rsidRPr="00A91E83">
        <w:t xml:space="preserve">Kitas atkreiptinas dėmesys, jog įskaitymas skolininko nemokumo atveju yra draudžiamas remiantis </w:t>
      </w:r>
      <w:r w:rsidR="006C3B04" w:rsidRPr="00A91E83">
        <w:t xml:space="preserve">būtent </w:t>
      </w:r>
      <w:r w:rsidRPr="00A91E83">
        <w:t xml:space="preserve">ĮBĮ 10 </w:t>
      </w:r>
      <w:proofErr w:type="spellStart"/>
      <w:r w:rsidRPr="00A91E83">
        <w:t>str</w:t>
      </w:r>
      <w:proofErr w:type="spellEnd"/>
      <w:r w:rsidRPr="00A91E83">
        <w:t xml:space="preserve">. 7 </w:t>
      </w:r>
      <w:proofErr w:type="spellStart"/>
      <w:r w:rsidRPr="00A91E83">
        <w:t>d</w:t>
      </w:r>
      <w:proofErr w:type="spellEnd"/>
      <w:r w:rsidRPr="00A91E83">
        <w:t xml:space="preserve">. 3 </w:t>
      </w:r>
      <w:proofErr w:type="spellStart"/>
      <w:r w:rsidRPr="00A91E83">
        <w:t>p</w:t>
      </w:r>
      <w:proofErr w:type="spellEnd"/>
      <w:r w:rsidRPr="00A91E83">
        <w:t>. Nurodytoje</w:t>
      </w:r>
      <w:r w:rsidRPr="00A91E83">
        <w:rPr>
          <w:rStyle w:val="apple-converted-space"/>
        </w:rPr>
        <w:t xml:space="preserve"> </w:t>
      </w:r>
      <w:r w:rsidRPr="00A91E83">
        <w:t xml:space="preserve">įstatymo normoje nustatyta, kad, įsiteisėjus teismo nutarčiai iškelti bankroto bylą, „draudžiama </w:t>
      </w:r>
      <w:r w:rsidRPr="00A91E83">
        <w:rPr>
          <w:i/>
        </w:rPr>
        <w:t>vykdyti visas finansines prievoles</w:t>
      </w:r>
      <w:r w:rsidRPr="00A91E83">
        <w:t>, neįvykdytas iki bankroto bylos iškėlimo, įskaitant palūkanų, netesybų, mokesčių ir kitų privalomųjų įmokų mokėjimą, išieškoti skolas iš šios įmonės teismo ar ne ginčo tvarka.“ Aiškindamas ir taikydamas šį ribojimą kasacinis teismas yra išaiškinęs, kad prievolių įskaitymas taip pat patenka į šio įstatyme nustatyto draudimo taikymo sferą, t. y. po nutarties iškelti bankroto bylą įsiteisėjimo draudžiama atlikti reikalavimų įskaitymus.</w:t>
      </w:r>
      <w:r w:rsidRPr="00A91E83">
        <w:rPr>
          <w:rStyle w:val="Puslapioinaosnuoroda"/>
        </w:rPr>
        <w:footnoteReference w:id="88"/>
      </w:r>
      <w:r w:rsidRPr="00A91E83">
        <w:t xml:space="preserve"> LAT remiasi norma, kuri draudžia prievolių </w:t>
      </w:r>
      <w:r w:rsidRPr="00A91E83">
        <w:rPr>
          <w:i/>
        </w:rPr>
        <w:t>įvykdymą</w:t>
      </w:r>
      <w:r w:rsidRPr="00A91E83">
        <w:t xml:space="preserve">, tuo tarpu </w:t>
      </w:r>
      <w:proofErr w:type="spellStart"/>
      <w:r w:rsidRPr="00A91E83">
        <w:t>sistemiškai</w:t>
      </w:r>
      <w:proofErr w:type="spellEnd"/>
      <w:r w:rsidRPr="00A91E83">
        <w:t xml:space="preserve"> nagrinėjant CK, įskaitymas yra </w:t>
      </w:r>
      <w:r w:rsidRPr="00A91E83">
        <w:lastRenderedPageBreak/>
        <w:t>lai</w:t>
      </w:r>
      <w:r w:rsidR="00687F00" w:rsidRPr="00A91E83">
        <w:t>komas savarankišku prievolės pa</w:t>
      </w:r>
      <w:r w:rsidRPr="00A91E83">
        <w:t>baigos pagrindu.</w:t>
      </w:r>
      <w:r w:rsidRPr="00A91E83">
        <w:rPr>
          <w:rStyle w:val="Puslapioinaosnuoroda"/>
        </w:rPr>
        <w:footnoteReference w:id="89"/>
      </w:r>
      <w:r w:rsidRPr="00A91E83">
        <w:t xml:space="preserve"> CK 6.123 straipsnio pavadinimas „prievolės pabaiga įvykdymu“, o CK 6.130 straipsnio pavadinimas „prievolės pabaiga įskaitymu“.</w:t>
      </w:r>
    </w:p>
    <w:p w:rsidR="0049370B" w:rsidRPr="00A91E83" w:rsidRDefault="00EE1370" w:rsidP="00EE1370">
      <w:pPr>
        <w:pStyle w:val="prastasistinklapis"/>
        <w:tabs>
          <w:tab w:val="left" w:pos="851"/>
        </w:tabs>
        <w:spacing w:before="0" w:beforeAutospacing="0" w:after="0" w:afterAutospacing="0" w:line="360" w:lineRule="auto"/>
        <w:ind w:firstLine="851"/>
        <w:jc w:val="both"/>
      </w:pPr>
      <w:r w:rsidRPr="00A91E83">
        <w:t xml:space="preserve">Apibendrinus CK 6.140 </w:t>
      </w:r>
      <w:proofErr w:type="spellStart"/>
      <w:r w:rsidRPr="00A91E83">
        <w:rPr>
          <w:i/>
        </w:rPr>
        <w:t>expressis</w:t>
      </w:r>
      <w:proofErr w:type="spellEnd"/>
      <w:r w:rsidRPr="00A91E83">
        <w:rPr>
          <w:i/>
        </w:rPr>
        <w:t xml:space="preserve"> </w:t>
      </w:r>
      <w:proofErr w:type="spellStart"/>
      <w:r w:rsidRPr="00A91E83">
        <w:rPr>
          <w:i/>
        </w:rPr>
        <w:t>verbis</w:t>
      </w:r>
      <w:proofErr w:type="spellEnd"/>
      <w:r w:rsidRPr="00A91E83">
        <w:rPr>
          <w:i/>
        </w:rPr>
        <w:t xml:space="preserve"> </w:t>
      </w:r>
      <w:r w:rsidRPr="00A91E83">
        <w:t>leidžia atlikti įskaitymą, su išimtimi, jeigu kitaip numatyta įstatyme. Tiesiogiai ĮBĮ nėra nuostatos draudžiančios įskaitymą. LAT pasirinktas būdas prievolių įvykdymą sutapatinti su įskaitymu kaip prievolių pasibaigimo pagrindu kvestionuotinas. Nepaisant minėtų pastebėjimų teismų praktikoje įskaitymas buvo draudžiamas dar prieš įsigaliojant naujajam CK</w:t>
      </w:r>
      <w:r w:rsidRPr="00A91E83">
        <w:rPr>
          <w:rStyle w:val="Puslapioinaosnuoroda"/>
        </w:rPr>
        <w:footnoteReference w:id="90"/>
      </w:r>
      <w:r w:rsidRPr="00A91E83">
        <w:t xml:space="preserve"> ir ši absoliuti LAT pozicija </w:t>
      </w:r>
      <w:r w:rsidR="000C7E01">
        <w:t>nesikeičia</w:t>
      </w:r>
      <w:r w:rsidRPr="00A91E83">
        <w:t xml:space="preserve"> iki dabar. </w:t>
      </w:r>
    </w:p>
    <w:p w:rsidR="00EE1370" w:rsidRPr="00A91E83" w:rsidRDefault="00EE1370" w:rsidP="00EE1370">
      <w:pPr>
        <w:pStyle w:val="prastasistinklapis"/>
        <w:tabs>
          <w:tab w:val="left" w:pos="851"/>
        </w:tabs>
        <w:spacing w:before="0" w:beforeAutospacing="0" w:after="0" w:afterAutospacing="0" w:line="360" w:lineRule="auto"/>
        <w:ind w:firstLine="851"/>
        <w:jc w:val="both"/>
      </w:pPr>
      <w:r w:rsidRPr="00A91E83">
        <w:t>Užsienio valstybėse, kuriose įskaitymas nemokumo atveju yra draudžiamas, dažniausiai numatomos šios išimtys: einamosios sąskaitos ir sutartinis įskaitymas. Autoriaus nuomone, tai galėtų būti pirmieji žingsniai LAT atsisakant griežto draudimo.</w:t>
      </w:r>
    </w:p>
    <w:p w:rsidR="00EE1370" w:rsidRPr="00A91E83" w:rsidRDefault="00EE1370" w:rsidP="00EE1370">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b/>
          <w:sz w:val="24"/>
          <w:szCs w:val="24"/>
        </w:rPr>
        <w:t>Einamosios sąskaitos išimtis</w:t>
      </w:r>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c</w:t>
      </w:r>
      <w:r w:rsidRPr="00A91E83">
        <w:rPr>
          <w:rFonts w:ascii="Times New Roman" w:hAnsi="Times New Roman" w:cs="Times New Roman"/>
          <w:i/>
          <w:sz w:val="24"/>
          <w:szCs w:val="24"/>
        </w:rPr>
        <w:t>urrent</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account</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set-off</w:t>
      </w:r>
      <w:r w:rsidRPr="00A91E83">
        <w:rPr>
          <w:rFonts w:ascii="Times New Roman" w:hAnsi="Times New Roman" w:cs="Times New Roman"/>
          <w:sz w:val="24"/>
          <w:szCs w:val="24"/>
        </w:rPr>
        <w:t>).</w:t>
      </w:r>
      <w:proofErr w:type="spellEnd"/>
      <w:r w:rsidRPr="00A91E83">
        <w:rPr>
          <w:rFonts w:ascii="Times New Roman" w:hAnsi="Times New Roman" w:cs="Times New Roman"/>
          <w:sz w:val="24"/>
          <w:szCs w:val="24"/>
        </w:rPr>
        <w:t xml:space="preserve"> Pripažįstama, jog einamosios sąskaitos debitas ir kreditas yra vienos sąskaitos balansas, kuris turi būti kompensuojamas nutraukus banko-kliento santykius dėl nemokumo procedūros. Tai ypač būdinga Napoleoniškose jurisdikcijose,</w:t>
      </w:r>
      <w:r w:rsidRPr="00A91E83">
        <w:rPr>
          <w:rStyle w:val="Puslapioinaosnuoroda"/>
          <w:rFonts w:ascii="Times New Roman" w:hAnsi="Times New Roman" w:cs="Times New Roman"/>
          <w:sz w:val="24"/>
          <w:szCs w:val="24"/>
        </w:rPr>
        <w:footnoteReference w:id="91"/>
      </w:r>
      <w:r w:rsidRPr="00A91E83">
        <w:rPr>
          <w:rFonts w:ascii="Times New Roman" w:hAnsi="Times New Roman" w:cs="Times New Roman"/>
          <w:sz w:val="24"/>
          <w:szCs w:val="24"/>
        </w:rPr>
        <w:t xml:space="preserve"> bet ši išimtis gali būti netaikoma, jeigu bankas yra atidaręs dvi einamąsias sąskaitas nemokiam skolininkui. CK 6.921 </w:t>
      </w:r>
      <w:proofErr w:type="spellStart"/>
      <w:r w:rsidRPr="00A91E83">
        <w:rPr>
          <w:rFonts w:ascii="Times New Roman" w:hAnsi="Times New Roman" w:cs="Times New Roman"/>
          <w:sz w:val="24"/>
          <w:szCs w:val="24"/>
        </w:rPr>
        <w:t>str</w:t>
      </w:r>
      <w:proofErr w:type="spellEnd"/>
      <w:r w:rsidRPr="00A91E83">
        <w:rPr>
          <w:rFonts w:ascii="Times New Roman" w:hAnsi="Times New Roman" w:cs="Times New Roman"/>
          <w:sz w:val="24"/>
          <w:szCs w:val="24"/>
        </w:rPr>
        <w:t>. leidžia įskaityti banko ir kliento piniginius reikalavimus, susijusius su sąskaitos kreditavimu, banko paslaugų apmokėjimu, palūkanų mokėjimų, jei sąskaitos sutartis nenumato ko kita.</w:t>
      </w:r>
      <w:r w:rsidRPr="00A91E83">
        <w:rPr>
          <w:rStyle w:val="Puslapioinaosnuoroda"/>
          <w:rFonts w:ascii="Times New Roman" w:hAnsi="Times New Roman" w:cs="Times New Roman"/>
          <w:sz w:val="24"/>
          <w:szCs w:val="24"/>
        </w:rPr>
        <w:footnoteReference w:id="92"/>
      </w:r>
      <w:r w:rsidRPr="00A91E83">
        <w:rPr>
          <w:rFonts w:ascii="Times New Roman" w:hAnsi="Times New Roman" w:cs="Times New Roman"/>
          <w:sz w:val="24"/>
          <w:szCs w:val="24"/>
        </w:rPr>
        <w:t xml:space="preserve"> Vis dėlto situacija pasikeičia, jeigu vienai iš šalių iškeliama bankroto byla ir ji įsiteisėja. Lietuvoje debitorinių ir kreditorinių reikalavimų įskaitymas pažeistų ĮBĮ nustatytus kreditorių eiliškumą bei apimtis,</w:t>
      </w:r>
      <w:r w:rsidRPr="00A91E83">
        <w:rPr>
          <w:rStyle w:val="Puslapioinaosnuoroda"/>
          <w:rFonts w:ascii="Times New Roman" w:hAnsi="Times New Roman" w:cs="Times New Roman"/>
          <w:sz w:val="24"/>
          <w:szCs w:val="24"/>
        </w:rPr>
        <w:footnoteReference w:id="93"/>
      </w:r>
      <w:r w:rsidRPr="00A91E83">
        <w:rPr>
          <w:rFonts w:ascii="Times New Roman" w:hAnsi="Times New Roman" w:cs="Times New Roman"/>
          <w:sz w:val="24"/>
          <w:szCs w:val="24"/>
        </w:rPr>
        <w:t xml:space="preserve"> todėl einamosios sąskaitos įskaitymas po iškeltos bankroto bylos įsiteisėjimo prieštarautų imperatyvioms ĮBĮ normoms.</w:t>
      </w:r>
    </w:p>
    <w:p w:rsidR="00EE1370" w:rsidRPr="00A91E83" w:rsidRDefault="00EE1370" w:rsidP="00EE1370">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b/>
          <w:sz w:val="24"/>
          <w:szCs w:val="24"/>
        </w:rPr>
        <w:t>Sutartinis įskaitymas</w:t>
      </w:r>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i/>
          <w:sz w:val="24"/>
          <w:szCs w:val="24"/>
        </w:rPr>
        <w:t>transaction</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set-off</w:t>
      </w:r>
      <w:r w:rsidRPr="00A91E83">
        <w:rPr>
          <w:rFonts w:ascii="Times New Roman" w:hAnsi="Times New Roman" w:cs="Times New Roman"/>
          <w:sz w:val="24"/>
          <w:szCs w:val="24"/>
        </w:rPr>
        <w:t>).</w:t>
      </w:r>
      <w:proofErr w:type="spellEnd"/>
      <w:r w:rsidRPr="00A91E83">
        <w:rPr>
          <w:rFonts w:ascii="Times New Roman" w:hAnsi="Times New Roman" w:cs="Times New Roman"/>
          <w:sz w:val="24"/>
          <w:szCs w:val="24"/>
        </w:rPr>
        <w:t xml:space="preserve"> </w:t>
      </w:r>
      <w:r w:rsidR="006D2A83" w:rsidRPr="00A91E83">
        <w:rPr>
          <w:rFonts w:ascii="Times New Roman" w:hAnsi="Times New Roman" w:cs="Times New Roman"/>
          <w:sz w:val="24"/>
          <w:szCs w:val="24"/>
        </w:rPr>
        <w:t xml:space="preserve">Idėja remiasi prielaida, jog sutartinis įskaitymas turėtų išlikti galiojantis, net ir nemokumo kontekste. </w:t>
      </w:r>
      <w:r w:rsidRPr="00A91E83">
        <w:rPr>
          <w:rFonts w:ascii="Times New Roman" w:hAnsi="Times New Roman" w:cs="Times New Roman"/>
          <w:sz w:val="24"/>
          <w:szCs w:val="24"/>
        </w:rPr>
        <w:t>Plačiai pripažįstama, jog</w:t>
      </w:r>
      <w:r w:rsidR="00F66A15" w:rsidRPr="00A91E83">
        <w:rPr>
          <w:rFonts w:ascii="Times New Roman" w:hAnsi="Times New Roman" w:cs="Times New Roman"/>
          <w:sz w:val="24"/>
          <w:szCs w:val="24"/>
        </w:rPr>
        <w:t xml:space="preserve"> </w:t>
      </w:r>
      <w:r w:rsidRPr="00A91E83">
        <w:rPr>
          <w:rFonts w:ascii="Times New Roman" w:hAnsi="Times New Roman" w:cs="Times New Roman"/>
          <w:sz w:val="24"/>
          <w:szCs w:val="24"/>
        </w:rPr>
        <w:t xml:space="preserve">būtų neteisinga, </w:t>
      </w:r>
      <w:r w:rsidR="00F66A15" w:rsidRPr="00A91E83">
        <w:rPr>
          <w:rFonts w:ascii="Times New Roman" w:hAnsi="Times New Roman" w:cs="Times New Roman"/>
          <w:sz w:val="24"/>
          <w:szCs w:val="24"/>
        </w:rPr>
        <w:t>jeigu</w:t>
      </w:r>
      <w:r w:rsidRPr="00A91E83">
        <w:rPr>
          <w:rFonts w:ascii="Times New Roman" w:hAnsi="Times New Roman" w:cs="Times New Roman"/>
          <w:sz w:val="24"/>
          <w:szCs w:val="24"/>
        </w:rPr>
        <w:t xml:space="preserve"> bankroto administratorius iš mokios šalies reikalautų įvykdyti įsipareigojimus</w:t>
      </w:r>
      <w:r w:rsidR="006D2A83" w:rsidRPr="00A91E83">
        <w:rPr>
          <w:rFonts w:ascii="Times New Roman" w:hAnsi="Times New Roman" w:cs="Times New Roman"/>
          <w:sz w:val="24"/>
          <w:szCs w:val="24"/>
        </w:rPr>
        <w:t>,</w:t>
      </w:r>
      <w:r w:rsidRPr="00A91E83">
        <w:rPr>
          <w:rFonts w:ascii="Times New Roman" w:hAnsi="Times New Roman" w:cs="Times New Roman"/>
          <w:sz w:val="24"/>
          <w:szCs w:val="24"/>
        </w:rPr>
        <w:t xml:space="preserve"> kylančius iš vieno sandorio visa apimtimi</w:t>
      </w:r>
      <w:r w:rsidR="00F66A15" w:rsidRPr="00A91E83">
        <w:rPr>
          <w:rFonts w:ascii="Times New Roman" w:hAnsi="Times New Roman" w:cs="Times New Roman"/>
          <w:sz w:val="24"/>
          <w:szCs w:val="24"/>
        </w:rPr>
        <w:t>,</w:t>
      </w:r>
      <w:r w:rsidRPr="00A91E83">
        <w:rPr>
          <w:rFonts w:ascii="Times New Roman" w:hAnsi="Times New Roman" w:cs="Times New Roman"/>
          <w:sz w:val="24"/>
          <w:szCs w:val="24"/>
        </w:rPr>
        <w:t xml:space="preserve"> neatskaičius nuostolių, kurie atsirado dėl netinkamo ar pavėluoto nemokios šalies įsipareigojimų įvykdymo. </w:t>
      </w:r>
      <w:r w:rsidR="00F66A15" w:rsidRPr="00A91E83">
        <w:rPr>
          <w:rFonts w:ascii="Times New Roman" w:hAnsi="Times New Roman" w:cs="Times New Roman"/>
          <w:sz w:val="24"/>
          <w:szCs w:val="24"/>
        </w:rPr>
        <w:t xml:space="preserve">Rezultatas toks, jog moki šalis dėl tokio reikalavimo galėtų stoti tik į bendrą kreditorių eilę bankroto procese. </w:t>
      </w:r>
      <w:r w:rsidRPr="00A91E83">
        <w:rPr>
          <w:rFonts w:ascii="Times New Roman" w:hAnsi="Times New Roman" w:cs="Times New Roman"/>
          <w:sz w:val="24"/>
          <w:szCs w:val="24"/>
        </w:rPr>
        <w:t xml:space="preserve">Tokios nuostatos įtvirtintos įstatymuose ar leidžiamos teismų praktikos Belgijoje, Liuksemburge, Prancūzijoje it </w:t>
      </w:r>
      <w:proofErr w:type="spellStart"/>
      <w:r w:rsidRPr="00A91E83">
        <w:rPr>
          <w:rFonts w:ascii="Times New Roman" w:hAnsi="Times New Roman" w:cs="Times New Roman"/>
          <w:sz w:val="24"/>
          <w:szCs w:val="24"/>
        </w:rPr>
        <w:t>kt</w:t>
      </w:r>
      <w:proofErr w:type="spellEnd"/>
      <w:r w:rsidRPr="00A91E83">
        <w:rPr>
          <w:rFonts w:ascii="Times New Roman" w:hAnsi="Times New Roman" w:cs="Times New Roman"/>
          <w:sz w:val="24"/>
          <w:szCs w:val="24"/>
        </w:rPr>
        <w:t>. valstybėse.</w:t>
      </w:r>
      <w:r w:rsidRPr="00A91E83">
        <w:rPr>
          <w:rStyle w:val="Puslapioinaosnuoroda"/>
          <w:rFonts w:ascii="Times New Roman" w:hAnsi="Times New Roman" w:cs="Times New Roman"/>
          <w:sz w:val="24"/>
          <w:szCs w:val="24"/>
        </w:rPr>
        <w:footnoteReference w:id="94"/>
      </w:r>
      <w:r w:rsidRPr="00A91E83">
        <w:rPr>
          <w:rFonts w:ascii="Times New Roman" w:hAnsi="Times New Roman" w:cs="Times New Roman"/>
          <w:sz w:val="24"/>
          <w:szCs w:val="24"/>
        </w:rPr>
        <w:t xml:space="preserve"> </w:t>
      </w:r>
      <w:r w:rsidR="0049370B" w:rsidRPr="00A91E83">
        <w:rPr>
          <w:rFonts w:ascii="Times New Roman" w:hAnsi="Times New Roman" w:cs="Times New Roman"/>
          <w:sz w:val="24"/>
          <w:szCs w:val="24"/>
        </w:rPr>
        <w:t xml:space="preserve">Dėl sutartinio įskaitymo galiojimo bankroto procese plačiau </w:t>
      </w:r>
      <w:proofErr w:type="spellStart"/>
      <w:r w:rsidR="0049370B" w:rsidRPr="00A91E83">
        <w:rPr>
          <w:rFonts w:ascii="Times New Roman" w:hAnsi="Times New Roman" w:cs="Times New Roman"/>
          <w:sz w:val="24"/>
          <w:szCs w:val="24"/>
        </w:rPr>
        <w:t>žr</w:t>
      </w:r>
      <w:proofErr w:type="spellEnd"/>
      <w:r w:rsidR="0049370B" w:rsidRPr="00A91E83">
        <w:rPr>
          <w:rFonts w:ascii="Times New Roman" w:hAnsi="Times New Roman" w:cs="Times New Roman"/>
          <w:sz w:val="24"/>
          <w:szCs w:val="24"/>
        </w:rPr>
        <w:t>. IV tyrimo dalyje.</w:t>
      </w:r>
    </w:p>
    <w:p w:rsidR="00BF7BE6" w:rsidRPr="00A91E83" w:rsidRDefault="00F23FCD" w:rsidP="00586505">
      <w:pPr>
        <w:pStyle w:val="Sraopastraipa"/>
        <w:numPr>
          <w:ilvl w:val="1"/>
          <w:numId w:val="4"/>
        </w:numPr>
        <w:tabs>
          <w:tab w:val="left" w:pos="851"/>
        </w:tabs>
        <w:spacing w:after="0" w:line="360" w:lineRule="auto"/>
        <w:ind w:left="0" w:firstLine="0"/>
        <w:jc w:val="both"/>
        <w:outlineLvl w:val="1"/>
        <w:rPr>
          <w:rFonts w:ascii="Times New Roman" w:hAnsi="Times New Roman" w:cs="Times New Roman"/>
          <w:b/>
          <w:sz w:val="24"/>
          <w:szCs w:val="24"/>
        </w:rPr>
      </w:pPr>
      <w:bookmarkStart w:id="17" w:name="_Toc280546451"/>
      <w:r w:rsidRPr="00A91E83">
        <w:rPr>
          <w:rFonts w:ascii="Times New Roman" w:hAnsi="Times New Roman" w:cs="Times New Roman"/>
          <w:b/>
          <w:sz w:val="24"/>
          <w:szCs w:val="24"/>
        </w:rPr>
        <w:lastRenderedPageBreak/>
        <w:t>Užskaitos sąvoka</w:t>
      </w:r>
      <w:bookmarkEnd w:id="17"/>
    </w:p>
    <w:p w:rsidR="00BF7BE6" w:rsidRPr="00A91E83" w:rsidRDefault="00BF7BE6" w:rsidP="00B46A53">
      <w:pPr>
        <w:tabs>
          <w:tab w:val="left" w:pos="851"/>
        </w:tabs>
        <w:spacing w:after="0" w:line="360" w:lineRule="auto"/>
        <w:ind w:firstLine="851"/>
        <w:jc w:val="both"/>
        <w:rPr>
          <w:rFonts w:ascii="Times New Roman" w:hAnsi="Times New Roman" w:cs="Times New Roman"/>
          <w:sz w:val="24"/>
          <w:szCs w:val="24"/>
        </w:rPr>
      </w:pPr>
    </w:p>
    <w:p w:rsidR="008C1765" w:rsidRPr="00A91E83" w:rsidRDefault="003311DD" w:rsidP="006F3E9E">
      <w:pPr>
        <w:tabs>
          <w:tab w:val="left" w:pos="851"/>
        </w:tabs>
        <w:spacing w:after="0" w:line="360" w:lineRule="auto"/>
        <w:ind w:firstLine="851"/>
        <w:jc w:val="both"/>
        <w:rPr>
          <w:rFonts w:ascii="Times New Roman" w:hAnsi="Times New Roman" w:cs="Times New Roman"/>
          <w:sz w:val="24"/>
          <w:szCs w:val="24"/>
        </w:rPr>
      </w:pPr>
      <w:r w:rsidRPr="00A91E83">
        <w:rPr>
          <w:rFonts w:ascii="Times New Roman" w:eastAsia="Times New Roman" w:hAnsi="Times New Roman" w:cs="Times New Roman"/>
          <w:color w:val="000000"/>
          <w:sz w:val="24"/>
          <w:szCs w:val="24"/>
        </w:rPr>
        <w:t>Lietuvos civilinėje</w:t>
      </w:r>
      <w:r w:rsidR="00872FE1">
        <w:rPr>
          <w:rFonts w:ascii="Times New Roman" w:eastAsia="Times New Roman" w:hAnsi="Times New Roman" w:cs="Times New Roman"/>
          <w:color w:val="000000"/>
          <w:sz w:val="24"/>
          <w:szCs w:val="24"/>
        </w:rPr>
        <w:t xml:space="preserve"> ir bankroto teisėje </w:t>
      </w:r>
      <w:bookmarkStart w:id="18" w:name="_GoBack"/>
      <w:bookmarkEnd w:id="18"/>
      <w:r w:rsidR="00872FE1">
        <w:rPr>
          <w:rFonts w:ascii="Times New Roman" w:eastAsia="Times New Roman" w:hAnsi="Times New Roman" w:cs="Times New Roman"/>
          <w:color w:val="000000"/>
          <w:sz w:val="24"/>
          <w:szCs w:val="24"/>
        </w:rPr>
        <w:t>užskaitos</w:t>
      </w:r>
      <w:r w:rsidRPr="00A91E83">
        <w:rPr>
          <w:rFonts w:ascii="Times New Roman" w:eastAsia="Times New Roman" w:hAnsi="Times New Roman" w:cs="Times New Roman"/>
          <w:color w:val="000000"/>
          <w:sz w:val="24"/>
          <w:szCs w:val="24"/>
        </w:rPr>
        <w:t xml:space="preserve"> terminas nebuvo sutinkamas iki </w:t>
      </w:r>
      <w:r w:rsidR="0074059D" w:rsidRPr="00A91E83">
        <w:rPr>
          <w:rFonts w:ascii="Times New Roman" w:eastAsia="Times New Roman" w:hAnsi="Times New Roman" w:cs="Times New Roman"/>
          <w:color w:val="000000"/>
          <w:sz w:val="24"/>
          <w:szCs w:val="24"/>
        </w:rPr>
        <w:t xml:space="preserve">įgyvendinant ES teisės aktus. Visų pirma priimtas </w:t>
      </w:r>
      <w:r w:rsidR="0074059D" w:rsidRPr="00A91E83">
        <w:rPr>
          <w:rFonts w:ascii="Times New Roman" w:hAnsi="Times New Roman" w:cs="Times New Roman"/>
          <w:sz w:val="24"/>
          <w:szCs w:val="24"/>
        </w:rPr>
        <w:t>Lietuvos Respublikos atsiskaitymų baigtinumo mokėjimo ir vertybinių popierių atsiskaitymo sistemose įstat</w:t>
      </w:r>
      <w:r w:rsidR="006F3E9E" w:rsidRPr="00A91E83">
        <w:rPr>
          <w:rFonts w:ascii="Times New Roman" w:hAnsi="Times New Roman" w:cs="Times New Roman"/>
          <w:sz w:val="24"/>
          <w:szCs w:val="24"/>
        </w:rPr>
        <w:t>ymas</w:t>
      </w:r>
      <w:r w:rsidR="0074059D" w:rsidRPr="00A91E83">
        <w:rPr>
          <w:rFonts w:ascii="Times New Roman" w:hAnsi="Times New Roman" w:cs="Times New Roman"/>
          <w:sz w:val="24"/>
          <w:szCs w:val="24"/>
        </w:rPr>
        <w:t xml:space="preserve">, kuris įgyvendino 1998 </w:t>
      </w:r>
      <w:proofErr w:type="spellStart"/>
      <w:r w:rsidR="0074059D" w:rsidRPr="00A91E83">
        <w:rPr>
          <w:rFonts w:ascii="Times New Roman" w:hAnsi="Times New Roman" w:cs="Times New Roman"/>
          <w:sz w:val="24"/>
          <w:szCs w:val="24"/>
        </w:rPr>
        <w:t>m</w:t>
      </w:r>
      <w:proofErr w:type="spellEnd"/>
      <w:r w:rsidR="0074059D" w:rsidRPr="00A91E83">
        <w:rPr>
          <w:rFonts w:ascii="Times New Roman" w:hAnsi="Times New Roman" w:cs="Times New Roman"/>
          <w:sz w:val="24"/>
          <w:szCs w:val="24"/>
        </w:rPr>
        <w:t xml:space="preserve">. gegužės 19 </w:t>
      </w:r>
      <w:proofErr w:type="spellStart"/>
      <w:r w:rsidR="0074059D" w:rsidRPr="00A91E83">
        <w:rPr>
          <w:rFonts w:ascii="Times New Roman" w:hAnsi="Times New Roman" w:cs="Times New Roman"/>
          <w:sz w:val="24"/>
          <w:szCs w:val="24"/>
        </w:rPr>
        <w:t>d</w:t>
      </w:r>
      <w:proofErr w:type="spellEnd"/>
      <w:r w:rsidR="0074059D" w:rsidRPr="00A91E83">
        <w:rPr>
          <w:rFonts w:ascii="Times New Roman" w:hAnsi="Times New Roman" w:cs="Times New Roman"/>
          <w:sz w:val="24"/>
          <w:szCs w:val="24"/>
        </w:rPr>
        <w:t>. Europos</w:t>
      </w:r>
      <w:r w:rsidR="006F3E9E" w:rsidRPr="00A91E83">
        <w:rPr>
          <w:rFonts w:ascii="Times New Roman" w:hAnsi="Times New Roman" w:cs="Times New Roman"/>
          <w:sz w:val="24"/>
          <w:szCs w:val="24"/>
        </w:rPr>
        <w:t xml:space="preserve"> Parlamento ir Tarybos direktyvą</w:t>
      </w:r>
      <w:r w:rsidR="0074059D" w:rsidRPr="00A91E83">
        <w:rPr>
          <w:rFonts w:ascii="Times New Roman" w:hAnsi="Times New Roman" w:cs="Times New Roman"/>
          <w:sz w:val="24"/>
          <w:szCs w:val="24"/>
        </w:rPr>
        <w:t xml:space="preserve"> 98/26/EB dėl atsiskaitymų baigtinumo mokėjimo ir vertybinių popierių atsiskaitymo sistemose. Vėliau – </w:t>
      </w:r>
      <w:r w:rsidR="0074059D" w:rsidRPr="00A91E83">
        <w:rPr>
          <w:rFonts w:ascii="Times New Roman" w:eastAsia="Times New Roman" w:hAnsi="Times New Roman" w:cs="Times New Roman"/>
          <w:color w:val="000000"/>
          <w:sz w:val="24"/>
          <w:szCs w:val="24"/>
        </w:rPr>
        <w:t xml:space="preserve">FUSĮ, kuris įgyvendino </w:t>
      </w:r>
      <w:r w:rsidR="0074059D" w:rsidRPr="00A91E83">
        <w:rPr>
          <w:rFonts w:ascii="Times New Roman" w:hAnsi="Times New Roman" w:cs="Times New Roman"/>
          <w:sz w:val="24"/>
          <w:szCs w:val="24"/>
        </w:rPr>
        <w:t xml:space="preserve">2002 </w:t>
      </w:r>
      <w:proofErr w:type="spellStart"/>
      <w:r w:rsidR="0074059D" w:rsidRPr="00A91E83">
        <w:rPr>
          <w:rFonts w:ascii="Times New Roman" w:hAnsi="Times New Roman" w:cs="Times New Roman"/>
          <w:sz w:val="24"/>
          <w:szCs w:val="24"/>
        </w:rPr>
        <w:t>m</w:t>
      </w:r>
      <w:proofErr w:type="spellEnd"/>
      <w:r w:rsidR="0074059D" w:rsidRPr="00A91E83">
        <w:rPr>
          <w:rFonts w:ascii="Times New Roman" w:hAnsi="Times New Roman" w:cs="Times New Roman"/>
          <w:sz w:val="24"/>
          <w:szCs w:val="24"/>
        </w:rPr>
        <w:t xml:space="preserve">. birželio 6 </w:t>
      </w:r>
      <w:proofErr w:type="spellStart"/>
      <w:r w:rsidR="0074059D" w:rsidRPr="00A91E83">
        <w:rPr>
          <w:rFonts w:ascii="Times New Roman" w:hAnsi="Times New Roman" w:cs="Times New Roman"/>
          <w:sz w:val="24"/>
          <w:szCs w:val="24"/>
        </w:rPr>
        <w:t>d</w:t>
      </w:r>
      <w:proofErr w:type="spellEnd"/>
      <w:r w:rsidR="0074059D" w:rsidRPr="00A91E83">
        <w:rPr>
          <w:rFonts w:ascii="Times New Roman" w:hAnsi="Times New Roman" w:cs="Times New Roman"/>
          <w:sz w:val="24"/>
          <w:szCs w:val="24"/>
        </w:rPr>
        <w:t>. Europos Parlamento ir Tar</w:t>
      </w:r>
      <w:r w:rsidR="006F3E9E" w:rsidRPr="00A91E83">
        <w:rPr>
          <w:rFonts w:ascii="Times New Roman" w:hAnsi="Times New Roman" w:cs="Times New Roman"/>
          <w:sz w:val="24"/>
          <w:szCs w:val="24"/>
        </w:rPr>
        <w:t>ybos direktyvą</w:t>
      </w:r>
      <w:r w:rsidR="0074059D" w:rsidRPr="00A91E83">
        <w:rPr>
          <w:rFonts w:ascii="Times New Roman" w:hAnsi="Times New Roman" w:cs="Times New Roman"/>
          <w:sz w:val="24"/>
          <w:szCs w:val="24"/>
        </w:rPr>
        <w:t xml:space="preserve"> 2002/47/EB dėl susitarimų dėl finansinio įkaito. Taigi</w:t>
      </w:r>
      <w:r w:rsidRPr="00A91E83">
        <w:rPr>
          <w:rFonts w:ascii="Times New Roman" w:hAnsi="Times New Roman" w:cs="Times New Roman"/>
          <w:sz w:val="24"/>
          <w:szCs w:val="24"/>
        </w:rPr>
        <w:t xml:space="preserve"> „užskaitos“</w:t>
      </w:r>
      <w:r w:rsidR="0074059D" w:rsidRPr="00A91E83">
        <w:rPr>
          <w:rFonts w:ascii="Times New Roman" w:hAnsi="Times New Roman" w:cs="Times New Roman"/>
          <w:sz w:val="24"/>
          <w:szCs w:val="24"/>
        </w:rPr>
        <w:t xml:space="preserve"> koncepcija Lietuvoje nėra </w:t>
      </w:r>
      <w:r w:rsidR="006F3E9E" w:rsidRPr="00A91E83">
        <w:rPr>
          <w:rFonts w:ascii="Times New Roman" w:hAnsi="Times New Roman" w:cs="Times New Roman"/>
          <w:sz w:val="24"/>
          <w:szCs w:val="24"/>
        </w:rPr>
        <w:t xml:space="preserve">visiškai </w:t>
      </w:r>
      <w:r w:rsidR="0074059D" w:rsidRPr="00A91E83">
        <w:rPr>
          <w:rFonts w:ascii="Times New Roman" w:hAnsi="Times New Roman" w:cs="Times New Roman"/>
          <w:sz w:val="24"/>
          <w:szCs w:val="24"/>
        </w:rPr>
        <w:t>nauja, tačiau sisteminės instituto analizės Lietuvos teisės atžvilgiu nėra atlikta. Tai įrodo „užskaitos“ termino pavadinimų įvairovė</w:t>
      </w:r>
      <w:r w:rsidR="00431ABE" w:rsidRPr="00A91E83">
        <w:rPr>
          <w:rFonts w:ascii="Times New Roman" w:hAnsi="Times New Roman" w:cs="Times New Roman"/>
          <w:sz w:val="24"/>
          <w:szCs w:val="24"/>
        </w:rPr>
        <w:t xml:space="preserve"> aptart</w:t>
      </w:r>
      <w:r w:rsidR="00E34844" w:rsidRPr="00A91E83">
        <w:rPr>
          <w:rFonts w:ascii="Times New Roman" w:hAnsi="Times New Roman" w:cs="Times New Roman"/>
          <w:sz w:val="24"/>
          <w:szCs w:val="24"/>
        </w:rPr>
        <w:t>u</w:t>
      </w:r>
      <w:r w:rsidR="00431ABE" w:rsidRPr="00A91E83">
        <w:rPr>
          <w:rFonts w:ascii="Times New Roman" w:hAnsi="Times New Roman" w:cs="Times New Roman"/>
          <w:sz w:val="24"/>
          <w:szCs w:val="24"/>
        </w:rPr>
        <w:t>ose teisės aktuose</w:t>
      </w:r>
      <w:r w:rsidR="0074059D" w:rsidRPr="00A91E83">
        <w:rPr>
          <w:rFonts w:ascii="Times New Roman" w:hAnsi="Times New Roman" w:cs="Times New Roman"/>
          <w:sz w:val="24"/>
          <w:szCs w:val="24"/>
        </w:rPr>
        <w:t>. Minė</w:t>
      </w:r>
      <w:r w:rsidR="00ED07BB" w:rsidRPr="00A91E83">
        <w:rPr>
          <w:rFonts w:ascii="Times New Roman" w:hAnsi="Times New Roman" w:cs="Times New Roman"/>
          <w:sz w:val="24"/>
          <w:szCs w:val="24"/>
        </w:rPr>
        <w:t xml:space="preserve">toje </w:t>
      </w:r>
      <w:r w:rsidR="0074059D" w:rsidRPr="00A91E83">
        <w:rPr>
          <w:rFonts w:ascii="Times New Roman" w:hAnsi="Times New Roman" w:cs="Times New Roman"/>
          <w:sz w:val="24"/>
          <w:szCs w:val="24"/>
        </w:rPr>
        <w:t xml:space="preserve">Atsiskaitymų </w:t>
      </w:r>
      <w:r w:rsidR="00ED07BB" w:rsidRPr="00A91E83">
        <w:rPr>
          <w:rFonts w:ascii="Times New Roman" w:hAnsi="Times New Roman" w:cs="Times New Roman"/>
          <w:sz w:val="24"/>
          <w:szCs w:val="24"/>
        </w:rPr>
        <w:t xml:space="preserve">direktyvoje </w:t>
      </w:r>
      <w:r w:rsidR="006F3E9E" w:rsidRPr="00A91E83">
        <w:rPr>
          <w:rFonts w:ascii="Times New Roman" w:hAnsi="Times New Roman" w:cs="Times New Roman"/>
          <w:sz w:val="24"/>
          <w:szCs w:val="24"/>
        </w:rPr>
        <w:t xml:space="preserve">naudojamas terminas </w:t>
      </w:r>
      <w:r w:rsidR="00ED07BB" w:rsidRPr="00A91E83">
        <w:rPr>
          <w:rFonts w:ascii="Times New Roman" w:hAnsi="Times New Roman" w:cs="Times New Roman"/>
          <w:sz w:val="24"/>
          <w:szCs w:val="24"/>
        </w:rPr>
        <w:t>„tarpuskaita“</w:t>
      </w:r>
      <w:r w:rsidR="00BF7BE6" w:rsidRPr="00A91E83">
        <w:rPr>
          <w:rStyle w:val="Puslapioinaosnuoroda"/>
          <w:rFonts w:ascii="Times New Roman" w:hAnsi="Times New Roman" w:cs="Times New Roman"/>
          <w:sz w:val="24"/>
          <w:szCs w:val="24"/>
        </w:rPr>
        <w:footnoteReference w:id="95"/>
      </w:r>
      <w:r w:rsidR="008C1765" w:rsidRPr="00A91E83">
        <w:rPr>
          <w:rFonts w:ascii="Times New Roman" w:hAnsi="Times New Roman" w:cs="Times New Roman"/>
          <w:sz w:val="24"/>
          <w:szCs w:val="24"/>
        </w:rPr>
        <w:t>(</w:t>
      </w:r>
      <w:proofErr w:type="spellStart"/>
      <w:r w:rsidR="008C1765" w:rsidRPr="00A91E83">
        <w:rPr>
          <w:rFonts w:ascii="Times New Roman" w:hAnsi="Times New Roman" w:cs="Times New Roman"/>
          <w:sz w:val="24"/>
          <w:szCs w:val="24"/>
        </w:rPr>
        <w:t>angl</w:t>
      </w:r>
      <w:proofErr w:type="spellEnd"/>
      <w:r w:rsidR="008C1765" w:rsidRPr="00A91E83">
        <w:rPr>
          <w:rFonts w:ascii="Times New Roman" w:hAnsi="Times New Roman" w:cs="Times New Roman"/>
          <w:sz w:val="24"/>
          <w:szCs w:val="24"/>
        </w:rPr>
        <w:t xml:space="preserve">. </w:t>
      </w:r>
      <w:proofErr w:type="spellStart"/>
      <w:r w:rsidR="008C1765" w:rsidRPr="00A91E83">
        <w:rPr>
          <w:rFonts w:ascii="Times New Roman" w:hAnsi="Times New Roman" w:cs="Times New Roman"/>
          <w:i/>
          <w:sz w:val="24"/>
          <w:szCs w:val="24"/>
        </w:rPr>
        <w:t>netting</w:t>
      </w:r>
      <w:proofErr w:type="spellEnd"/>
      <w:r w:rsidR="008C1765" w:rsidRPr="00A91E83">
        <w:rPr>
          <w:rFonts w:ascii="Times New Roman" w:hAnsi="Times New Roman" w:cs="Times New Roman"/>
          <w:sz w:val="24"/>
          <w:szCs w:val="24"/>
        </w:rPr>
        <w:t>)</w:t>
      </w:r>
      <w:r w:rsidR="00ED07BB" w:rsidRPr="00A91E83">
        <w:rPr>
          <w:rFonts w:ascii="Times New Roman" w:hAnsi="Times New Roman" w:cs="Times New Roman"/>
          <w:sz w:val="24"/>
          <w:szCs w:val="24"/>
        </w:rPr>
        <w:t xml:space="preserve">, </w:t>
      </w:r>
      <w:r w:rsidR="006F3E9E" w:rsidRPr="00A91E83">
        <w:rPr>
          <w:rFonts w:ascii="Times New Roman" w:hAnsi="Times New Roman" w:cs="Times New Roman"/>
          <w:sz w:val="24"/>
          <w:szCs w:val="24"/>
        </w:rPr>
        <w:t xml:space="preserve">o jį įgyvendinančiame </w:t>
      </w:r>
      <w:r w:rsidR="00ED07BB" w:rsidRPr="00A91E83">
        <w:rPr>
          <w:rFonts w:ascii="Times New Roman" w:hAnsi="Times New Roman" w:cs="Times New Roman"/>
          <w:sz w:val="24"/>
          <w:szCs w:val="24"/>
        </w:rPr>
        <w:t xml:space="preserve">Atsiskaitymų </w:t>
      </w:r>
      <w:r w:rsidR="0074059D" w:rsidRPr="00A91E83">
        <w:rPr>
          <w:rFonts w:ascii="Times New Roman" w:hAnsi="Times New Roman" w:cs="Times New Roman"/>
          <w:sz w:val="24"/>
          <w:szCs w:val="24"/>
        </w:rPr>
        <w:t xml:space="preserve">įstatyme </w:t>
      </w:r>
      <w:r w:rsidR="006F3E9E" w:rsidRPr="00A91E83">
        <w:rPr>
          <w:rFonts w:ascii="Times New Roman" w:hAnsi="Times New Roman" w:cs="Times New Roman"/>
          <w:sz w:val="24"/>
          <w:szCs w:val="24"/>
        </w:rPr>
        <w:t xml:space="preserve">– </w:t>
      </w:r>
      <w:r w:rsidR="00ED07BB" w:rsidRPr="00A91E83">
        <w:rPr>
          <w:rFonts w:ascii="Times New Roman" w:hAnsi="Times New Roman" w:cs="Times New Roman"/>
          <w:sz w:val="24"/>
          <w:szCs w:val="24"/>
        </w:rPr>
        <w:t>„įskaitymas“</w:t>
      </w:r>
      <w:r w:rsidR="00DA09D2" w:rsidRPr="00A91E83">
        <w:rPr>
          <w:rStyle w:val="Puslapioinaosnuoroda"/>
          <w:rFonts w:ascii="Times New Roman" w:hAnsi="Times New Roman" w:cs="Times New Roman"/>
          <w:sz w:val="24"/>
          <w:szCs w:val="24"/>
        </w:rPr>
        <w:t xml:space="preserve"> </w:t>
      </w:r>
      <w:r w:rsidR="00DA09D2" w:rsidRPr="00A91E83">
        <w:rPr>
          <w:rStyle w:val="Puslapioinaosnuoroda"/>
          <w:rFonts w:ascii="Times New Roman" w:hAnsi="Times New Roman" w:cs="Times New Roman"/>
          <w:sz w:val="24"/>
          <w:szCs w:val="24"/>
        </w:rPr>
        <w:footnoteReference w:id="96"/>
      </w:r>
      <w:r w:rsidR="008C1765" w:rsidRPr="00A91E83">
        <w:rPr>
          <w:rFonts w:ascii="Times New Roman" w:hAnsi="Times New Roman" w:cs="Times New Roman"/>
          <w:sz w:val="24"/>
          <w:szCs w:val="24"/>
        </w:rPr>
        <w:t xml:space="preserve"> (</w:t>
      </w:r>
      <w:proofErr w:type="spellStart"/>
      <w:r w:rsidR="008C1765" w:rsidRPr="00A91E83">
        <w:rPr>
          <w:rFonts w:ascii="Times New Roman" w:hAnsi="Times New Roman" w:cs="Times New Roman"/>
          <w:sz w:val="24"/>
          <w:szCs w:val="24"/>
        </w:rPr>
        <w:t>angl</w:t>
      </w:r>
      <w:proofErr w:type="spellEnd"/>
      <w:r w:rsidR="008C1765" w:rsidRPr="00A91E83">
        <w:rPr>
          <w:rFonts w:ascii="Times New Roman" w:hAnsi="Times New Roman" w:cs="Times New Roman"/>
          <w:sz w:val="24"/>
          <w:szCs w:val="24"/>
        </w:rPr>
        <w:t xml:space="preserve">. </w:t>
      </w:r>
      <w:proofErr w:type="spellStart"/>
      <w:r w:rsidR="008C1765" w:rsidRPr="00A91E83">
        <w:rPr>
          <w:rFonts w:ascii="Times New Roman" w:hAnsi="Times New Roman" w:cs="Times New Roman"/>
          <w:i/>
          <w:sz w:val="24"/>
          <w:szCs w:val="24"/>
        </w:rPr>
        <w:t>netting</w:t>
      </w:r>
      <w:proofErr w:type="spellEnd"/>
      <w:r w:rsidR="006F3E9E" w:rsidRPr="00A91E83">
        <w:rPr>
          <w:rFonts w:ascii="Times New Roman" w:hAnsi="Times New Roman" w:cs="Times New Roman"/>
          <w:sz w:val="24"/>
          <w:szCs w:val="24"/>
        </w:rPr>
        <w:t>).</w:t>
      </w:r>
      <w:r w:rsidR="00ED07BB" w:rsidRPr="00A91E83">
        <w:rPr>
          <w:rFonts w:ascii="Times New Roman" w:hAnsi="Times New Roman" w:cs="Times New Roman"/>
          <w:sz w:val="24"/>
          <w:szCs w:val="24"/>
        </w:rPr>
        <w:t xml:space="preserve"> Įkaito direktyvoje </w:t>
      </w:r>
      <w:r w:rsidR="006F3E9E" w:rsidRPr="00A91E83">
        <w:rPr>
          <w:rFonts w:ascii="Times New Roman" w:hAnsi="Times New Roman" w:cs="Times New Roman"/>
          <w:sz w:val="24"/>
          <w:szCs w:val="24"/>
        </w:rPr>
        <w:t>naudojama</w:t>
      </w:r>
      <w:r w:rsidR="00ED07BB" w:rsidRPr="00A91E83">
        <w:rPr>
          <w:rFonts w:ascii="Times New Roman" w:hAnsi="Times New Roman" w:cs="Times New Roman"/>
          <w:sz w:val="24"/>
          <w:szCs w:val="24"/>
        </w:rPr>
        <w:t xml:space="preserve"> „tarpusavio užskaitos suėjus terminui“</w:t>
      </w:r>
      <w:r w:rsidR="00E34844" w:rsidRPr="00A91E83">
        <w:rPr>
          <w:rStyle w:val="Puslapioinaosnuoroda"/>
          <w:rFonts w:ascii="Times New Roman" w:hAnsi="Times New Roman" w:cs="Times New Roman"/>
          <w:sz w:val="24"/>
          <w:szCs w:val="24"/>
        </w:rPr>
        <w:footnoteReference w:id="97"/>
      </w:r>
      <w:r w:rsidR="008C1765" w:rsidRPr="00A91E83">
        <w:rPr>
          <w:rFonts w:ascii="Times New Roman" w:hAnsi="Times New Roman" w:cs="Times New Roman"/>
          <w:sz w:val="24"/>
          <w:szCs w:val="24"/>
        </w:rPr>
        <w:t xml:space="preserve"> (</w:t>
      </w:r>
      <w:proofErr w:type="spellStart"/>
      <w:r w:rsidR="008C1765" w:rsidRPr="00A91E83">
        <w:rPr>
          <w:rFonts w:ascii="Times New Roman" w:hAnsi="Times New Roman" w:cs="Times New Roman"/>
          <w:sz w:val="24"/>
          <w:szCs w:val="24"/>
        </w:rPr>
        <w:t>angl</w:t>
      </w:r>
      <w:proofErr w:type="spellEnd"/>
      <w:r w:rsidR="008C1765" w:rsidRPr="00A91E83">
        <w:rPr>
          <w:rFonts w:ascii="Times New Roman" w:hAnsi="Times New Roman" w:cs="Times New Roman"/>
          <w:sz w:val="24"/>
          <w:szCs w:val="24"/>
        </w:rPr>
        <w:t xml:space="preserve">. </w:t>
      </w:r>
      <w:proofErr w:type="spellStart"/>
      <w:r w:rsidR="008C1765" w:rsidRPr="00A91E83">
        <w:rPr>
          <w:rFonts w:ascii="Times New Roman" w:hAnsi="Times New Roman" w:cs="Times New Roman"/>
          <w:i/>
          <w:sz w:val="24"/>
          <w:szCs w:val="24"/>
        </w:rPr>
        <w:t>close-out</w:t>
      </w:r>
      <w:proofErr w:type="spellEnd"/>
      <w:r w:rsidR="008C1765" w:rsidRPr="00A91E83">
        <w:rPr>
          <w:rFonts w:ascii="Times New Roman" w:hAnsi="Times New Roman" w:cs="Times New Roman"/>
          <w:i/>
          <w:sz w:val="24"/>
          <w:szCs w:val="24"/>
        </w:rPr>
        <w:t xml:space="preserve"> </w:t>
      </w:r>
      <w:proofErr w:type="spellStart"/>
      <w:r w:rsidR="008C1765" w:rsidRPr="00A91E83">
        <w:rPr>
          <w:rFonts w:ascii="Times New Roman" w:hAnsi="Times New Roman" w:cs="Times New Roman"/>
          <w:i/>
          <w:sz w:val="24"/>
          <w:szCs w:val="24"/>
        </w:rPr>
        <w:t>netting</w:t>
      </w:r>
      <w:proofErr w:type="spellEnd"/>
      <w:r w:rsidR="006F3E9E" w:rsidRPr="00A91E83">
        <w:rPr>
          <w:rFonts w:ascii="Times New Roman" w:hAnsi="Times New Roman" w:cs="Times New Roman"/>
          <w:sz w:val="24"/>
          <w:szCs w:val="24"/>
        </w:rPr>
        <w:t>)</w:t>
      </w:r>
      <w:r w:rsidR="00ED07BB" w:rsidRPr="00A91E83">
        <w:rPr>
          <w:rFonts w:ascii="Times New Roman" w:hAnsi="Times New Roman" w:cs="Times New Roman"/>
          <w:sz w:val="24"/>
          <w:szCs w:val="24"/>
        </w:rPr>
        <w:t xml:space="preserve"> sąvoka, o įgyvendinančiame FUSĮ į</w:t>
      </w:r>
      <w:r w:rsidR="0074059D" w:rsidRPr="00A91E83">
        <w:rPr>
          <w:rFonts w:ascii="Times New Roman" w:hAnsi="Times New Roman" w:cs="Times New Roman"/>
          <w:sz w:val="24"/>
          <w:szCs w:val="24"/>
        </w:rPr>
        <w:t xml:space="preserve">vardijama kaip </w:t>
      </w:r>
      <w:r w:rsidR="00ED07BB" w:rsidRPr="00A91E83">
        <w:rPr>
          <w:rFonts w:ascii="Times New Roman" w:hAnsi="Times New Roman" w:cs="Times New Roman"/>
          <w:sz w:val="24"/>
          <w:szCs w:val="24"/>
        </w:rPr>
        <w:t>„baigiamasis įskaitymas“</w:t>
      </w:r>
      <w:r w:rsidR="00431ABE" w:rsidRPr="00A91E83">
        <w:rPr>
          <w:rStyle w:val="Puslapioinaosnuoroda"/>
          <w:rFonts w:ascii="Times New Roman" w:hAnsi="Times New Roman" w:cs="Times New Roman"/>
          <w:sz w:val="24"/>
          <w:szCs w:val="24"/>
        </w:rPr>
        <w:footnoteReference w:id="98"/>
      </w:r>
      <w:r w:rsidR="008C1765" w:rsidRPr="00A91E83">
        <w:rPr>
          <w:rFonts w:ascii="Times New Roman" w:hAnsi="Times New Roman" w:cs="Times New Roman"/>
          <w:sz w:val="24"/>
          <w:szCs w:val="24"/>
        </w:rPr>
        <w:t xml:space="preserve"> (</w:t>
      </w:r>
      <w:proofErr w:type="spellStart"/>
      <w:r w:rsidR="008C1765" w:rsidRPr="00A91E83">
        <w:rPr>
          <w:rFonts w:ascii="Times New Roman" w:hAnsi="Times New Roman" w:cs="Times New Roman"/>
          <w:sz w:val="24"/>
          <w:szCs w:val="24"/>
        </w:rPr>
        <w:t>angl</w:t>
      </w:r>
      <w:proofErr w:type="spellEnd"/>
      <w:r w:rsidR="008C1765" w:rsidRPr="00A91E83">
        <w:rPr>
          <w:rFonts w:ascii="Times New Roman" w:hAnsi="Times New Roman" w:cs="Times New Roman"/>
          <w:sz w:val="24"/>
          <w:szCs w:val="24"/>
        </w:rPr>
        <w:t xml:space="preserve">. </w:t>
      </w:r>
      <w:proofErr w:type="spellStart"/>
      <w:r w:rsidR="008C1765" w:rsidRPr="00A91E83">
        <w:rPr>
          <w:rFonts w:ascii="Times New Roman" w:hAnsi="Times New Roman" w:cs="Times New Roman"/>
          <w:i/>
          <w:sz w:val="24"/>
          <w:szCs w:val="24"/>
        </w:rPr>
        <w:t>close-out</w:t>
      </w:r>
      <w:proofErr w:type="spellEnd"/>
      <w:r w:rsidR="008C1765" w:rsidRPr="00A91E83">
        <w:rPr>
          <w:rFonts w:ascii="Times New Roman" w:hAnsi="Times New Roman" w:cs="Times New Roman"/>
          <w:i/>
          <w:sz w:val="24"/>
          <w:szCs w:val="24"/>
        </w:rPr>
        <w:t xml:space="preserve"> </w:t>
      </w:r>
      <w:proofErr w:type="spellStart"/>
      <w:r w:rsidR="008C1765" w:rsidRPr="00A91E83">
        <w:rPr>
          <w:rFonts w:ascii="Times New Roman" w:hAnsi="Times New Roman" w:cs="Times New Roman"/>
          <w:i/>
          <w:sz w:val="24"/>
          <w:szCs w:val="24"/>
        </w:rPr>
        <w:t>netting</w:t>
      </w:r>
      <w:proofErr w:type="spellEnd"/>
      <w:r w:rsidR="008C1765" w:rsidRPr="00A91E83">
        <w:rPr>
          <w:rFonts w:ascii="Times New Roman" w:hAnsi="Times New Roman" w:cs="Times New Roman"/>
          <w:sz w:val="24"/>
          <w:szCs w:val="24"/>
        </w:rPr>
        <w:t>)</w:t>
      </w:r>
      <w:r w:rsidR="00ED07BB" w:rsidRPr="00A91E83">
        <w:rPr>
          <w:rFonts w:ascii="Times New Roman" w:hAnsi="Times New Roman" w:cs="Times New Roman"/>
          <w:sz w:val="24"/>
          <w:szCs w:val="24"/>
        </w:rPr>
        <w:t>.</w:t>
      </w:r>
      <w:r w:rsidR="00BF7BE6" w:rsidRPr="00A91E83">
        <w:rPr>
          <w:rFonts w:ascii="Times New Roman" w:hAnsi="Times New Roman" w:cs="Times New Roman"/>
          <w:sz w:val="24"/>
          <w:szCs w:val="24"/>
        </w:rPr>
        <w:t xml:space="preserve"> </w:t>
      </w:r>
      <w:r w:rsidR="007B7F96" w:rsidRPr="00A91E83">
        <w:rPr>
          <w:rFonts w:ascii="Times New Roman" w:hAnsi="Times New Roman" w:cs="Times New Roman"/>
          <w:sz w:val="24"/>
          <w:szCs w:val="24"/>
        </w:rPr>
        <w:t>Taip pat paminėtini ir k</w:t>
      </w:r>
      <w:r w:rsidR="006F3E9E" w:rsidRPr="00A91E83">
        <w:rPr>
          <w:rFonts w:ascii="Times New Roman" w:hAnsi="Times New Roman" w:cs="Times New Roman"/>
          <w:sz w:val="24"/>
          <w:szCs w:val="24"/>
        </w:rPr>
        <w:t>iti užskaitos termino vartojimo</w:t>
      </w:r>
      <w:r w:rsidR="007B7F96" w:rsidRPr="00A91E83">
        <w:rPr>
          <w:rFonts w:ascii="Times New Roman" w:hAnsi="Times New Roman" w:cs="Times New Roman"/>
          <w:sz w:val="24"/>
          <w:szCs w:val="24"/>
        </w:rPr>
        <w:t xml:space="preserve"> neatitikimai ir kituose</w:t>
      </w:r>
      <w:r w:rsidR="008C1765" w:rsidRPr="00A91E83">
        <w:rPr>
          <w:rFonts w:ascii="Times New Roman" w:hAnsi="Times New Roman" w:cs="Times New Roman"/>
          <w:sz w:val="24"/>
          <w:szCs w:val="24"/>
        </w:rPr>
        <w:t xml:space="preserve"> </w:t>
      </w:r>
      <w:r w:rsidR="007B7F96" w:rsidRPr="00A91E83">
        <w:rPr>
          <w:rFonts w:ascii="Times New Roman" w:hAnsi="Times New Roman" w:cs="Times New Roman"/>
          <w:sz w:val="24"/>
          <w:szCs w:val="24"/>
        </w:rPr>
        <w:t>teisės aktuose.</w:t>
      </w:r>
      <w:r w:rsidR="007B7F96" w:rsidRPr="00A91E83">
        <w:rPr>
          <w:rStyle w:val="Puslapioinaosnuoroda"/>
          <w:rFonts w:ascii="Times New Roman" w:hAnsi="Times New Roman" w:cs="Times New Roman"/>
          <w:sz w:val="24"/>
          <w:szCs w:val="24"/>
        </w:rPr>
        <w:footnoteReference w:id="99"/>
      </w:r>
      <w:r w:rsidR="007B7F96" w:rsidRPr="00A91E83">
        <w:rPr>
          <w:rFonts w:ascii="Times New Roman" w:hAnsi="Times New Roman" w:cs="Times New Roman"/>
          <w:sz w:val="24"/>
          <w:szCs w:val="24"/>
        </w:rPr>
        <w:t xml:space="preserve"> </w:t>
      </w:r>
      <w:r w:rsidR="00BF7BE6" w:rsidRPr="00A91E83">
        <w:rPr>
          <w:rFonts w:ascii="Times New Roman" w:hAnsi="Times New Roman" w:cs="Times New Roman"/>
          <w:sz w:val="24"/>
          <w:szCs w:val="24"/>
        </w:rPr>
        <w:t>A</w:t>
      </w:r>
      <w:r w:rsidR="006E02D7" w:rsidRPr="00A91E83">
        <w:rPr>
          <w:rFonts w:ascii="Times New Roman" w:hAnsi="Times New Roman" w:cs="Times New Roman"/>
          <w:sz w:val="24"/>
          <w:szCs w:val="24"/>
        </w:rPr>
        <w:t>nglų kalboje vartojami terminai</w:t>
      </w:r>
      <w:r w:rsidR="008C1765" w:rsidRPr="00A91E83">
        <w:rPr>
          <w:rFonts w:ascii="Times New Roman" w:hAnsi="Times New Roman" w:cs="Times New Roman"/>
          <w:sz w:val="24"/>
          <w:szCs w:val="24"/>
        </w:rPr>
        <w:t xml:space="preserve"> pasižymi nuoseklumu.</w:t>
      </w:r>
      <w:r w:rsidR="00BF7BE6" w:rsidRPr="00A91E83">
        <w:rPr>
          <w:rFonts w:ascii="Times New Roman" w:hAnsi="Times New Roman" w:cs="Times New Roman"/>
          <w:sz w:val="24"/>
          <w:szCs w:val="24"/>
        </w:rPr>
        <w:t xml:space="preserve"> </w:t>
      </w:r>
      <w:r w:rsidR="006E02D7" w:rsidRPr="00A91E83">
        <w:rPr>
          <w:rFonts w:ascii="Times New Roman" w:hAnsi="Times New Roman" w:cs="Times New Roman"/>
          <w:sz w:val="24"/>
          <w:szCs w:val="24"/>
        </w:rPr>
        <w:t>„Užskaitos“ termino vartojimas dar nėra nusistovėjęs Lietuvoje, todėl dabar yra pats geriausias momentas dar kartą paanalizuoti ką reiškia šis terminas ir parinkti tiksliausią pavadinimą</w:t>
      </w:r>
      <w:r w:rsidR="006F3E9E" w:rsidRPr="00A91E83">
        <w:rPr>
          <w:rFonts w:ascii="Times New Roman" w:hAnsi="Times New Roman" w:cs="Times New Roman"/>
          <w:sz w:val="24"/>
          <w:szCs w:val="24"/>
        </w:rPr>
        <w:t>.</w:t>
      </w:r>
      <w:r w:rsidR="006E02D7" w:rsidRPr="00A91E83">
        <w:rPr>
          <w:rFonts w:ascii="Times New Roman" w:hAnsi="Times New Roman" w:cs="Times New Roman"/>
          <w:sz w:val="24"/>
          <w:szCs w:val="24"/>
        </w:rPr>
        <w:t xml:space="preserve"> Siekiant išvengti dviprasmybių siūlytina įstatyme vartojamas sąvokas suvienodinti.</w:t>
      </w:r>
    </w:p>
    <w:p w:rsidR="003311DD" w:rsidRPr="00A91E83" w:rsidRDefault="003311DD" w:rsidP="00B46A53">
      <w:pPr>
        <w:tabs>
          <w:tab w:val="left" w:pos="851"/>
        </w:tabs>
        <w:spacing w:after="0" w:line="360" w:lineRule="auto"/>
        <w:ind w:firstLine="851"/>
        <w:jc w:val="both"/>
        <w:rPr>
          <w:rFonts w:ascii="Times New Roman" w:eastAsia="Times New Roman" w:hAnsi="Times New Roman" w:cs="Times New Roman"/>
          <w:color w:val="000000"/>
          <w:sz w:val="24"/>
          <w:szCs w:val="24"/>
        </w:rPr>
      </w:pPr>
    </w:p>
    <w:p w:rsidR="00CF76CA" w:rsidRPr="00A91E83" w:rsidRDefault="00CF76CA" w:rsidP="00586505">
      <w:pPr>
        <w:pStyle w:val="Sraopastraipa"/>
        <w:numPr>
          <w:ilvl w:val="1"/>
          <w:numId w:val="4"/>
        </w:numPr>
        <w:tabs>
          <w:tab w:val="left" w:pos="851"/>
        </w:tabs>
        <w:spacing w:after="0" w:line="360" w:lineRule="auto"/>
        <w:ind w:left="0" w:firstLine="0"/>
        <w:jc w:val="both"/>
        <w:outlineLvl w:val="1"/>
        <w:rPr>
          <w:rFonts w:ascii="Times New Roman" w:hAnsi="Times New Roman" w:cs="Times New Roman"/>
          <w:b/>
          <w:sz w:val="24"/>
          <w:szCs w:val="24"/>
        </w:rPr>
      </w:pPr>
      <w:bookmarkStart w:id="19" w:name="_Toc280546452"/>
      <w:r w:rsidRPr="00A91E83">
        <w:rPr>
          <w:rFonts w:ascii="Times New Roman" w:hAnsi="Times New Roman" w:cs="Times New Roman"/>
          <w:b/>
          <w:sz w:val="24"/>
          <w:szCs w:val="24"/>
        </w:rPr>
        <w:t xml:space="preserve">Užskaitos </w:t>
      </w:r>
      <w:r w:rsidR="00F23FCD" w:rsidRPr="00A91E83">
        <w:rPr>
          <w:rFonts w:ascii="Times New Roman" w:hAnsi="Times New Roman" w:cs="Times New Roman"/>
          <w:b/>
          <w:sz w:val="24"/>
          <w:szCs w:val="24"/>
        </w:rPr>
        <w:t xml:space="preserve">reikšmė </w:t>
      </w:r>
      <w:r w:rsidRPr="00A91E83">
        <w:rPr>
          <w:rFonts w:ascii="Times New Roman" w:hAnsi="Times New Roman" w:cs="Times New Roman"/>
          <w:b/>
          <w:sz w:val="24"/>
          <w:szCs w:val="24"/>
        </w:rPr>
        <w:t>ir rūšys</w:t>
      </w:r>
      <w:bookmarkEnd w:id="19"/>
    </w:p>
    <w:p w:rsidR="00CF76CA" w:rsidRPr="00A91E83" w:rsidRDefault="00CF76CA" w:rsidP="00B46A53">
      <w:pPr>
        <w:tabs>
          <w:tab w:val="left" w:pos="851"/>
        </w:tabs>
        <w:spacing w:after="0" w:line="360" w:lineRule="auto"/>
        <w:ind w:firstLine="851"/>
        <w:jc w:val="both"/>
        <w:rPr>
          <w:rFonts w:ascii="Times New Roman" w:hAnsi="Times New Roman" w:cs="Times New Roman"/>
          <w:sz w:val="24"/>
          <w:szCs w:val="24"/>
        </w:rPr>
      </w:pPr>
    </w:p>
    <w:p w:rsidR="00CF76CA" w:rsidRPr="00A91E83" w:rsidRDefault="00CF76CA"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Užskaitos ir įskaitymo sąvokos nėra tapačios, nors jų </w:t>
      </w:r>
      <w:r w:rsidR="00764635" w:rsidRPr="00A91E83">
        <w:rPr>
          <w:rFonts w:ascii="Times New Roman" w:hAnsi="Times New Roman" w:cs="Times New Roman"/>
          <w:sz w:val="24"/>
          <w:szCs w:val="24"/>
        </w:rPr>
        <w:t>efektas</w:t>
      </w:r>
      <w:r w:rsidRPr="00A91E83">
        <w:rPr>
          <w:rFonts w:ascii="Times New Roman" w:hAnsi="Times New Roman" w:cs="Times New Roman"/>
          <w:sz w:val="24"/>
          <w:szCs w:val="24"/>
        </w:rPr>
        <w:t xml:space="preserve"> sutampa. Abiejų instrumentų atveju </w:t>
      </w:r>
      <w:r w:rsidR="00764635" w:rsidRPr="00A91E83">
        <w:rPr>
          <w:rFonts w:ascii="Times New Roman" w:hAnsi="Times New Roman" w:cs="Times New Roman"/>
          <w:sz w:val="24"/>
          <w:szCs w:val="24"/>
        </w:rPr>
        <w:t>sumažinama galutinė suma, kurią</w:t>
      </w:r>
      <w:r w:rsidRPr="00A91E83">
        <w:rPr>
          <w:rFonts w:ascii="Times New Roman" w:hAnsi="Times New Roman" w:cs="Times New Roman"/>
          <w:sz w:val="24"/>
          <w:szCs w:val="24"/>
        </w:rPr>
        <w:t xml:space="preserve"> skolininkas </w:t>
      </w:r>
      <w:r w:rsidR="0039770D" w:rsidRPr="00A91E83">
        <w:rPr>
          <w:rFonts w:ascii="Times New Roman" w:hAnsi="Times New Roman" w:cs="Times New Roman"/>
          <w:sz w:val="24"/>
          <w:szCs w:val="24"/>
        </w:rPr>
        <w:t>lieka skolingas</w:t>
      </w:r>
      <w:r w:rsidRPr="00A91E83">
        <w:rPr>
          <w:rFonts w:ascii="Times New Roman" w:hAnsi="Times New Roman" w:cs="Times New Roman"/>
          <w:sz w:val="24"/>
          <w:szCs w:val="24"/>
        </w:rPr>
        <w:t xml:space="preserve"> kreditoriui, atskaičius įsipareigojimų vertę, kurią skolininko kreditorius buvo skolingas skolininkui. </w:t>
      </w:r>
      <w:r w:rsidR="00326F8E" w:rsidRPr="00A91E83">
        <w:rPr>
          <w:rFonts w:ascii="Times New Roman" w:hAnsi="Times New Roman" w:cs="Times New Roman"/>
          <w:sz w:val="24"/>
          <w:szCs w:val="24"/>
        </w:rPr>
        <w:t>U</w:t>
      </w:r>
      <w:r w:rsidR="00241710" w:rsidRPr="00A91E83">
        <w:rPr>
          <w:rFonts w:ascii="Times New Roman" w:hAnsi="Times New Roman" w:cs="Times New Roman"/>
          <w:sz w:val="24"/>
          <w:szCs w:val="24"/>
        </w:rPr>
        <w:t xml:space="preserve">žskaita žengia toliau nei piniginių priešpriešinių prievolių aritmetinis apskaičiavimas įskaitymo atveju, tai daug sudėtingesnis procesas, apimantis kompleksinius apskaičiavimo metodus, </w:t>
      </w:r>
      <w:r w:rsidR="001B3674" w:rsidRPr="00A91E83">
        <w:rPr>
          <w:rFonts w:ascii="Times New Roman" w:hAnsi="Times New Roman" w:cs="Times New Roman"/>
          <w:sz w:val="24"/>
          <w:szCs w:val="24"/>
        </w:rPr>
        <w:t>reikalavimų konvertavimą į atsiskaitymo valiutą</w:t>
      </w:r>
      <w:r w:rsidR="00241710" w:rsidRPr="00A91E83">
        <w:rPr>
          <w:rFonts w:ascii="Times New Roman" w:hAnsi="Times New Roman" w:cs="Times New Roman"/>
          <w:sz w:val="24"/>
          <w:szCs w:val="24"/>
        </w:rPr>
        <w:t xml:space="preserve">, ar finansinio užstato naudojimą </w:t>
      </w:r>
      <w:r w:rsidR="00326F8E" w:rsidRPr="00A91E83">
        <w:rPr>
          <w:rFonts w:ascii="Times New Roman" w:hAnsi="Times New Roman" w:cs="Times New Roman"/>
          <w:sz w:val="24"/>
          <w:szCs w:val="24"/>
        </w:rPr>
        <w:t>susumuojant</w:t>
      </w:r>
      <w:r w:rsidR="00241710" w:rsidRPr="00A91E83">
        <w:rPr>
          <w:rFonts w:ascii="Times New Roman" w:hAnsi="Times New Roman" w:cs="Times New Roman"/>
          <w:sz w:val="24"/>
          <w:szCs w:val="24"/>
        </w:rPr>
        <w:t xml:space="preserve"> </w:t>
      </w:r>
      <w:r w:rsidR="00326F8E" w:rsidRPr="00A91E83">
        <w:rPr>
          <w:rFonts w:ascii="Times New Roman" w:hAnsi="Times New Roman" w:cs="Times New Roman"/>
          <w:sz w:val="24"/>
          <w:szCs w:val="24"/>
        </w:rPr>
        <w:t xml:space="preserve">tarpusavio </w:t>
      </w:r>
      <w:r w:rsidR="001B3674" w:rsidRPr="00A91E83">
        <w:rPr>
          <w:rFonts w:ascii="Times New Roman" w:hAnsi="Times New Roman" w:cs="Times New Roman"/>
          <w:sz w:val="24"/>
          <w:szCs w:val="24"/>
        </w:rPr>
        <w:t>įsipareigojimus</w:t>
      </w:r>
      <w:r w:rsidR="00241710" w:rsidRPr="00A91E83">
        <w:rPr>
          <w:rFonts w:ascii="Times New Roman" w:hAnsi="Times New Roman" w:cs="Times New Roman"/>
          <w:sz w:val="24"/>
          <w:szCs w:val="24"/>
        </w:rPr>
        <w:t>, įskaitant atvejus</w:t>
      </w:r>
      <w:r w:rsidR="00FB7120" w:rsidRPr="00A91E83">
        <w:rPr>
          <w:rFonts w:ascii="Times New Roman" w:hAnsi="Times New Roman" w:cs="Times New Roman"/>
          <w:sz w:val="24"/>
          <w:szCs w:val="24"/>
        </w:rPr>
        <w:t>,</w:t>
      </w:r>
      <w:r w:rsidR="00241710" w:rsidRPr="00A91E83">
        <w:rPr>
          <w:rFonts w:ascii="Times New Roman" w:hAnsi="Times New Roman" w:cs="Times New Roman"/>
          <w:sz w:val="24"/>
          <w:szCs w:val="24"/>
        </w:rPr>
        <w:t xml:space="preserve"> kada finansinis užstatas buvo perduotas visiškai perleidžiant </w:t>
      </w:r>
      <w:r w:rsidR="00241710" w:rsidRPr="00A91E83">
        <w:rPr>
          <w:rFonts w:ascii="Times New Roman" w:hAnsi="Times New Roman" w:cs="Times New Roman"/>
          <w:sz w:val="24"/>
          <w:szCs w:val="24"/>
        </w:rPr>
        <w:lastRenderedPageBreak/>
        <w:t>nuosavybę finansinio užstato turėtojui. Taigi</w:t>
      </w:r>
      <w:r w:rsidRPr="00A91E83">
        <w:rPr>
          <w:rFonts w:ascii="Times New Roman" w:hAnsi="Times New Roman" w:cs="Times New Roman"/>
          <w:sz w:val="24"/>
          <w:szCs w:val="24"/>
        </w:rPr>
        <w:t xml:space="preserve"> finansinis terminas </w:t>
      </w:r>
      <w:r w:rsidR="0089606A" w:rsidRPr="00A91E83">
        <w:rPr>
          <w:rFonts w:ascii="Times New Roman" w:hAnsi="Times New Roman" w:cs="Times New Roman"/>
          <w:sz w:val="24"/>
          <w:szCs w:val="24"/>
        </w:rPr>
        <w:t>„</w:t>
      </w:r>
      <w:r w:rsidRPr="00A91E83">
        <w:rPr>
          <w:rFonts w:ascii="Times New Roman" w:hAnsi="Times New Roman" w:cs="Times New Roman"/>
          <w:sz w:val="24"/>
          <w:szCs w:val="24"/>
        </w:rPr>
        <w:t>užskaita</w:t>
      </w:r>
      <w:r w:rsidR="0089606A" w:rsidRPr="00A91E83">
        <w:rPr>
          <w:rFonts w:ascii="Times New Roman" w:hAnsi="Times New Roman" w:cs="Times New Roman"/>
          <w:sz w:val="24"/>
          <w:szCs w:val="24"/>
        </w:rPr>
        <w:t>“</w:t>
      </w:r>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indikuoja</w:t>
      </w:r>
      <w:proofErr w:type="spellEnd"/>
      <w:r w:rsidRPr="00A91E83">
        <w:rPr>
          <w:rFonts w:ascii="Times New Roman" w:hAnsi="Times New Roman" w:cs="Times New Roman"/>
          <w:sz w:val="24"/>
          <w:szCs w:val="24"/>
        </w:rPr>
        <w:t>, jog bus naudojama platesnė amplitudė finansinių įsipareigojimų</w:t>
      </w:r>
      <w:r w:rsidR="0089606A" w:rsidRPr="00A91E83">
        <w:rPr>
          <w:rFonts w:ascii="Times New Roman" w:hAnsi="Times New Roman" w:cs="Times New Roman"/>
          <w:sz w:val="24"/>
          <w:szCs w:val="24"/>
        </w:rPr>
        <w:t>,</w:t>
      </w:r>
      <w:r w:rsidRPr="00A91E83">
        <w:rPr>
          <w:rFonts w:ascii="Times New Roman" w:hAnsi="Times New Roman" w:cs="Times New Roman"/>
          <w:sz w:val="24"/>
          <w:szCs w:val="24"/>
        </w:rPr>
        <w:t xml:space="preserve"> si</w:t>
      </w:r>
      <w:r w:rsidR="0089606A" w:rsidRPr="00A91E83">
        <w:rPr>
          <w:rFonts w:ascii="Times New Roman" w:hAnsi="Times New Roman" w:cs="Times New Roman"/>
          <w:sz w:val="24"/>
          <w:szCs w:val="24"/>
        </w:rPr>
        <w:t>ekiant sumažinti mokėtinas bendras sumas</w:t>
      </w:r>
      <w:r w:rsidR="001A3343" w:rsidRPr="00A91E83">
        <w:rPr>
          <w:rFonts w:ascii="Times New Roman" w:hAnsi="Times New Roman" w:cs="Times New Roman"/>
          <w:sz w:val="24"/>
          <w:szCs w:val="24"/>
        </w:rPr>
        <w:t xml:space="preserve"> tarp šalių.</w:t>
      </w:r>
      <w:r w:rsidRPr="00A91E83">
        <w:rPr>
          <w:rStyle w:val="Puslapioinaosnuoroda"/>
          <w:rFonts w:ascii="Times New Roman" w:hAnsi="Times New Roman" w:cs="Times New Roman"/>
          <w:sz w:val="24"/>
          <w:szCs w:val="24"/>
        </w:rPr>
        <w:footnoteReference w:id="100"/>
      </w:r>
      <w:r w:rsidR="00E36246" w:rsidRPr="00A91E83">
        <w:rPr>
          <w:rFonts w:ascii="Times New Roman" w:hAnsi="Times New Roman" w:cs="Times New Roman"/>
          <w:sz w:val="24"/>
          <w:szCs w:val="24"/>
        </w:rPr>
        <w:t xml:space="preserve"> </w:t>
      </w:r>
      <w:r w:rsidR="00241710" w:rsidRPr="00A91E83">
        <w:rPr>
          <w:rFonts w:ascii="Times New Roman" w:hAnsi="Times New Roman" w:cs="Times New Roman"/>
          <w:sz w:val="24"/>
          <w:szCs w:val="24"/>
        </w:rPr>
        <w:t>E</w:t>
      </w:r>
      <w:r w:rsidRPr="00A91E83">
        <w:rPr>
          <w:rFonts w:ascii="Times New Roman" w:hAnsi="Times New Roman" w:cs="Times New Roman"/>
          <w:sz w:val="24"/>
          <w:szCs w:val="24"/>
        </w:rPr>
        <w:t xml:space="preserve">gzistuoja daug teisinių santykių, kai </w:t>
      </w:r>
      <w:r w:rsidR="00241710" w:rsidRPr="00A91E83">
        <w:rPr>
          <w:rFonts w:ascii="Times New Roman" w:hAnsi="Times New Roman" w:cs="Times New Roman"/>
          <w:sz w:val="24"/>
          <w:szCs w:val="24"/>
        </w:rPr>
        <w:t xml:space="preserve">neįmanoma iškart nustatyti kiek viena šalis skolinga kitai, o </w:t>
      </w:r>
      <w:r w:rsidRPr="00A91E83">
        <w:rPr>
          <w:rFonts w:ascii="Times New Roman" w:hAnsi="Times New Roman" w:cs="Times New Roman"/>
          <w:sz w:val="24"/>
          <w:szCs w:val="24"/>
        </w:rPr>
        <w:t xml:space="preserve">reikalingas specialus procesas, kurio metu </w:t>
      </w:r>
      <w:r w:rsidR="006340EF" w:rsidRPr="00A91E83">
        <w:rPr>
          <w:rFonts w:ascii="Times New Roman" w:hAnsi="Times New Roman" w:cs="Times New Roman"/>
          <w:sz w:val="24"/>
          <w:szCs w:val="24"/>
        </w:rPr>
        <w:t>išgryn</w:t>
      </w:r>
      <w:r w:rsidR="00072486" w:rsidRPr="00A91E83">
        <w:rPr>
          <w:rFonts w:ascii="Times New Roman" w:hAnsi="Times New Roman" w:cs="Times New Roman"/>
          <w:sz w:val="24"/>
          <w:szCs w:val="24"/>
        </w:rPr>
        <w:t>i</w:t>
      </w:r>
      <w:r w:rsidR="006340EF" w:rsidRPr="00A91E83">
        <w:rPr>
          <w:rFonts w:ascii="Times New Roman" w:hAnsi="Times New Roman" w:cs="Times New Roman"/>
          <w:sz w:val="24"/>
          <w:szCs w:val="24"/>
        </w:rPr>
        <w:t>nam</w:t>
      </w:r>
      <w:r w:rsidR="00072486" w:rsidRPr="00A91E83">
        <w:rPr>
          <w:rFonts w:ascii="Times New Roman" w:hAnsi="Times New Roman" w:cs="Times New Roman"/>
          <w:sz w:val="24"/>
          <w:szCs w:val="24"/>
        </w:rPr>
        <w:t>i</w:t>
      </w:r>
      <w:r w:rsidRPr="00A91E83">
        <w:rPr>
          <w:rFonts w:ascii="Times New Roman" w:hAnsi="Times New Roman" w:cs="Times New Roman"/>
          <w:sz w:val="24"/>
          <w:szCs w:val="24"/>
        </w:rPr>
        <w:t xml:space="preserve"> </w:t>
      </w:r>
      <w:r w:rsidR="00072486" w:rsidRPr="00A91E83">
        <w:rPr>
          <w:rFonts w:ascii="Times New Roman" w:hAnsi="Times New Roman" w:cs="Times New Roman"/>
          <w:sz w:val="24"/>
          <w:szCs w:val="24"/>
        </w:rPr>
        <w:t>įsipareig</w:t>
      </w:r>
      <w:r w:rsidR="00FB7120" w:rsidRPr="00A91E83">
        <w:rPr>
          <w:rFonts w:ascii="Times New Roman" w:hAnsi="Times New Roman" w:cs="Times New Roman"/>
          <w:sz w:val="24"/>
          <w:szCs w:val="24"/>
        </w:rPr>
        <w:t>oj</w:t>
      </w:r>
      <w:r w:rsidR="00072486" w:rsidRPr="00A91E83">
        <w:rPr>
          <w:rFonts w:ascii="Times New Roman" w:hAnsi="Times New Roman" w:cs="Times New Roman"/>
          <w:sz w:val="24"/>
          <w:szCs w:val="24"/>
        </w:rPr>
        <w:t>imai</w:t>
      </w:r>
      <w:r w:rsidR="00FB7120" w:rsidRPr="00A91E83">
        <w:rPr>
          <w:rFonts w:ascii="Times New Roman" w:hAnsi="Times New Roman" w:cs="Times New Roman"/>
          <w:sz w:val="24"/>
          <w:szCs w:val="24"/>
        </w:rPr>
        <w:t>,</w:t>
      </w:r>
      <w:r w:rsidR="00072486" w:rsidRPr="00A91E83">
        <w:rPr>
          <w:rFonts w:ascii="Times New Roman" w:hAnsi="Times New Roman" w:cs="Times New Roman"/>
          <w:sz w:val="24"/>
          <w:szCs w:val="24"/>
        </w:rPr>
        <w:t xml:space="preserve"> kylantys pagal priešpriešinius reikalavimus ir sujungiami</w:t>
      </w:r>
      <w:r w:rsidR="009161E3" w:rsidRPr="00A91E83">
        <w:rPr>
          <w:rFonts w:ascii="Times New Roman" w:hAnsi="Times New Roman" w:cs="Times New Roman"/>
          <w:sz w:val="24"/>
          <w:szCs w:val="24"/>
        </w:rPr>
        <w:t xml:space="preserve"> į vieną mokėtiną </w:t>
      </w:r>
      <w:r w:rsidRPr="00A91E83">
        <w:rPr>
          <w:rFonts w:ascii="Times New Roman" w:hAnsi="Times New Roman" w:cs="Times New Roman"/>
          <w:sz w:val="24"/>
          <w:szCs w:val="24"/>
        </w:rPr>
        <w:t>sumą.</w:t>
      </w:r>
      <w:r w:rsidRPr="00A91E83">
        <w:rPr>
          <w:rStyle w:val="Puslapioinaosnuoroda"/>
          <w:rFonts w:ascii="Times New Roman" w:hAnsi="Times New Roman" w:cs="Times New Roman"/>
          <w:sz w:val="24"/>
          <w:szCs w:val="24"/>
        </w:rPr>
        <w:footnoteReference w:id="101"/>
      </w:r>
      <w:r w:rsidRPr="00A91E83">
        <w:rPr>
          <w:rFonts w:ascii="Times New Roman" w:hAnsi="Times New Roman" w:cs="Times New Roman"/>
          <w:sz w:val="24"/>
          <w:szCs w:val="24"/>
        </w:rPr>
        <w:t xml:space="preserve"> Tikslinga įskaitymą laikyti bendrąja priemone, o užskaitą kaip specifinį techninių priemonių rinkinį, ku</w:t>
      </w:r>
      <w:r w:rsidR="00AA06BE" w:rsidRPr="00A91E83">
        <w:rPr>
          <w:rFonts w:ascii="Times New Roman" w:hAnsi="Times New Roman" w:cs="Times New Roman"/>
          <w:sz w:val="24"/>
          <w:szCs w:val="24"/>
        </w:rPr>
        <w:t>ris naudoja įskaitymo metodą</w:t>
      </w:r>
      <w:r w:rsidRPr="00A91E83">
        <w:rPr>
          <w:rFonts w:ascii="Times New Roman" w:hAnsi="Times New Roman" w:cs="Times New Roman"/>
          <w:sz w:val="24"/>
          <w:szCs w:val="24"/>
        </w:rPr>
        <w:t>.</w:t>
      </w:r>
      <w:r w:rsidRPr="00A91E83">
        <w:rPr>
          <w:rStyle w:val="Puslapioinaosnuoroda"/>
          <w:rFonts w:ascii="Times New Roman" w:hAnsi="Times New Roman" w:cs="Times New Roman"/>
          <w:sz w:val="24"/>
          <w:szCs w:val="24"/>
        </w:rPr>
        <w:footnoteReference w:id="102"/>
      </w:r>
      <w:r w:rsidRPr="00A91E83">
        <w:rPr>
          <w:rFonts w:ascii="Times New Roman" w:hAnsi="Times New Roman" w:cs="Times New Roman"/>
          <w:sz w:val="24"/>
          <w:szCs w:val="24"/>
        </w:rPr>
        <w:t xml:space="preserve"> Todėl pritartina doktrinoje </w:t>
      </w:r>
      <w:r w:rsidR="00830058" w:rsidRPr="00A91E83">
        <w:rPr>
          <w:rFonts w:ascii="Times New Roman" w:hAnsi="Times New Roman" w:cs="Times New Roman"/>
          <w:sz w:val="24"/>
          <w:szCs w:val="24"/>
        </w:rPr>
        <w:t>pripažįstamai</w:t>
      </w:r>
      <w:r w:rsidRPr="00A91E83">
        <w:rPr>
          <w:rFonts w:ascii="Times New Roman" w:hAnsi="Times New Roman" w:cs="Times New Roman"/>
          <w:sz w:val="24"/>
          <w:szCs w:val="24"/>
        </w:rPr>
        <w:t xml:space="preserve"> nuomonei, jog užskaita, tai platesnis terminas nei įskaitymas.</w:t>
      </w:r>
      <w:r w:rsidRPr="00A91E83">
        <w:rPr>
          <w:rStyle w:val="Puslapioinaosnuoroda"/>
          <w:rFonts w:ascii="Times New Roman" w:hAnsi="Times New Roman" w:cs="Times New Roman"/>
          <w:sz w:val="24"/>
          <w:szCs w:val="24"/>
        </w:rPr>
        <w:footnoteReference w:id="103"/>
      </w:r>
      <w:r w:rsidRPr="00A91E83">
        <w:rPr>
          <w:rFonts w:ascii="Times New Roman" w:hAnsi="Times New Roman" w:cs="Times New Roman"/>
          <w:sz w:val="24"/>
          <w:szCs w:val="24"/>
        </w:rPr>
        <w:t xml:space="preserve"> Užskaitos mechanizmas gali būti suprantamas kaip </w:t>
      </w:r>
      <w:r w:rsidR="001A3343" w:rsidRPr="00A91E83">
        <w:rPr>
          <w:rFonts w:ascii="Times New Roman" w:hAnsi="Times New Roman" w:cs="Times New Roman"/>
          <w:sz w:val="24"/>
          <w:szCs w:val="24"/>
        </w:rPr>
        <w:t xml:space="preserve">pasiruošimo </w:t>
      </w:r>
      <w:r w:rsidR="00C82D92" w:rsidRPr="00A91E83">
        <w:rPr>
          <w:rFonts w:ascii="Times New Roman" w:hAnsi="Times New Roman" w:cs="Times New Roman"/>
          <w:sz w:val="24"/>
          <w:szCs w:val="24"/>
        </w:rPr>
        <w:t>procedūros</w:t>
      </w:r>
      <w:r w:rsidR="00FB7120" w:rsidRPr="00A91E83">
        <w:rPr>
          <w:rFonts w:ascii="Times New Roman" w:hAnsi="Times New Roman" w:cs="Times New Roman"/>
          <w:sz w:val="24"/>
          <w:szCs w:val="24"/>
        </w:rPr>
        <w:t>,</w:t>
      </w:r>
      <w:r w:rsidR="00C82D92" w:rsidRPr="00A91E83">
        <w:rPr>
          <w:rFonts w:ascii="Times New Roman" w:hAnsi="Times New Roman" w:cs="Times New Roman"/>
          <w:sz w:val="24"/>
          <w:szCs w:val="24"/>
        </w:rPr>
        <w:t xml:space="preserve"> skirtos atlikti įskaitymą</w:t>
      </w:r>
      <w:r w:rsidR="00FB7120" w:rsidRPr="00A91E83">
        <w:rPr>
          <w:rFonts w:ascii="Times New Roman" w:hAnsi="Times New Roman" w:cs="Times New Roman"/>
          <w:sz w:val="24"/>
          <w:szCs w:val="24"/>
        </w:rPr>
        <w:t>,</w:t>
      </w:r>
      <w:r w:rsidR="00C82D92" w:rsidRPr="00A91E83">
        <w:rPr>
          <w:rFonts w:ascii="Times New Roman" w:hAnsi="Times New Roman" w:cs="Times New Roman"/>
          <w:sz w:val="24"/>
          <w:szCs w:val="24"/>
        </w:rPr>
        <w:t xml:space="preserve"> </w:t>
      </w:r>
      <w:r w:rsidRPr="00A91E83">
        <w:rPr>
          <w:rFonts w:ascii="Times New Roman" w:hAnsi="Times New Roman" w:cs="Times New Roman"/>
          <w:sz w:val="24"/>
          <w:szCs w:val="24"/>
        </w:rPr>
        <w:t xml:space="preserve">ir </w:t>
      </w:r>
      <w:r w:rsidR="001A3343" w:rsidRPr="00A91E83">
        <w:rPr>
          <w:rFonts w:ascii="Times New Roman" w:hAnsi="Times New Roman" w:cs="Times New Roman"/>
          <w:sz w:val="24"/>
          <w:szCs w:val="24"/>
        </w:rPr>
        <w:t>paties įskaitymo derinys</w:t>
      </w:r>
      <w:r w:rsidRPr="00A91E83">
        <w:rPr>
          <w:rFonts w:ascii="Times New Roman" w:hAnsi="Times New Roman" w:cs="Times New Roman"/>
          <w:sz w:val="24"/>
          <w:szCs w:val="24"/>
        </w:rPr>
        <w:t>.</w:t>
      </w:r>
      <w:r w:rsidRPr="00A91E83">
        <w:rPr>
          <w:rStyle w:val="Puslapioinaosnuoroda"/>
          <w:rFonts w:ascii="Times New Roman" w:hAnsi="Times New Roman" w:cs="Times New Roman"/>
          <w:sz w:val="24"/>
          <w:szCs w:val="24"/>
        </w:rPr>
        <w:footnoteReference w:id="104"/>
      </w:r>
      <w:r w:rsidRPr="00A91E83">
        <w:rPr>
          <w:rFonts w:ascii="Times New Roman" w:hAnsi="Times New Roman" w:cs="Times New Roman"/>
          <w:sz w:val="24"/>
          <w:szCs w:val="24"/>
        </w:rPr>
        <w:t xml:space="preserve"> </w:t>
      </w:r>
    </w:p>
    <w:p w:rsidR="00CF76CA" w:rsidRPr="00A91E83" w:rsidRDefault="00CF76CA"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Išskiriamos trys užskaitos rūšys</w:t>
      </w:r>
      <w:r w:rsidR="00F9786A" w:rsidRPr="00A91E83">
        <w:rPr>
          <w:rStyle w:val="Puslapioinaosnuoroda"/>
          <w:rFonts w:ascii="Times New Roman" w:hAnsi="Times New Roman" w:cs="Times New Roman"/>
          <w:sz w:val="24"/>
          <w:szCs w:val="24"/>
        </w:rPr>
        <w:footnoteReference w:id="105"/>
      </w:r>
      <w:r w:rsidRPr="00A91E83">
        <w:rPr>
          <w:rFonts w:ascii="Times New Roman" w:hAnsi="Times New Roman" w:cs="Times New Roman"/>
          <w:sz w:val="24"/>
          <w:szCs w:val="24"/>
        </w:rPr>
        <w:t>: mokėjimo užskaita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w:t>
      </w:r>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settlemen</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payment</w:t>
      </w:r>
      <w:proofErr w:type="spellEnd"/>
      <w:r w:rsidRPr="00A91E83">
        <w:rPr>
          <w:rFonts w:ascii="Times New Roman" w:hAnsi="Times New Roman" w:cs="Times New Roman"/>
          <w:i/>
          <w:sz w:val="24"/>
          <w:szCs w:val="24"/>
        </w:rPr>
        <w:t xml:space="preserve"> </w:t>
      </w:r>
      <w:r w:rsidRPr="00A91E83">
        <w:rPr>
          <w:rFonts w:ascii="Times New Roman" w:hAnsi="Times New Roman" w:cs="Times New Roman"/>
          <w:sz w:val="24"/>
          <w:szCs w:val="24"/>
        </w:rPr>
        <w:t>arba</w:t>
      </w:r>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delivery</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netting</w:t>
      </w:r>
      <w:proofErr w:type="spellEnd"/>
      <w:r w:rsidRPr="00A91E83">
        <w:rPr>
          <w:rFonts w:ascii="Times New Roman" w:hAnsi="Times New Roman" w:cs="Times New Roman"/>
          <w:sz w:val="24"/>
          <w:szCs w:val="24"/>
        </w:rPr>
        <w:t xml:space="preserve">), </w:t>
      </w:r>
      <w:r w:rsidR="008E22E6" w:rsidRPr="00A91E83">
        <w:rPr>
          <w:rFonts w:ascii="Times New Roman" w:hAnsi="Times New Roman" w:cs="Times New Roman"/>
          <w:sz w:val="24"/>
          <w:szCs w:val="24"/>
        </w:rPr>
        <w:t xml:space="preserve">užskaita </w:t>
      </w:r>
      <w:r w:rsidRPr="00A91E83">
        <w:rPr>
          <w:rFonts w:ascii="Times New Roman" w:hAnsi="Times New Roman" w:cs="Times New Roman"/>
          <w:sz w:val="24"/>
          <w:szCs w:val="24"/>
        </w:rPr>
        <w:t xml:space="preserve">novacijos </w:t>
      </w:r>
      <w:r w:rsidR="008E22E6" w:rsidRPr="00A91E83">
        <w:rPr>
          <w:rFonts w:ascii="Times New Roman" w:hAnsi="Times New Roman" w:cs="Times New Roman"/>
          <w:sz w:val="24"/>
          <w:szCs w:val="24"/>
        </w:rPr>
        <w:t xml:space="preserve">būdu </w:t>
      </w:r>
      <w:r w:rsidRPr="00A91E83">
        <w:rPr>
          <w:rFonts w:ascii="Times New Roman" w:hAnsi="Times New Roman" w:cs="Times New Roman"/>
          <w:sz w:val="24"/>
          <w:szCs w:val="24"/>
        </w:rPr>
        <w:t>(</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i/>
          <w:sz w:val="24"/>
          <w:szCs w:val="24"/>
        </w:rPr>
        <w:t>novation</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netting</w:t>
      </w:r>
      <w:proofErr w:type="spellEnd"/>
      <w:r w:rsidRPr="00A91E83">
        <w:rPr>
          <w:rFonts w:ascii="Times New Roman" w:hAnsi="Times New Roman" w:cs="Times New Roman"/>
          <w:sz w:val="24"/>
          <w:szCs w:val="24"/>
        </w:rPr>
        <w:t xml:space="preserve">) ir </w:t>
      </w:r>
      <w:r w:rsidR="00847ABF" w:rsidRPr="00A91E83">
        <w:rPr>
          <w:rFonts w:ascii="Times New Roman" w:hAnsi="Times New Roman" w:cs="Times New Roman"/>
          <w:sz w:val="24"/>
          <w:szCs w:val="24"/>
        </w:rPr>
        <w:t xml:space="preserve">baigiamoji užskaita </w:t>
      </w:r>
      <w:r w:rsidRPr="00A91E83">
        <w:rPr>
          <w:rFonts w:ascii="Times New Roman" w:hAnsi="Times New Roman" w:cs="Times New Roman"/>
          <w:sz w:val="24"/>
          <w:szCs w:val="24"/>
        </w:rPr>
        <w:t>(</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w:t>
      </w:r>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close-out</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netting</w:t>
      </w:r>
      <w:proofErr w:type="spellEnd"/>
      <w:r w:rsidRPr="00A91E83">
        <w:rPr>
          <w:rFonts w:ascii="Times New Roman" w:hAnsi="Times New Roman" w:cs="Times New Roman"/>
          <w:sz w:val="24"/>
          <w:szCs w:val="24"/>
        </w:rPr>
        <w:t xml:space="preserve">). Pastarasis užskaitos būdas </w:t>
      </w:r>
      <w:r w:rsidR="00F26245" w:rsidRPr="00A91E83">
        <w:rPr>
          <w:rFonts w:ascii="Times New Roman" w:hAnsi="Times New Roman" w:cs="Times New Roman"/>
          <w:sz w:val="24"/>
          <w:szCs w:val="24"/>
        </w:rPr>
        <w:t>laikomas svarbiausiu</w:t>
      </w:r>
      <w:r w:rsidRPr="00A91E83">
        <w:rPr>
          <w:rFonts w:ascii="Times New Roman" w:hAnsi="Times New Roman" w:cs="Times New Roman"/>
          <w:sz w:val="24"/>
          <w:szCs w:val="24"/>
        </w:rPr>
        <w:t xml:space="preserve"> ir sukelia daugiausiai diskusijų.</w:t>
      </w:r>
      <w:r w:rsidR="00B0182C" w:rsidRPr="00A91E83">
        <w:rPr>
          <w:rStyle w:val="Puslapioinaosnuoroda"/>
          <w:rFonts w:ascii="Times New Roman" w:hAnsi="Times New Roman" w:cs="Times New Roman"/>
          <w:sz w:val="24"/>
          <w:szCs w:val="24"/>
        </w:rPr>
        <w:footnoteReference w:id="106"/>
      </w:r>
    </w:p>
    <w:p w:rsidR="00CF76CA" w:rsidRPr="00A91E83" w:rsidRDefault="00CF76CA" w:rsidP="00B46A53">
      <w:pPr>
        <w:tabs>
          <w:tab w:val="left" w:pos="851"/>
        </w:tabs>
        <w:spacing w:after="0" w:line="360" w:lineRule="auto"/>
        <w:ind w:firstLine="851"/>
        <w:jc w:val="both"/>
        <w:rPr>
          <w:rFonts w:ascii="Times New Roman" w:hAnsi="Times New Roman" w:cs="Times New Roman"/>
          <w:sz w:val="24"/>
          <w:szCs w:val="24"/>
        </w:rPr>
      </w:pPr>
    </w:p>
    <w:p w:rsidR="00CF76CA" w:rsidRPr="00A91E83" w:rsidRDefault="00CF76CA" w:rsidP="00586505">
      <w:pPr>
        <w:pStyle w:val="Sraopastraipa"/>
        <w:numPr>
          <w:ilvl w:val="2"/>
          <w:numId w:val="4"/>
        </w:numPr>
        <w:tabs>
          <w:tab w:val="left" w:pos="851"/>
        </w:tabs>
        <w:spacing w:after="0" w:line="360" w:lineRule="auto"/>
        <w:ind w:left="0" w:firstLine="0"/>
        <w:jc w:val="both"/>
        <w:outlineLvl w:val="2"/>
        <w:rPr>
          <w:rFonts w:ascii="Times New Roman" w:hAnsi="Times New Roman" w:cs="Times New Roman"/>
          <w:b/>
          <w:sz w:val="24"/>
          <w:szCs w:val="24"/>
        </w:rPr>
      </w:pPr>
      <w:bookmarkStart w:id="20" w:name="_Toc280546453"/>
      <w:r w:rsidRPr="00A91E83">
        <w:rPr>
          <w:rFonts w:ascii="Times New Roman" w:hAnsi="Times New Roman" w:cs="Times New Roman"/>
          <w:b/>
          <w:sz w:val="24"/>
          <w:szCs w:val="24"/>
        </w:rPr>
        <w:t>Mokėjimo užskaitos samprata</w:t>
      </w:r>
      <w:bookmarkEnd w:id="20"/>
    </w:p>
    <w:p w:rsidR="00CF76CA" w:rsidRPr="00A91E83" w:rsidRDefault="00CF76CA" w:rsidP="00B46A53">
      <w:pPr>
        <w:tabs>
          <w:tab w:val="left" w:pos="851"/>
        </w:tabs>
        <w:spacing w:after="0" w:line="360" w:lineRule="auto"/>
        <w:ind w:firstLine="851"/>
        <w:jc w:val="both"/>
        <w:rPr>
          <w:rFonts w:ascii="Times New Roman" w:hAnsi="Times New Roman" w:cs="Times New Roman"/>
          <w:sz w:val="24"/>
          <w:szCs w:val="24"/>
        </w:rPr>
      </w:pPr>
    </w:p>
    <w:p w:rsidR="00B97713" w:rsidRPr="00A91E83" w:rsidRDefault="00CF76CA" w:rsidP="006F122D">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Mokėjimo rizika yra sumažinama, jeigu pareiga dėl to paties turto</w:t>
      </w:r>
      <w:r w:rsidR="006F122D" w:rsidRPr="00A91E83">
        <w:rPr>
          <w:rFonts w:ascii="Times New Roman" w:hAnsi="Times New Roman" w:cs="Times New Roman"/>
          <w:sz w:val="24"/>
          <w:szCs w:val="24"/>
        </w:rPr>
        <w:t>,</w:t>
      </w:r>
      <w:r w:rsidRPr="00A91E83">
        <w:rPr>
          <w:rFonts w:ascii="Times New Roman" w:hAnsi="Times New Roman" w:cs="Times New Roman"/>
          <w:sz w:val="24"/>
          <w:szCs w:val="24"/>
        </w:rPr>
        <w:t xml:space="preserve"> privalomo sumokėti tarp tų pačių šalių</w:t>
      </w:r>
      <w:r w:rsidR="006F122D" w:rsidRPr="00A91E83">
        <w:rPr>
          <w:rFonts w:ascii="Times New Roman" w:hAnsi="Times New Roman" w:cs="Times New Roman"/>
          <w:sz w:val="24"/>
          <w:szCs w:val="24"/>
        </w:rPr>
        <w:t>,</w:t>
      </w:r>
      <w:r w:rsidRPr="00A91E83">
        <w:rPr>
          <w:rFonts w:ascii="Times New Roman" w:hAnsi="Times New Roman" w:cs="Times New Roman"/>
          <w:sz w:val="24"/>
          <w:szCs w:val="24"/>
        </w:rPr>
        <w:t xml:space="preserve"> tą pačią dieną</w:t>
      </w:r>
      <w:r w:rsidR="00A0738B" w:rsidRPr="00A91E83">
        <w:rPr>
          <w:rFonts w:ascii="Times New Roman" w:hAnsi="Times New Roman" w:cs="Times New Roman"/>
          <w:sz w:val="24"/>
          <w:szCs w:val="24"/>
        </w:rPr>
        <w:t>, ta pačia valiuta</w:t>
      </w:r>
      <w:r w:rsidR="006F122D" w:rsidRPr="00A91E83">
        <w:rPr>
          <w:rFonts w:ascii="Times New Roman" w:hAnsi="Times New Roman" w:cs="Times New Roman"/>
          <w:sz w:val="24"/>
          <w:szCs w:val="24"/>
        </w:rPr>
        <w:t>,</w:t>
      </w:r>
      <w:r w:rsidRPr="00A91E83">
        <w:rPr>
          <w:rFonts w:ascii="Times New Roman" w:hAnsi="Times New Roman" w:cs="Times New Roman"/>
          <w:sz w:val="24"/>
          <w:szCs w:val="24"/>
        </w:rPr>
        <w:t xml:space="preserve"> yra įskaitoma, tai vienintelis šalių įsipareigojimas lieka sumokėti galutinį balansą. </w:t>
      </w:r>
      <w:r w:rsidR="00D47863" w:rsidRPr="00A91E83">
        <w:rPr>
          <w:rFonts w:ascii="Times New Roman" w:hAnsi="Times New Roman" w:cs="Times New Roman"/>
          <w:sz w:val="24"/>
          <w:szCs w:val="24"/>
        </w:rPr>
        <w:t xml:space="preserve">Ši užskaitos forma naudojama, kai reikia atlikti </w:t>
      </w:r>
      <w:r w:rsidR="00453DDD" w:rsidRPr="00A91E83">
        <w:rPr>
          <w:rFonts w:ascii="Times New Roman" w:hAnsi="Times New Roman" w:cs="Times New Roman"/>
          <w:sz w:val="24"/>
          <w:szCs w:val="24"/>
        </w:rPr>
        <w:t xml:space="preserve">priešpriešinius </w:t>
      </w:r>
      <w:r w:rsidR="00D47863" w:rsidRPr="00A91E83">
        <w:rPr>
          <w:rFonts w:ascii="Times New Roman" w:hAnsi="Times New Roman" w:cs="Times New Roman"/>
          <w:sz w:val="24"/>
          <w:szCs w:val="24"/>
        </w:rPr>
        <w:t>mokėjimus.</w:t>
      </w:r>
      <w:r w:rsidR="00FE359F" w:rsidRPr="00A91E83">
        <w:rPr>
          <w:rStyle w:val="Puslapioinaosnuoroda"/>
          <w:rFonts w:ascii="Times New Roman" w:hAnsi="Times New Roman" w:cs="Times New Roman"/>
          <w:sz w:val="24"/>
          <w:szCs w:val="24"/>
        </w:rPr>
        <w:footnoteReference w:id="107"/>
      </w:r>
      <w:r w:rsidRPr="00A91E83">
        <w:rPr>
          <w:rFonts w:ascii="Times New Roman" w:hAnsi="Times New Roman" w:cs="Times New Roman"/>
          <w:sz w:val="24"/>
          <w:szCs w:val="24"/>
        </w:rPr>
        <w:t xml:space="preserve">. </w:t>
      </w:r>
      <w:r w:rsidR="00A80F16" w:rsidRPr="00A91E83">
        <w:rPr>
          <w:rFonts w:ascii="Times New Roman" w:hAnsi="Times New Roman" w:cs="Times New Roman"/>
          <w:sz w:val="24"/>
          <w:szCs w:val="24"/>
        </w:rPr>
        <w:t>I</w:t>
      </w:r>
      <w:r w:rsidRPr="00A91E83">
        <w:rPr>
          <w:rFonts w:ascii="Times New Roman" w:hAnsi="Times New Roman" w:cs="Times New Roman"/>
          <w:sz w:val="24"/>
          <w:szCs w:val="24"/>
        </w:rPr>
        <w:t>š esmės</w:t>
      </w:r>
      <w:r w:rsidR="00A80F16" w:rsidRPr="00A91E83">
        <w:rPr>
          <w:rFonts w:ascii="Times New Roman" w:hAnsi="Times New Roman" w:cs="Times New Roman"/>
          <w:sz w:val="24"/>
          <w:szCs w:val="24"/>
        </w:rPr>
        <w:t>, mokėjimo užskaita</w:t>
      </w:r>
      <w:r w:rsidRPr="00A91E83">
        <w:rPr>
          <w:rFonts w:ascii="Times New Roman" w:hAnsi="Times New Roman" w:cs="Times New Roman"/>
          <w:sz w:val="24"/>
          <w:szCs w:val="24"/>
        </w:rPr>
        <w:t xml:space="preserve"> apibūdina</w:t>
      </w:r>
      <w:r w:rsidR="00B97713" w:rsidRPr="00A91E83">
        <w:rPr>
          <w:rFonts w:ascii="Times New Roman" w:hAnsi="Times New Roman" w:cs="Times New Roman"/>
          <w:sz w:val="24"/>
          <w:szCs w:val="24"/>
        </w:rPr>
        <w:t xml:space="preserve"> </w:t>
      </w:r>
      <w:r w:rsidR="006F122D" w:rsidRPr="00A91E83">
        <w:rPr>
          <w:rFonts w:ascii="Times New Roman" w:hAnsi="Times New Roman" w:cs="Times New Roman"/>
          <w:sz w:val="24"/>
          <w:szCs w:val="24"/>
        </w:rPr>
        <w:t xml:space="preserve">išankstinį </w:t>
      </w:r>
      <w:r w:rsidR="00037CA6" w:rsidRPr="00A91E83">
        <w:rPr>
          <w:rFonts w:ascii="Times New Roman" w:hAnsi="Times New Roman" w:cs="Times New Roman"/>
          <w:sz w:val="24"/>
          <w:szCs w:val="24"/>
        </w:rPr>
        <w:t>rizikos valdymą situacijose</w:t>
      </w:r>
      <w:r w:rsidR="00B97713" w:rsidRPr="00A91E83">
        <w:rPr>
          <w:rFonts w:ascii="Times New Roman" w:hAnsi="Times New Roman" w:cs="Times New Roman"/>
          <w:sz w:val="24"/>
          <w:szCs w:val="24"/>
        </w:rPr>
        <w:t xml:space="preserve">, kai </w:t>
      </w:r>
      <w:r w:rsidR="00037CA6" w:rsidRPr="00A91E83">
        <w:rPr>
          <w:rFonts w:ascii="Times New Roman" w:hAnsi="Times New Roman" w:cs="Times New Roman"/>
          <w:sz w:val="24"/>
          <w:szCs w:val="24"/>
        </w:rPr>
        <w:t>viena</w:t>
      </w:r>
      <w:r w:rsidR="00B97713" w:rsidRPr="00A91E83">
        <w:rPr>
          <w:rFonts w:ascii="Times New Roman" w:hAnsi="Times New Roman" w:cs="Times New Roman"/>
          <w:sz w:val="24"/>
          <w:szCs w:val="24"/>
        </w:rPr>
        <w:t xml:space="preserve"> šalis galėtų</w:t>
      </w:r>
      <w:r w:rsidRPr="00A91E83">
        <w:rPr>
          <w:rFonts w:ascii="Times New Roman" w:hAnsi="Times New Roman" w:cs="Times New Roman"/>
          <w:sz w:val="24"/>
          <w:szCs w:val="24"/>
        </w:rPr>
        <w:t xml:space="preserve"> įvykdyti savo įsipareigojimus, o kita d</w:t>
      </w:r>
      <w:r w:rsidR="00037CA6" w:rsidRPr="00A91E83">
        <w:rPr>
          <w:rFonts w:ascii="Times New Roman" w:hAnsi="Times New Roman" w:cs="Times New Roman"/>
          <w:sz w:val="24"/>
          <w:szCs w:val="24"/>
        </w:rPr>
        <w:t>ėl nemokumo to padaryti nebegalės</w:t>
      </w:r>
      <w:r w:rsidRPr="00A91E83">
        <w:rPr>
          <w:rFonts w:ascii="Times New Roman" w:hAnsi="Times New Roman" w:cs="Times New Roman"/>
          <w:sz w:val="24"/>
          <w:szCs w:val="24"/>
        </w:rPr>
        <w:t xml:space="preserve">. </w:t>
      </w:r>
      <w:r w:rsidR="006F122D" w:rsidRPr="00A91E83">
        <w:rPr>
          <w:rFonts w:ascii="Times New Roman" w:hAnsi="Times New Roman" w:cs="Times New Roman"/>
          <w:sz w:val="24"/>
          <w:szCs w:val="24"/>
        </w:rPr>
        <w:t>Jeigu nebūtų naudojama mokėjimo užskaita, tai moki šalis privalėtų pervesti visą sumą, kurią yra skolinga pagal nustatytus įsipareigojimus. Nemoki šalis nepervestų nieko. Kitokia situacija susidarytų, j</w:t>
      </w:r>
      <w:r w:rsidRPr="00A91E83">
        <w:rPr>
          <w:rFonts w:ascii="Times New Roman" w:hAnsi="Times New Roman" w:cs="Times New Roman"/>
          <w:sz w:val="24"/>
          <w:szCs w:val="24"/>
        </w:rPr>
        <w:t xml:space="preserve">eigu </w:t>
      </w:r>
      <w:r w:rsidR="006F122D" w:rsidRPr="00A91E83">
        <w:rPr>
          <w:rFonts w:ascii="Times New Roman" w:hAnsi="Times New Roman" w:cs="Times New Roman"/>
          <w:sz w:val="24"/>
          <w:szCs w:val="24"/>
        </w:rPr>
        <w:t>būtų numatyta mokėjimo užskaitos sąlyga. Abiejų šalių priešpriešinių įsipareigojimų mokėjimas iškart nebūtų atliekamas. Mokėjimas būtų atlik</w:t>
      </w:r>
      <w:r w:rsidR="00EB4D01" w:rsidRPr="00A91E83">
        <w:rPr>
          <w:rFonts w:ascii="Times New Roman" w:hAnsi="Times New Roman" w:cs="Times New Roman"/>
          <w:sz w:val="24"/>
          <w:szCs w:val="24"/>
        </w:rPr>
        <w:t>t</w:t>
      </w:r>
      <w:r w:rsidR="006F122D" w:rsidRPr="00A91E83">
        <w:rPr>
          <w:rFonts w:ascii="Times New Roman" w:hAnsi="Times New Roman" w:cs="Times New Roman"/>
          <w:sz w:val="24"/>
          <w:szCs w:val="24"/>
        </w:rPr>
        <w:t xml:space="preserve">as tik tos šalies, kuri liktų skolinga susumavus priešpriešinius įsipareigojimus pagal galutinį balansą. </w:t>
      </w:r>
      <w:r w:rsidR="00EB4D01" w:rsidRPr="00A91E83">
        <w:rPr>
          <w:rFonts w:ascii="Times New Roman" w:hAnsi="Times New Roman" w:cs="Times New Roman"/>
          <w:sz w:val="24"/>
          <w:szCs w:val="24"/>
        </w:rPr>
        <w:t>Jeigu nemoki šalis liktų skolinga kontrahentui, tai likutis, po reikalavimų susumavimo,</w:t>
      </w:r>
      <w:r w:rsidRPr="00A91E83">
        <w:rPr>
          <w:rFonts w:ascii="Times New Roman" w:hAnsi="Times New Roman" w:cs="Times New Roman"/>
          <w:sz w:val="24"/>
          <w:szCs w:val="24"/>
        </w:rPr>
        <w:t xml:space="preserve"> nebus sugrąžint</w:t>
      </w:r>
      <w:r w:rsidR="00EB4D01" w:rsidRPr="00A91E83">
        <w:rPr>
          <w:rFonts w:ascii="Times New Roman" w:hAnsi="Times New Roman" w:cs="Times New Roman"/>
          <w:sz w:val="24"/>
          <w:szCs w:val="24"/>
        </w:rPr>
        <w:t>as</w:t>
      </w:r>
      <w:r w:rsidR="009B1F46" w:rsidRPr="00A91E83">
        <w:rPr>
          <w:rFonts w:ascii="Times New Roman" w:hAnsi="Times New Roman" w:cs="Times New Roman"/>
          <w:sz w:val="24"/>
          <w:szCs w:val="24"/>
        </w:rPr>
        <w:t xml:space="preserve"> iškart</w:t>
      </w:r>
      <w:r w:rsidRPr="00A91E83">
        <w:rPr>
          <w:rFonts w:ascii="Times New Roman" w:hAnsi="Times New Roman" w:cs="Times New Roman"/>
          <w:sz w:val="24"/>
          <w:szCs w:val="24"/>
        </w:rPr>
        <w:t xml:space="preserve">, bet dėl galimo </w:t>
      </w:r>
      <w:r w:rsidR="00930AEB" w:rsidRPr="00A91E83">
        <w:rPr>
          <w:rFonts w:ascii="Times New Roman" w:hAnsi="Times New Roman" w:cs="Times New Roman"/>
          <w:sz w:val="24"/>
          <w:szCs w:val="24"/>
        </w:rPr>
        <w:t xml:space="preserve">tarpinio užskaitymo </w:t>
      </w:r>
      <w:r w:rsidR="00EB4D01" w:rsidRPr="00A91E83">
        <w:rPr>
          <w:rFonts w:ascii="Times New Roman" w:hAnsi="Times New Roman" w:cs="Times New Roman"/>
          <w:sz w:val="24"/>
          <w:szCs w:val="24"/>
        </w:rPr>
        <w:t xml:space="preserve">metodo ženkliai sumažės </w:t>
      </w:r>
      <w:r w:rsidR="00930AEB" w:rsidRPr="00A91E83">
        <w:rPr>
          <w:rFonts w:ascii="Times New Roman" w:hAnsi="Times New Roman" w:cs="Times New Roman"/>
          <w:sz w:val="24"/>
          <w:szCs w:val="24"/>
        </w:rPr>
        <w:t>galutinė suma</w:t>
      </w:r>
      <w:r w:rsidRPr="00A91E83">
        <w:rPr>
          <w:rFonts w:ascii="Times New Roman" w:hAnsi="Times New Roman" w:cs="Times New Roman"/>
          <w:sz w:val="24"/>
          <w:szCs w:val="24"/>
        </w:rPr>
        <w:t xml:space="preserve">, </w:t>
      </w:r>
      <w:r w:rsidR="00EB4D01" w:rsidRPr="00A91E83">
        <w:rPr>
          <w:rFonts w:ascii="Times New Roman" w:hAnsi="Times New Roman" w:cs="Times New Roman"/>
          <w:sz w:val="24"/>
          <w:szCs w:val="24"/>
        </w:rPr>
        <w:lastRenderedPageBreak/>
        <w:t xml:space="preserve">kurią </w:t>
      </w:r>
      <w:r w:rsidRPr="00A91E83">
        <w:rPr>
          <w:rFonts w:ascii="Times New Roman" w:hAnsi="Times New Roman" w:cs="Times New Roman"/>
          <w:sz w:val="24"/>
          <w:szCs w:val="24"/>
        </w:rPr>
        <w:t xml:space="preserve">nemoki šalis turės sumokėti </w:t>
      </w:r>
      <w:r w:rsidR="00E334C3" w:rsidRPr="00A91E83">
        <w:rPr>
          <w:rFonts w:ascii="Times New Roman" w:hAnsi="Times New Roman" w:cs="Times New Roman"/>
          <w:sz w:val="24"/>
          <w:szCs w:val="24"/>
        </w:rPr>
        <w:t>pagal bendrąją</w:t>
      </w:r>
      <w:r w:rsidR="00EB4D01" w:rsidRPr="00A91E83">
        <w:rPr>
          <w:rFonts w:ascii="Times New Roman" w:hAnsi="Times New Roman" w:cs="Times New Roman"/>
          <w:sz w:val="24"/>
          <w:szCs w:val="24"/>
        </w:rPr>
        <w:t xml:space="preserve"> bankroto procedūrų tvarką</w:t>
      </w:r>
      <w:r w:rsidRPr="00A91E83">
        <w:rPr>
          <w:rFonts w:ascii="Times New Roman" w:hAnsi="Times New Roman" w:cs="Times New Roman"/>
          <w:sz w:val="24"/>
          <w:szCs w:val="24"/>
        </w:rPr>
        <w:t>.</w:t>
      </w:r>
      <w:r w:rsidRPr="00A91E83">
        <w:rPr>
          <w:rStyle w:val="Puslapioinaosnuoroda"/>
          <w:rFonts w:ascii="Times New Roman" w:hAnsi="Times New Roman" w:cs="Times New Roman"/>
          <w:sz w:val="24"/>
          <w:szCs w:val="24"/>
        </w:rPr>
        <w:footnoteReference w:id="108"/>
      </w:r>
      <w:r w:rsidRPr="00A91E83">
        <w:rPr>
          <w:rFonts w:ascii="Times New Roman" w:hAnsi="Times New Roman" w:cs="Times New Roman"/>
          <w:sz w:val="24"/>
          <w:szCs w:val="24"/>
        </w:rPr>
        <w:t xml:space="preserve"> Toki</w:t>
      </w:r>
      <w:r w:rsidR="00E334C3" w:rsidRPr="00A91E83">
        <w:rPr>
          <w:rFonts w:ascii="Times New Roman" w:hAnsi="Times New Roman" w:cs="Times New Roman"/>
          <w:sz w:val="24"/>
          <w:szCs w:val="24"/>
        </w:rPr>
        <w:t xml:space="preserve">u būdu sumažinama rizikos </w:t>
      </w:r>
      <w:r w:rsidR="00E94C6F" w:rsidRPr="00A91E83">
        <w:rPr>
          <w:rFonts w:ascii="Times New Roman" w:hAnsi="Times New Roman" w:cs="Times New Roman"/>
          <w:sz w:val="24"/>
          <w:szCs w:val="24"/>
        </w:rPr>
        <w:t>imtis</w:t>
      </w:r>
      <w:r w:rsidRPr="00A91E83">
        <w:rPr>
          <w:rFonts w:ascii="Times New Roman" w:hAnsi="Times New Roman" w:cs="Times New Roman"/>
          <w:sz w:val="24"/>
          <w:szCs w:val="24"/>
        </w:rPr>
        <w:t xml:space="preserve">. </w:t>
      </w:r>
    </w:p>
    <w:p w:rsidR="00817364" w:rsidRPr="00A91E83" w:rsidRDefault="006E5C58" w:rsidP="00B46A53">
      <w:pPr>
        <w:tabs>
          <w:tab w:val="left" w:pos="851"/>
        </w:tabs>
        <w:spacing w:after="0" w:line="360" w:lineRule="auto"/>
        <w:ind w:firstLine="851"/>
        <w:jc w:val="both"/>
        <w:rPr>
          <w:rFonts w:ascii="Times New Roman" w:hAnsi="Times New Roman" w:cs="Times New Roman"/>
          <w:sz w:val="24"/>
          <w:szCs w:val="24"/>
          <w:highlight w:val="lightGray"/>
        </w:rPr>
      </w:pPr>
      <w:r w:rsidRPr="00A91E83">
        <w:rPr>
          <w:rFonts w:ascii="Times New Roman" w:hAnsi="Times New Roman" w:cs="Times New Roman"/>
          <w:sz w:val="24"/>
          <w:szCs w:val="24"/>
        </w:rPr>
        <w:t>Mokėjimo užskaita skiriasi nuo įskaitymo, nes</w:t>
      </w:r>
      <w:r w:rsidR="00453DDD" w:rsidRPr="00A91E83">
        <w:rPr>
          <w:rFonts w:ascii="Times New Roman" w:hAnsi="Times New Roman" w:cs="Times New Roman"/>
          <w:sz w:val="24"/>
          <w:szCs w:val="24"/>
        </w:rPr>
        <w:t xml:space="preserve"> įskaitymo atveju gali būti įskaitytos tik tokios sumos, kurių vykdymo terminai yra suėję, </w:t>
      </w:r>
      <w:r w:rsidR="008C26F1" w:rsidRPr="00A91E83">
        <w:rPr>
          <w:rFonts w:ascii="Times New Roman" w:hAnsi="Times New Roman" w:cs="Times New Roman"/>
          <w:sz w:val="24"/>
          <w:szCs w:val="24"/>
        </w:rPr>
        <w:t>t. y.</w:t>
      </w:r>
      <w:r w:rsidR="00453DDD" w:rsidRPr="00A91E83">
        <w:rPr>
          <w:rFonts w:ascii="Times New Roman" w:hAnsi="Times New Roman" w:cs="Times New Roman"/>
          <w:sz w:val="24"/>
          <w:szCs w:val="24"/>
        </w:rPr>
        <w:t xml:space="preserve"> jau dėl atsiradusių skolų.</w:t>
      </w:r>
      <w:r w:rsidR="00A560FB" w:rsidRPr="00A91E83">
        <w:rPr>
          <w:rStyle w:val="Puslapioinaosnuoroda"/>
          <w:rFonts w:ascii="Times New Roman" w:hAnsi="Times New Roman" w:cs="Times New Roman"/>
          <w:sz w:val="24"/>
          <w:szCs w:val="24"/>
        </w:rPr>
        <w:footnoteReference w:id="109"/>
      </w:r>
      <w:r w:rsidR="00453DDD" w:rsidRPr="00A91E83">
        <w:rPr>
          <w:rFonts w:ascii="Times New Roman" w:hAnsi="Times New Roman" w:cs="Times New Roman"/>
          <w:sz w:val="24"/>
          <w:szCs w:val="24"/>
        </w:rPr>
        <w:t xml:space="preserve"> </w:t>
      </w:r>
      <w:r w:rsidR="004D4593" w:rsidRPr="00A91E83">
        <w:rPr>
          <w:rFonts w:ascii="Times New Roman" w:hAnsi="Times New Roman" w:cs="Times New Roman"/>
          <w:sz w:val="24"/>
          <w:szCs w:val="24"/>
        </w:rPr>
        <w:t>Jeigu sutartyje numatyta mokėjimo užskaitos sąlyga, tai š</w:t>
      </w:r>
      <w:r w:rsidR="00453DDD" w:rsidRPr="00A91E83">
        <w:rPr>
          <w:rFonts w:ascii="Times New Roman" w:hAnsi="Times New Roman" w:cs="Times New Roman"/>
          <w:sz w:val="24"/>
          <w:szCs w:val="24"/>
        </w:rPr>
        <w:t>alys sumoka tik galutinę mokėtiną sumą, o ne</w:t>
      </w:r>
      <w:r w:rsidR="00182C22" w:rsidRPr="00A91E83">
        <w:rPr>
          <w:rFonts w:ascii="Times New Roman" w:hAnsi="Times New Roman" w:cs="Times New Roman"/>
          <w:sz w:val="24"/>
          <w:szCs w:val="24"/>
        </w:rPr>
        <w:t>laukia, kol atsiras priešpriešiniai mokėjimai, kuriuos vėliau viena iš šalių galės įskaityti.</w:t>
      </w:r>
      <w:r w:rsidR="00F96913" w:rsidRPr="00A91E83">
        <w:rPr>
          <w:rFonts w:ascii="Times New Roman" w:hAnsi="Times New Roman" w:cs="Times New Roman"/>
          <w:sz w:val="24"/>
          <w:szCs w:val="24"/>
        </w:rPr>
        <w:t xml:space="preserve"> </w:t>
      </w:r>
      <w:r w:rsidR="004C7B46" w:rsidRPr="00A91E83">
        <w:rPr>
          <w:rFonts w:ascii="Times New Roman" w:hAnsi="Times New Roman" w:cs="Times New Roman"/>
          <w:sz w:val="24"/>
          <w:szCs w:val="24"/>
        </w:rPr>
        <w:t>Taigi tai susitarimas dėl išankstinio įskaitymo</w:t>
      </w:r>
      <w:r w:rsidR="00DD178E" w:rsidRPr="00A91E83">
        <w:rPr>
          <w:rFonts w:ascii="Times New Roman" w:hAnsi="Times New Roman" w:cs="Times New Roman"/>
          <w:sz w:val="24"/>
          <w:szCs w:val="24"/>
        </w:rPr>
        <w:t xml:space="preserve">, </w:t>
      </w:r>
      <w:proofErr w:type="spellStart"/>
      <w:r w:rsidR="00DD178E" w:rsidRPr="00A91E83">
        <w:rPr>
          <w:rFonts w:ascii="Times New Roman" w:hAnsi="Times New Roman" w:cs="Times New Roman"/>
          <w:sz w:val="24"/>
          <w:szCs w:val="24"/>
        </w:rPr>
        <w:t>pvz</w:t>
      </w:r>
      <w:proofErr w:type="spellEnd"/>
      <w:r w:rsidR="00DD178E" w:rsidRPr="00A91E83">
        <w:rPr>
          <w:rFonts w:ascii="Times New Roman" w:hAnsi="Times New Roman" w:cs="Times New Roman"/>
          <w:sz w:val="24"/>
          <w:szCs w:val="24"/>
        </w:rPr>
        <w:t>.: p</w:t>
      </w:r>
      <w:r w:rsidR="00F96913" w:rsidRPr="00A91E83">
        <w:rPr>
          <w:rFonts w:ascii="Times New Roman" w:hAnsi="Times New Roman" w:cs="Times New Roman"/>
          <w:sz w:val="24"/>
          <w:szCs w:val="24"/>
        </w:rPr>
        <w:t>alūkanų normų apsikeitimo sandorio atžvilgiu</w:t>
      </w:r>
      <w:r w:rsidR="006241A6" w:rsidRPr="00A91E83">
        <w:rPr>
          <w:rFonts w:ascii="Times New Roman" w:hAnsi="Times New Roman" w:cs="Times New Roman"/>
          <w:sz w:val="24"/>
          <w:szCs w:val="24"/>
        </w:rPr>
        <w:t>,</w:t>
      </w:r>
      <w:r w:rsidR="00F96913" w:rsidRPr="00A91E83">
        <w:rPr>
          <w:rFonts w:ascii="Times New Roman" w:hAnsi="Times New Roman" w:cs="Times New Roman"/>
          <w:sz w:val="24"/>
          <w:szCs w:val="24"/>
        </w:rPr>
        <w:t xml:space="preserve"> mokėtinos užskaitos sąlyga modifikuoja </w:t>
      </w:r>
      <w:r w:rsidR="004D4593" w:rsidRPr="00A91E83">
        <w:rPr>
          <w:rFonts w:ascii="Times New Roman" w:hAnsi="Times New Roman" w:cs="Times New Roman"/>
          <w:sz w:val="24"/>
          <w:szCs w:val="24"/>
        </w:rPr>
        <w:t>patį prievolės dalyką</w:t>
      </w:r>
      <w:r w:rsidR="006241A6" w:rsidRPr="00A91E83">
        <w:rPr>
          <w:rFonts w:ascii="Times New Roman" w:hAnsi="Times New Roman" w:cs="Times New Roman"/>
          <w:sz w:val="24"/>
          <w:szCs w:val="24"/>
        </w:rPr>
        <w:t>, t. y.</w:t>
      </w:r>
      <w:r w:rsidR="004D4593" w:rsidRPr="00A91E83">
        <w:rPr>
          <w:rFonts w:ascii="Times New Roman" w:hAnsi="Times New Roman" w:cs="Times New Roman"/>
          <w:sz w:val="24"/>
          <w:szCs w:val="24"/>
        </w:rPr>
        <w:t xml:space="preserve"> iš </w:t>
      </w:r>
      <w:r w:rsidR="00243326" w:rsidRPr="00A91E83">
        <w:rPr>
          <w:rFonts w:ascii="Times New Roman" w:hAnsi="Times New Roman" w:cs="Times New Roman"/>
          <w:sz w:val="24"/>
          <w:szCs w:val="24"/>
        </w:rPr>
        <w:t xml:space="preserve">abiejų šalių </w:t>
      </w:r>
      <w:r w:rsidR="004D4593" w:rsidRPr="00A91E83">
        <w:rPr>
          <w:rFonts w:ascii="Times New Roman" w:hAnsi="Times New Roman" w:cs="Times New Roman"/>
          <w:sz w:val="24"/>
          <w:szCs w:val="24"/>
        </w:rPr>
        <w:t xml:space="preserve">priešpriešinių įsipareigojimų </w:t>
      </w:r>
      <w:r w:rsidR="00243326" w:rsidRPr="00A91E83">
        <w:rPr>
          <w:rFonts w:ascii="Times New Roman" w:hAnsi="Times New Roman" w:cs="Times New Roman"/>
          <w:sz w:val="24"/>
          <w:szCs w:val="24"/>
        </w:rPr>
        <w:t xml:space="preserve">mokėjimo </w:t>
      </w:r>
      <w:r w:rsidR="004D4593" w:rsidRPr="00A91E83">
        <w:rPr>
          <w:rFonts w:ascii="Times New Roman" w:hAnsi="Times New Roman" w:cs="Times New Roman"/>
          <w:sz w:val="24"/>
          <w:szCs w:val="24"/>
        </w:rPr>
        <w:t xml:space="preserve">į vienos šalies įsipareigojimą sumokėti kontrahentui </w:t>
      </w:r>
      <w:r w:rsidR="00514297" w:rsidRPr="00A91E83">
        <w:rPr>
          <w:rFonts w:ascii="Times New Roman" w:hAnsi="Times New Roman" w:cs="Times New Roman"/>
          <w:sz w:val="24"/>
          <w:szCs w:val="24"/>
        </w:rPr>
        <w:t>likutį</w:t>
      </w:r>
      <w:r w:rsidR="004D4593" w:rsidRPr="00A91E83">
        <w:rPr>
          <w:rFonts w:ascii="Times New Roman" w:hAnsi="Times New Roman" w:cs="Times New Roman"/>
          <w:sz w:val="24"/>
          <w:szCs w:val="24"/>
        </w:rPr>
        <w:t xml:space="preserve"> po galutinio </w:t>
      </w:r>
      <w:r w:rsidR="00514297" w:rsidRPr="00A91E83">
        <w:rPr>
          <w:rFonts w:ascii="Times New Roman" w:hAnsi="Times New Roman" w:cs="Times New Roman"/>
          <w:sz w:val="24"/>
          <w:szCs w:val="24"/>
        </w:rPr>
        <w:t xml:space="preserve">mokėjimų </w:t>
      </w:r>
      <w:r w:rsidR="004D4593" w:rsidRPr="00A91E83">
        <w:rPr>
          <w:rFonts w:ascii="Times New Roman" w:hAnsi="Times New Roman" w:cs="Times New Roman"/>
          <w:sz w:val="24"/>
          <w:szCs w:val="24"/>
        </w:rPr>
        <w:t>balanso išvedimo.</w:t>
      </w:r>
    </w:p>
    <w:p w:rsidR="008E6FF3" w:rsidRPr="00A91E83" w:rsidRDefault="008E6FF3" w:rsidP="00B46A53">
      <w:pPr>
        <w:pStyle w:val="Sraopastraipa"/>
        <w:tabs>
          <w:tab w:val="left" w:pos="851"/>
        </w:tabs>
        <w:spacing w:after="0" w:line="360" w:lineRule="auto"/>
        <w:ind w:left="0" w:firstLine="851"/>
        <w:jc w:val="both"/>
        <w:rPr>
          <w:rFonts w:ascii="Times New Roman" w:hAnsi="Times New Roman" w:cs="Times New Roman"/>
          <w:sz w:val="24"/>
          <w:szCs w:val="24"/>
        </w:rPr>
      </w:pPr>
    </w:p>
    <w:p w:rsidR="00CF76CA" w:rsidRPr="00A91E83" w:rsidRDefault="00586505" w:rsidP="00586505">
      <w:pPr>
        <w:pStyle w:val="Sraopastraipa"/>
        <w:numPr>
          <w:ilvl w:val="2"/>
          <w:numId w:val="4"/>
        </w:numPr>
        <w:tabs>
          <w:tab w:val="left" w:pos="851"/>
        </w:tabs>
        <w:spacing w:after="0" w:line="360" w:lineRule="auto"/>
        <w:ind w:left="0" w:firstLine="0"/>
        <w:jc w:val="both"/>
        <w:outlineLvl w:val="2"/>
        <w:rPr>
          <w:rFonts w:ascii="Times New Roman" w:hAnsi="Times New Roman" w:cs="Times New Roman"/>
          <w:b/>
          <w:sz w:val="24"/>
          <w:szCs w:val="24"/>
        </w:rPr>
      </w:pPr>
      <w:bookmarkStart w:id="21" w:name="_Toc280546454"/>
      <w:r w:rsidRPr="00A91E83">
        <w:rPr>
          <w:rFonts w:ascii="Times New Roman" w:hAnsi="Times New Roman" w:cs="Times New Roman"/>
          <w:b/>
          <w:sz w:val="24"/>
          <w:szCs w:val="24"/>
        </w:rPr>
        <w:t>Baigiamosios</w:t>
      </w:r>
      <w:r w:rsidR="004C164B" w:rsidRPr="00A91E83">
        <w:rPr>
          <w:rFonts w:ascii="Times New Roman" w:hAnsi="Times New Roman" w:cs="Times New Roman"/>
          <w:b/>
          <w:sz w:val="24"/>
          <w:szCs w:val="24"/>
        </w:rPr>
        <w:t xml:space="preserve"> užskait</w:t>
      </w:r>
      <w:r w:rsidRPr="00A91E83">
        <w:rPr>
          <w:rFonts w:ascii="Times New Roman" w:hAnsi="Times New Roman" w:cs="Times New Roman"/>
          <w:b/>
          <w:sz w:val="24"/>
          <w:szCs w:val="24"/>
        </w:rPr>
        <w:t>os samprata</w:t>
      </w:r>
      <w:bookmarkEnd w:id="21"/>
    </w:p>
    <w:p w:rsidR="00CF76CA" w:rsidRPr="00A91E83" w:rsidRDefault="00CF76CA" w:rsidP="00B46A53">
      <w:pPr>
        <w:tabs>
          <w:tab w:val="left" w:pos="851"/>
        </w:tabs>
        <w:spacing w:after="0" w:line="360" w:lineRule="auto"/>
        <w:ind w:firstLine="851"/>
        <w:jc w:val="both"/>
        <w:rPr>
          <w:rFonts w:ascii="Times New Roman" w:hAnsi="Times New Roman" w:cs="Times New Roman"/>
          <w:sz w:val="24"/>
          <w:szCs w:val="24"/>
        </w:rPr>
      </w:pPr>
    </w:p>
    <w:p w:rsidR="005B0DB0" w:rsidRPr="00A91E83" w:rsidRDefault="00D97943"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Angliškas terminas „</w:t>
      </w:r>
      <w:proofErr w:type="spellStart"/>
      <w:r w:rsidRPr="00A91E83">
        <w:rPr>
          <w:rFonts w:ascii="Times New Roman" w:hAnsi="Times New Roman" w:cs="Times New Roman"/>
          <w:sz w:val="24"/>
          <w:szCs w:val="24"/>
        </w:rPr>
        <w:t>close-out</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netting</w:t>
      </w:r>
      <w:proofErr w:type="spellEnd"/>
      <w:r w:rsidRPr="00A91E83">
        <w:rPr>
          <w:rFonts w:ascii="Times New Roman" w:hAnsi="Times New Roman" w:cs="Times New Roman"/>
          <w:sz w:val="24"/>
          <w:szCs w:val="24"/>
        </w:rPr>
        <w:t>“, kaip aptarta an</w:t>
      </w:r>
      <w:r w:rsidR="000506B2" w:rsidRPr="00A91E83">
        <w:rPr>
          <w:rFonts w:ascii="Times New Roman" w:hAnsi="Times New Roman" w:cs="Times New Roman"/>
          <w:sz w:val="24"/>
          <w:szCs w:val="24"/>
        </w:rPr>
        <w:t>ksčiau, teisės aktuose vadinamas</w:t>
      </w:r>
      <w:r w:rsidRPr="00A91E83">
        <w:rPr>
          <w:rFonts w:ascii="Times New Roman" w:hAnsi="Times New Roman" w:cs="Times New Roman"/>
          <w:sz w:val="24"/>
          <w:szCs w:val="24"/>
        </w:rPr>
        <w:t xml:space="preserve"> skirtingai: „baigi</w:t>
      </w:r>
      <w:r w:rsidR="00024CF3" w:rsidRPr="00A91E83">
        <w:rPr>
          <w:rFonts w:ascii="Times New Roman" w:hAnsi="Times New Roman" w:cs="Times New Roman"/>
          <w:sz w:val="24"/>
          <w:szCs w:val="24"/>
        </w:rPr>
        <w:t>amasis įskaitymas“ ar</w:t>
      </w:r>
      <w:r w:rsidRPr="00A91E83">
        <w:rPr>
          <w:rFonts w:ascii="Times New Roman" w:hAnsi="Times New Roman" w:cs="Times New Roman"/>
          <w:sz w:val="24"/>
          <w:szCs w:val="24"/>
        </w:rPr>
        <w:t xml:space="preserve"> „tarpusavio užskaita suėjus terminui“. Autoriaus nuomone, pats tiksliausias pavadinimas yra „b</w:t>
      </w:r>
      <w:r w:rsidR="00A27A0D" w:rsidRPr="00A91E83">
        <w:rPr>
          <w:rFonts w:ascii="Times New Roman" w:hAnsi="Times New Roman" w:cs="Times New Roman"/>
          <w:sz w:val="24"/>
          <w:szCs w:val="24"/>
        </w:rPr>
        <w:t>aigiamoji užskaita</w:t>
      </w:r>
      <w:r w:rsidRPr="00A91E83">
        <w:rPr>
          <w:rFonts w:ascii="Times New Roman" w:hAnsi="Times New Roman" w:cs="Times New Roman"/>
          <w:sz w:val="24"/>
          <w:szCs w:val="24"/>
        </w:rPr>
        <w:t xml:space="preserve">“. Visų pirma </w:t>
      </w:r>
      <w:r w:rsidR="005B0DB0" w:rsidRPr="00A91E83">
        <w:rPr>
          <w:rFonts w:ascii="Times New Roman" w:hAnsi="Times New Roman" w:cs="Times New Roman"/>
          <w:sz w:val="24"/>
          <w:szCs w:val="24"/>
        </w:rPr>
        <w:t xml:space="preserve">siekiant išvengti maišaties </w:t>
      </w:r>
      <w:r w:rsidR="00024CF3" w:rsidRPr="00A91E83">
        <w:rPr>
          <w:rFonts w:ascii="Times New Roman" w:hAnsi="Times New Roman" w:cs="Times New Roman"/>
          <w:sz w:val="24"/>
          <w:szCs w:val="24"/>
        </w:rPr>
        <w:t>„</w:t>
      </w:r>
      <w:r w:rsidR="005B0DB0" w:rsidRPr="00A91E83">
        <w:rPr>
          <w:rFonts w:ascii="Times New Roman" w:hAnsi="Times New Roman" w:cs="Times New Roman"/>
          <w:sz w:val="24"/>
          <w:szCs w:val="24"/>
        </w:rPr>
        <w:t>u</w:t>
      </w:r>
      <w:r w:rsidR="006E02D7" w:rsidRPr="00A91E83">
        <w:rPr>
          <w:rFonts w:ascii="Times New Roman" w:hAnsi="Times New Roman" w:cs="Times New Roman"/>
          <w:sz w:val="24"/>
          <w:szCs w:val="24"/>
        </w:rPr>
        <w:t>žskaitos</w:t>
      </w:r>
      <w:r w:rsidR="00024CF3" w:rsidRPr="00A91E83">
        <w:rPr>
          <w:rFonts w:ascii="Times New Roman" w:hAnsi="Times New Roman" w:cs="Times New Roman"/>
          <w:sz w:val="24"/>
          <w:szCs w:val="24"/>
        </w:rPr>
        <w:t>“</w:t>
      </w:r>
      <w:r w:rsidR="006E02D7" w:rsidRPr="00A91E83">
        <w:rPr>
          <w:rFonts w:ascii="Times New Roman" w:hAnsi="Times New Roman" w:cs="Times New Roman"/>
          <w:sz w:val="24"/>
          <w:szCs w:val="24"/>
        </w:rPr>
        <w:t xml:space="preserve"> termino vartojimas privalo būti atskirtas nuo </w:t>
      </w:r>
      <w:r w:rsidR="00024CF3" w:rsidRPr="00A91E83">
        <w:rPr>
          <w:rFonts w:ascii="Times New Roman" w:hAnsi="Times New Roman" w:cs="Times New Roman"/>
          <w:sz w:val="24"/>
          <w:szCs w:val="24"/>
        </w:rPr>
        <w:t>„</w:t>
      </w:r>
      <w:r w:rsidR="006E02D7" w:rsidRPr="00A91E83">
        <w:rPr>
          <w:rFonts w:ascii="Times New Roman" w:hAnsi="Times New Roman" w:cs="Times New Roman"/>
          <w:sz w:val="24"/>
          <w:szCs w:val="24"/>
        </w:rPr>
        <w:t>įskaitymo</w:t>
      </w:r>
      <w:r w:rsidR="00024CF3" w:rsidRPr="00A91E83">
        <w:rPr>
          <w:rFonts w:ascii="Times New Roman" w:hAnsi="Times New Roman" w:cs="Times New Roman"/>
          <w:sz w:val="24"/>
          <w:szCs w:val="24"/>
        </w:rPr>
        <w:t>“</w:t>
      </w:r>
      <w:r w:rsidR="005B0DB0" w:rsidRPr="00A91E83">
        <w:rPr>
          <w:rFonts w:ascii="Times New Roman" w:hAnsi="Times New Roman" w:cs="Times New Roman"/>
          <w:sz w:val="24"/>
          <w:szCs w:val="24"/>
        </w:rPr>
        <w:t>. Antra, „</w:t>
      </w:r>
      <w:proofErr w:type="spellStart"/>
      <w:r w:rsidR="005B0DB0" w:rsidRPr="00A91E83">
        <w:rPr>
          <w:rFonts w:ascii="Times New Roman" w:hAnsi="Times New Roman" w:cs="Times New Roman"/>
          <w:sz w:val="24"/>
          <w:szCs w:val="24"/>
        </w:rPr>
        <w:t>close-out“</w:t>
      </w:r>
      <w:proofErr w:type="spellEnd"/>
      <w:r w:rsidR="005B0DB0" w:rsidRPr="00A91E83">
        <w:rPr>
          <w:rFonts w:ascii="Times New Roman" w:hAnsi="Times New Roman" w:cs="Times New Roman"/>
          <w:sz w:val="24"/>
          <w:szCs w:val="24"/>
        </w:rPr>
        <w:t xml:space="preserve"> vertimas kaip „suėjus terminui“ nėra </w:t>
      </w:r>
      <w:r w:rsidR="00024CF3" w:rsidRPr="00A91E83">
        <w:rPr>
          <w:rFonts w:ascii="Times New Roman" w:hAnsi="Times New Roman" w:cs="Times New Roman"/>
          <w:sz w:val="24"/>
          <w:szCs w:val="24"/>
        </w:rPr>
        <w:t>tikslus</w:t>
      </w:r>
      <w:r w:rsidR="005B0DB0" w:rsidRPr="00A91E83">
        <w:rPr>
          <w:rFonts w:ascii="Times New Roman" w:hAnsi="Times New Roman" w:cs="Times New Roman"/>
          <w:sz w:val="24"/>
          <w:szCs w:val="24"/>
        </w:rPr>
        <w:t>, nes apriboja „</w:t>
      </w:r>
      <w:proofErr w:type="spellStart"/>
      <w:r w:rsidR="005B0DB0" w:rsidRPr="00A91E83">
        <w:rPr>
          <w:rFonts w:ascii="Times New Roman" w:hAnsi="Times New Roman" w:cs="Times New Roman"/>
          <w:sz w:val="24"/>
          <w:szCs w:val="24"/>
        </w:rPr>
        <w:t>close-out“</w:t>
      </w:r>
      <w:proofErr w:type="spellEnd"/>
      <w:r w:rsidR="005B0DB0" w:rsidRPr="00A91E83">
        <w:rPr>
          <w:rFonts w:ascii="Times New Roman" w:hAnsi="Times New Roman" w:cs="Times New Roman"/>
          <w:sz w:val="24"/>
          <w:szCs w:val="24"/>
        </w:rPr>
        <w:t xml:space="preserve"> mechanizmą tik iki prievolių vykdymo pagreitinimo. Tolimesnė analizė parodys, jog „</w:t>
      </w:r>
      <w:proofErr w:type="spellStart"/>
      <w:r w:rsidR="005B0DB0" w:rsidRPr="00A91E83">
        <w:rPr>
          <w:rFonts w:ascii="Times New Roman" w:hAnsi="Times New Roman" w:cs="Times New Roman"/>
          <w:sz w:val="24"/>
          <w:szCs w:val="24"/>
        </w:rPr>
        <w:t>close-out“</w:t>
      </w:r>
      <w:proofErr w:type="spellEnd"/>
      <w:r w:rsidR="005B0DB0" w:rsidRPr="00A91E83">
        <w:rPr>
          <w:rFonts w:ascii="Times New Roman" w:hAnsi="Times New Roman" w:cs="Times New Roman"/>
          <w:sz w:val="24"/>
          <w:szCs w:val="24"/>
        </w:rPr>
        <w:t xml:space="preserve"> instrumentas apima daug platesnį spektrą </w:t>
      </w:r>
      <w:r w:rsidR="006C45CD" w:rsidRPr="00A91E83">
        <w:rPr>
          <w:rFonts w:ascii="Times New Roman" w:hAnsi="Times New Roman" w:cs="Times New Roman"/>
          <w:sz w:val="24"/>
          <w:szCs w:val="24"/>
        </w:rPr>
        <w:t>technikų, leidžiančių nutraukti sandorius</w:t>
      </w:r>
      <w:r w:rsidR="003020D3" w:rsidRPr="00A91E83">
        <w:rPr>
          <w:rFonts w:ascii="Times New Roman" w:hAnsi="Times New Roman" w:cs="Times New Roman"/>
          <w:sz w:val="24"/>
          <w:szCs w:val="24"/>
        </w:rPr>
        <w:t>.</w:t>
      </w:r>
      <w:r w:rsidR="00024CF3" w:rsidRPr="00A91E83">
        <w:rPr>
          <w:rFonts w:ascii="Times New Roman" w:hAnsi="Times New Roman" w:cs="Times New Roman"/>
          <w:sz w:val="24"/>
          <w:szCs w:val="24"/>
        </w:rPr>
        <w:t xml:space="preserve"> Todėl turėtų būti vartojamas </w:t>
      </w:r>
      <w:r w:rsidR="008A0FAB" w:rsidRPr="00A91E83">
        <w:rPr>
          <w:rFonts w:ascii="Times New Roman" w:hAnsi="Times New Roman" w:cs="Times New Roman"/>
          <w:sz w:val="24"/>
          <w:szCs w:val="24"/>
        </w:rPr>
        <w:t xml:space="preserve">platesnis terminas. </w:t>
      </w:r>
      <w:r w:rsidR="00024CF3" w:rsidRPr="00A91E83">
        <w:rPr>
          <w:rFonts w:ascii="Times New Roman" w:hAnsi="Times New Roman" w:cs="Times New Roman"/>
          <w:sz w:val="24"/>
          <w:szCs w:val="24"/>
        </w:rPr>
        <w:t>„</w:t>
      </w:r>
      <w:r w:rsidR="008A0FAB" w:rsidRPr="00A91E83">
        <w:rPr>
          <w:rFonts w:ascii="Times New Roman" w:hAnsi="Times New Roman" w:cs="Times New Roman"/>
          <w:sz w:val="24"/>
          <w:szCs w:val="24"/>
        </w:rPr>
        <w:t>B</w:t>
      </w:r>
      <w:r w:rsidR="00024CF3" w:rsidRPr="00A91E83">
        <w:rPr>
          <w:rFonts w:ascii="Times New Roman" w:hAnsi="Times New Roman" w:cs="Times New Roman"/>
          <w:sz w:val="24"/>
          <w:szCs w:val="24"/>
        </w:rPr>
        <w:t>aigiamoji“</w:t>
      </w:r>
      <w:r w:rsidR="008A0FAB" w:rsidRPr="00A91E83">
        <w:rPr>
          <w:rFonts w:ascii="Times New Roman" w:hAnsi="Times New Roman" w:cs="Times New Roman"/>
          <w:sz w:val="24"/>
          <w:szCs w:val="24"/>
        </w:rPr>
        <w:t xml:space="preserve"> labiau tinkamas terminas</w:t>
      </w:r>
      <w:r w:rsidR="00024CF3" w:rsidRPr="00A91E83">
        <w:rPr>
          <w:rFonts w:ascii="Times New Roman" w:hAnsi="Times New Roman" w:cs="Times New Roman"/>
          <w:sz w:val="24"/>
          <w:szCs w:val="24"/>
        </w:rPr>
        <w:t xml:space="preserve">, </w:t>
      </w:r>
      <w:r w:rsidR="001B304F" w:rsidRPr="00A91E83">
        <w:rPr>
          <w:rFonts w:ascii="Times New Roman" w:hAnsi="Times New Roman" w:cs="Times New Roman"/>
          <w:sz w:val="24"/>
          <w:szCs w:val="24"/>
        </w:rPr>
        <w:t xml:space="preserve">nei „suėjus terminui“ </w:t>
      </w:r>
      <w:r w:rsidR="00A81949" w:rsidRPr="00A91E83">
        <w:rPr>
          <w:rFonts w:ascii="Times New Roman" w:hAnsi="Times New Roman" w:cs="Times New Roman"/>
          <w:sz w:val="24"/>
          <w:szCs w:val="24"/>
        </w:rPr>
        <w:t>nes tokiu būdu pabrėžiamas</w:t>
      </w:r>
      <w:r w:rsidR="00024CF3" w:rsidRPr="00A91E83">
        <w:rPr>
          <w:rFonts w:ascii="Times New Roman" w:hAnsi="Times New Roman" w:cs="Times New Roman"/>
          <w:sz w:val="24"/>
          <w:szCs w:val="24"/>
        </w:rPr>
        <w:t xml:space="preserve"> </w:t>
      </w:r>
      <w:r w:rsidR="001A63F5" w:rsidRPr="00A91E83">
        <w:rPr>
          <w:rFonts w:ascii="Times New Roman" w:hAnsi="Times New Roman" w:cs="Times New Roman"/>
          <w:sz w:val="24"/>
          <w:szCs w:val="24"/>
        </w:rPr>
        <w:t xml:space="preserve">sandorių nutraukimas, </w:t>
      </w:r>
      <w:r w:rsidR="00024CF3" w:rsidRPr="00A91E83">
        <w:rPr>
          <w:rFonts w:ascii="Times New Roman" w:hAnsi="Times New Roman" w:cs="Times New Roman"/>
          <w:sz w:val="24"/>
          <w:szCs w:val="24"/>
        </w:rPr>
        <w:t>neapsiri</w:t>
      </w:r>
      <w:r w:rsidR="008A0FAB" w:rsidRPr="00A91E83">
        <w:rPr>
          <w:rFonts w:ascii="Times New Roman" w:hAnsi="Times New Roman" w:cs="Times New Roman"/>
          <w:sz w:val="24"/>
          <w:szCs w:val="24"/>
        </w:rPr>
        <w:t>bojant nei vienu konkreč</w:t>
      </w:r>
      <w:r w:rsidR="001A63F5" w:rsidRPr="00A91E83">
        <w:rPr>
          <w:rFonts w:ascii="Times New Roman" w:hAnsi="Times New Roman" w:cs="Times New Roman"/>
          <w:sz w:val="24"/>
          <w:szCs w:val="24"/>
        </w:rPr>
        <w:t>iu būdu, kaip tai bus atliekama, t. y. ar sukuriant teisinę fikciją</w:t>
      </w:r>
      <w:r w:rsidR="00370C2D" w:rsidRPr="00A91E83">
        <w:rPr>
          <w:rFonts w:ascii="Times New Roman" w:hAnsi="Times New Roman" w:cs="Times New Roman"/>
          <w:sz w:val="24"/>
          <w:szCs w:val="24"/>
        </w:rPr>
        <w:t>, kad prievolių terminai suėjo</w:t>
      </w:r>
      <w:r w:rsidR="001A63F5" w:rsidRPr="00A91E83">
        <w:rPr>
          <w:rFonts w:ascii="Times New Roman" w:hAnsi="Times New Roman" w:cs="Times New Roman"/>
          <w:sz w:val="24"/>
          <w:szCs w:val="24"/>
        </w:rPr>
        <w:t>, ar iškart</w:t>
      </w:r>
      <w:r w:rsidR="00370C2D" w:rsidRPr="00A91E83">
        <w:rPr>
          <w:rFonts w:ascii="Times New Roman" w:hAnsi="Times New Roman" w:cs="Times New Roman"/>
          <w:sz w:val="24"/>
          <w:szCs w:val="24"/>
        </w:rPr>
        <w:t xml:space="preserve"> jas</w:t>
      </w:r>
      <w:r w:rsidR="002206F9" w:rsidRPr="00A91E83">
        <w:rPr>
          <w:rFonts w:ascii="Times New Roman" w:hAnsi="Times New Roman" w:cs="Times New Roman"/>
          <w:sz w:val="24"/>
          <w:szCs w:val="24"/>
        </w:rPr>
        <w:t xml:space="preserve"> nutraukiant ir apskaičiuojant atsiradusius nuostolius.</w:t>
      </w:r>
    </w:p>
    <w:p w:rsidR="002F03CC" w:rsidRPr="00A91E83" w:rsidRDefault="00CF76CA"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Pagrindinis </w:t>
      </w:r>
      <w:r w:rsidR="004C164B" w:rsidRPr="00A91E83">
        <w:rPr>
          <w:rFonts w:ascii="Times New Roman" w:hAnsi="Times New Roman" w:cs="Times New Roman"/>
          <w:sz w:val="24"/>
          <w:szCs w:val="24"/>
        </w:rPr>
        <w:t>baigiamosios</w:t>
      </w:r>
      <w:r w:rsidRPr="00A91E83">
        <w:rPr>
          <w:rFonts w:ascii="Times New Roman" w:hAnsi="Times New Roman" w:cs="Times New Roman"/>
          <w:sz w:val="24"/>
          <w:szCs w:val="24"/>
        </w:rPr>
        <w:t xml:space="preserve"> užskaitos tikslas, tai sandorių, kurie dar nėra įvykdyti ar tebėra vykdomi tarp šalių, rizikos valdymas.</w:t>
      </w:r>
      <w:r w:rsidRPr="00A91E83">
        <w:rPr>
          <w:rStyle w:val="Puslapioinaosnuoroda"/>
          <w:rFonts w:ascii="Times New Roman" w:hAnsi="Times New Roman" w:cs="Times New Roman"/>
          <w:sz w:val="24"/>
          <w:szCs w:val="24"/>
        </w:rPr>
        <w:footnoteReference w:id="110"/>
      </w:r>
      <w:r w:rsidRPr="00A91E83">
        <w:rPr>
          <w:rFonts w:ascii="Times New Roman" w:hAnsi="Times New Roman" w:cs="Times New Roman"/>
          <w:sz w:val="24"/>
          <w:szCs w:val="24"/>
        </w:rPr>
        <w:t xml:space="preserve"> </w:t>
      </w:r>
      <w:r w:rsidR="002F03CC" w:rsidRPr="00A91E83">
        <w:rPr>
          <w:rFonts w:ascii="Times New Roman" w:hAnsi="Times New Roman" w:cs="Times New Roman"/>
          <w:sz w:val="24"/>
          <w:szCs w:val="24"/>
        </w:rPr>
        <w:t>Baigiamosios užskaitos sąlygos vykdymas vyksta trimis etapais: (1) prievolinių santykių tarp šal</w:t>
      </w:r>
      <w:r w:rsidR="005C36B2" w:rsidRPr="00A91E83">
        <w:rPr>
          <w:rFonts w:ascii="Times New Roman" w:hAnsi="Times New Roman" w:cs="Times New Roman"/>
          <w:sz w:val="24"/>
          <w:szCs w:val="24"/>
        </w:rPr>
        <w:t>ių nutraukimas anksčiau laiko ar</w:t>
      </w:r>
      <w:r w:rsidR="002F03CC" w:rsidRPr="00A91E83">
        <w:rPr>
          <w:rFonts w:ascii="Times New Roman" w:hAnsi="Times New Roman" w:cs="Times New Roman"/>
          <w:sz w:val="24"/>
          <w:szCs w:val="24"/>
        </w:rPr>
        <w:t xml:space="preserve"> visų tarpusavio prievolių vykdymo pagreitinimas, (2) tarpusavio prievolių vertės nustatymas (esant reikalui, visos mokėtinos sumos pakeičiamos viena, ta pačia valiuta), (3) gautų sumų įskaitymas, kurio padarinys – viena suma, mokėtina vienai iš šalių.</w:t>
      </w:r>
      <w:r w:rsidR="002F03CC" w:rsidRPr="00A91E83">
        <w:rPr>
          <w:rStyle w:val="Puslapioinaosnuoroda"/>
          <w:rFonts w:ascii="Times New Roman" w:hAnsi="Times New Roman" w:cs="Times New Roman"/>
          <w:sz w:val="24"/>
          <w:szCs w:val="24"/>
        </w:rPr>
        <w:footnoteReference w:id="111"/>
      </w:r>
    </w:p>
    <w:p w:rsidR="002F03CC" w:rsidRPr="00A91E83" w:rsidRDefault="00716057"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lastRenderedPageBreak/>
        <w:t xml:space="preserve">Visų pirma šalys turi galėti nutraukti tarpusavio sandorius. Sutarčių laisvės principas suteikia šalims galimybę susitarti dėl įvairių aplinkybių, kada sandoriai tarp jų bus </w:t>
      </w:r>
      <w:r w:rsidR="00DA56E6" w:rsidRPr="00A91E83">
        <w:rPr>
          <w:rFonts w:ascii="Times New Roman" w:hAnsi="Times New Roman" w:cs="Times New Roman"/>
          <w:sz w:val="24"/>
          <w:szCs w:val="24"/>
        </w:rPr>
        <w:t xml:space="preserve">vienašališkai </w:t>
      </w:r>
      <w:r w:rsidRPr="00A91E83">
        <w:rPr>
          <w:rFonts w:ascii="Times New Roman" w:hAnsi="Times New Roman" w:cs="Times New Roman"/>
          <w:sz w:val="24"/>
          <w:szCs w:val="24"/>
        </w:rPr>
        <w:t>nutraukti.</w:t>
      </w:r>
      <w:r w:rsidR="00095DCA" w:rsidRPr="00A91E83">
        <w:rPr>
          <w:rStyle w:val="Puslapioinaosnuoroda"/>
          <w:rFonts w:ascii="Times New Roman" w:hAnsi="Times New Roman" w:cs="Times New Roman"/>
          <w:sz w:val="24"/>
          <w:szCs w:val="24"/>
        </w:rPr>
        <w:footnoteReference w:id="112"/>
      </w:r>
      <w:r w:rsidRPr="00A91E83">
        <w:rPr>
          <w:rFonts w:ascii="Times New Roman" w:hAnsi="Times New Roman" w:cs="Times New Roman"/>
          <w:sz w:val="24"/>
          <w:szCs w:val="24"/>
        </w:rPr>
        <w:t xml:space="preserve"> Problemų gali iškilti, kada vienai iš šalių iškeliama bankroto byla.</w:t>
      </w:r>
      <w:r w:rsidR="00A91FC2" w:rsidRPr="00A91E83">
        <w:rPr>
          <w:rStyle w:val="Puslapioinaosnuoroda"/>
          <w:rFonts w:ascii="Times New Roman" w:hAnsi="Times New Roman" w:cs="Times New Roman"/>
          <w:sz w:val="24"/>
          <w:szCs w:val="24"/>
        </w:rPr>
        <w:footnoteReference w:id="113"/>
      </w:r>
      <w:r w:rsidRPr="00A91E83">
        <w:rPr>
          <w:rFonts w:ascii="Times New Roman" w:hAnsi="Times New Roman" w:cs="Times New Roman"/>
          <w:sz w:val="24"/>
          <w:szCs w:val="24"/>
        </w:rPr>
        <w:t xml:space="preserve"> Detali šios probleminės situacijos </w:t>
      </w:r>
      <w:r w:rsidR="00205B1D" w:rsidRPr="00A91E83">
        <w:rPr>
          <w:rFonts w:ascii="Times New Roman" w:hAnsi="Times New Roman" w:cs="Times New Roman"/>
          <w:sz w:val="24"/>
          <w:szCs w:val="24"/>
        </w:rPr>
        <w:t xml:space="preserve">analizė </w:t>
      </w:r>
      <w:r w:rsidRPr="00A91E83">
        <w:rPr>
          <w:rFonts w:ascii="Times New Roman" w:hAnsi="Times New Roman" w:cs="Times New Roman"/>
          <w:sz w:val="24"/>
          <w:szCs w:val="24"/>
        </w:rPr>
        <w:t>pateikiama IV darbo dalyje.</w:t>
      </w:r>
      <w:r w:rsidR="00095DCA" w:rsidRPr="00A91E83">
        <w:rPr>
          <w:rFonts w:ascii="Times New Roman" w:hAnsi="Times New Roman" w:cs="Times New Roman"/>
          <w:sz w:val="24"/>
          <w:szCs w:val="24"/>
        </w:rPr>
        <w:t xml:space="preserve"> </w:t>
      </w:r>
      <w:r w:rsidR="00D231AB" w:rsidRPr="00A91E83">
        <w:rPr>
          <w:rFonts w:ascii="Times New Roman" w:hAnsi="Times New Roman" w:cs="Times New Roman"/>
          <w:sz w:val="24"/>
          <w:szCs w:val="24"/>
        </w:rPr>
        <w:t>Kitu atveju, baigiamosios užskaitos sąlyga leidžia pagreitinti prievolės vykdymą, sukuriant teisinę fikciją</w:t>
      </w:r>
      <w:r w:rsidR="00205B1D" w:rsidRPr="00A91E83">
        <w:rPr>
          <w:rFonts w:ascii="Times New Roman" w:hAnsi="Times New Roman" w:cs="Times New Roman"/>
          <w:sz w:val="24"/>
          <w:szCs w:val="24"/>
        </w:rPr>
        <w:t>, jog pr</w:t>
      </w:r>
      <w:r w:rsidR="00D231AB" w:rsidRPr="00A91E83">
        <w:rPr>
          <w:rFonts w:ascii="Times New Roman" w:hAnsi="Times New Roman" w:cs="Times New Roman"/>
          <w:sz w:val="24"/>
          <w:szCs w:val="24"/>
        </w:rPr>
        <w:t>ievolių vykdymo terminai suėjo.</w:t>
      </w:r>
    </w:p>
    <w:p w:rsidR="00CF76CA" w:rsidRPr="00A91E83" w:rsidRDefault="00A631B8" w:rsidP="00A646AA">
      <w:pPr>
        <w:tabs>
          <w:tab w:val="left" w:pos="851"/>
        </w:tabs>
        <w:spacing w:after="0" w:line="360" w:lineRule="auto"/>
        <w:jc w:val="both"/>
        <w:rPr>
          <w:rFonts w:ascii="Times New Roman" w:hAnsi="Times New Roman" w:cs="Times New Roman"/>
          <w:sz w:val="24"/>
          <w:szCs w:val="24"/>
          <w:highlight w:val="lightGray"/>
        </w:rPr>
      </w:pPr>
      <w:r w:rsidRPr="00A91E83">
        <w:rPr>
          <w:rFonts w:ascii="Times New Roman" w:hAnsi="Times New Roman" w:cs="Times New Roman"/>
          <w:sz w:val="24"/>
          <w:szCs w:val="24"/>
        </w:rPr>
        <w:tab/>
      </w:r>
      <w:r w:rsidR="005C36B2" w:rsidRPr="00A91E83">
        <w:rPr>
          <w:rFonts w:ascii="Times New Roman" w:hAnsi="Times New Roman" w:cs="Times New Roman"/>
          <w:sz w:val="24"/>
          <w:szCs w:val="24"/>
        </w:rPr>
        <w:t xml:space="preserve">Kada vienu iš minėtų būdų šalių </w:t>
      </w:r>
      <w:r w:rsidR="00851B97" w:rsidRPr="00A91E83">
        <w:rPr>
          <w:rFonts w:ascii="Times New Roman" w:hAnsi="Times New Roman" w:cs="Times New Roman"/>
          <w:sz w:val="24"/>
          <w:szCs w:val="24"/>
        </w:rPr>
        <w:t xml:space="preserve">įsipareigojimai </w:t>
      </w:r>
      <w:r w:rsidR="005C36B2" w:rsidRPr="00A91E83">
        <w:rPr>
          <w:rFonts w:ascii="Times New Roman" w:hAnsi="Times New Roman" w:cs="Times New Roman"/>
          <w:sz w:val="24"/>
          <w:szCs w:val="24"/>
        </w:rPr>
        <w:t>nutraukiami</w:t>
      </w:r>
      <w:r w:rsidR="00851B97" w:rsidRPr="00A91E83">
        <w:rPr>
          <w:rFonts w:ascii="Times New Roman" w:hAnsi="Times New Roman" w:cs="Times New Roman"/>
          <w:sz w:val="24"/>
          <w:szCs w:val="24"/>
        </w:rPr>
        <w:t xml:space="preserve">, </w:t>
      </w:r>
      <w:r w:rsidR="005C36B2" w:rsidRPr="00A91E83">
        <w:rPr>
          <w:rFonts w:ascii="Times New Roman" w:hAnsi="Times New Roman" w:cs="Times New Roman"/>
          <w:sz w:val="24"/>
          <w:szCs w:val="24"/>
        </w:rPr>
        <w:t xml:space="preserve">tai prasideda </w:t>
      </w:r>
      <w:r w:rsidR="00851B97" w:rsidRPr="00A91E83">
        <w:rPr>
          <w:rFonts w:ascii="Times New Roman" w:hAnsi="Times New Roman" w:cs="Times New Roman"/>
          <w:sz w:val="24"/>
          <w:szCs w:val="24"/>
        </w:rPr>
        <w:t xml:space="preserve">antras </w:t>
      </w:r>
      <w:r w:rsidR="003F547D" w:rsidRPr="00A91E83">
        <w:rPr>
          <w:rFonts w:ascii="Times New Roman" w:hAnsi="Times New Roman" w:cs="Times New Roman"/>
          <w:sz w:val="24"/>
          <w:szCs w:val="24"/>
        </w:rPr>
        <w:t xml:space="preserve">užskaitos </w:t>
      </w:r>
      <w:r w:rsidR="00851B97" w:rsidRPr="00A91E83">
        <w:rPr>
          <w:rFonts w:ascii="Times New Roman" w:hAnsi="Times New Roman" w:cs="Times New Roman"/>
          <w:sz w:val="24"/>
          <w:szCs w:val="24"/>
        </w:rPr>
        <w:t xml:space="preserve">etapas. Pastarasis </w:t>
      </w:r>
      <w:r w:rsidR="003F12EA" w:rsidRPr="00A91E83">
        <w:rPr>
          <w:rFonts w:ascii="Times New Roman" w:hAnsi="Times New Roman" w:cs="Times New Roman"/>
          <w:sz w:val="24"/>
          <w:szCs w:val="24"/>
        </w:rPr>
        <w:t>apima įvairius</w:t>
      </w:r>
      <w:r w:rsidR="00593F2B" w:rsidRPr="00A91E83">
        <w:rPr>
          <w:rFonts w:ascii="Times New Roman" w:hAnsi="Times New Roman" w:cs="Times New Roman"/>
          <w:sz w:val="24"/>
          <w:szCs w:val="24"/>
        </w:rPr>
        <w:t xml:space="preserve"> sandorių</w:t>
      </w:r>
      <w:r w:rsidR="003F12EA" w:rsidRPr="00A91E83">
        <w:rPr>
          <w:rFonts w:ascii="Times New Roman" w:hAnsi="Times New Roman" w:cs="Times New Roman"/>
          <w:sz w:val="24"/>
          <w:szCs w:val="24"/>
        </w:rPr>
        <w:t xml:space="preserve"> įvertinimo procesus</w:t>
      </w:r>
      <w:r w:rsidR="00CF76CA" w:rsidRPr="00A91E83">
        <w:rPr>
          <w:rFonts w:ascii="Times New Roman" w:hAnsi="Times New Roman" w:cs="Times New Roman"/>
          <w:sz w:val="24"/>
          <w:szCs w:val="24"/>
        </w:rPr>
        <w:t xml:space="preserve">, </w:t>
      </w:r>
      <w:r w:rsidR="008C26F1" w:rsidRPr="00A91E83">
        <w:rPr>
          <w:rFonts w:ascii="Times New Roman" w:hAnsi="Times New Roman" w:cs="Times New Roman"/>
          <w:sz w:val="24"/>
          <w:szCs w:val="24"/>
        </w:rPr>
        <w:t>t. y.</w:t>
      </w:r>
      <w:r w:rsidR="00CF76CA" w:rsidRPr="00A91E83">
        <w:rPr>
          <w:rFonts w:ascii="Times New Roman" w:hAnsi="Times New Roman" w:cs="Times New Roman"/>
          <w:sz w:val="24"/>
          <w:szCs w:val="24"/>
        </w:rPr>
        <w:t xml:space="preserve"> </w:t>
      </w:r>
      <w:r w:rsidR="003F12EA" w:rsidRPr="00A91E83">
        <w:rPr>
          <w:rFonts w:ascii="Times New Roman" w:hAnsi="Times New Roman" w:cs="Times New Roman"/>
          <w:sz w:val="24"/>
          <w:szCs w:val="24"/>
        </w:rPr>
        <w:t>mechanizmus</w:t>
      </w:r>
      <w:r w:rsidR="008E6FF3" w:rsidRPr="00A91E83">
        <w:rPr>
          <w:rFonts w:ascii="Times New Roman" w:hAnsi="Times New Roman" w:cs="Times New Roman"/>
          <w:sz w:val="24"/>
          <w:szCs w:val="24"/>
        </w:rPr>
        <w:t>, kurių</w:t>
      </w:r>
      <w:r w:rsidR="00CF76CA" w:rsidRPr="00A91E83">
        <w:rPr>
          <w:rFonts w:ascii="Times New Roman" w:hAnsi="Times New Roman" w:cs="Times New Roman"/>
          <w:sz w:val="24"/>
          <w:szCs w:val="24"/>
        </w:rPr>
        <w:t xml:space="preserve"> pagalba įvairūs finansiniai įsipareigojimai yr</w:t>
      </w:r>
      <w:r w:rsidR="00593F2B" w:rsidRPr="00A91E83">
        <w:rPr>
          <w:rFonts w:ascii="Times New Roman" w:hAnsi="Times New Roman" w:cs="Times New Roman"/>
          <w:sz w:val="24"/>
          <w:szCs w:val="24"/>
        </w:rPr>
        <w:t>a paverčiami piniginiu mokėjimu</w:t>
      </w:r>
      <w:r w:rsidR="00A00942" w:rsidRPr="00A91E83">
        <w:rPr>
          <w:rFonts w:ascii="Times New Roman" w:hAnsi="Times New Roman" w:cs="Times New Roman"/>
          <w:sz w:val="24"/>
          <w:szCs w:val="24"/>
        </w:rPr>
        <w:t>,</w:t>
      </w:r>
      <w:r w:rsidR="00790C9E" w:rsidRPr="00A91E83">
        <w:rPr>
          <w:rFonts w:ascii="Times New Roman" w:hAnsi="Times New Roman" w:cs="Times New Roman"/>
          <w:sz w:val="24"/>
          <w:szCs w:val="24"/>
        </w:rPr>
        <w:t xml:space="preserve"> atsižvelgiant į rinkos kainą. </w:t>
      </w:r>
      <w:r w:rsidR="00A00942" w:rsidRPr="00A91E83">
        <w:rPr>
          <w:rFonts w:ascii="Times New Roman" w:hAnsi="Times New Roman" w:cs="Times New Roman"/>
          <w:sz w:val="24"/>
          <w:szCs w:val="24"/>
        </w:rPr>
        <w:t>Atsiradęs s</w:t>
      </w:r>
      <w:r w:rsidR="00790C9E" w:rsidRPr="00A91E83">
        <w:rPr>
          <w:rFonts w:ascii="Times New Roman" w:hAnsi="Times New Roman" w:cs="Times New Roman"/>
          <w:sz w:val="24"/>
          <w:szCs w:val="24"/>
        </w:rPr>
        <w:t>kirtumas tarp pirminio sandorio vertės ir ekvivalentinio sandorio sudarymo rinkos kainos</w:t>
      </w:r>
      <w:r w:rsidRPr="00A91E83">
        <w:rPr>
          <w:rFonts w:ascii="Times New Roman" w:hAnsi="Times New Roman" w:cs="Times New Roman"/>
          <w:sz w:val="24"/>
          <w:szCs w:val="24"/>
        </w:rPr>
        <w:t>,</w:t>
      </w:r>
      <w:r w:rsidR="00790C9E" w:rsidRPr="00A91E83">
        <w:rPr>
          <w:rFonts w:ascii="Times New Roman" w:hAnsi="Times New Roman" w:cs="Times New Roman"/>
          <w:sz w:val="24"/>
          <w:szCs w:val="24"/>
        </w:rPr>
        <w:t xml:space="preserve"> lyginant šiuos du momentus</w:t>
      </w:r>
      <w:r w:rsidRPr="00A91E83">
        <w:rPr>
          <w:rFonts w:ascii="Times New Roman" w:hAnsi="Times New Roman" w:cs="Times New Roman"/>
          <w:sz w:val="24"/>
          <w:szCs w:val="24"/>
        </w:rPr>
        <w:t>,</w:t>
      </w:r>
      <w:r w:rsidR="00790C9E" w:rsidRPr="00A91E83">
        <w:rPr>
          <w:rFonts w:ascii="Times New Roman" w:hAnsi="Times New Roman" w:cs="Times New Roman"/>
          <w:sz w:val="24"/>
          <w:szCs w:val="24"/>
        </w:rPr>
        <w:t xml:space="preserve"> yra laikomas sandorio pakeitimo kaina. Sandorio pakeitimo kaina nėra bendroji suma, kuri pagal išvestinių finansinių priemonių sandorį turėjo būti sumokėta, bet yra skirtumas tarp to, ką šalys turėjo sumokėti, sandorio sudarymo metu kad įvykdytų prievolę, ir </w:t>
      </w:r>
      <w:r w:rsidR="00A00942" w:rsidRPr="00A91E83">
        <w:rPr>
          <w:rFonts w:ascii="Times New Roman" w:hAnsi="Times New Roman" w:cs="Times New Roman"/>
          <w:sz w:val="24"/>
          <w:szCs w:val="24"/>
        </w:rPr>
        <w:t xml:space="preserve">ką </w:t>
      </w:r>
      <w:r w:rsidR="00790C9E" w:rsidRPr="00A91E83">
        <w:rPr>
          <w:rFonts w:ascii="Times New Roman" w:hAnsi="Times New Roman" w:cs="Times New Roman"/>
          <w:sz w:val="24"/>
          <w:szCs w:val="24"/>
        </w:rPr>
        <w:t xml:space="preserve">dabar turėtų </w:t>
      </w:r>
      <w:r w:rsidR="00A00942" w:rsidRPr="00A91E83">
        <w:rPr>
          <w:rFonts w:ascii="Times New Roman" w:hAnsi="Times New Roman" w:cs="Times New Roman"/>
          <w:sz w:val="24"/>
          <w:szCs w:val="24"/>
        </w:rPr>
        <w:t>s</w:t>
      </w:r>
      <w:r w:rsidR="00790C9E" w:rsidRPr="00A91E83">
        <w:rPr>
          <w:rFonts w:ascii="Times New Roman" w:hAnsi="Times New Roman" w:cs="Times New Roman"/>
          <w:sz w:val="24"/>
          <w:szCs w:val="24"/>
        </w:rPr>
        <w:t xml:space="preserve">umokėti, </w:t>
      </w:r>
      <w:proofErr w:type="spellStart"/>
      <w:r w:rsidR="00790C9E" w:rsidRPr="00A91E83">
        <w:rPr>
          <w:rFonts w:ascii="Times New Roman" w:hAnsi="Times New Roman" w:cs="Times New Roman"/>
          <w:sz w:val="24"/>
          <w:szCs w:val="24"/>
        </w:rPr>
        <w:t>pvz</w:t>
      </w:r>
      <w:proofErr w:type="spellEnd"/>
      <w:r w:rsidR="00790C9E" w:rsidRPr="00A91E83">
        <w:rPr>
          <w:rFonts w:ascii="Times New Roman" w:hAnsi="Times New Roman" w:cs="Times New Roman"/>
          <w:sz w:val="24"/>
          <w:szCs w:val="24"/>
        </w:rPr>
        <w:t>.: nemokumo momentu.</w:t>
      </w:r>
      <w:r w:rsidR="00790C9E" w:rsidRPr="00A91E83">
        <w:rPr>
          <w:rStyle w:val="Puslapioinaosnuoroda"/>
          <w:rFonts w:ascii="Times New Roman" w:eastAsia="Times New Roman" w:hAnsi="Times New Roman" w:cs="Times New Roman"/>
          <w:color w:val="000000"/>
          <w:sz w:val="24"/>
          <w:szCs w:val="24"/>
        </w:rPr>
        <w:footnoteReference w:id="114"/>
      </w:r>
      <w:r w:rsidR="00790C9E" w:rsidRPr="00A91E83">
        <w:rPr>
          <w:rFonts w:ascii="Times New Roman" w:hAnsi="Times New Roman" w:cs="Times New Roman"/>
          <w:sz w:val="24"/>
          <w:szCs w:val="24"/>
        </w:rPr>
        <w:t xml:space="preserve"> Pabrėžtina, kad sandorio pakeitimo kaina gali būti teigiama ar neigiama, atsižvelgiant į rinkos krypties judėjimo tendenciją. Dėl išvestinių finansinių priemonių simetriškumo vienos iš šalies nuostoliai bus lygus kitos pelnui.</w:t>
      </w:r>
      <w:r w:rsidR="00A646AA" w:rsidRPr="00A91E83">
        <w:rPr>
          <w:rFonts w:ascii="Times New Roman" w:hAnsi="Times New Roman" w:cs="Times New Roman"/>
          <w:sz w:val="24"/>
          <w:szCs w:val="24"/>
        </w:rPr>
        <w:t xml:space="preserve"> Taigi k</w:t>
      </w:r>
      <w:r w:rsidR="00B94399" w:rsidRPr="00A91E83">
        <w:rPr>
          <w:rFonts w:ascii="Times New Roman" w:hAnsi="Times New Roman" w:cs="Times New Roman"/>
          <w:sz w:val="24"/>
          <w:szCs w:val="24"/>
        </w:rPr>
        <w:t>ompleksinė</w:t>
      </w:r>
      <w:r w:rsidR="00C559E3" w:rsidRPr="00A91E83">
        <w:rPr>
          <w:rFonts w:ascii="Times New Roman" w:hAnsi="Times New Roman" w:cs="Times New Roman"/>
          <w:sz w:val="24"/>
          <w:szCs w:val="24"/>
        </w:rPr>
        <w:t>s</w:t>
      </w:r>
      <w:r w:rsidR="00B94399" w:rsidRPr="00A91E83">
        <w:rPr>
          <w:rFonts w:ascii="Times New Roman" w:hAnsi="Times New Roman" w:cs="Times New Roman"/>
          <w:sz w:val="24"/>
          <w:szCs w:val="24"/>
        </w:rPr>
        <w:t xml:space="preserve"> procedūr</w:t>
      </w:r>
      <w:r w:rsidR="00C559E3" w:rsidRPr="00A91E83">
        <w:rPr>
          <w:rFonts w:ascii="Times New Roman" w:hAnsi="Times New Roman" w:cs="Times New Roman"/>
          <w:sz w:val="24"/>
          <w:szCs w:val="24"/>
        </w:rPr>
        <w:t>os</w:t>
      </w:r>
      <w:r w:rsidR="00B94399" w:rsidRPr="00A91E83">
        <w:rPr>
          <w:rFonts w:ascii="Times New Roman" w:hAnsi="Times New Roman" w:cs="Times New Roman"/>
          <w:sz w:val="24"/>
          <w:szCs w:val="24"/>
        </w:rPr>
        <w:t xml:space="preserve"> leidžia tiksliai nustatyti įsipareigojimų</w:t>
      </w:r>
      <w:r w:rsidR="00A646AA" w:rsidRPr="00A91E83">
        <w:rPr>
          <w:rFonts w:ascii="Times New Roman" w:hAnsi="Times New Roman" w:cs="Times New Roman"/>
          <w:sz w:val="24"/>
          <w:szCs w:val="24"/>
        </w:rPr>
        <w:t>, kylančių iš sandorių</w:t>
      </w:r>
      <w:r w:rsidR="00A00942" w:rsidRPr="00A91E83">
        <w:rPr>
          <w:rFonts w:ascii="Times New Roman" w:hAnsi="Times New Roman" w:cs="Times New Roman"/>
          <w:sz w:val="24"/>
          <w:szCs w:val="24"/>
        </w:rPr>
        <w:t>,</w:t>
      </w:r>
      <w:r w:rsidR="00A646AA" w:rsidRPr="00A91E83">
        <w:rPr>
          <w:rFonts w:ascii="Times New Roman" w:hAnsi="Times New Roman" w:cs="Times New Roman"/>
          <w:sz w:val="24"/>
          <w:szCs w:val="24"/>
        </w:rPr>
        <w:t xml:space="preserve"> sudarytų tarp šalių,</w:t>
      </w:r>
      <w:r w:rsidR="00B94399" w:rsidRPr="00A91E83">
        <w:rPr>
          <w:rFonts w:ascii="Times New Roman" w:hAnsi="Times New Roman" w:cs="Times New Roman"/>
          <w:sz w:val="24"/>
          <w:szCs w:val="24"/>
        </w:rPr>
        <w:t xml:space="preserve"> vertę dabartinėje rinkoje</w:t>
      </w:r>
      <w:r w:rsidR="00A00942" w:rsidRPr="00A91E83">
        <w:rPr>
          <w:rFonts w:ascii="Times New Roman" w:hAnsi="Times New Roman" w:cs="Times New Roman"/>
          <w:sz w:val="24"/>
          <w:szCs w:val="24"/>
        </w:rPr>
        <w:t>,</w:t>
      </w:r>
      <w:r w:rsidR="00B10A94" w:rsidRPr="00A91E83">
        <w:rPr>
          <w:rFonts w:ascii="Times New Roman" w:hAnsi="Times New Roman" w:cs="Times New Roman"/>
          <w:sz w:val="24"/>
          <w:szCs w:val="24"/>
        </w:rPr>
        <w:t xml:space="preserve"> taip pat konvertuoti tuos įsipareigojimus į tinkamą valiutą</w:t>
      </w:r>
      <w:r w:rsidR="006C2ED5" w:rsidRPr="00A91E83">
        <w:rPr>
          <w:rFonts w:ascii="Times New Roman" w:hAnsi="Times New Roman" w:cs="Times New Roman"/>
          <w:sz w:val="24"/>
          <w:szCs w:val="24"/>
        </w:rPr>
        <w:t xml:space="preserve"> (jeigu yra poreikis).</w:t>
      </w:r>
    </w:p>
    <w:p w:rsidR="00E4687B" w:rsidRPr="00A91E83" w:rsidRDefault="007F24A0" w:rsidP="00E4687B">
      <w:pPr>
        <w:pStyle w:val="Sraopastraipa"/>
        <w:tabs>
          <w:tab w:val="left" w:pos="851"/>
        </w:tabs>
        <w:spacing w:after="0" w:line="360" w:lineRule="auto"/>
        <w:ind w:left="0" w:firstLine="851"/>
        <w:jc w:val="both"/>
        <w:rPr>
          <w:rFonts w:ascii="Times New Roman" w:hAnsi="Times New Roman" w:cs="Times New Roman"/>
          <w:sz w:val="24"/>
          <w:szCs w:val="24"/>
        </w:rPr>
      </w:pPr>
      <w:r w:rsidRPr="00A91E83">
        <w:rPr>
          <w:rFonts w:ascii="Times New Roman" w:hAnsi="Times New Roman" w:cs="Times New Roman"/>
          <w:sz w:val="24"/>
          <w:szCs w:val="24"/>
        </w:rPr>
        <w:t>Trečias etapas</w:t>
      </w:r>
      <w:r w:rsidR="006D578C" w:rsidRPr="00A91E83">
        <w:rPr>
          <w:rFonts w:ascii="Times New Roman" w:hAnsi="Times New Roman" w:cs="Times New Roman"/>
          <w:sz w:val="24"/>
          <w:szCs w:val="24"/>
        </w:rPr>
        <w:t xml:space="preserve"> prasideda, kai yra nustatyti priešpriešiniai mokėjimai, ar pakeitimo kaina sandorių dėl išvestinių finansinių priemonių.</w:t>
      </w:r>
      <w:r w:rsidRPr="00A91E83">
        <w:rPr>
          <w:rFonts w:ascii="Times New Roman" w:hAnsi="Times New Roman" w:cs="Times New Roman"/>
          <w:sz w:val="24"/>
          <w:szCs w:val="24"/>
        </w:rPr>
        <w:t xml:space="preserve"> </w:t>
      </w:r>
      <w:r w:rsidR="006D578C" w:rsidRPr="00A91E83">
        <w:rPr>
          <w:rFonts w:ascii="Times New Roman" w:hAnsi="Times New Roman" w:cs="Times New Roman"/>
          <w:sz w:val="24"/>
          <w:szCs w:val="24"/>
        </w:rPr>
        <w:t xml:space="preserve">Paskutinis žingsnis apima priešpriešinių </w:t>
      </w:r>
      <w:r w:rsidR="00121223" w:rsidRPr="00A91E83">
        <w:rPr>
          <w:rFonts w:ascii="Times New Roman" w:hAnsi="Times New Roman" w:cs="Times New Roman"/>
          <w:sz w:val="24"/>
          <w:szCs w:val="24"/>
        </w:rPr>
        <w:t>įsipareigojimų</w:t>
      </w:r>
      <w:r w:rsidR="00924A06" w:rsidRPr="00A91E83">
        <w:rPr>
          <w:rFonts w:ascii="Times New Roman" w:hAnsi="Times New Roman" w:cs="Times New Roman"/>
          <w:sz w:val="24"/>
          <w:szCs w:val="24"/>
        </w:rPr>
        <w:t>,</w:t>
      </w:r>
      <w:r w:rsidR="00121223" w:rsidRPr="00A91E83">
        <w:rPr>
          <w:rFonts w:ascii="Times New Roman" w:hAnsi="Times New Roman" w:cs="Times New Roman"/>
          <w:sz w:val="24"/>
          <w:szCs w:val="24"/>
        </w:rPr>
        <w:t xml:space="preserve"> kylančių iš vieno ar kelių </w:t>
      </w:r>
      <w:r w:rsidR="006D578C" w:rsidRPr="00A91E83">
        <w:rPr>
          <w:rFonts w:ascii="Times New Roman" w:hAnsi="Times New Roman" w:cs="Times New Roman"/>
          <w:sz w:val="24"/>
          <w:szCs w:val="24"/>
        </w:rPr>
        <w:t>sandorių</w:t>
      </w:r>
      <w:r w:rsidR="00924A06" w:rsidRPr="00A91E83">
        <w:rPr>
          <w:rFonts w:ascii="Times New Roman" w:hAnsi="Times New Roman" w:cs="Times New Roman"/>
          <w:sz w:val="24"/>
          <w:szCs w:val="24"/>
        </w:rPr>
        <w:t>,</w:t>
      </w:r>
      <w:r w:rsidR="006D578C" w:rsidRPr="00A91E83">
        <w:rPr>
          <w:rFonts w:ascii="Times New Roman" w:hAnsi="Times New Roman" w:cs="Times New Roman"/>
          <w:sz w:val="24"/>
          <w:szCs w:val="24"/>
        </w:rPr>
        <w:t xml:space="preserve"> sujungimą į vieną bendrą balansą. Po tokio veiksmo lieka įsipareigojimas tik vienai iš šalių atlikti mokėjimą, kurios reikalavimų suma buvo mažesnė už įsipareigojimų sumą. </w:t>
      </w:r>
      <w:r w:rsidR="00640704" w:rsidRPr="00A91E83">
        <w:rPr>
          <w:rFonts w:ascii="Times New Roman" w:hAnsi="Times New Roman" w:cs="Times New Roman"/>
          <w:sz w:val="24"/>
          <w:szCs w:val="24"/>
        </w:rPr>
        <w:t>J</w:t>
      </w:r>
      <w:r w:rsidR="00FC694D" w:rsidRPr="00A91E83">
        <w:rPr>
          <w:rFonts w:ascii="Times New Roman" w:hAnsi="Times New Roman" w:cs="Times New Roman"/>
          <w:sz w:val="24"/>
          <w:szCs w:val="24"/>
        </w:rPr>
        <w:t>eigu buvo sudarytas sandoris dėl prievolių įvykdymo užtikrinimo perduodant finansinį užstatą, tai jo vertė įtraukiama į galutinės mokėtinos sumos</w:t>
      </w:r>
      <w:r w:rsidR="00ED64B0" w:rsidRPr="00A91E83">
        <w:rPr>
          <w:rFonts w:ascii="Times New Roman" w:hAnsi="Times New Roman" w:cs="Times New Roman"/>
          <w:sz w:val="24"/>
          <w:szCs w:val="24"/>
        </w:rPr>
        <w:t xml:space="preserve"> </w:t>
      </w:r>
      <w:r w:rsidR="00A646AA" w:rsidRPr="00A91E83">
        <w:rPr>
          <w:rFonts w:ascii="Times New Roman" w:hAnsi="Times New Roman" w:cs="Times New Roman"/>
          <w:sz w:val="24"/>
          <w:szCs w:val="24"/>
        </w:rPr>
        <w:t>balansą</w:t>
      </w:r>
      <w:r w:rsidR="00ED64B0" w:rsidRPr="00A91E83">
        <w:rPr>
          <w:rFonts w:ascii="Times New Roman" w:hAnsi="Times New Roman" w:cs="Times New Roman"/>
          <w:sz w:val="24"/>
          <w:szCs w:val="24"/>
        </w:rPr>
        <w:t xml:space="preserve"> taip pat</w:t>
      </w:r>
      <w:r w:rsidR="00FC694D" w:rsidRPr="00A91E83">
        <w:rPr>
          <w:rFonts w:ascii="Times New Roman" w:hAnsi="Times New Roman" w:cs="Times New Roman"/>
          <w:sz w:val="24"/>
          <w:szCs w:val="24"/>
        </w:rPr>
        <w:t>.</w:t>
      </w:r>
      <w:r w:rsidR="00FC694D" w:rsidRPr="00A91E83">
        <w:rPr>
          <w:rStyle w:val="Puslapioinaosnuoroda"/>
          <w:rFonts w:ascii="Times New Roman" w:hAnsi="Times New Roman" w:cs="Times New Roman"/>
          <w:sz w:val="24"/>
          <w:szCs w:val="24"/>
        </w:rPr>
        <w:footnoteReference w:id="115"/>
      </w:r>
    </w:p>
    <w:p w:rsidR="00CD76E9" w:rsidRPr="00A91E83" w:rsidRDefault="00CD76E9" w:rsidP="00E4687B">
      <w:pPr>
        <w:pStyle w:val="Sraopastraipa"/>
        <w:tabs>
          <w:tab w:val="left" w:pos="851"/>
        </w:tabs>
        <w:spacing w:after="0" w:line="360" w:lineRule="auto"/>
        <w:ind w:left="0" w:firstLine="851"/>
        <w:jc w:val="both"/>
        <w:rPr>
          <w:rFonts w:ascii="Times New Roman" w:hAnsi="Times New Roman" w:cs="Times New Roman"/>
          <w:sz w:val="24"/>
          <w:szCs w:val="24"/>
        </w:rPr>
      </w:pPr>
      <w:r w:rsidRPr="00A91E83">
        <w:rPr>
          <w:rFonts w:ascii="Times New Roman" w:hAnsi="Times New Roman" w:cs="Times New Roman"/>
          <w:sz w:val="24"/>
          <w:szCs w:val="24"/>
        </w:rPr>
        <w:t>Apibendrinant</w:t>
      </w:r>
      <w:r w:rsidR="00924A06" w:rsidRPr="00A91E83">
        <w:rPr>
          <w:rFonts w:ascii="Times New Roman" w:hAnsi="Times New Roman" w:cs="Times New Roman"/>
          <w:sz w:val="24"/>
          <w:szCs w:val="24"/>
        </w:rPr>
        <w:t>,</w:t>
      </w:r>
      <w:r w:rsidRPr="00A91E83">
        <w:rPr>
          <w:rFonts w:ascii="Times New Roman" w:hAnsi="Times New Roman" w:cs="Times New Roman"/>
          <w:sz w:val="24"/>
          <w:szCs w:val="24"/>
        </w:rPr>
        <w:t xml:space="preserve"> baigiamosios užskaitos procedūra susideda iš: (1) sandorių nutraukimo; (2) įvertinimo (nuostolių ar pelno apskaičiavimo); ir (3) įskaitymo (visų galutinių įsipareigojimų susumavimas į vieną balansą). Lyginant, įskaitymo procedūra apima tik vieną žingsnį – </w:t>
      </w:r>
      <w:r w:rsidRPr="00A91E83">
        <w:rPr>
          <w:rFonts w:ascii="Times New Roman" w:hAnsi="Times New Roman" w:cs="Times New Roman"/>
          <w:sz w:val="24"/>
          <w:szCs w:val="24"/>
        </w:rPr>
        <w:lastRenderedPageBreak/>
        <w:t>įskaitymą.</w:t>
      </w:r>
      <w:r w:rsidRPr="00A91E83">
        <w:rPr>
          <w:rStyle w:val="Puslapioinaosnuoroda"/>
          <w:rFonts w:ascii="Times New Roman" w:hAnsi="Times New Roman" w:cs="Times New Roman"/>
          <w:sz w:val="24"/>
          <w:szCs w:val="24"/>
        </w:rPr>
        <w:footnoteReference w:id="116"/>
      </w:r>
      <w:r w:rsidRPr="00A91E83">
        <w:rPr>
          <w:rFonts w:ascii="Times New Roman" w:hAnsi="Times New Roman" w:cs="Times New Roman"/>
          <w:sz w:val="24"/>
          <w:szCs w:val="24"/>
        </w:rPr>
        <w:t xml:space="preserve"> Mokėjimo užskaitos atveju įsipareigojimai atsiranda suėjus terminui įvykdyti įsipareigojimus, o baigiamosios užskaitos atveju šis terminas natūraliai nesueina, nes sandoris tarp šalių yra nutraukiamas anksčiau laiko arba mechaniškai pagreitinimas ir laikomas jau įvykusiu.</w:t>
      </w:r>
      <w:r w:rsidRPr="00A91E83">
        <w:rPr>
          <w:rStyle w:val="Puslapioinaosnuoroda"/>
          <w:rFonts w:ascii="Times New Roman" w:hAnsi="Times New Roman" w:cs="Times New Roman"/>
          <w:sz w:val="24"/>
          <w:szCs w:val="24"/>
        </w:rPr>
        <w:footnoteReference w:id="117"/>
      </w:r>
    </w:p>
    <w:p w:rsidR="00E4687B" w:rsidRPr="00A91E83" w:rsidRDefault="00E4687B" w:rsidP="00E4687B">
      <w:pPr>
        <w:pStyle w:val="Sraopastraipa"/>
        <w:tabs>
          <w:tab w:val="left" w:pos="851"/>
        </w:tabs>
        <w:spacing w:after="0" w:line="360" w:lineRule="auto"/>
        <w:ind w:left="0" w:firstLine="851"/>
        <w:jc w:val="both"/>
        <w:rPr>
          <w:rFonts w:ascii="Times New Roman" w:hAnsi="Times New Roman" w:cs="Times New Roman"/>
          <w:sz w:val="24"/>
          <w:szCs w:val="24"/>
        </w:rPr>
      </w:pPr>
    </w:p>
    <w:p w:rsidR="00E4687B" w:rsidRPr="00A91E83" w:rsidRDefault="00586505" w:rsidP="00586505">
      <w:pPr>
        <w:pStyle w:val="Sraopastraipa"/>
        <w:numPr>
          <w:ilvl w:val="2"/>
          <w:numId w:val="4"/>
        </w:numPr>
        <w:tabs>
          <w:tab w:val="left" w:pos="851"/>
        </w:tabs>
        <w:spacing w:after="0" w:line="360" w:lineRule="auto"/>
        <w:ind w:left="0" w:firstLine="0"/>
        <w:jc w:val="both"/>
        <w:outlineLvl w:val="2"/>
        <w:rPr>
          <w:rFonts w:ascii="Times New Roman" w:hAnsi="Times New Roman" w:cs="Times New Roman"/>
          <w:b/>
          <w:sz w:val="24"/>
          <w:szCs w:val="24"/>
        </w:rPr>
      </w:pPr>
      <w:bookmarkStart w:id="22" w:name="_Toc280546455"/>
      <w:r w:rsidRPr="00A91E83">
        <w:rPr>
          <w:rFonts w:ascii="Times New Roman" w:hAnsi="Times New Roman" w:cs="Times New Roman"/>
          <w:b/>
          <w:sz w:val="24"/>
          <w:szCs w:val="24"/>
        </w:rPr>
        <w:t>Užskaita</w:t>
      </w:r>
      <w:r w:rsidR="000C531D" w:rsidRPr="00A91E83">
        <w:rPr>
          <w:rFonts w:ascii="Times New Roman" w:hAnsi="Times New Roman" w:cs="Times New Roman"/>
          <w:b/>
          <w:sz w:val="24"/>
          <w:szCs w:val="24"/>
        </w:rPr>
        <w:t xml:space="preserve"> novacij</w:t>
      </w:r>
      <w:r w:rsidRPr="00A91E83">
        <w:rPr>
          <w:rFonts w:ascii="Times New Roman" w:hAnsi="Times New Roman" w:cs="Times New Roman"/>
          <w:b/>
          <w:sz w:val="24"/>
          <w:szCs w:val="24"/>
        </w:rPr>
        <w:t>os būdu</w:t>
      </w:r>
      <w:bookmarkEnd w:id="22"/>
      <w:r w:rsidR="00CB739F" w:rsidRPr="00A91E83">
        <w:rPr>
          <w:rFonts w:ascii="Times New Roman" w:hAnsi="Times New Roman" w:cs="Times New Roman"/>
          <w:b/>
          <w:sz w:val="24"/>
          <w:szCs w:val="24"/>
        </w:rPr>
        <w:t xml:space="preserve"> </w:t>
      </w:r>
    </w:p>
    <w:p w:rsidR="00E4687B" w:rsidRPr="00A91E83" w:rsidRDefault="00E4687B" w:rsidP="00E4687B">
      <w:pPr>
        <w:pStyle w:val="Sraopastraipa"/>
        <w:tabs>
          <w:tab w:val="left" w:pos="851"/>
        </w:tabs>
        <w:spacing w:after="0" w:line="360" w:lineRule="auto"/>
        <w:ind w:left="0" w:firstLine="851"/>
        <w:jc w:val="both"/>
        <w:rPr>
          <w:rFonts w:ascii="Times New Roman" w:hAnsi="Times New Roman" w:cs="Times New Roman"/>
          <w:sz w:val="24"/>
          <w:szCs w:val="24"/>
        </w:rPr>
      </w:pPr>
    </w:p>
    <w:p w:rsidR="00C75FA0" w:rsidRPr="00A91E83" w:rsidRDefault="006D578C" w:rsidP="00140EB9">
      <w:pPr>
        <w:pStyle w:val="Sraopastraipa"/>
        <w:tabs>
          <w:tab w:val="left" w:pos="851"/>
        </w:tabs>
        <w:spacing w:after="0" w:line="360" w:lineRule="auto"/>
        <w:ind w:left="0" w:firstLine="851"/>
        <w:jc w:val="both"/>
        <w:rPr>
          <w:rFonts w:ascii="Times New Roman" w:hAnsi="Times New Roman" w:cs="Times New Roman"/>
          <w:sz w:val="24"/>
          <w:szCs w:val="24"/>
        </w:rPr>
      </w:pPr>
      <w:r w:rsidRPr="00A91E83">
        <w:rPr>
          <w:rFonts w:ascii="Times New Roman" w:hAnsi="Times New Roman" w:cs="Times New Roman"/>
          <w:sz w:val="24"/>
          <w:szCs w:val="24"/>
        </w:rPr>
        <w:t>Novacija, tai vienos prievolės pakeitimas kita, kai pakeitus pirmoji prievolė baigiasi.</w:t>
      </w:r>
      <w:r w:rsidRPr="00A91E83">
        <w:rPr>
          <w:rStyle w:val="Puslapioinaosnuoroda"/>
          <w:rFonts w:ascii="Times New Roman" w:hAnsi="Times New Roman" w:cs="Times New Roman"/>
          <w:sz w:val="24"/>
          <w:szCs w:val="24"/>
        </w:rPr>
        <w:footnoteReference w:id="118"/>
      </w:r>
      <w:r w:rsidRPr="00A91E83">
        <w:rPr>
          <w:rFonts w:ascii="Times New Roman" w:hAnsi="Times New Roman" w:cs="Times New Roman"/>
          <w:sz w:val="24"/>
          <w:szCs w:val="24"/>
        </w:rPr>
        <w:t xml:space="preserve"> </w:t>
      </w:r>
      <w:r w:rsidR="00666C99" w:rsidRPr="00A91E83">
        <w:rPr>
          <w:rFonts w:ascii="Times New Roman" w:hAnsi="Times New Roman" w:cs="Times New Roman"/>
          <w:sz w:val="24"/>
          <w:szCs w:val="24"/>
        </w:rPr>
        <w:t xml:space="preserve">Lietuvos teisės doktrinoje pripažįstamos šios novacijos sąlygos: (1) </w:t>
      </w:r>
      <w:r w:rsidR="00140EB9" w:rsidRPr="00A91E83">
        <w:rPr>
          <w:rFonts w:ascii="Times New Roman" w:hAnsi="Times New Roman" w:cs="Times New Roman"/>
          <w:sz w:val="24"/>
          <w:szCs w:val="24"/>
        </w:rPr>
        <w:t xml:space="preserve">turi egzistuoti </w:t>
      </w:r>
      <w:r w:rsidR="00666C99" w:rsidRPr="00A91E83">
        <w:rPr>
          <w:rFonts w:ascii="Times New Roman" w:hAnsi="Times New Roman" w:cs="Times New Roman"/>
          <w:sz w:val="24"/>
          <w:szCs w:val="24"/>
        </w:rPr>
        <w:t>esama prievolė; (2) nauja prievolė; (3</w:t>
      </w:r>
      <w:r w:rsidR="00140EB9" w:rsidRPr="00A91E83">
        <w:rPr>
          <w:rFonts w:ascii="Times New Roman" w:hAnsi="Times New Roman" w:cs="Times New Roman"/>
          <w:sz w:val="24"/>
          <w:szCs w:val="24"/>
        </w:rPr>
        <w:t>) naujoji prievolė</w:t>
      </w:r>
      <w:r w:rsidR="00666C99" w:rsidRPr="00A91E83">
        <w:rPr>
          <w:rFonts w:ascii="Times New Roman" w:hAnsi="Times New Roman" w:cs="Times New Roman"/>
          <w:sz w:val="24"/>
          <w:szCs w:val="24"/>
        </w:rPr>
        <w:t xml:space="preserve"> turi </w:t>
      </w:r>
      <w:r w:rsidR="00B85F3A" w:rsidRPr="00A91E83">
        <w:rPr>
          <w:rFonts w:ascii="Times New Roman" w:hAnsi="Times New Roman" w:cs="Times New Roman"/>
          <w:sz w:val="24"/>
          <w:szCs w:val="24"/>
        </w:rPr>
        <w:t xml:space="preserve">turėti </w:t>
      </w:r>
      <w:r w:rsidR="00666C99" w:rsidRPr="00A91E83">
        <w:rPr>
          <w:rFonts w:ascii="Times New Roman" w:hAnsi="Times New Roman" w:cs="Times New Roman"/>
          <w:sz w:val="24"/>
          <w:szCs w:val="24"/>
        </w:rPr>
        <w:t xml:space="preserve">skirtingą negu ankstesnioji dalyką ar įvykdymo būdą, </w:t>
      </w:r>
      <w:r w:rsidR="00B85F3A" w:rsidRPr="00A91E83">
        <w:rPr>
          <w:rFonts w:ascii="Times New Roman" w:hAnsi="Times New Roman" w:cs="Times New Roman"/>
          <w:sz w:val="24"/>
          <w:szCs w:val="24"/>
        </w:rPr>
        <w:t xml:space="preserve">ir </w:t>
      </w:r>
      <w:r w:rsidR="00666C99" w:rsidRPr="00A91E83">
        <w:rPr>
          <w:rFonts w:ascii="Times New Roman" w:hAnsi="Times New Roman" w:cs="Times New Roman"/>
          <w:sz w:val="24"/>
          <w:szCs w:val="24"/>
        </w:rPr>
        <w:t xml:space="preserve">(4) šalių susitarimas – intencija pakeisti esamą prievolę nauja. </w:t>
      </w:r>
      <w:r w:rsidR="00666C99" w:rsidRPr="00A91E83">
        <w:rPr>
          <w:rStyle w:val="Puslapioinaosnuoroda"/>
          <w:rFonts w:ascii="Times New Roman" w:hAnsi="Times New Roman" w:cs="Times New Roman"/>
          <w:sz w:val="24"/>
          <w:szCs w:val="24"/>
        </w:rPr>
        <w:footnoteReference w:id="119"/>
      </w:r>
      <w:r w:rsidR="00666C99" w:rsidRPr="00A91E83">
        <w:rPr>
          <w:rFonts w:ascii="Times New Roman" w:hAnsi="Times New Roman" w:cs="Times New Roman"/>
          <w:sz w:val="24"/>
          <w:szCs w:val="24"/>
        </w:rPr>
        <w:t xml:space="preserve"> Taigi užskaita</w:t>
      </w:r>
      <w:r w:rsidR="002C6956" w:rsidRPr="00A91E83">
        <w:rPr>
          <w:rFonts w:ascii="Times New Roman" w:hAnsi="Times New Roman" w:cs="Times New Roman"/>
          <w:sz w:val="24"/>
          <w:szCs w:val="24"/>
        </w:rPr>
        <w:t xml:space="preserve"> novacijos būdu</w:t>
      </w:r>
      <w:r w:rsidR="00666C99" w:rsidRPr="00A91E83">
        <w:rPr>
          <w:rFonts w:ascii="Times New Roman" w:hAnsi="Times New Roman" w:cs="Times New Roman"/>
          <w:sz w:val="24"/>
          <w:szCs w:val="24"/>
        </w:rPr>
        <w:t xml:space="preserve"> apims atvejus, kai bus sujungiami du ar daugiau dar neįvykdyti reikalavimai į vieną bendrą sandorį, kuris</w:t>
      </w:r>
      <w:r w:rsidR="00B85F3A" w:rsidRPr="00A91E83">
        <w:rPr>
          <w:rFonts w:ascii="Times New Roman" w:hAnsi="Times New Roman" w:cs="Times New Roman"/>
          <w:sz w:val="24"/>
          <w:szCs w:val="24"/>
        </w:rPr>
        <w:t xml:space="preserve"> turės būti įvykdytas</w:t>
      </w:r>
      <w:r w:rsidR="00140EB9" w:rsidRPr="00A91E83">
        <w:rPr>
          <w:rFonts w:ascii="Times New Roman" w:hAnsi="Times New Roman" w:cs="Times New Roman"/>
          <w:sz w:val="24"/>
          <w:szCs w:val="24"/>
        </w:rPr>
        <w:t xml:space="preserve"> ateityje</w:t>
      </w:r>
      <w:r w:rsidR="00B85F3A" w:rsidRPr="00A91E83">
        <w:rPr>
          <w:rFonts w:ascii="Times New Roman" w:hAnsi="Times New Roman" w:cs="Times New Roman"/>
          <w:sz w:val="24"/>
          <w:szCs w:val="24"/>
        </w:rPr>
        <w:t>, kaip vienas sandoris</w:t>
      </w:r>
      <w:r w:rsidR="00140EB9" w:rsidRPr="00A91E83">
        <w:rPr>
          <w:rFonts w:ascii="Times New Roman" w:hAnsi="Times New Roman" w:cs="Times New Roman"/>
          <w:sz w:val="24"/>
          <w:szCs w:val="24"/>
        </w:rPr>
        <w:t>.</w:t>
      </w:r>
      <w:r w:rsidR="00666C99" w:rsidRPr="00A91E83">
        <w:rPr>
          <w:rStyle w:val="Puslapioinaosnuoroda"/>
          <w:rFonts w:ascii="Times New Roman" w:hAnsi="Times New Roman" w:cs="Times New Roman"/>
          <w:sz w:val="24"/>
          <w:szCs w:val="24"/>
        </w:rPr>
        <w:footnoteReference w:id="120"/>
      </w:r>
    </w:p>
    <w:p w:rsidR="00A50CC3" w:rsidRPr="00A91E83" w:rsidRDefault="00C75FA0" w:rsidP="00575FAE">
      <w:pPr>
        <w:pStyle w:val="Sraopastraipa"/>
        <w:tabs>
          <w:tab w:val="left" w:pos="851"/>
        </w:tabs>
        <w:spacing w:after="0" w:line="360" w:lineRule="auto"/>
        <w:ind w:left="0"/>
        <w:jc w:val="both"/>
        <w:rPr>
          <w:rFonts w:ascii="Times New Roman" w:hAnsi="Times New Roman" w:cs="Times New Roman"/>
          <w:sz w:val="24"/>
          <w:szCs w:val="24"/>
        </w:rPr>
      </w:pPr>
      <w:r w:rsidRPr="00A91E83">
        <w:rPr>
          <w:rFonts w:ascii="Times New Roman" w:hAnsi="Times New Roman" w:cs="Times New Roman"/>
          <w:sz w:val="24"/>
          <w:szCs w:val="24"/>
        </w:rPr>
        <w:tab/>
        <w:t xml:space="preserve">Užskaitos novacijos būdu </w:t>
      </w:r>
      <w:r w:rsidR="006340EF" w:rsidRPr="00A91E83">
        <w:rPr>
          <w:rFonts w:ascii="Times New Roman" w:hAnsi="Times New Roman" w:cs="Times New Roman"/>
          <w:sz w:val="24"/>
          <w:szCs w:val="24"/>
        </w:rPr>
        <w:t>(sa</w:t>
      </w:r>
      <w:r w:rsidR="00C636DF" w:rsidRPr="00A91E83">
        <w:rPr>
          <w:rFonts w:ascii="Times New Roman" w:hAnsi="Times New Roman" w:cs="Times New Roman"/>
          <w:sz w:val="24"/>
          <w:szCs w:val="24"/>
        </w:rPr>
        <w:t xml:space="preserve">ndorių konsolidavimo) </w:t>
      </w:r>
      <w:r w:rsidRPr="00A91E83">
        <w:rPr>
          <w:rFonts w:ascii="Times New Roman" w:hAnsi="Times New Roman" w:cs="Times New Roman"/>
          <w:sz w:val="24"/>
          <w:szCs w:val="24"/>
        </w:rPr>
        <w:t>atveju</w:t>
      </w:r>
      <w:r w:rsidR="00C636DF" w:rsidRPr="00A91E83">
        <w:rPr>
          <w:rFonts w:ascii="Times New Roman" w:hAnsi="Times New Roman" w:cs="Times New Roman"/>
          <w:sz w:val="24"/>
          <w:szCs w:val="24"/>
        </w:rPr>
        <w:t>,</w:t>
      </w:r>
      <w:r w:rsidRPr="00A91E83">
        <w:rPr>
          <w:rFonts w:ascii="Times New Roman" w:hAnsi="Times New Roman" w:cs="Times New Roman"/>
          <w:sz w:val="24"/>
          <w:szCs w:val="24"/>
        </w:rPr>
        <w:t xml:space="preserve"> s</w:t>
      </w:r>
      <w:r w:rsidR="00A50CC3" w:rsidRPr="00A91E83">
        <w:rPr>
          <w:rFonts w:ascii="Times New Roman" w:hAnsi="Times New Roman" w:cs="Times New Roman"/>
          <w:sz w:val="24"/>
          <w:szCs w:val="24"/>
        </w:rPr>
        <w:t>udarant kiekvieną kartą naują sandorį tarp šalių</w:t>
      </w:r>
      <w:r w:rsidR="00C636DF" w:rsidRPr="00A91E83">
        <w:rPr>
          <w:rFonts w:ascii="Times New Roman" w:hAnsi="Times New Roman" w:cs="Times New Roman"/>
          <w:sz w:val="24"/>
          <w:szCs w:val="24"/>
        </w:rPr>
        <w:t>,</w:t>
      </w:r>
      <w:r w:rsidR="00A50CC3" w:rsidRPr="00A91E83">
        <w:rPr>
          <w:rFonts w:ascii="Times New Roman" w:hAnsi="Times New Roman" w:cs="Times New Roman"/>
          <w:sz w:val="24"/>
          <w:szCs w:val="24"/>
        </w:rPr>
        <w:t xml:space="preserve"> jis </w:t>
      </w:r>
      <w:r w:rsidR="00A43DCA" w:rsidRPr="00A91E83">
        <w:rPr>
          <w:rFonts w:ascii="Times New Roman" w:hAnsi="Times New Roman" w:cs="Times New Roman"/>
          <w:sz w:val="24"/>
          <w:szCs w:val="24"/>
        </w:rPr>
        <w:t xml:space="preserve">automatiškai </w:t>
      </w:r>
      <w:r w:rsidR="00A50CC3" w:rsidRPr="00A91E83">
        <w:rPr>
          <w:rFonts w:ascii="Times New Roman" w:hAnsi="Times New Roman" w:cs="Times New Roman"/>
          <w:sz w:val="24"/>
          <w:szCs w:val="24"/>
        </w:rPr>
        <w:t xml:space="preserve">sujungiamas į vieną sandorių tinklą, kurio galutinis </w:t>
      </w:r>
      <w:r w:rsidR="00D3761B" w:rsidRPr="00A91E83">
        <w:rPr>
          <w:rFonts w:ascii="Times New Roman" w:hAnsi="Times New Roman" w:cs="Times New Roman"/>
          <w:sz w:val="24"/>
          <w:szCs w:val="24"/>
        </w:rPr>
        <w:t xml:space="preserve">mokėjimo </w:t>
      </w:r>
      <w:r w:rsidR="00A50CC3" w:rsidRPr="00A91E83">
        <w:rPr>
          <w:rFonts w:ascii="Times New Roman" w:hAnsi="Times New Roman" w:cs="Times New Roman"/>
          <w:sz w:val="24"/>
          <w:szCs w:val="24"/>
        </w:rPr>
        <w:t>balansas ir laikomas vieninteliu įsipareigojimu tarp šalių.</w:t>
      </w:r>
      <w:r w:rsidR="00A50CC3" w:rsidRPr="00A91E83">
        <w:rPr>
          <w:rStyle w:val="Puslapioinaosnuoroda"/>
          <w:rFonts w:ascii="Times New Roman" w:hAnsi="Times New Roman" w:cs="Times New Roman"/>
          <w:sz w:val="24"/>
          <w:szCs w:val="24"/>
        </w:rPr>
        <w:footnoteReference w:id="121"/>
      </w:r>
      <w:r w:rsidR="00A50CC3" w:rsidRPr="00A91E83">
        <w:rPr>
          <w:rFonts w:ascii="Times New Roman" w:hAnsi="Times New Roman" w:cs="Times New Roman"/>
          <w:sz w:val="24"/>
          <w:szCs w:val="24"/>
        </w:rPr>
        <w:t xml:space="preserve"> Sukuriamas efektas, kad tarp šalių sudarytas tik vienas sandoris, pagal kurį tik viena iš šalių turi atlikti tam tikrą mokėjimą kontrahento atžvilgiu. Kitais žodžiais tariant</w:t>
      </w:r>
      <w:r w:rsidR="00BB7290" w:rsidRPr="00A91E83">
        <w:rPr>
          <w:rFonts w:ascii="Times New Roman" w:hAnsi="Times New Roman" w:cs="Times New Roman"/>
          <w:sz w:val="24"/>
          <w:szCs w:val="24"/>
        </w:rPr>
        <w:t>,</w:t>
      </w:r>
      <w:r w:rsidR="00A50CC3" w:rsidRPr="00A91E83">
        <w:rPr>
          <w:rFonts w:ascii="Times New Roman" w:hAnsi="Times New Roman" w:cs="Times New Roman"/>
          <w:sz w:val="24"/>
          <w:szCs w:val="24"/>
        </w:rPr>
        <w:t xml:space="preserve"> tikslas yra sumažinti skaičių įsipareigojimų iki vienos bendros sumos, ku</w:t>
      </w:r>
      <w:r w:rsidR="007F24A0" w:rsidRPr="00A91E83">
        <w:rPr>
          <w:rFonts w:ascii="Times New Roman" w:hAnsi="Times New Roman" w:cs="Times New Roman"/>
          <w:sz w:val="24"/>
          <w:szCs w:val="24"/>
        </w:rPr>
        <w:t>rią viena šalis skolinga kitai.</w:t>
      </w:r>
      <w:r w:rsidR="006C5D60" w:rsidRPr="00A91E83">
        <w:rPr>
          <w:rFonts w:ascii="Times New Roman" w:hAnsi="Times New Roman" w:cs="Times New Roman"/>
          <w:sz w:val="24"/>
          <w:szCs w:val="24"/>
        </w:rPr>
        <w:t xml:space="preserve"> Tokiu būdu akumuliuojami skirtingi sandoriai į vieną sutartį pagal kurią dėl mokėjimo ar baigiamosios užskaitos visi reikalavimai sujungiami į vieną įsipareigojimą.</w:t>
      </w:r>
    </w:p>
    <w:p w:rsidR="00A50CC3" w:rsidRPr="00A91E83" w:rsidRDefault="00A50CC3" w:rsidP="00A50CC3">
      <w:pPr>
        <w:pStyle w:val="Sraopastraipa"/>
        <w:tabs>
          <w:tab w:val="left" w:pos="851"/>
        </w:tabs>
        <w:spacing w:after="0" w:line="360" w:lineRule="auto"/>
        <w:ind w:left="0" w:firstLine="851"/>
        <w:jc w:val="both"/>
        <w:rPr>
          <w:rFonts w:ascii="Times New Roman" w:hAnsi="Times New Roman" w:cs="Times New Roman"/>
          <w:sz w:val="24"/>
          <w:szCs w:val="24"/>
        </w:rPr>
      </w:pPr>
    </w:p>
    <w:p w:rsidR="00CF76CA" w:rsidRPr="00A91E83" w:rsidRDefault="00A1285E" w:rsidP="00586505">
      <w:pPr>
        <w:pStyle w:val="Sraopastraipa"/>
        <w:numPr>
          <w:ilvl w:val="1"/>
          <w:numId w:val="4"/>
        </w:numPr>
        <w:tabs>
          <w:tab w:val="left" w:pos="851"/>
        </w:tabs>
        <w:spacing w:after="0" w:line="360" w:lineRule="auto"/>
        <w:ind w:left="0" w:firstLine="0"/>
        <w:jc w:val="both"/>
        <w:outlineLvl w:val="1"/>
        <w:rPr>
          <w:rFonts w:ascii="Times New Roman" w:hAnsi="Times New Roman" w:cs="Times New Roman"/>
          <w:b/>
          <w:sz w:val="24"/>
          <w:szCs w:val="24"/>
        </w:rPr>
      </w:pPr>
      <w:bookmarkStart w:id="23" w:name="_Toc280546456"/>
      <w:r w:rsidRPr="00A91E83">
        <w:rPr>
          <w:rFonts w:ascii="Times New Roman" w:hAnsi="Times New Roman" w:cs="Times New Roman"/>
          <w:b/>
          <w:sz w:val="24"/>
          <w:szCs w:val="24"/>
        </w:rPr>
        <w:t>U</w:t>
      </w:r>
      <w:r w:rsidR="00F23FCD" w:rsidRPr="00A91E83">
        <w:rPr>
          <w:rFonts w:ascii="Times New Roman" w:hAnsi="Times New Roman" w:cs="Times New Roman"/>
          <w:b/>
          <w:sz w:val="24"/>
          <w:szCs w:val="24"/>
        </w:rPr>
        <w:t>žskaitos privalumai ir trūkumai</w:t>
      </w:r>
      <w:bookmarkEnd w:id="23"/>
    </w:p>
    <w:p w:rsidR="00CF76CA" w:rsidRPr="00A91E83" w:rsidRDefault="00CF76CA" w:rsidP="00B46A53">
      <w:pPr>
        <w:tabs>
          <w:tab w:val="left" w:pos="851"/>
        </w:tabs>
        <w:spacing w:after="0" w:line="360" w:lineRule="auto"/>
        <w:ind w:firstLine="851"/>
        <w:jc w:val="both"/>
        <w:rPr>
          <w:rFonts w:ascii="Times New Roman" w:hAnsi="Times New Roman" w:cs="Times New Roman"/>
          <w:b/>
          <w:sz w:val="24"/>
          <w:szCs w:val="24"/>
        </w:rPr>
      </w:pPr>
    </w:p>
    <w:p w:rsidR="00CF76CA" w:rsidRPr="00A91E83" w:rsidRDefault="00CF76CA"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Apibendrintai galima būtų išskirti šiuos užskaitos privalumus:</w:t>
      </w:r>
    </w:p>
    <w:p w:rsidR="00CF76CA" w:rsidRPr="00A91E83" w:rsidRDefault="00CF76CA"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b/>
          <w:sz w:val="24"/>
          <w:szCs w:val="24"/>
        </w:rPr>
        <w:t>Sumažinama rizikos imtis.</w:t>
      </w:r>
      <w:r w:rsidRPr="00A91E83">
        <w:rPr>
          <w:rFonts w:ascii="Times New Roman" w:hAnsi="Times New Roman" w:cs="Times New Roman"/>
          <w:sz w:val="24"/>
          <w:szCs w:val="24"/>
        </w:rPr>
        <w:t xml:space="preserve"> Sumažinimas gali būti milžiniškas, </w:t>
      </w:r>
      <w:proofErr w:type="spellStart"/>
      <w:r w:rsidRPr="00A91E83">
        <w:rPr>
          <w:rFonts w:ascii="Times New Roman" w:hAnsi="Times New Roman" w:cs="Times New Roman"/>
          <w:sz w:val="24"/>
          <w:szCs w:val="24"/>
        </w:rPr>
        <w:t>pvz</w:t>
      </w:r>
      <w:proofErr w:type="spellEnd"/>
      <w:r w:rsidRPr="00A91E83">
        <w:rPr>
          <w:rFonts w:ascii="Times New Roman" w:hAnsi="Times New Roman" w:cs="Times New Roman"/>
          <w:sz w:val="24"/>
          <w:szCs w:val="24"/>
        </w:rPr>
        <w:t xml:space="preserve">.: </w:t>
      </w:r>
      <w:r w:rsidR="003357D2" w:rsidRPr="00A91E83">
        <w:rPr>
          <w:rFonts w:ascii="Times New Roman" w:hAnsi="Times New Roman" w:cs="Times New Roman"/>
          <w:sz w:val="24"/>
          <w:szCs w:val="24"/>
        </w:rPr>
        <w:t xml:space="preserve">sumažina </w:t>
      </w:r>
      <w:r w:rsidRPr="00A91E83">
        <w:rPr>
          <w:rFonts w:ascii="Times New Roman" w:hAnsi="Times New Roman" w:cs="Times New Roman"/>
          <w:sz w:val="24"/>
          <w:szCs w:val="24"/>
        </w:rPr>
        <w:t xml:space="preserve">85% </w:t>
      </w:r>
      <w:r w:rsidR="003357D2" w:rsidRPr="00A91E83">
        <w:rPr>
          <w:rFonts w:ascii="Times New Roman" w:hAnsi="Times New Roman" w:cs="Times New Roman"/>
          <w:sz w:val="24"/>
          <w:szCs w:val="24"/>
        </w:rPr>
        <w:t>kredito riziką</w:t>
      </w:r>
      <w:r w:rsidR="0018422D" w:rsidRPr="00A91E83">
        <w:rPr>
          <w:rFonts w:ascii="Times New Roman" w:hAnsi="Times New Roman" w:cs="Times New Roman"/>
          <w:sz w:val="24"/>
          <w:szCs w:val="24"/>
        </w:rPr>
        <w:t>,</w:t>
      </w:r>
      <w:r w:rsidRPr="00A91E83">
        <w:rPr>
          <w:rFonts w:ascii="Times New Roman" w:hAnsi="Times New Roman" w:cs="Times New Roman"/>
          <w:sz w:val="24"/>
          <w:szCs w:val="24"/>
        </w:rPr>
        <w:t xml:space="preserve"> sandorių dėl išvestinių finansinių priemonių sudaromų už biržos ribų.</w:t>
      </w:r>
      <w:r w:rsidRPr="00A91E83">
        <w:rPr>
          <w:rFonts w:ascii="Times New Roman" w:hAnsi="Times New Roman" w:cs="Times New Roman"/>
          <w:sz w:val="24"/>
          <w:szCs w:val="24"/>
          <w:vertAlign w:val="superscript"/>
        </w:rPr>
        <w:footnoteReference w:id="122"/>
      </w:r>
      <w:r w:rsidRPr="00A91E83">
        <w:rPr>
          <w:rFonts w:ascii="Times New Roman" w:hAnsi="Times New Roman" w:cs="Times New Roman"/>
          <w:sz w:val="24"/>
          <w:szCs w:val="24"/>
        </w:rPr>
        <w:t xml:space="preserve"> Atsižvelgiant į faktą, kad finansų rinkose </w:t>
      </w:r>
      <w:r w:rsidR="00FE0602" w:rsidRPr="00A91E83">
        <w:rPr>
          <w:rFonts w:ascii="Times New Roman" w:hAnsi="Times New Roman" w:cs="Times New Roman"/>
          <w:sz w:val="24"/>
          <w:szCs w:val="24"/>
        </w:rPr>
        <w:t xml:space="preserve">apyvartos </w:t>
      </w:r>
      <w:r w:rsidRPr="00A91E83">
        <w:rPr>
          <w:rFonts w:ascii="Times New Roman" w:hAnsi="Times New Roman" w:cs="Times New Roman"/>
          <w:sz w:val="24"/>
          <w:szCs w:val="24"/>
        </w:rPr>
        <w:t>yra prilyginamos pasaulio BVP, šis masiškas rizikos sumažinimas yra kritinis</w:t>
      </w:r>
      <w:r w:rsidR="0018422D" w:rsidRPr="00A91E83">
        <w:rPr>
          <w:rFonts w:ascii="Times New Roman" w:hAnsi="Times New Roman" w:cs="Times New Roman"/>
          <w:sz w:val="24"/>
          <w:szCs w:val="24"/>
        </w:rPr>
        <w:t>,</w:t>
      </w:r>
      <w:r w:rsidRPr="00A91E83">
        <w:rPr>
          <w:rFonts w:ascii="Times New Roman" w:hAnsi="Times New Roman" w:cs="Times New Roman"/>
          <w:sz w:val="24"/>
          <w:szCs w:val="24"/>
        </w:rPr>
        <w:t xml:space="preserve"> siekiant racionaliai valdyti sisteminę riziką ir užtikrint</w:t>
      </w:r>
      <w:r w:rsidR="00FB5E07" w:rsidRPr="00A91E83">
        <w:rPr>
          <w:rFonts w:ascii="Times New Roman" w:hAnsi="Times New Roman" w:cs="Times New Roman"/>
          <w:sz w:val="24"/>
          <w:szCs w:val="24"/>
        </w:rPr>
        <w:t xml:space="preserve">i finansų </w:t>
      </w:r>
      <w:r w:rsidR="00FB5E07" w:rsidRPr="00A91E83">
        <w:rPr>
          <w:rFonts w:ascii="Times New Roman" w:hAnsi="Times New Roman" w:cs="Times New Roman"/>
          <w:sz w:val="24"/>
          <w:szCs w:val="24"/>
        </w:rPr>
        <w:lastRenderedPageBreak/>
        <w:t>sektoriaus stabilumą. Paminėtina, jog</w:t>
      </w:r>
      <w:r w:rsidRPr="00A91E83">
        <w:rPr>
          <w:rFonts w:ascii="Times New Roman" w:hAnsi="Times New Roman" w:cs="Times New Roman"/>
          <w:sz w:val="24"/>
          <w:szCs w:val="24"/>
        </w:rPr>
        <w:t xml:space="preserve"> potencialios išlaidos dėl domino griūties efekto, bus nukreiptos į mokesčių mokėtojų pinigus.</w:t>
      </w:r>
      <w:r w:rsidRPr="00A91E83">
        <w:rPr>
          <w:rFonts w:ascii="Times New Roman" w:hAnsi="Times New Roman" w:cs="Times New Roman"/>
          <w:sz w:val="24"/>
          <w:szCs w:val="24"/>
          <w:vertAlign w:val="superscript"/>
        </w:rPr>
        <w:footnoteReference w:id="123"/>
      </w:r>
      <w:r w:rsidRPr="00A91E83">
        <w:rPr>
          <w:rFonts w:ascii="Times New Roman" w:hAnsi="Times New Roman" w:cs="Times New Roman"/>
          <w:sz w:val="24"/>
          <w:szCs w:val="24"/>
        </w:rPr>
        <w:t xml:space="preserve"> Valstybė naudodama mokesčių mokėtojų pinigus</w:t>
      </w:r>
      <w:r w:rsidR="0018422D" w:rsidRPr="00A91E83">
        <w:rPr>
          <w:rFonts w:ascii="Times New Roman" w:hAnsi="Times New Roman" w:cs="Times New Roman"/>
          <w:sz w:val="24"/>
          <w:szCs w:val="24"/>
        </w:rPr>
        <w:t>,</w:t>
      </w:r>
      <w:r w:rsidRPr="00A91E83">
        <w:rPr>
          <w:rFonts w:ascii="Times New Roman" w:hAnsi="Times New Roman" w:cs="Times New Roman"/>
          <w:sz w:val="24"/>
          <w:szCs w:val="24"/>
        </w:rPr>
        <w:t xml:space="preserve"> tikėtina</w:t>
      </w:r>
      <w:r w:rsidR="0018422D" w:rsidRPr="00A91E83">
        <w:rPr>
          <w:rFonts w:ascii="Times New Roman" w:hAnsi="Times New Roman" w:cs="Times New Roman"/>
          <w:sz w:val="24"/>
          <w:szCs w:val="24"/>
        </w:rPr>
        <w:t>,</w:t>
      </w:r>
      <w:r w:rsidRPr="00A91E83">
        <w:rPr>
          <w:rFonts w:ascii="Times New Roman" w:hAnsi="Times New Roman" w:cs="Times New Roman"/>
          <w:sz w:val="24"/>
          <w:szCs w:val="24"/>
        </w:rPr>
        <w:t xml:space="preserve"> privalės gelbėti griūvančią bankų sistemą, </w:t>
      </w:r>
      <w:r w:rsidR="0018422D" w:rsidRPr="00A91E83">
        <w:rPr>
          <w:rFonts w:ascii="Times New Roman" w:hAnsi="Times New Roman" w:cs="Times New Roman"/>
          <w:sz w:val="24"/>
          <w:szCs w:val="24"/>
        </w:rPr>
        <w:t>k</w:t>
      </w:r>
      <w:r w:rsidRPr="00A91E83">
        <w:rPr>
          <w:rFonts w:ascii="Times New Roman" w:hAnsi="Times New Roman" w:cs="Times New Roman"/>
          <w:sz w:val="24"/>
          <w:szCs w:val="24"/>
        </w:rPr>
        <w:t xml:space="preserve">aip buvo ir yra daroma per 2007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prasidėjusią finansinę krizę.</w:t>
      </w:r>
      <w:r w:rsidR="006B2B44" w:rsidRPr="00A91E83">
        <w:rPr>
          <w:rStyle w:val="Puslapioinaosnuoroda"/>
          <w:rFonts w:ascii="Times New Roman" w:hAnsi="Times New Roman" w:cs="Times New Roman"/>
          <w:sz w:val="24"/>
          <w:szCs w:val="24"/>
        </w:rPr>
        <w:footnoteReference w:id="124"/>
      </w:r>
      <w:r w:rsidRPr="00A91E83">
        <w:rPr>
          <w:rFonts w:ascii="Times New Roman" w:hAnsi="Times New Roman" w:cs="Times New Roman"/>
          <w:sz w:val="24"/>
          <w:szCs w:val="24"/>
        </w:rPr>
        <w:t xml:space="preserve"> Taip pat valstybė tur</w:t>
      </w:r>
      <w:r w:rsidR="00740BAA" w:rsidRPr="00A91E83">
        <w:rPr>
          <w:rFonts w:ascii="Times New Roman" w:hAnsi="Times New Roman" w:cs="Times New Roman"/>
          <w:sz w:val="24"/>
          <w:szCs w:val="24"/>
        </w:rPr>
        <w:t>ės</w:t>
      </w:r>
      <w:r w:rsidRPr="00A91E83">
        <w:rPr>
          <w:rFonts w:ascii="Times New Roman" w:hAnsi="Times New Roman" w:cs="Times New Roman"/>
          <w:sz w:val="24"/>
          <w:szCs w:val="24"/>
        </w:rPr>
        <w:t xml:space="preserve"> gelbėti indėlininkų pinigus bankuose, kurie s</w:t>
      </w:r>
      <w:r w:rsidR="00740BAA" w:rsidRPr="00A91E83">
        <w:rPr>
          <w:rFonts w:ascii="Times New Roman" w:hAnsi="Times New Roman" w:cs="Times New Roman"/>
          <w:sz w:val="24"/>
          <w:szCs w:val="24"/>
        </w:rPr>
        <w:t>pecialiai yra saugomi įstatymu</w:t>
      </w:r>
      <w:r w:rsidRPr="00A91E83">
        <w:rPr>
          <w:rFonts w:ascii="Times New Roman" w:hAnsi="Times New Roman" w:cs="Times New Roman"/>
          <w:sz w:val="24"/>
          <w:szCs w:val="24"/>
        </w:rPr>
        <w:t>.</w:t>
      </w:r>
      <w:r w:rsidRPr="00A91E83">
        <w:rPr>
          <w:rFonts w:ascii="Times New Roman" w:hAnsi="Times New Roman" w:cs="Times New Roman"/>
          <w:sz w:val="24"/>
          <w:szCs w:val="24"/>
          <w:vertAlign w:val="superscript"/>
        </w:rPr>
        <w:footnoteReference w:id="125"/>
      </w:r>
      <w:r w:rsidRPr="00A91E83">
        <w:rPr>
          <w:rFonts w:ascii="Times New Roman" w:hAnsi="Times New Roman" w:cs="Times New Roman"/>
          <w:sz w:val="24"/>
          <w:szCs w:val="24"/>
          <w:vertAlign w:val="superscript"/>
        </w:rPr>
        <w:t xml:space="preserve"> </w:t>
      </w:r>
      <w:r w:rsidRPr="00A91E83">
        <w:rPr>
          <w:rFonts w:ascii="Times New Roman" w:hAnsi="Times New Roman" w:cs="Times New Roman"/>
          <w:sz w:val="24"/>
          <w:szCs w:val="24"/>
        </w:rPr>
        <w:t xml:space="preserve">Itin abejotina, kad įvykus sisteminei griūčiai fondas, kuris kaupiamas nuketėjusiems indėlininkams galėtų patenkinti </w:t>
      </w:r>
      <w:r w:rsidR="00740BAA" w:rsidRPr="00A91E83">
        <w:rPr>
          <w:rFonts w:ascii="Times New Roman" w:hAnsi="Times New Roman" w:cs="Times New Roman"/>
          <w:sz w:val="24"/>
          <w:szCs w:val="24"/>
        </w:rPr>
        <w:t xml:space="preserve">visų nukentėjusiųjų </w:t>
      </w:r>
      <w:r w:rsidRPr="00A91E83">
        <w:rPr>
          <w:rFonts w:ascii="Times New Roman" w:hAnsi="Times New Roman" w:cs="Times New Roman"/>
          <w:sz w:val="24"/>
          <w:szCs w:val="24"/>
        </w:rPr>
        <w:t>nuostolius.</w:t>
      </w:r>
      <w:r w:rsidRPr="00A91E83">
        <w:rPr>
          <w:rStyle w:val="Puslapioinaosnuoroda"/>
          <w:rFonts w:ascii="Times New Roman" w:hAnsi="Times New Roman" w:cs="Times New Roman"/>
          <w:sz w:val="24"/>
          <w:szCs w:val="24"/>
        </w:rPr>
        <w:footnoteReference w:id="126"/>
      </w:r>
      <w:r w:rsidRPr="00A91E83">
        <w:rPr>
          <w:rFonts w:ascii="Times New Roman" w:hAnsi="Times New Roman" w:cs="Times New Roman"/>
          <w:sz w:val="24"/>
          <w:szCs w:val="24"/>
        </w:rPr>
        <w:t xml:space="preserve"> Taigi </w:t>
      </w:r>
      <w:r w:rsidR="00D630FD" w:rsidRPr="00A91E83">
        <w:rPr>
          <w:rFonts w:ascii="Times New Roman" w:hAnsi="Times New Roman" w:cs="Times New Roman"/>
          <w:sz w:val="24"/>
          <w:szCs w:val="24"/>
        </w:rPr>
        <w:t>teisinio reguliavimo modifikavimas</w:t>
      </w:r>
      <w:r w:rsidRPr="00A91E83">
        <w:rPr>
          <w:rFonts w:ascii="Times New Roman" w:hAnsi="Times New Roman" w:cs="Times New Roman"/>
          <w:sz w:val="24"/>
          <w:szCs w:val="24"/>
        </w:rPr>
        <w:t xml:space="preserve"> </w:t>
      </w:r>
      <w:r w:rsidR="00D630FD" w:rsidRPr="00A91E83">
        <w:rPr>
          <w:rFonts w:ascii="Times New Roman" w:hAnsi="Times New Roman" w:cs="Times New Roman"/>
          <w:sz w:val="24"/>
          <w:szCs w:val="24"/>
        </w:rPr>
        <w:t xml:space="preserve">užskaitos naudai </w:t>
      </w:r>
      <w:r w:rsidRPr="00A91E83">
        <w:rPr>
          <w:rFonts w:ascii="Times New Roman" w:hAnsi="Times New Roman" w:cs="Times New Roman"/>
          <w:sz w:val="24"/>
          <w:szCs w:val="24"/>
        </w:rPr>
        <w:t xml:space="preserve">yra pats efektyviausias </w:t>
      </w:r>
      <w:r w:rsidR="003B2257" w:rsidRPr="00A91E83">
        <w:rPr>
          <w:rFonts w:ascii="Times New Roman" w:hAnsi="Times New Roman" w:cs="Times New Roman"/>
          <w:sz w:val="24"/>
          <w:szCs w:val="24"/>
        </w:rPr>
        <w:t xml:space="preserve">ir pigiausias </w:t>
      </w:r>
      <w:r w:rsidRPr="00A91E83">
        <w:rPr>
          <w:rFonts w:ascii="Times New Roman" w:hAnsi="Times New Roman" w:cs="Times New Roman"/>
          <w:sz w:val="24"/>
          <w:szCs w:val="24"/>
        </w:rPr>
        <w:t>būda</w:t>
      </w:r>
      <w:r w:rsidR="00D630FD" w:rsidRPr="00A91E83">
        <w:rPr>
          <w:rFonts w:ascii="Times New Roman" w:hAnsi="Times New Roman" w:cs="Times New Roman"/>
          <w:sz w:val="24"/>
          <w:szCs w:val="24"/>
        </w:rPr>
        <w:t>s suvaldyti tokias neigiamas p</w:t>
      </w:r>
      <w:r w:rsidRPr="00A91E83">
        <w:rPr>
          <w:rFonts w:ascii="Times New Roman" w:hAnsi="Times New Roman" w:cs="Times New Roman"/>
          <w:sz w:val="24"/>
          <w:szCs w:val="24"/>
        </w:rPr>
        <w:t>asekmes.</w:t>
      </w:r>
    </w:p>
    <w:p w:rsidR="00CF76CA" w:rsidRPr="00A91E83" w:rsidRDefault="00CF76CA" w:rsidP="00BE3ABF">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b/>
          <w:sz w:val="24"/>
          <w:szCs w:val="24"/>
        </w:rPr>
        <w:t>Sumažina išlaidas.</w:t>
      </w:r>
      <w:r w:rsidRPr="00A91E83">
        <w:rPr>
          <w:rFonts w:ascii="Times New Roman" w:hAnsi="Times New Roman" w:cs="Times New Roman"/>
          <w:sz w:val="24"/>
          <w:szCs w:val="24"/>
        </w:rPr>
        <w:t xml:space="preserve"> Pirmiausia sumažina kredito </w:t>
      </w:r>
      <w:r w:rsidR="00D1125A" w:rsidRPr="00A91E83">
        <w:rPr>
          <w:rFonts w:ascii="Times New Roman" w:hAnsi="Times New Roman" w:cs="Times New Roman"/>
          <w:sz w:val="24"/>
          <w:szCs w:val="24"/>
        </w:rPr>
        <w:t xml:space="preserve">skolinimosi </w:t>
      </w:r>
      <w:r w:rsidR="00BE3ABF" w:rsidRPr="00A91E83">
        <w:rPr>
          <w:rFonts w:ascii="Times New Roman" w:hAnsi="Times New Roman" w:cs="Times New Roman"/>
          <w:sz w:val="24"/>
          <w:szCs w:val="24"/>
        </w:rPr>
        <w:t>išlaidas</w:t>
      </w:r>
      <w:r w:rsidRPr="00A91E83">
        <w:rPr>
          <w:rFonts w:ascii="Times New Roman" w:hAnsi="Times New Roman" w:cs="Times New Roman"/>
          <w:sz w:val="24"/>
          <w:szCs w:val="24"/>
        </w:rPr>
        <w:t>.</w:t>
      </w:r>
      <w:r w:rsidRPr="00A91E83">
        <w:rPr>
          <w:rStyle w:val="Puslapioinaosnuoroda"/>
          <w:rFonts w:ascii="Times New Roman" w:hAnsi="Times New Roman" w:cs="Times New Roman"/>
          <w:sz w:val="24"/>
          <w:szCs w:val="24"/>
        </w:rPr>
        <w:footnoteReference w:id="127"/>
      </w:r>
      <w:r w:rsidR="000F6C93" w:rsidRPr="00A91E83">
        <w:rPr>
          <w:rFonts w:ascii="Times New Roman" w:hAnsi="Times New Roman" w:cs="Times New Roman"/>
          <w:sz w:val="24"/>
          <w:szCs w:val="24"/>
        </w:rPr>
        <w:t xml:space="preserve">Toks efektas sukeliamas, nes </w:t>
      </w:r>
      <w:r w:rsidR="005665FE" w:rsidRPr="00A91E83">
        <w:rPr>
          <w:rFonts w:ascii="Times New Roman" w:hAnsi="Times New Roman" w:cs="Times New Roman"/>
          <w:sz w:val="24"/>
          <w:szCs w:val="24"/>
        </w:rPr>
        <w:t xml:space="preserve">pateikiant finansinį užstatą, kaip prievolių įvykdymo užtikrinimą, </w:t>
      </w:r>
      <w:r w:rsidRPr="00A91E83">
        <w:rPr>
          <w:rFonts w:ascii="Times New Roman" w:hAnsi="Times New Roman" w:cs="Times New Roman"/>
          <w:sz w:val="24"/>
          <w:szCs w:val="24"/>
        </w:rPr>
        <w:t>reikia padengti ne bendrąją</w:t>
      </w:r>
      <w:r w:rsidR="003C52E5" w:rsidRPr="00A91E83">
        <w:rPr>
          <w:rFonts w:ascii="Times New Roman" w:hAnsi="Times New Roman" w:cs="Times New Roman"/>
          <w:sz w:val="24"/>
          <w:szCs w:val="24"/>
        </w:rPr>
        <w:t xml:space="preserve"> skolingą sumą</w:t>
      </w:r>
      <w:r w:rsidRPr="00A91E83">
        <w:rPr>
          <w:rFonts w:ascii="Times New Roman" w:hAnsi="Times New Roman" w:cs="Times New Roman"/>
          <w:sz w:val="24"/>
          <w:szCs w:val="24"/>
        </w:rPr>
        <w:t xml:space="preserve">, o tik grynąją </w:t>
      </w:r>
      <w:r w:rsidR="003C52E5" w:rsidRPr="00A91E83">
        <w:rPr>
          <w:rFonts w:ascii="Times New Roman" w:hAnsi="Times New Roman" w:cs="Times New Roman"/>
          <w:sz w:val="24"/>
          <w:szCs w:val="24"/>
        </w:rPr>
        <w:t xml:space="preserve">sumą, kuri gaunama </w:t>
      </w:r>
      <w:r w:rsidR="007F4A4A" w:rsidRPr="00A91E83">
        <w:rPr>
          <w:rFonts w:ascii="Times New Roman" w:hAnsi="Times New Roman" w:cs="Times New Roman"/>
          <w:sz w:val="24"/>
          <w:szCs w:val="24"/>
        </w:rPr>
        <w:t>sujungus skolininko ir kreditoriaus priešpriešinius įsipareigojimus sandorio atžvilgiu.</w:t>
      </w:r>
      <w:r w:rsidR="003C52E5" w:rsidRPr="00A91E83">
        <w:rPr>
          <w:rFonts w:ascii="Times New Roman" w:hAnsi="Times New Roman" w:cs="Times New Roman"/>
          <w:sz w:val="24"/>
          <w:szCs w:val="24"/>
        </w:rPr>
        <w:t xml:space="preserve"> </w:t>
      </w:r>
      <w:r w:rsidRPr="00A91E83">
        <w:rPr>
          <w:rFonts w:ascii="Times New Roman" w:hAnsi="Times New Roman" w:cs="Times New Roman"/>
          <w:sz w:val="24"/>
          <w:szCs w:val="24"/>
        </w:rPr>
        <w:t>Taigi tarpusavio užskaita padeda atlaisvinti kredito linijas, taip padidina likvidumą ir sustiprina finansinę sistemą.</w:t>
      </w:r>
      <w:r w:rsidR="000449ED" w:rsidRPr="00A91E83">
        <w:rPr>
          <w:rStyle w:val="Puslapioinaosnuoroda"/>
          <w:rFonts w:ascii="Times New Roman" w:hAnsi="Times New Roman" w:cs="Times New Roman"/>
          <w:sz w:val="24"/>
          <w:szCs w:val="24"/>
        </w:rPr>
        <w:footnoteReference w:id="128"/>
      </w:r>
      <w:r w:rsidRPr="00A91E83">
        <w:rPr>
          <w:rFonts w:ascii="Times New Roman" w:hAnsi="Times New Roman" w:cs="Times New Roman"/>
          <w:sz w:val="24"/>
          <w:szCs w:val="24"/>
        </w:rPr>
        <w:t xml:space="preserve"> Taip pat sumažėja administracinės išlaido</w:t>
      </w:r>
      <w:r w:rsidR="00465C12" w:rsidRPr="00A91E83">
        <w:rPr>
          <w:rFonts w:ascii="Times New Roman" w:hAnsi="Times New Roman" w:cs="Times New Roman"/>
          <w:sz w:val="24"/>
          <w:szCs w:val="24"/>
        </w:rPr>
        <w:t xml:space="preserve">s, nes sudaroma mažiau sandorių, o pasiekiamas tas pats efektas. </w:t>
      </w:r>
    </w:p>
    <w:p w:rsidR="00CF76CA" w:rsidRPr="00A91E83" w:rsidRDefault="00CF76CA"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Negalima suabsoliutinti teikiamos užskaitos naudos, nes vis dar egzistuoja nemažai valstybių, kur ji yra draudžiama. </w:t>
      </w:r>
      <w:r w:rsidR="00196B0D" w:rsidRPr="00A91E83">
        <w:rPr>
          <w:rFonts w:ascii="Times New Roman" w:hAnsi="Times New Roman" w:cs="Times New Roman"/>
          <w:sz w:val="24"/>
          <w:szCs w:val="24"/>
        </w:rPr>
        <w:t>Toliau paanalizuosime d</w:t>
      </w:r>
      <w:r w:rsidRPr="00A91E83">
        <w:rPr>
          <w:rFonts w:ascii="Times New Roman" w:hAnsi="Times New Roman" w:cs="Times New Roman"/>
          <w:sz w:val="24"/>
          <w:szCs w:val="24"/>
        </w:rPr>
        <w:t>ažniausiai iš</w:t>
      </w:r>
      <w:r w:rsidR="00196B0D" w:rsidRPr="00A91E83">
        <w:rPr>
          <w:rFonts w:ascii="Times New Roman" w:hAnsi="Times New Roman" w:cs="Times New Roman"/>
          <w:sz w:val="24"/>
          <w:szCs w:val="24"/>
        </w:rPr>
        <w:t>skiriamus užskaitos mechanizmo trūkumus</w:t>
      </w:r>
      <w:r w:rsidR="00B81D13" w:rsidRPr="00A91E83">
        <w:rPr>
          <w:rFonts w:ascii="Times New Roman" w:hAnsi="Times New Roman" w:cs="Times New Roman"/>
          <w:sz w:val="24"/>
          <w:szCs w:val="24"/>
        </w:rPr>
        <w:t>.</w:t>
      </w:r>
    </w:p>
    <w:p w:rsidR="00CF76CA" w:rsidRPr="00A91E83" w:rsidRDefault="00CF76CA"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b/>
          <w:sz w:val="24"/>
          <w:szCs w:val="24"/>
        </w:rPr>
        <w:t>Iškreiptas kreditorių lygiateisiškumas</w:t>
      </w:r>
      <w:r w:rsidRPr="00A91E83">
        <w:rPr>
          <w:rFonts w:ascii="Times New Roman" w:hAnsi="Times New Roman" w:cs="Times New Roman"/>
          <w:sz w:val="24"/>
          <w:szCs w:val="24"/>
        </w:rPr>
        <w:t xml:space="preserve">. Užskaita iškraipo kreditorių </w:t>
      </w:r>
      <w:r w:rsidR="00214724" w:rsidRPr="00A91E83">
        <w:rPr>
          <w:rFonts w:ascii="Times New Roman" w:hAnsi="Times New Roman" w:cs="Times New Roman"/>
          <w:sz w:val="24"/>
          <w:szCs w:val="24"/>
        </w:rPr>
        <w:t>lygiateisiškumą nemokumo atveju. Kreditorių lygiateisiškumas, tai vienas iš esminių bankroto teisės principų.</w:t>
      </w:r>
      <w:r w:rsidR="003E6C54" w:rsidRPr="00A91E83">
        <w:rPr>
          <w:rStyle w:val="Puslapioinaosnuoroda"/>
          <w:rFonts w:ascii="Times New Roman" w:hAnsi="Times New Roman" w:cs="Times New Roman"/>
          <w:sz w:val="24"/>
          <w:szCs w:val="24"/>
        </w:rPr>
        <w:footnoteReference w:id="129"/>
      </w:r>
      <w:r w:rsidRPr="00A91E83">
        <w:rPr>
          <w:rFonts w:ascii="Times New Roman" w:hAnsi="Times New Roman" w:cs="Times New Roman"/>
          <w:sz w:val="24"/>
          <w:szCs w:val="24"/>
        </w:rPr>
        <w:t xml:space="preserve"> </w:t>
      </w:r>
      <w:r w:rsidR="00746A3A" w:rsidRPr="00A91E83">
        <w:rPr>
          <w:rFonts w:ascii="Times New Roman" w:hAnsi="Times New Roman" w:cs="Times New Roman"/>
          <w:sz w:val="24"/>
          <w:szCs w:val="24"/>
        </w:rPr>
        <w:t>Vis dėlto lygiateisiškumas neturėtų būti painiojama</w:t>
      </w:r>
      <w:r w:rsidR="00AB6A1C" w:rsidRPr="00A91E83">
        <w:rPr>
          <w:rFonts w:ascii="Times New Roman" w:hAnsi="Times New Roman" w:cs="Times New Roman"/>
          <w:sz w:val="24"/>
          <w:szCs w:val="24"/>
        </w:rPr>
        <w:t xml:space="preserve">s su faktine kreditorių lygybe. </w:t>
      </w:r>
      <w:r w:rsidR="00447FD8" w:rsidRPr="00A91E83">
        <w:rPr>
          <w:rFonts w:ascii="Times New Roman" w:hAnsi="Times New Roman" w:cs="Times New Roman"/>
          <w:sz w:val="24"/>
          <w:szCs w:val="24"/>
        </w:rPr>
        <w:t>Atsitiktinių prioritetų teikimo kreditoriams pašalinimas yra viena iš pagrindinių bankroto proceso ypatybių.</w:t>
      </w:r>
      <w:r w:rsidR="00447FD8" w:rsidRPr="00A91E83">
        <w:rPr>
          <w:rStyle w:val="Puslapioinaosnuoroda"/>
          <w:rFonts w:ascii="Times New Roman" w:hAnsi="Times New Roman" w:cs="Times New Roman"/>
          <w:sz w:val="24"/>
          <w:szCs w:val="24"/>
        </w:rPr>
        <w:footnoteReference w:id="130"/>
      </w:r>
      <w:r w:rsidR="00447FD8" w:rsidRPr="00A91E83">
        <w:rPr>
          <w:rFonts w:ascii="Times New Roman" w:hAnsi="Times New Roman" w:cs="Times New Roman"/>
          <w:sz w:val="24"/>
          <w:szCs w:val="24"/>
        </w:rPr>
        <w:t xml:space="preserve"> </w:t>
      </w:r>
      <w:r w:rsidR="00D86472" w:rsidRPr="00A91E83">
        <w:rPr>
          <w:rFonts w:ascii="Times New Roman" w:hAnsi="Times New Roman" w:cs="Times New Roman"/>
          <w:sz w:val="24"/>
          <w:szCs w:val="24"/>
        </w:rPr>
        <w:t>D</w:t>
      </w:r>
      <w:r w:rsidR="00D02111" w:rsidRPr="00A91E83">
        <w:rPr>
          <w:rFonts w:ascii="Times New Roman" w:hAnsi="Times New Roman" w:cs="Times New Roman"/>
          <w:sz w:val="24"/>
          <w:szCs w:val="24"/>
        </w:rPr>
        <w:t>ėl specifinio išvestinių finansinių priemonių objekto</w:t>
      </w:r>
      <w:r w:rsidR="00C53145" w:rsidRPr="00A91E83">
        <w:rPr>
          <w:rFonts w:ascii="Times New Roman" w:hAnsi="Times New Roman" w:cs="Times New Roman"/>
          <w:sz w:val="24"/>
          <w:szCs w:val="24"/>
        </w:rPr>
        <w:t>, susiklosčiusios praktikos rinkoje, apskaitos ypatumų</w:t>
      </w:r>
      <w:r w:rsidR="00D02111" w:rsidRPr="00A91E83">
        <w:rPr>
          <w:rFonts w:ascii="Times New Roman" w:hAnsi="Times New Roman" w:cs="Times New Roman"/>
          <w:sz w:val="24"/>
          <w:szCs w:val="24"/>
        </w:rPr>
        <w:t xml:space="preserve"> ir sisteminės rizikos žalos būtų pagrįsta taikyti atitinkamas išimtis</w:t>
      </w:r>
      <w:r w:rsidR="00D86472" w:rsidRPr="00A91E83">
        <w:rPr>
          <w:rFonts w:ascii="Times New Roman" w:hAnsi="Times New Roman" w:cs="Times New Roman"/>
          <w:sz w:val="24"/>
          <w:szCs w:val="24"/>
        </w:rPr>
        <w:t xml:space="preserve"> kreditoriams </w:t>
      </w:r>
      <w:r w:rsidR="004E71A4" w:rsidRPr="00A91E83">
        <w:rPr>
          <w:rFonts w:ascii="Times New Roman" w:hAnsi="Times New Roman" w:cs="Times New Roman"/>
          <w:sz w:val="24"/>
          <w:szCs w:val="24"/>
        </w:rPr>
        <w:t>prekiaujantiems</w:t>
      </w:r>
      <w:r w:rsidR="00D86472" w:rsidRPr="00A91E83">
        <w:rPr>
          <w:rFonts w:ascii="Times New Roman" w:hAnsi="Times New Roman" w:cs="Times New Roman"/>
          <w:sz w:val="24"/>
          <w:szCs w:val="24"/>
        </w:rPr>
        <w:t xml:space="preserve"> </w:t>
      </w:r>
      <w:r w:rsidR="004E71A4" w:rsidRPr="00A91E83">
        <w:rPr>
          <w:rFonts w:ascii="Times New Roman" w:hAnsi="Times New Roman" w:cs="Times New Roman"/>
          <w:sz w:val="24"/>
          <w:szCs w:val="24"/>
        </w:rPr>
        <w:t>išvestinėmis</w:t>
      </w:r>
      <w:r w:rsidR="00D86472" w:rsidRPr="00A91E83">
        <w:rPr>
          <w:rFonts w:ascii="Times New Roman" w:hAnsi="Times New Roman" w:cs="Times New Roman"/>
          <w:sz w:val="24"/>
          <w:szCs w:val="24"/>
        </w:rPr>
        <w:t xml:space="preserve"> </w:t>
      </w:r>
      <w:r w:rsidR="004E71A4" w:rsidRPr="00A91E83">
        <w:rPr>
          <w:rFonts w:ascii="Times New Roman" w:hAnsi="Times New Roman" w:cs="Times New Roman"/>
          <w:sz w:val="24"/>
          <w:szCs w:val="24"/>
        </w:rPr>
        <w:t>finansinėmis priemonėmis</w:t>
      </w:r>
      <w:r w:rsidR="00D02111" w:rsidRPr="00A91E83">
        <w:rPr>
          <w:rFonts w:ascii="Times New Roman" w:hAnsi="Times New Roman" w:cs="Times New Roman"/>
          <w:sz w:val="24"/>
          <w:szCs w:val="24"/>
        </w:rPr>
        <w:t>.</w:t>
      </w:r>
      <w:r w:rsidR="00D86472" w:rsidRPr="00A91E83">
        <w:rPr>
          <w:rFonts w:ascii="Times New Roman" w:hAnsi="Times New Roman" w:cs="Times New Roman"/>
          <w:sz w:val="24"/>
          <w:szCs w:val="24"/>
        </w:rPr>
        <w:t xml:space="preserve"> Skirtingų kreditorių </w:t>
      </w:r>
      <w:r w:rsidR="00D86472" w:rsidRPr="00A91E83">
        <w:rPr>
          <w:rFonts w:ascii="Times New Roman" w:hAnsi="Times New Roman" w:cs="Times New Roman"/>
          <w:sz w:val="24"/>
          <w:szCs w:val="24"/>
        </w:rPr>
        <w:lastRenderedPageBreak/>
        <w:t>reikalavimų traktavimas skirtingai n</w:t>
      </w:r>
      <w:r w:rsidR="003D0F76" w:rsidRPr="00A91E83">
        <w:rPr>
          <w:rFonts w:ascii="Times New Roman" w:hAnsi="Times New Roman" w:cs="Times New Roman"/>
          <w:sz w:val="24"/>
          <w:szCs w:val="24"/>
        </w:rPr>
        <w:t>ebūtų</w:t>
      </w:r>
      <w:r w:rsidR="00D86472" w:rsidRPr="00A91E83">
        <w:rPr>
          <w:rFonts w:ascii="Times New Roman" w:hAnsi="Times New Roman" w:cs="Times New Roman"/>
          <w:sz w:val="24"/>
          <w:szCs w:val="24"/>
        </w:rPr>
        <w:t xml:space="preserve"> laikoma</w:t>
      </w:r>
      <w:r w:rsidR="003D0F76" w:rsidRPr="00A91E83">
        <w:rPr>
          <w:rFonts w:ascii="Times New Roman" w:hAnsi="Times New Roman" w:cs="Times New Roman"/>
          <w:sz w:val="24"/>
          <w:szCs w:val="24"/>
        </w:rPr>
        <w:t>s</w:t>
      </w:r>
      <w:r w:rsidR="00D86472" w:rsidRPr="00A91E83">
        <w:rPr>
          <w:rFonts w:ascii="Times New Roman" w:hAnsi="Times New Roman" w:cs="Times New Roman"/>
          <w:sz w:val="24"/>
          <w:szCs w:val="24"/>
        </w:rPr>
        <w:t xml:space="preserve"> diskriminacija, o </w:t>
      </w:r>
      <w:r w:rsidR="00D86472" w:rsidRPr="00A91E83">
        <w:rPr>
          <w:rFonts w:ascii="Times New Roman" w:hAnsi="Times New Roman" w:cs="Times New Roman"/>
          <w:i/>
          <w:sz w:val="24"/>
          <w:szCs w:val="24"/>
        </w:rPr>
        <w:t>pagrįsta</w:t>
      </w:r>
      <w:r w:rsidR="00D86472" w:rsidRPr="00A91E83">
        <w:rPr>
          <w:rFonts w:ascii="Times New Roman" w:hAnsi="Times New Roman" w:cs="Times New Roman"/>
          <w:sz w:val="24"/>
          <w:szCs w:val="24"/>
        </w:rPr>
        <w:t xml:space="preserve"> diferenciacija, kuri nėra draudžiama.</w:t>
      </w:r>
    </w:p>
    <w:p w:rsidR="00CF76CA" w:rsidRPr="00A91E83" w:rsidRDefault="00CF76CA"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b/>
          <w:sz w:val="24"/>
          <w:szCs w:val="24"/>
        </w:rPr>
        <w:t>Užskaita, tai tarsi nepaviešintas „prievolių įvykdymo užtikrinimas“.</w:t>
      </w:r>
      <w:r w:rsidRPr="00A91E83">
        <w:rPr>
          <w:rFonts w:ascii="Times New Roman" w:hAnsi="Times New Roman" w:cs="Times New Roman"/>
          <w:sz w:val="24"/>
          <w:szCs w:val="24"/>
        </w:rPr>
        <w:t xml:space="preserve"> </w:t>
      </w:r>
      <w:r w:rsidR="00320649" w:rsidRPr="00A91E83">
        <w:rPr>
          <w:rFonts w:ascii="Times New Roman" w:hAnsi="Times New Roman" w:cs="Times New Roman"/>
          <w:sz w:val="24"/>
          <w:szCs w:val="24"/>
        </w:rPr>
        <w:t xml:space="preserve">Potencialūs kreditoriai neturi galimybės įvertinti galimos ūkio subjekto sudaryto sandorio įtakos savo interesams bankroto ar restruktūrizavimo procese. </w:t>
      </w:r>
      <w:r w:rsidRPr="00A91E83">
        <w:rPr>
          <w:rFonts w:ascii="Times New Roman" w:hAnsi="Times New Roman" w:cs="Times New Roman"/>
          <w:sz w:val="24"/>
          <w:szCs w:val="24"/>
        </w:rPr>
        <w:t xml:space="preserve">Kita vertus, nėra praktiška reikalauti iš kreditorių, kurie turi priešpriešinius reikalavimus išviešinti šį faktą. Egzistuoja </w:t>
      </w:r>
      <w:r w:rsidR="000A2F4B" w:rsidRPr="00A91E83">
        <w:rPr>
          <w:rFonts w:ascii="Times New Roman" w:hAnsi="Times New Roman" w:cs="Times New Roman"/>
          <w:sz w:val="24"/>
          <w:szCs w:val="24"/>
        </w:rPr>
        <w:t>daug</w:t>
      </w:r>
      <w:r w:rsidRPr="00A91E83">
        <w:rPr>
          <w:rFonts w:ascii="Times New Roman" w:hAnsi="Times New Roman" w:cs="Times New Roman"/>
          <w:sz w:val="24"/>
          <w:szCs w:val="24"/>
        </w:rPr>
        <w:t xml:space="preserve"> kitų situacijų, kai pripažįstama, kad atskleidimas, jog per bankroto procesą turtas nepateks į bendrą kr</w:t>
      </w:r>
      <w:r w:rsidR="00C8149E" w:rsidRPr="00A91E83">
        <w:rPr>
          <w:rFonts w:ascii="Times New Roman" w:hAnsi="Times New Roman" w:cs="Times New Roman"/>
          <w:sz w:val="24"/>
          <w:szCs w:val="24"/>
        </w:rPr>
        <w:t>editorių masę yra nerealus</w:t>
      </w:r>
      <w:r w:rsidR="00597E0E" w:rsidRPr="00A91E83">
        <w:rPr>
          <w:rFonts w:ascii="Times New Roman" w:hAnsi="Times New Roman" w:cs="Times New Roman"/>
          <w:sz w:val="24"/>
          <w:szCs w:val="24"/>
        </w:rPr>
        <w:t>, nes tai daryti</w:t>
      </w:r>
      <w:r w:rsidRPr="00A91E83">
        <w:rPr>
          <w:rFonts w:ascii="Times New Roman" w:hAnsi="Times New Roman" w:cs="Times New Roman"/>
          <w:sz w:val="24"/>
          <w:szCs w:val="24"/>
        </w:rPr>
        <w:t xml:space="preserve"> sudėtinga, ar per brangu.</w:t>
      </w:r>
      <w:r w:rsidR="000A2F4B" w:rsidRPr="00A91E83">
        <w:rPr>
          <w:rStyle w:val="Puslapioinaosnuoroda"/>
          <w:rFonts w:ascii="Times New Roman" w:hAnsi="Times New Roman" w:cs="Times New Roman"/>
          <w:sz w:val="24"/>
          <w:szCs w:val="24"/>
        </w:rPr>
        <w:footnoteReference w:id="131"/>
      </w:r>
      <w:r w:rsidRPr="00A91E83">
        <w:rPr>
          <w:rFonts w:ascii="Times New Roman" w:hAnsi="Times New Roman" w:cs="Times New Roman"/>
          <w:sz w:val="24"/>
          <w:szCs w:val="24"/>
        </w:rPr>
        <w:t xml:space="preserve"> Apskritai veikianti pelninga bendrovė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i/>
          <w:sz w:val="24"/>
          <w:szCs w:val="24"/>
        </w:rPr>
        <w:t>going-concern</w:t>
      </w:r>
      <w:r w:rsidRPr="00A91E83">
        <w:rPr>
          <w:rFonts w:ascii="Times New Roman" w:hAnsi="Times New Roman" w:cs="Times New Roman"/>
          <w:sz w:val="24"/>
          <w:szCs w:val="24"/>
        </w:rPr>
        <w:t>)</w:t>
      </w:r>
      <w:proofErr w:type="spellEnd"/>
      <w:r w:rsidRPr="00A91E83">
        <w:rPr>
          <w:rFonts w:ascii="Times New Roman" w:hAnsi="Times New Roman" w:cs="Times New Roman"/>
          <w:sz w:val="24"/>
          <w:szCs w:val="24"/>
        </w:rPr>
        <w:t xml:space="preserve"> yra daug vertingesnė nei bendra suma jos turto balanse. Bankrotas suskaldo bendrovės sukurtą vieningą rezultatą ir sumažina vertę ir esmės (</w:t>
      </w:r>
      <w:proofErr w:type="spellStart"/>
      <w:r w:rsidRPr="00A91E83">
        <w:rPr>
          <w:rFonts w:ascii="Times New Roman" w:hAnsi="Times New Roman" w:cs="Times New Roman"/>
          <w:sz w:val="24"/>
          <w:szCs w:val="24"/>
        </w:rPr>
        <w:t>pvz</w:t>
      </w:r>
      <w:proofErr w:type="spellEnd"/>
      <w:r w:rsidRPr="00A91E83">
        <w:rPr>
          <w:rFonts w:ascii="Times New Roman" w:hAnsi="Times New Roman" w:cs="Times New Roman"/>
          <w:sz w:val="24"/>
          <w:szCs w:val="24"/>
        </w:rPr>
        <w:t>.: sunaikina geros reputacijos sukurtą ver</w:t>
      </w:r>
      <w:r w:rsidR="003A02F7" w:rsidRPr="00A91E83">
        <w:rPr>
          <w:rFonts w:ascii="Times New Roman" w:hAnsi="Times New Roman" w:cs="Times New Roman"/>
          <w:sz w:val="24"/>
          <w:szCs w:val="24"/>
        </w:rPr>
        <w:t>tę). T</w:t>
      </w:r>
      <w:r w:rsidRPr="00A91E83">
        <w:rPr>
          <w:rFonts w:ascii="Times New Roman" w:hAnsi="Times New Roman" w:cs="Times New Roman"/>
          <w:sz w:val="24"/>
          <w:szCs w:val="24"/>
        </w:rPr>
        <w:t xml:space="preserve">aigi kreditoriai, turi pripažinti, kad bankrotas, tai vertės sunaikinimas pats savaime, o užskaita tokio </w:t>
      </w:r>
      <w:r w:rsidR="004C4F23" w:rsidRPr="00A91E83">
        <w:rPr>
          <w:rFonts w:ascii="Times New Roman" w:hAnsi="Times New Roman" w:cs="Times New Roman"/>
          <w:sz w:val="24"/>
          <w:szCs w:val="24"/>
        </w:rPr>
        <w:t xml:space="preserve">lygio </w:t>
      </w:r>
      <w:r w:rsidRPr="00A91E83">
        <w:rPr>
          <w:rFonts w:ascii="Times New Roman" w:hAnsi="Times New Roman" w:cs="Times New Roman"/>
          <w:sz w:val="24"/>
          <w:szCs w:val="24"/>
        </w:rPr>
        <w:t xml:space="preserve">neigiamo efekto nesukuria. Taigi </w:t>
      </w:r>
      <w:r w:rsidR="004C4F23" w:rsidRPr="00A91E83">
        <w:rPr>
          <w:rFonts w:ascii="Times New Roman" w:hAnsi="Times New Roman" w:cs="Times New Roman"/>
          <w:sz w:val="24"/>
          <w:szCs w:val="24"/>
        </w:rPr>
        <w:t xml:space="preserve">ir </w:t>
      </w:r>
      <w:r w:rsidRPr="00A91E83">
        <w:rPr>
          <w:rFonts w:ascii="Times New Roman" w:hAnsi="Times New Roman" w:cs="Times New Roman"/>
          <w:sz w:val="24"/>
          <w:szCs w:val="24"/>
        </w:rPr>
        <w:t xml:space="preserve">„slaptumo“ argumentas skamba </w:t>
      </w:r>
      <w:r w:rsidR="00BB3A4D" w:rsidRPr="00A91E83">
        <w:rPr>
          <w:rFonts w:ascii="Times New Roman" w:hAnsi="Times New Roman" w:cs="Times New Roman"/>
          <w:sz w:val="24"/>
          <w:szCs w:val="24"/>
        </w:rPr>
        <w:t xml:space="preserve">nevisiškai </w:t>
      </w:r>
      <w:r w:rsidRPr="00A91E83">
        <w:rPr>
          <w:rFonts w:ascii="Times New Roman" w:hAnsi="Times New Roman" w:cs="Times New Roman"/>
          <w:sz w:val="24"/>
          <w:szCs w:val="24"/>
        </w:rPr>
        <w:t>įtikinamai.</w:t>
      </w:r>
    </w:p>
    <w:p w:rsidR="00CF76CA" w:rsidRPr="00A91E83" w:rsidRDefault="00CF76CA"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b/>
          <w:sz w:val="24"/>
          <w:szCs w:val="24"/>
        </w:rPr>
        <w:t>Sumažinama bendra nemokios bendrovės turto masės vertė.</w:t>
      </w:r>
      <w:r w:rsidRPr="00A91E83">
        <w:rPr>
          <w:rFonts w:ascii="Times New Roman" w:hAnsi="Times New Roman" w:cs="Times New Roman"/>
          <w:sz w:val="24"/>
          <w:szCs w:val="24"/>
        </w:rPr>
        <w:t xml:space="preserve"> Visų kreditorių reikalavimai bus tenkinami iš likusio nemokios bendrovės turto bankroto proceso metu, o atlikus užskaita šis turtas sumažėja kreditorių atžvilgiu.</w:t>
      </w:r>
      <w:r w:rsidRPr="00A91E83">
        <w:rPr>
          <w:rStyle w:val="Puslapioinaosnuoroda"/>
          <w:rFonts w:ascii="Times New Roman" w:hAnsi="Times New Roman" w:cs="Times New Roman"/>
          <w:sz w:val="24"/>
          <w:szCs w:val="24"/>
        </w:rPr>
        <w:footnoteReference w:id="132"/>
      </w:r>
      <w:r w:rsidRPr="00A91E83">
        <w:rPr>
          <w:rFonts w:ascii="Times New Roman" w:hAnsi="Times New Roman" w:cs="Times New Roman"/>
          <w:sz w:val="24"/>
          <w:szCs w:val="24"/>
        </w:rPr>
        <w:t xml:space="preserve"> Vis dėlto dažnai nemokios bendrovės turto, kurio atžvilgiu atliekama užskaita kiti kreditoriai vis tiek n</w:t>
      </w:r>
      <w:r w:rsidR="005F1260" w:rsidRPr="00A91E83">
        <w:rPr>
          <w:rFonts w:ascii="Times New Roman" w:hAnsi="Times New Roman" w:cs="Times New Roman"/>
          <w:sz w:val="24"/>
          <w:szCs w:val="24"/>
        </w:rPr>
        <w:t>egautų, nes jeigu sandoriai sudaryti su finansinio užstato įkeitimu, tai net ir pagal bendrą bankroto tvarką</w:t>
      </w:r>
      <w:r w:rsidR="00AD6FA8" w:rsidRPr="00A91E83">
        <w:rPr>
          <w:rFonts w:ascii="Times New Roman" w:hAnsi="Times New Roman" w:cs="Times New Roman"/>
          <w:sz w:val="24"/>
          <w:szCs w:val="24"/>
        </w:rPr>
        <w:t>, pirmiausia</w:t>
      </w:r>
      <w:r w:rsidR="005F1260" w:rsidRPr="00A91E83">
        <w:rPr>
          <w:rFonts w:ascii="Times New Roman" w:hAnsi="Times New Roman" w:cs="Times New Roman"/>
          <w:sz w:val="24"/>
          <w:szCs w:val="24"/>
        </w:rPr>
        <w:t xml:space="preserve"> butų tenkinami užtikrinti reikalavimai. T</w:t>
      </w:r>
      <w:r w:rsidRPr="00A91E83">
        <w:rPr>
          <w:rFonts w:ascii="Times New Roman" w:hAnsi="Times New Roman" w:cs="Times New Roman"/>
          <w:sz w:val="24"/>
          <w:szCs w:val="24"/>
        </w:rPr>
        <w:t xml:space="preserve">odėl procesas padedantis išvengti ilgų bankroto procedūrų yra tik </w:t>
      </w:r>
      <w:r w:rsidR="003A02F7" w:rsidRPr="00A91E83">
        <w:rPr>
          <w:rFonts w:ascii="Times New Roman" w:hAnsi="Times New Roman" w:cs="Times New Roman"/>
          <w:sz w:val="24"/>
          <w:szCs w:val="24"/>
        </w:rPr>
        <w:t>rekomenduotinas sandorių dėl išvestinių finansinių priemonių atžvilgiu</w:t>
      </w:r>
      <w:r w:rsidRPr="00A91E83">
        <w:rPr>
          <w:rFonts w:ascii="Times New Roman" w:hAnsi="Times New Roman" w:cs="Times New Roman"/>
          <w:sz w:val="24"/>
          <w:szCs w:val="24"/>
        </w:rPr>
        <w:t>, nes finansinio turto, kuris yra įkeičiamas, rinkos vert</w:t>
      </w:r>
      <w:r w:rsidR="006B20F3" w:rsidRPr="00A91E83">
        <w:rPr>
          <w:rFonts w:ascii="Times New Roman" w:hAnsi="Times New Roman" w:cs="Times New Roman"/>
          <w:sz w:val="24"/>
          <w:szCs w:val="24"/>
        </w:rPr>
        <w:t>ė gali itin greitai pasikeisti.</w:t>
      </w:r>
      <w:r w:rsidR="00BF7F1B" w:rsidRPr="00A91E83">
        <w:rPr>
          <w:rFonts w:ascii="Times New Roman" w:hAnsi="Times New Roman" w:cs="Times New Roman"/>
          <w:sz w:val="24"/>
          <w:szCs w:val="24"/>
        </w:rPr>
        <w:t xml:space="preserve"> Ši</w:t>
      </w:r>
      <w:r w:rsidR="002D740F" w:rsidRPr="00A91E83">
        <w:rPr>
          <w:rFonts w:ascii="Times New Roman" w:hAnsi="Times New Roman" w:cs="Times New Roman"/>
          <w:sz w:val="24"/>
          <w:szCs w:val="24"/>
        </w:rPr>
        <w:t>s</w:t>
      </w:r>
      <w:r w:rsidR="00BF7F1B" w:rsidRPr="00A91E83">
        <w:rPr>
          <w:rFonts w:ascii="Times New Roman" w:hAnsi="Times New Roman" w:cs="Times New Roman"/>
          <w:sz w:val="24"/>
          <w:szCs w:val="24"/>
        </w:rPr>
        <w:t xml:space="preserve"> sumažėjimas gali būti toks žymus, kad prioritetą turinčių </w:t>
      </w:r>
      <w:r w:rsidR="0047607B" w:rsidRPr="00A91E83">
        <w:rPr>
          <w:rFonts w:ascii="Times New Roman" w:hAnsi="Times New Roman" w:cs="Times New Roman"/>
          <w:sz w:val="24"/>
          <w:szCs w:val="24"/>
        </w:rPr>
        <w:t>kreditorių statusas išsilygins su likusiais kreditoriais, t.</w:t>
      </w:r>
      <w:r w:rsidR="002D740F" w:rsidRPr="00A91E83">
        <w:rPr>
          <w:rFonts w:ascii="Times New Roman" w:hAnsi="Times New Roman" w:cs="Times New Roman"/>
          <w:sz w:val="24"/>
          <w:szCs w:val="24"/>
        </w:rPr>
        <w:t> </w:t>
      </w:r>
      <w:r w:rsidR="0047607B" w:rsidRPr="00A91E83">
        <w:rPr>
          <w:rFonts w:ascii="Times New Roman" w:hAnsi="Times New Roman" w:cs="Times New Roman"/>
          <w:sz w:val="24"/>
          <w:szCs w:val="24"/>
        </w:rPr>
        <w:t>y. reiškian</w:t>
      </w:r>
      <w:r w:rsidR="00AD6FA8" w:rsidRPr="00A91E83">
        <w:rPr>
          <w:rFonts w:ascii="Times New Roman" w:hAnsi="Times New Roman" w:cs="Times New Roman"/>
          <w:sz w:val="24"/>
          <w:szCs w:val="24"/>
        </w:rPr>
        <w:t>čius neužtikrintus reikalavimus bankroto procese.</w:t>
      </w:r>
    </w:p>
    <w:p w:rsidR="00DC7335" w:rsidRPr="00A91E83" w:rsidRDefault="00DC7335" w:rsidP="00B46A53">
      <w:pPr>
        <w:tabs>
          <w:tab w:val="left" w:pos="851"/>
        </w:tabs>
        <w:spacing w:after="0" w:line="360" w:lineRule="auto"/>
        <w:ind w:firstLine="851"/>
        <w:jc w:val="both"/>
        <w:rPr>
          <w:rFonts w:ascii="Times New Roman" w:hAnsi="Times New Roman" w:cs="Times New Roman"/>
          <w:sz w:val="24"/>
          <w:szCs w:val="24"/>
        </w:rPr>
      </w:pPr>
    </w:p>
    <w:p w:rsidR="00DC7335" w:rsidRPr="00A91E83" w:rsidRDefault="00DC7335">
      <w:pPr>
        <w:rPr>
          <w:rFonts w:ascii="Times New Roman" w:eastAsia="Times New Roman" w:hAnsi="Times New Roman" w:cs="Times New Roman"/>
          <w:sz w:val="24"/>
          <w:szCs w:val="24"/>
          <w:lang w:eastAsia="zh-CN"/>
        </w:rPr>
      </w:pPr>
      <w:r w:rsidRPr="00A91E83">
        <w:rPr>
          <w:rFonts w:ascii="Times New Roman" w:hAnsi="Times New Roman" w:cs="Times New Roman"/>
          <w:sz w:val="24"/>
          <w:szCs w:val="24"/>
        </w:rPr>
        <w:br w:type="page"/>
      </w:r>
    </w:p>
    <w:p w:rsidR="00F8650C" w:rsidRPr="00A91E83" w:rsidRDefault="00F8650C" w:rsidP="006B3F3A">
      <w:pPr>
        <w:pStyle w:val="Sraopastraipa"/>
        <w:numPr>
          <w:ilvl w:val="0"/>
          <w:numId w:val="4"/>
        </w:numPr>
        <w:tabs>
          <w:tab w:val="left" w:pos="851"/>
        </w:tabs>
        <w:spacing w:after="0" w:line="360" w:lineRule="auto"/>
        <w:ind w:left="0" w:firstLine="0"/>
        <w:jc w:val="both"/>
        <w:outlineLvl w:val="0"/>
        <w:rPr>
          <w:rFonts w:ascii="Times New Roman" w:hAnsi="Times New Roman" w:cs="Times New Roman"/>
          <w:b/>
          <w:smallCaps/>
          <w:sz w:val="24"/>
          <w:szCs w:val="24"/>
        </w:rPr>
      </w:pPr>
      <w:bookmarkStart w:id="24" w:name="_Toc280546457"/>
      <w:r w:rsidRPr="00A91E83">
        <w:rPr>
          <w:rFonts w:ascii="Times New Roman" w:hAnsi="Times New Roman" w:cs="Times New Roman"/>
          <w:b/>
          <w:smallCaps/>
          <w:sz w:val="24"/>
          <w:szCs w:val="24"/>
        </w:rPr>
        <w:lastRenderedPageBreak/>
        <w:t xml:space="preserve">ISDA </w:t>
      </w:r>
      <w:r w:rsidR="00D95F30" w:rsidRPr="00A91E83">
        <w:rPr>
          <w:rFonts w:ascii="Times New Roman" w:hAnsi="Times New Roman" w:cs="Times New Roman"/>
          <w:b/>
          <w:smallCaps/>
          <w:sz w:val="24"/>
          <w:szCs w:val="24"/>
        </w:rPr>
        <w:t>form</w:t>
      </w:r>
      <w:r w:rsidR="006B3F3A" w:rsidRPr="00A91E83">
        <w:rPr>
          <w:rFonts w:ascii="Times New Roman" w:hAnsi="Times New Roman" w:cs="Times New Roman"/>
          <w:b/>
          <w:smallCaps/>
          <w:sz w:val="24"/>
          <w:szCs w:val="24"/>
        </w:rPr>
        <w:t>a</w:t>
      </w:r>
      <w:bookmarkEnd w:id="24"/>
      <w:r w:rsidR="00D95F30" w:rsidRPr="00A91E83">
        <w:rPr>
          <w:rFonts w:ascii="Times New Roman" w:hAnsi="Times New Roman" w:cs="Times New Roman"/>
          <w:b/>
          <w:smallCaps/>
          <w:sz w:val="24"/>
          <w:szCs w:val="24"/>
        </w:rPr>
        <w:t xml:space="preserve"> </w:t>
      </w:r>
    </w:p>
    <w:p w:rsidR="00847E57" w:rsidRPr="00A91E83" w:rsidRDefault="00847E57" w:rsidP="00B46A53">
      <w:pPr>
        <w:tabs>
          <w:tab w:val="left" w:pos="851"/>
        </w:tabs>
        <w:spacing w:after="0" w:line="360" w:lineRule="auto"/>
        <w:ind w:firstLine="851"/>
        <w:jc w:val="both"/>
        <w:rPr>
          <w:rFonts w:ascii="Times New Roman" w:eastAsia="Times New Roman" w:hAnsi="Times New Roman" w:cs="Times New Roman"/>
          <w:color w:val="000000"/>
          <w:sz w:val="24"/>
          <w:szCs w:val="24"/>
        </w:rPr>
      </w:pPr>
    </w:p>
    <w:p w:rsidR="00F8650C" w:rsidRPr="00A91E83" w:rsidRDefault="00F8650C" w:rsidP="00A91FC2">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Šio</w:t>
      </w:r>
      <w:r w:rsidR="00A91FC2" w:rsidRPr="00A91E83">
        <w:rPr>
          <w:rFonts w:ascii="Times New Roman" w:hAnsi="Times New Roman" w:cs="Times New Roman"/>
          <w:sz w:val="24"/>
          <w:szCs w:val="24"/>
        </w:rPr>
        <w:t>s</w:t>
      </w:r>
      <w:r w:rsidRPr="00A91E83">
        <w:rPr>
          <w:rFonts w:ascii="Times New Roman" w:hAnsi="Times New Roman" w:cs="Times New Roman"/>
          <w:sz w:val="24"/>
          <w:szCs w:val="24"/>
        </w:rPr>
        <w:t xml:space="preserve"> darbo </w:t>
      </w:r>
      <w:r w:rsidR="00A91FC2" w:rsidRPr="00A91E83">
        <w:rPr>
          <w:rFonts w:ascii="Times New Roman" w:hAnsi="Times New Roman" w:cs="Times New Roman"/>
          <w:sz w:val="24"/>
          <w:szCs w:val="24"/>
        </w:rPr>
        <w:t xml:space="preserve">dalies </w:t>
      </w:r>
      <w:r w:rsidRPr="00A91E83">
        <w:rPr>
          <w:rFonts w:ascii="Times New Roman" w:hAnsi="Times New Roman" w:cs="Times New Roman"/>
          <w:sz w:val="24"/>
          <w:szCs w:val="24"/>
        </w:rPr>
        <w:t xml:space="preserve">tikslas panagrinėti </w:t>
      </w:r>
      <w:r w:rsidR="00A91FC2" w:rsidRPr="00A91E83">
        <w:rPr>
          <w:rFonts w:ascii="Times New Roman" w:hAnsi="Times New Roman" w:cs="Times New Roman"/>
          <w:sz w:val="24"/>
          <w:szCs w:val="24"/>
        </w:rPr>
        <w:t xml:space="preserve">sandorių dėl išvestinių finansinių priemonių </w:t>
      </w:r>
      <w:r w:rsidR="00347FBD" w:rsidRPr="00A91E83">
        <w:rPr>
          <w:rFonts w:ascii="Times New Roman" w:hAnsi="Times New Roman" w:cs="Times New Roman"/>
          <w:sz w:val="24"/>
          <w:szCs w:val="24"/>
        </w:rPr>
        <w:t>sudaromų už biržos ribų</w:t>
      </w:r>
      <w:r w:rsidR="0003660F" w:rsidRPr="00A91E83">
        <w:rPr>
          <w:rFonts w:ascii="Times New Roman" w:hAnsi="Times New Roman" w:cs="Times New Roman"/>
          <w:sz w:val="24"/>
          <w:szCs w:val="24"/>
        </w:rPr>
        <w:t xml:space="preserve">, naudojant </w:t>
      </w:r>
      <w:r w:rsidR="00347FBD" w:rsidRPr="00A91E83">
        <w:rPr>
          <w:rFonts w:ascii="Times New Roman" w:hAnsi="Times New Roman" w:cs="Times New Roman"/>
          <w:sz w:val="24"/>
          <w:szCs w:val="24"/>
        </w:rPr>
        <w:t xml:space="preserve">ISDA </w:t>
      </w:r>
      <w:r w:rsidR="00604B6C" w:rsidRPr="00A91E83">
        <w:rPr>
          <w:rFonts w:ascii="Times New Roman" w:hAnsi="Times New Roman" w:cs="Times New Roman"/>
          <w:sz w:val="24"/>
          <w:szCs w:val="24"/>
        </w:rPr>
        <w:t>(</w:t>
      </w:r>
      <w:proofErr w:type="spellStart"/>
      <w:r w:rsidR="00604B6C" w:rsidRPr="00A91E83">
        <w:rPr>
          <w:rFonts w:ascii="Times New Roman" w:hAnsi="Times New Roman" w:cs="Times New Roman"/>
          <w:sz w:val="24"/>
          <w:szCs w:val="24"/>
        </w:rPr>
        <w:t>angl</w:t>
      </w:r>
      <w:proofErr w:type="spellEnd"/>
      <w:r w:rsidR="00604B6C" w:rsidRPr="00A91E83">
        <w:rPr>
          <w:rFonts w:ascii="Times New Roman" w:hAnsi="Times New Roman" w:cs="Times New Roman"/>
          <w:sz w:val="24"/>
          <w:szCs w:val="24"/>
        </w:rPr>
        <w:t>.</w:t>
      </w:r>
      <w:r w:rsidR="00604B6C" w:rsidRPr="00A91E83">
        <w:rPr>
          <w:rFonts w:ascii="Times New Roman" w:hAnsi="Times New Roman" w:cs="Times New Roman"/>
          <w:i/>
          <w:sz w:val="24"/>
          <w:szCs w:val="24"/>
        </w:rPr>
        <w:t xml:space="preserve"> </w:t>
      </w:r>
      <w:proofErr w:type="spellStart"/>
      <w:r w:rsidR="00604B6C" w:rsidRPr="00A91E83">
        <w:rPr>
          <w:rFonts w:ascii="Times New Roman" w:hAnsi="Times New Roman" w:cs="Times New Roman"/>
          <w:i/>
          <w:sz w:val="24"/>
          <w:szCs w:val="24"/>
        </w:rPr>
        <w:t>International</w:t>
      </w:r>
      <w:proofErr w:type="spellEnd"/>
      <w:r w:rsidR="00604B6C" w:rsidRPr="00A91E83">
        <w:rPr>
          <w:rFonts w:ascii="Times New Roman" w:hAnsi="Times New Roman" w:cs="Times New Roman"/>
          <w:i/>
          <w:sz w:val="24"/>
          <w:szCs w:val="24"/>
        </w:rPr>
        <w:t xml:space="preserve"> </w:t>
      </w:r>
      <w:proofErr w:type="spellStart"/>
      <w:r w:rsidR="00604B6C" w:rsidRPr="00A91E83">
        <w:rPr>
          <w:rFonts w:ascii="Times New Roman" w:hAnsi="Times New Roman" w:cs="Times New Roman"/>
          <w:i/>
          <w:sz w:val="24"/>
          <w:szCs w:val="24"/>
        </w:rPr>
        <w:t>Swaps</w:t>
      </w:r>
      <w:proofErr w:type="spellEnd"/>
      <w:r w:rsidR="00604B6C" w:rsidRPr="00A91E83">
        <w:rPr>
          <w:rFonts w:ascii="Times New Roman" w:hAnsi="Times New Roman" w:cs="Times New Roman"/>
          <w:i/>
          <w:sz w:val="24"/>
          <w:szCs w:val="24"/>
        </w:rPr>
        <w:t xml:space="preserve"> </w:t>
      </w:r>
      <w:proofErr w:type="spellStart"/>
      <w:r w:rsidR="00604B6C" w:rsidRPr="00A91E83">
        <w:rPr>
          <w:rFonts w:ascii="Times New Roman" w:hAnsi="Times New Roman" w:cs="Times New Roman"/>
          <w:i/>
          <w:sz w:val="24"/>
          <w:szCs w:val="24"/>
        </w:rPr>
        <w:t>and</w:t>
      </w:r>
      <w:proofErr w:type="spellEnd"/>
      <w:r w:rsidR="00604B6C" w:rsidRPr="00A91E83">
        <w:rPr>
          <w:rFonts w:ascii="Times New Roman" w:hAnsi="Times New Roman" w:cs="Times New Roman"/>
          <w:i/>
          <w:sz w:val="24"/>
          <w:szCs w:val="24"/>
        </w:rPr>
        <w:t xml:space="preserve"> </w:t>
      </w:r>
      <w:proofErr w:type="spellStart"/>
      <w:r w:rsidR="00604B6C" w:rsidRPr="00A91E83">
        <w:rPr>
          <w:rFonts w:ascii="Times New Roman" w:hAnsi="Times New Roman" w:cs="Times New Roman"/>
          <w:i/>
          <w:sz w:val="24"/>
          <w:szCs w:val="24"/>
        </w:rPr>
        <w:t>Derivatives</w:t>
      </w:r>
      <w:proofErr w:type="spellEnd"/>
      <w:r w:rsidR="00604B6C" w:rsidRPr="00A91E83">
        <w:rPr>
          <w:rFonts w:ascii="Times New Roman" w:hAnsi="Times New Roman" w:cs="Times New Roman"/>
          <w:i/>
          <w:sz w:val="24"/>
          <w:szCs w:val="24"/>
        </w:rPr>
        <w:t xml:space="preserve"> </w:t>
      </w:r>
      <w:proofErr w:type="spellStart"/>
      <w:r w:rsidR="00604B6C" w:rsidRPr="00A91E83">
        <w:rPr>
          <w:rFonts w:ascii="Times New Roman" w:hAnsi="Times New Roman" w:cs="Times New Roman"/>
          <w:i/>
          <w:sz w:val="24"/>
          <w:szCs w:val="24"/>
        </w:rPr>
        <w:t>Association</w:t>
      </w:r>
      <w:proofErr w:type="spellEnd"/>
      <w:r w:rsidR="00604B6C" w:rsidRPr="00A91E83">
        <w:rPr>
          <w:rFonts w:ascii="Times New Roman" w:hAnsi="Times New Roman" w:cs="Times New Roman"/>
          <w:i/>
          <w:sz w:val="24"/>
          <w:szCs w:val="24"/>
        </w:rPr>
        <w:t xml:space="preserve">, </w:t>
      </w:r>
      <w:proofErr w:type="spellStart"/>
      <w:r w:rsidR="00604B6C" w:rsidRPr="00A91E83">
        <w:rPr>
          <w:rFonts w:ascii="Times New Roman" w:hAnsi="Times New Roman" w:cs="Times New Roman"/>
          <w:i/>
          <w:sz w:val="24"/>
          <w:szCs w:val="24"/>
        </w:rPr>
        <w:t>Inc</w:t>
      </w:r>
      <w:proofErr w:type="spellEnd"/>
      <w:r w:rsidR="00604B6C" w:rsidRPr="00A91E83">
        <w:rPr>
          <w:rFonts w:ascii="Times New Roman" w:hAnsi="Times New Roman" w:cs="Times New Roman"/>
          <w:i/>
          <w:sz w:val="24"/>
          <w:szCs w:val="24"/>
        </w:rPr>
        <w:t>.</w:t>
      </w:r>
      <w:r w:rsidR="00604B6C" w:rsidRPr="00A91E83">
        <w:rPr>
          <w:rFonts w:ascii="Times New Roman" w:hAnsi="Times New Roman" w:cs="Times New Roman"/>
          <w:sz w:val="24"/>
          <w:szCs w:val="24"/>
        </w:rPr>
        <w:t xml:space="preserve">) </w:t>
      </w:r>
      <w:r w:rsidR="00347FBD" w:rsidRPr="00A91E83">
        <w:rPr>
          <w:rFonts w:ascii="Times New Roman" w:hAnsi="Times New Roman" w:cs="Times New Roman"/>
          <w:sz w:val="24"/>
          <w:szCs w:val="24"/>
        </w:rPr>
        <w:t>tipinės sutarties</w:t>
      </w:r>
      <w:r w:rsidR="00A91FC2" w:rsidRPr="00A91E83">
        <w:rPr>
          <w:rFonts w:ascii="Times New Roman" w:hAnsi="Times New Roman" w:cs="Times New Roman"/>
          <w:sz w:val="24"/>
          <w:szCs w:val="24"/>
        </w:rPr>
        <w:t xml:space="preserve"> sąlygas</w:t>
      </w:r>
      <w:r w:rsidRPr="00A91E83">
        <w:rPr>
          <w:rFonts w:ascii="Times New Roman" w:hAnsi="Times New Roman" w:cs="Times New Roman"/>
          <w:sz w:val="24"/>
          <w:szCs w:val="24"/>
        </w:rPr>
        <w:t xml:space="preserve">. Kaip buvo minėta, šalys turi daugiau įtakos sandorių turiniui sudarinėdamos sandorius tarpusavyje, nei naudodamos standartizuotus </w:t>
      </w:r>
      <w:r w:rsidR="00285A14" w:rsidRPr="00A91E83">
        <w:rPr>
          <w:rFonts w:ascii="Times New Roman" w:hAnsi="Times New Roman" w:cs="Times New Roman"/>
          <w:sz w:val="24"/>
          <w:szCs w:val="24"/>
        </w:rPr>
        <w:t xml:space="preserve">sandorius </w:t>
      </w:r>
      <w:r w:rsidRPr="00A91E83">
        <w:rPr>
          <w:rFonts w:ascii="Times New Roman" w:hAnsi="Times New Roman" w:cs="Times New Roman"/>
          <w:sz w:val="24"/>
          <w:szCs w:val="24"/>
        </w:rPr>
        <w:t>biržo</w:t>
      </w:r>
      <w:r w:rsidR="00285A14" w:rsidRPr="00A91E83">
        <w:rPr>
          <w:rFonts w:ascii="Times New Roman" w:hAnsi="Times New Roman" w:cs="Times New Roman"/>
          <w:sz w:val="24"/>
          <w:szCs w:val="24"/>
        </w:rPr>
        <w:t>je</w:t>
      </w:r>
      <w:r w:rsidR="0003660F" w:rsidRPr="00A91E83">
        <w:rPr>
          <w:rFonts w:ascii="Times New Roman" w:hAnsi="Times New Roman" w:cs="Times New Roman"/>
          <w:sz w:val="24"/>
          <w:szCs w:val="24"/>
        </w:rPr>
        <w:t>. Dėl šios priežasties</w:t>
      </w:r>
      <w:r w:rsidRPr="00A91E83">
        <w:rPr>
          <w:rFonts w:ascii="Times New Roman" w:hAnsi="Times New Roman" w:cs="Times New Roman"/>
          <w:sz w:val="24"/>
          <w:szCs w:val="24"/>
        </w:rPr>
        <w:t xml:space="preserve"> atsirado poreikis sisteminti ir kodifikuoti geriausią praktiką rinkoje. Taigi atsirado ISDA, kuri ir užpildė šį vakuumą.</w:t>
      </w:r>
    </w:p>
    <w:p w:rsidR="00F8650C" w:rsidRPr="00A91E83" w:rsidRDefault="00604B6C" w:rsidP="00285A14">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Iš p</w:t>
      </w:r>
      <w:r w:rsidR="00F8650C" w:rsidRPr="00A91E83">
        <w:rPr>
          <w:rFonts w:ascii="Times New Roman" w:hAnsi="Times New Roman" w:cs="Times New Roman"/>
          <w:sz w:val="24"/>
          <w:szCs w:val="24"/>
        </w:rPr>
        <w:t>opuliariausi</w:t>
      </w:r>
      <w:r w:rsidRPr="00A91E83">
        <w:rPr>
          <w:rFonts w:ascii="Times New Roman" w:hAnsi="Times New Roman" w:cs="Times New Roman"/>
          <w:sz w:val="24"/>
          <w:szCs w:val="24"/>
        </w:rPr>
        <w:t>ų tipinių</w:t>
      </w:r>
      <w:r w:rsidR="00F8650C" w:rsidRPr="00A91E83">
        <w:rPr>
          <w:rFonts w:ascii="Times New Roman" w:hAnsi="Times New Roman" w:cs="Times New Roman"/>
          <w:sz w:val="24"/>
          <w:szCs w:val="24"/>
        </w:rPr>
        <w:t xml:space="preserve"> </w:t>
      </w:r>
      <w:r w:rsidRPr="00A91E83">
        <w:rPr>
          <w:rFonts w:ascii="Times New Roman" w:hAnsi="Times New Roman" w:cs="Times New Roman"/>
          <w:sz w:val="24"/>
          <w:szCs w:val="24"/>
        </w:rPr>
        <w:t>pagrindinių standartinių susitarimų išskiriami</w:t>
      </w:r>
      <w:r w:rsidR="00F8650C" w:rsidRPr="00A91E83">
        <w:rPr>
          <w:rFonts w:ascii="Times New Roman" w:hAnsi="Times New Roman" w:cs="Times New Roman"/>
          <w:sz w:val="24"/>
          <w:szCs w:val="24"/>
        </w:rPr>
        <w:t xml:space="preserve"> šie: ISDA </w:t>
      </w:r>
      <w:r w:rsidR="00F2793E" w:rsidRPr="00A91E83">
        <w:rPr>
          <w:rFonts w:ascii="Times New Roman" w:hAnsi="Times New Roman" w:cs="Times New Roman"/>
          <w:sz w:val="24"/>
          <w:szCs w:val="24"/>
        </w:rPr>
        <w:t>forma</w:t>
      </w:r>
      <w:r w:rsidR="00F8650C" w:rsidRPr="00A91E83">
        <w:rPr>
          <w:rFonts w:ascii="Times New Roman" w:hAnsi="Times New Roman" w:cs="Times New Roman"/>
          <w:sz w:val="24"/>
          <w:szCs w:val="24"/>
        </w:rPr>
        <w:t>;</w:t>
      </w:r>
      <w:r w:rsidR="00285A14" w:rsidRPr="00A91E83">
        <w:rPr>
          <w:rFonts w:ascii="Times New Roman" w:hAnsi="Times New Roman" w:cs="Times New Roman"/>
          <w:sz w:val="24"/>
          <w:szCs w:val="24"/>
        </w:rPr>
        <w:t xml:space="preserve"> </w:t>
      </w:r>
      <w:r w:rsidR="00F8650C" w:rsidRPr="00A91E83">
        <w:rPr>
          <w:rFonts w:ascii="Times New Roman" w:hAnsi="Times New Roman" w:cs="Times New Roman"/>
          <w:sz w:val="24"/>
          <w:szCs w:val="24"/>
        </w:rPr>
        <w:t>Britų bankų asociacijos formos;</w:t>
      </w:r>
      <w:r w:rsidR="00285A14" w:rsidRPr="00A91E83">
        <w:rPr>
          <w:rFonts w:ascii="Times New Roman" w:hAnsi="Times New Roman" w:cs="Times New Roman"/>
          <w:sz w:val="24"/>
          <w:szCs w:val="24"/>
        </w:rPr>
        <w:t xml:space="preserve"> </w:t>
      </w:r>
      <w:r w:rsidR="00F8650C" w:rsidRPr="00A91E83">
        <w:rPr>
          <w:rFonts w:ascii="Times New Roman" w:hAnsi="Times New Roman" w:cs="Times New Roman"/>
          <w:sz w:val="24"/>
          <w:szCs w:val="24"/>
        </w:rPr>
        <w:t xml:space="preserve">Tarptautinių atsiskaitymų ir Užsienio valiutos ir pasirinkimo sandorių </w:t>
      </w:r>
      <w:r w:rsidR="00EE6536" w:rsidRPr="00A91E83">
        <w:rPr>
          <w:rFonts w:ascii="Times New Roman" w:hAnsi="Times New Roman" w:cs="Times New Roman"/>
          <w:sz w:val="24"/>
          <w:szCs w:val="24"/>
        </w:rPr>
        <w:t>pagrindinis</w:t>
      </w:r>
      <w:r w:rsidR="00F8650C" w:rsidRPr="00A91E83">
        <w:rPr>
          <w:rFonts w:ascii="Times New Roman" w:hAnsi="Times New Roman" w:cs="Times New Roman"/>
          <w:sz w:val="24"/>
          <w:szCs w:val="24"/>
        </w:rPr>
        <w:t xml:space="preserve"> susitarimas;</w:t>
      </w:r>
      <w:r w:rsidR="00285A14" w:rsidRPr="00A91E83">
        <w:rPr>
          <w:rFonts w:ascii="Times New Roman" w:hAnsi="Times New Roman" w:cs="Times New Roman"/>
          <w:sz w:val="24"/>
          <w:szCs w:val="24"/>
        </w:rPr>
        <w:t xml:space="preserve"> P</w:t>
      </w:r>
      <w:r w:rsidR="00F8650C" w:rsidRPr="00A91E83">
        <w:rPr>
          <w:rFonts w:ascii="Times New Roman" w:hAnsi="Times New Roman" w:cs="Times New Roman"/>
          <w:sz w:val="24"/>
          <w:szCs w:val="24"/>
        </w:rPr>
        <w:t>rancūzijos bankų asociacijos ir kitų nacionalinių bankų asociacijos formos.</w:t>
      </w:r>
      <w:r w:rsidR="00F8650C" w:rsidRPr="00A91E83">
        <w:rPr>
          <w:rFonts w:ascii="Times New Roman" w:hAnsi="Times New Roman" w:cs="Times New Roman"/>
          <w:sz w:val="24"/>
          <w:szCs w:val="24"/>
          <w:vertAlign w:val="superscript"/>
        </w:rPr>
        <w:footnoteReference w:id="133"/>
      </w:r>
    </w:p>
    <w:p w:rsidR="00347FBD" w:rsidRPr="00A91E83" w:rsidRDefault="00285A14" w:rsidP="001D7A30">
      <w:pPr>
        <w:tabs>
          <w:tab w:val="left" w:pos="85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r>
      <w:r w:rsidR="00412923" w:rsidRPr="00A91E83">
        <w:rPr>
          <w:rFonts w:ascii="Times New Roman" w:hAnsi="Times New Roman" w:cs="Times New Roman"/>
          <w:sz w:val="24"/>
          <w:szCs w:val="24"/>
        </w:rPr>
        <w:t>ISD</w:t>
      </w:r>
      <w:r w:rsidRPr="00A91E83">
        <w:rPr>
          <w:rFonts w:ascii="Times New Roman" w:hAnsi="Times New Roman" w:cs="Times New Roman"/>
          <w:sz w:val="24"/>
          <w:szCs w:val="24"/>
        </w:rPr>
        <w:t xml:space="preserve">A </w:t>
      </w:r>
      <w:r w:rsidR="001D7A30" w:rsidRPr="00A91E83">
        <w:rPr>
          <w:rFonts w:ascii="Times New Roman" w:hAnsi="Times New Roman" w:cs="Times New Roman"/>
          <w:sz w:val="24"/>
          <w:szCs w:val="24"/>
        </w:rPr>
        <w:t>forma</w:t>
      </w:r>
      <w:r w:rsidRPr="00A91E83">
        <w:rPr>
          <w:rFonts w:ascii="Times New Roman" w:hAnsi="Times New Roman" w:cs="Times New Roman"/>
          <w:sz w:val="24"/>
          <w:szCs w:val="24"/>
        </w:rPr>
        <w:t xml:space="preserve"> yra laikomas svarbiausia</w:t>
      </w:r>
      <w:r w:rsidR="00412923" w:rsidRPr="00A91E83">
        <w:rPr>
          <w:rFonts w:ascii="Times New Roman" w:hAnsi="Times New Roman" w:cs="Times New Roman"/>
          <w:sz w:val="24"/>
          <w:szCs w:val="24"/>
        </w:rPr>
        <w:t xml:space="preserve"> ir populiariausia tipinių dokumentų forma susijusi su išvestinėmis finansinėmis priemonėmis. ISDA forma, tai</w:t>
      </w:r>
      <w:r w:rsidR="0003660F" w:rsidRPr="00A91E83">
        <w:rPr>
          <w:rFonts w:ascii="Times New Roman" w:hAnsi="Times New Roman" w:cs="Times New Roman"/>
          <w:sz w:val="24"/>
          <w:szCs w:val="24"/>
        </w:rPr>
        <w:t>,</w:t>
      </w:r>
      <w:r w:rsidR="00412923" w:rsidRPr="00A91E83">
        <w:rPr>
          <w:rFonts w:ascii="Times New Roman" w:hAnsi="Times New Roman" w:cs="Times New Roman"/>
          <w:sz w:val="24"/>
          <w:szCs w:val="24"/>
        </w:rPr>
        <w:t xml:space="preserve"> turbūt</w:t>
      </w:r>
      <w:r w:rsidR="0003660F" w:rsidRPr="00A91E83">
        <w:rPr>
          <w:rFonts w:ascii="Times New Roman" w:hAnsi="Times New Roman" w:cs="Times New Roman"/>
          <w:sz w:val="24"/>
          <w:szCs w:val="24"/>
        </w:rPr>
        <w:t>,</w:t>
      </w:r>
      <w:r w:rsidR="00412923" w:rsidRPr="00A91E83">
        <w:rPr>
          <w:rFonts w:ascii="Times New Roman" w:hAnsi="Times New Roman" w:cs="Times New Roman"/>
          <w:sz w:val="24"/>
          <w:szCs w:val="24"/>
        </w:rPr>
        <w:t xml:space="preserve"> pati žymiausia tipinė forma, kuri kada nors buvo sukurta, apimanti begalinę įvairovę sandorių.</w:t>
      </w:r>
      <w:r w:rsidR="00412923" w:rsidRPr="00A91E83">
        <w:rPr>
          <w:rStyle w:val="Puslapioinaosnuoroda"/>
          <w:rFonts w:ascii="Times New Roman" w:hAnsi="Times New Roman" w:cs="Times New Roman"/>
          <w:sz w:val="24"/>
          <w:szCs w:val="24"/>
        </w:rPr>
        <w:footnoteReference w:id="134"/>
      </w:r>
      <w:r w:rsidR="00412923" w:rsidRPr="00A91E83">
        <w:rPr>
          <w:rFonts w:ascii="Times New Roman" w:hAnsi="Times New Roman" w:cs="Times New Roman"/>
          <w:sz w:val="24"/>
          <w:szCs w:val="24"/>
        </w:rPr>
        <w:t xml:space="preserve"> ISDA daugiau nei 25 metus bendradarbiauja su išvestinių finansinių priemonių </w:t>
      </w:r>
      <w:proofErr w:type="spellStart"/>
      <w:r w:rsidR="00412923" w:rsidRPr="00A91E83">
        <w:rPr>
          <w:rFonts w:ascii="Times New Roman" w:hAnsi="Times New Roman" w:cs="Times New Roman"/>
          <w:sz w:val="24"/>
          <w:szCs w:val="24"/>
        </w:rPr>
        <w:t>užbiržinės</w:t>
      </w:r>
      <w:proofErr w:type="spellEnd"/>
      <w:r w:rsidR="00412923" w:rsidRPr="00A91E83">
        <w:rPr>
          <w:rFonts w:ascii="Times New Roman" w:hAnsi="Times New Roman" w:cs="Times New Roman"/>
          <w:sz w:val="24"/>
          <w:szCs w:val="24"/>
        </w:rPr>
        <w:t xml:space="preserve"> rinkos dalyviais, kurie siekia efektyviai valdyti finansų rinkos</w:t>
      </w:r>
      <w:r w:rsidR="0091063F" w:rsidRPr="00A91E83">
        <w:rPr>
          <w:rFonts w:ascii="Times New Roman" w:hAnsi="Times New Roman" w:cs="Times New Roman"/>
          <w:sz w:val="24"/>
          <w:szCs w:val="24"/>
        </w:rPr>
        <w:t xml:space="preserve"> riziką. Nuo pat įkūrimo 1985 m.</w:t>
      </w:r>
      <w:r w:rsidR="0091063F" w:rsidRPr="00A91E83">
        <w:rPr>
          <w:rStyle w:val="Puslapioinaosnuoroda"/>
          <w:rFonts w:ascii="Times New Roman" w:hAnsi="Times New Roman" w:cs="Times New Roman"/>
          <w:sz w:val="24"/>
          <w:szCs w:val="24"/>
        </w:rPr>
        <w:footnoteReference w:id="135"/>
      </w:r>
      <w:r w:rsidR="0091063F" w:rsidRPr="00A91E83">
        <w:rPr>
          <w:rFonts w:ascii="Times New Roman" w:hAnsi="Times New Roman" w:cs="Times New Roman"/>
          <w:sz w:val="24"/>
          <w:szCs w:val="24"/>
        </w:rPr>
        <w:t xml:space="preserve"> </w:t>
      </w:r>
      <w:r w:rsidR="00412923" w:rsidRPr="00A91E83">
        <w:rPr>
          <w:rFonts w:ascii="Times New Roman" w:hAnsi="Times New Roman" w:cs="Times New Roman"/>
          <w:sz w:val="24"/>
          <w:szCs w:val="24"/>
        </w:rPr>
        <w:t xml:space="preserve">ISDA </w:t>
      </w:r>
      <w:r w:rsidR="006C28D5" w:rsidRPr="00A91E83">
        <w:rPr>
          <w:rFonts w:ascii="Times New Roman" w:hAnsi="Times New Roman" w:cs="Times New Roman"/>
          <w:sz w:val="24"/>
          <w:szCs w:val="24"/>
        </w:rPr>
        <w:t>tobulina</w:t>
      </w:r>
      <w:r w:rsidR="00132E51" w:rsidRPr="00A91E83">
        <w:rPr>
          <w:rFonts w:ascii="Times New Roman" w:hAnsi="Times New Roman" w:cs="Times New Roman"/>
          <w:sz w:val="24"/>
          <w:szCs w:val="24"/>
        </w:rPr>
        <w:t xml:space="preserve"> ir </w:t>
      </w:r>
      <w:r w:rsidR="006C28D5" w:rsidRPr="00A91E83">
        <w:rPr>
          <w:rFonts w:ascii="Times New Roman" w:hAnsi="Times New Roman" w:cs="Times New Roman"/>
          <w:sz w:val="24"/>
          <w:szCs w:val="24"/>
        </w:rPr>
        <w:t>modifikuoja</w:t>
      </w:r>
      <w:r w:rsidR="00412923" w:rsidRPr="00A91E83">
        <w:rPr>
          <w:rFonts w:ascii="Times New Roman" w:hAnsi="Times New Roman" w:cs="Times New Roman"/>
          <w:sz w:val="24"/>
          <w:szCs w:val="24"/>
        </w:rPr>
        <w:t xml:space="preserve"> ISDA formą,</w:t>
      </w:r>
      <w:r w:rsidR="006C28D5" w:rsidRPr="00A91E83">
        <w:rPr>
          <w:rFonts w:ascii="Times New Roman" w:hAnsi="Times New Roman" w:cs="Times New Roman"/>
          <w:sz w:val="24"/>
          <w:szCs w:val="24"/>
        </w:rPr>
        <w:t xml:space="preserve"> o tai </w:t>
      </w:r>
      <w:r w:rsidR="00C34CDD" w:rsidRPr="00A91E83">
        <w:rPr>
          <w:rFonts w:ascii="Times New Roman" w:eastAsia="Times New Roman" w:hAnsi="Times New Roman" w:cs="Times New Roman"/>
          <w:color w:val="000000"/>
          <w:sz w:val="24"/>
          <w:szCs w:val="24"/>
        </w:rPr>
        <w:t>leidžia kontroliuoti teisinę riziką dėl išvestinių finansinių priemonių sudarytų už biržos ribų. Teisinė rizika – tai rizika, kad sudaryta sutartis negalės būti įvykdyta priverstine tvarka.</w:t>
      </w:r>
      <w:r w:rsidR="00C34CDD" w:rsidRPr="00A91E83">
        <w:rPr>
          <w:rStyle w:val="Puslapioinaosnuoroda"/>
          <w:rFonts w:ascii="Times New Roman" w:eastAsia="Times New Roman" w:hAnsi="Times New Roman" w:cs="Times New Roman"/>
          <w:color w:val="000000"/>
          <w:sz w:val="24"/>
          <w:szCs w:val="24"/>
        </w:rPr>
        <w:footnoteReference w:id="136"/>
      </w:r>
      <w:r w:rsidR="00C34CDD" w:rsidRPr="00A91E83">
        <w:rPr>
          <w:rFonts w:ascii="Times New Roman" w:eastAsia="Times New Roman" w:hAnsi="Times New Roman" w:cs="Times New Roman"/>
          <w:color w:val="000000"/>
          <w:sz w:val="24"/>
          <w:szCs w:val="24"/>
        </w:rPr>
        <w:t xml:space="preserve"> Ši forma leidžia susitarti dėl </w:t>
      </w:r>
      <w:r w:rsidR="007C72C6" w:rsidRPr="00A91E83">
        <w:rPr>
          <w:rFonts w:ascii="Times New Roman" w:eastAsia="Times New Roman" w:hAnsi="Times New Roman" w:cs="Times New Roman"/>
          <w:color w:val="000000"/>
          <w:sz w:val="24"/>
          <w:szCs w:val="24"/>
        </w:rPr>
        <w:t>esminių sąlygų, kurių užtikrintas galiojimas i</w:t>
      </w:r>
      <w:r w:rsidR="00C34CDD" w:rsidRPr="00A91E83">
        <w:rPr>
          <w:rFonts w:ascii="Times New Roman" w:eastAsia="Times New Roman" w:hAnsi="Times New Roman" w:cs="Times New Roman"/>
          <w:color w:val="000000"/>
          <w:sz w:val="24"/>
          <w:szCs w:val="24"/>
        </w:rPr>
        <w:t xml:space="preserve">r nulemia </w:t>
      </w:r>
      <w:r w:rsidR="00B34CEA" w:rsidRPr="00A91E83">
        <w:rPr>
          <w:rFonts w:ascii="Times New Roman" w:eastAsia="Times New Roman" w:hAnsi="Times New Roman" w:cs="Times New Roman"/>
          <w:color w:val="000000"/>
          <w:sz w:val="24"/>
          <w:szCs w:val="24"/>
        </w:rPr>
        <w:t xml:space="preserve">jos populiarumą ir </w:t>
      </w:r>
      <w:r w:rsidR="00C34CDD" w:rsidRPr="00A91E83">
        <w:rPr>
          <w:rFonts w:ascii="Times New Roman" w:eastAsia="Times New Roman" w:hAnsi="Times New Roman" w:cs="Times New Roman"/>
          <w:color w:val="000000"/>
          <w:sz w:val="24"/>
          <w:szCs w:val="24"/>
        </w:rPr>
        <w:t xml:space="preserve">šalių galimybę atitinkamai kontroliuoti rizikos apimtį. </w:t>
      </w:r>
    </w:p>
    <w:p w:rsidR="00F8650C" w:rsidRPr="00A91E83" w:rsidRDefault="00C24240"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eastAsia="Times New Roman" w:hAnsi="Times New Roman" w:cs="Times New Roman"/>
          <w:color w:val="000000"/>
          <w:sz w:val="24"/>
          <w:szCs w:val="24"/>
        </w:rPr>
        <w:t>ISDA tipinė</w:t>
      </w:r>
      <w:r w:rsidR="00514A10" w:rsidRPr="00A91E83">
        <w:rPr>
          <w:rFonts w:ascii="Times New Roman" w:eastAsia="Times New Roman" w:hAnsi="Times New Roman" w:cs="Times New Roman"/>
          <w:color w:val="000000"/>
          <w:sz w:val="24"/>
          <w:szCs w:val="24"/>
        </w:rPr>
        <w:t>s</w:t>
      </w:r>
      <w:r w:rsidRPr="00A91E83">
        <w:rPr>
          <w:rFonts w:ascii="Times New Roman" w:eastAsia="Times New Roman" w:hAnsi="Times New Roman" w:cs="Times New Roman"/>
          <w:color w:val="000000"/>
          <w:sz w:val="24"/>
          <w:szCs w:val="24"/>
        </w:rPr>
        <w:t xml:space="preserve"> sutarti</w:t>
      </w:r>
      <w:r w:rsidR="00514A10" w:rsidRPr="00A91E83">
        <w:rPr>
          <w:rFonts w:ascii="Times New Roman" w:eastAsia="Times New Roman" w:hAnsi="Times New Roman" w:cs="Times New Roman"/>
          <w:color w:val="000000"/>
          <w:sz w:val="24"/>
          <w:szCs w:val="24"/>
        </w:rPr>
        <w:t>e</w:t>
      </w:r>
      <w:r w:rsidRPr="00A91E83">
        <w:rPr>
          <w:rFonts w:ascii="Times New Roman" w:eastAsia="Times New Roman" w:hAnsi="Times New Roman" w:cs="Times New Roman"/>
          <w:color w:val="000000"/>
          <w:sz w:val="24"/>
          <w:szCs w:val="24"/>
        </w:rPr>
        <w:t>s</w:t>
      </w:r>
      <w:r w:rsidR="00514A10" w:rsidRPr="00A91E83">
        <w:rPr>
          <w:rFonts w:ascii="Times New Roman" w:eastAsia="Times New Roman" w:hAnsi="Times New Roman" w:cs="Times New Roman"/>
          <w:color w:val="000000"/>
          <w:sz w:val="24"/>
          <w:szCs w:val="24"/>
        </w:rPr>
        <w:t xml:space="preserve"> centrinė sąlyga – užskaitos sąlyga. </w:t>
      </w:r>
      <w:r w:rsidR="00347FBD" w:rsidRPr="00A91E83">
        <w:rPr>
          <w:rFonts w:ascii="Times New Roman" w:eastAsia="Times New Roman" w:hAnsi="Times New Roman" w:cs="Times New Roman"/>
          <w:color w:val="000000"/>
          <w:sz w:val="24"/>
          <w:szCs w:val="24"/>
        </w:rPr>
        <w:t>Šios sąlygos taikymas</w:t>
      </w:r>
      <w:r w:rsidR="00932D5E" w:rsidRPr="00A91E83">
        <w:rPr>
          <w:rFonts w:ascii="Times New Roman" w:eastAsia="Times New Roman" w:hAnsi="Times New Roman" w:cs="Times New Roman"/>
          <w:color w:val="000000"/>
          <w:sz w:val="24"/>
          <w:szCs w:val="24"/>
        </w:rPr>
        <w:t xml:space="preserve"> itin glaudžiai susijęs</w:t>
      </w:r>
      <w:r w:rsidR="00C34CDD" w:rsidRPr="00A91E83">
        <w:rPr>
          <w:rFonts w:ascii="Times New Roman" w:eastAsia="Times New Roman" w:hAnsi="Times New Roman" w:cs="Times New Roman"/>
          <w:color w:val="000000"/>
          <w:sz w:val="24"/>
          <w:szCs w:val="24"/>
        </w:rPr>
        <w:t xml:space="preserve"> su finansinio užstato pateikimu ir su ISDA formos, k</w:t>
      </w:r>
      <w:r w:rsidR="00967674" w:rsidRPr="00A91E83">
        <w:rPr>
          <w:rFonts w:ascii="Times New Roman" w:eastAsia="Times New Roman" w:hAnsi="Times New Roman" w:cs="Times New Roman"/>
          <w:color w:val="000000"/>
          <w:sz w:val="24"/>
          <w:szCs w:val="24"/>
        </w:rPr>
        <w:t>aip vienos sutarties koncepcija</w:t>
      </w:r>
      <w:r w:rsidR="00932D5E" w:rsidRPr="00A91E83">
        <w:rPr>
          <w:rFonts w:ascii="Times New Roman" w:eastAsia="Times New Roman" w:hAnsi="Times New Roman" w:cs="Times New Roman"/>
          <w:color w:val="000000"/>
          <w:sz w:val="24"/>
          <w:szCs w:val="24"/>
        </w:rPr>
        <w:t xml:space="preserve"> suvokimu. T</w:t>
      </w:r>
      <w:r w:rsidR="00967674" w:rsidRPr="00A91E83">
        <w:rPr>
          <w:rFonts w:ascii="Times New Roman" w:eastAsia="Times New Roman" w:hAnsi="Times New Roman" w:cs="Times New Roman"/>
          <w:color w:val="000000"/>
          <w:sz w:val="24"/>
          <w:szCs w:val="24"/>
        </w:rPr>
        <w:t>odėl šie apsektai tyrime toliau bus analizuojami</w:t>
      </w:r>
      <w:r w:rsidR="00181BE4" w:rsidRPr="00A91E83">
        <w:rPr>
          <w:rFonts w:ascii="Times New Roman" w:eastAsia="Times New Roman" w:hAnsi="Times New Roman" w:cs="Times New Roman"/>
          <w:color w:val="000000"/>
          <w:sz w:val="24"/>
          <w:szCs w:val="24"/>
        </w:rPr>
        <w:t xml:space="preserve"> plačiau</w:t>
      </w:r>
      <w:r w:rsidR="00967674" w:rsidRPr="00A91E83">
        <w:rPr>
          <w:rFonts w:ascii="Times New Roman" w:eastAsia="Times New Roman" w:hAnsi="Times New Roman" w:cs="Times New Roman"/>
          <w:color w:val="000000"/>
          <w:sz w:val="24"/>
          <w:szCs w:val="24"/>
        </w:rPr>
        <w:t>.</w:t>
      </w:r>
    </w:p>
    <w:p w:rsidR="007D41B3" w:rsidRPr="00A91E83" w:rsidRDefault="007D41B3" w:rsidP="00B46A53">
      <w:pPr>
        <w:tabs>
          <w:tab w:val="left" w:pos="851"/>
        </w:tabs>
        <w:spacing w:after="0" w:line="360" w:lineRule="auto"/>
        <w:ind w:firstLine="851"/>
        <w:jc w:val="both"/>
        <w:rPr>
          <w:rFonts w:ascii="Times New Roman" w:hAnsi="Times New Roman" w:cs="Times New Roman"/>
          <w:sz w:val="24"/>
          <w:szCs w:val="24"/>
        </w:rPr>
      </w:pPr>
    </w:p>
    <w:p w:rsidR="00F8650C" w:rsidRPr="00A91E83" w:rsidRDefault="00632F97" w:rsidP="00632F97">
      <w:pPr>
        <w:pStyle w:val="Sraopastraipa"/>
        <w:numPr>
          <w:ilvl w:val="1"/>
          <w:numId w:val="4"/>
        </w:numPr>
        <w:tabs>
          <w:tab w:val="left" w:pos="851"/>
        </w:tabs>
        <w:spacing w:after="0" w:line="360" w:lineRule="auto"/>
        <w:ind w:left="0" w:firstLine="0"/>
        <w:jc w:val="both"/>
        <w:outlineLvl w:val="1"/>
        <w:rPr>
          <w:rFonts w:ascii="Times New Roman" w:hAnsi="Times New Roman" w:cs="Times New Roman"/>
          <w:b/>
          <w:sz w:val="24"/>
          <w:szCs w:val="24"/>
        </w:rPr>
      </w:pPr>
      <w:bookmarkStart w:id="25" w:name="_Toc280546458"/>
      <w:r w:rsidRPr="00A91E83">
        <w:rPr>
          <w:rFonts w:ascii="Times New Roman" w:hAnsi="Times New Roman" w:cs="Times New Roman"/>
          <w:b/>
          <w:sz w:val="24"/>
          <w:szCs w:val="24"/>
        </w:rPr>
        <w:t>I</w:t>
      </w:r>
      <w:r w:rsidR="00F8650C" w:rsidRPr="00A91E83">
        <w:rPr>
          <w:rFonts w:ascii="Times New Roman" w:hAnsi="Times New Roman" w:cs="Times New Roman"/>
          <w:b/>
          <w:sz w:val="24"/>
          <w:szCs w:val="24"/>
        </w:rPr>
        <w:t xml:space="preserve">SDA </w:t>
      </w:r>
      <w:r w:rsidR="00F2793E" w:rsidRPr="00A91E83">
        <w:rPr>
          <w:rFonts w:ascii="Times New Roman" w:hAnsi="Times New Roman" w:cs="Times New Roman"/>
          <w:b/>
          <w:sz w:val="24"/>
          <w:szCs w:val="24"/>
        </w:rPr>
        <w:t>formos</w:t>
      </w:r>
      <w:r w:rsidR="00F8650C" w:rsidRPr="00A91E83">
        <w:rPr>
          <w:rFonts w:ascii="Times New Roman" w:hAnsi="Times New Roman" w:cs="Times New Roman"/>
          <w:b/>
          <w:sz w:val="24"/>
          <w:szCs w:val="24"/>
        </w:rPr>
        <w:t xml:space="preserve"> sudedamosios dalys</w:t>
      </w:r>
      <w:bookmarkEnd w:id="25"/>
      <w:r w:rsidR="00F8650C" w:rsidRPr="00A91E83">
        <w:rPr>
          <w:rFonts w:ascii="Times New Roman" w:hAnsi="Times New Roman" w:cs="Times New Roman"/>
          <w:b/>
          <w:sz w:val="24"/>
          <w:szCs w:val="24"/>
        </w:rPr>
        <w:t xml:space="preserve"> </w:t>
      </w:r>
    </w:p>
    <w:p w:rsidR="00047465" w:rsidRPr="00A91E83" w:rsidRDefault="00047465" w:rsidP="00B46A53">
      <w:pPr>
        <w:tabs>
          <w:tab w:val="left" w:pos="851"/>
        </w:tabs>
        <w:spacing w:after="0" w:line="360" w:lineRule="auto"/>
        <w:ind w:firstLine="851"/>
        <w:jc w:val="both"/>
        <w:rPr>
          <w:rFonts w:ascii="Times New Roman" w:hAnsi="Times New Roman" w:cs="Times New Roman"/>
          <w:sz w:val="24"/>
          <w:szCs w:val="24"/>
        </w:rPr>
      </w:pPr>
    </w:p>
    <w:p w:rsidR="00DB1C74" w:rsidRPr="00A91E83" w:rsidRDefault="00F82456"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Iš esmės ISDA Sut</w:t>
      </w:r>
      <w:r w:rsidR="00104217" w:rsidRPr="00A91E83">
        <w:rPr>
          <w:rFonts w:ascii="Times New Roman" w:hAnsi="Times New Roman" w:cs="Times New Roman"/>
          <w:sz w:val="24"/>
          <w:szCs w:val="24"/>
        </w:rPr>
        <w:t>artį sudaro keturi matmenys</w:t>
      </w:r>
      <w:r w:rsidRPr="00A91E83">
        <w:rPr>
          <w:rFonts w:ascii="Times New Roman" w:hAnsi="Times New Roman" w:cs="Times New Roman"/>
          <w:sz w:val="24"/>
          <w:szCs w:val="24"/>
        </w:rPr>
        <w:t xml:space="preserve">: (1) </w:t>
      </w:r>
      <w:r w:rsidR="001255A1" w:rsidRPr="00A91E83">
        <w:rPr>
          <w:rFonts w:ascii="Times New Roman" w:hAnsi="Times New Roman" w:cs="Times New Roman"/>
          <w:sz w:val="24"/>
          <w:szCs w:val="24"/>
        </w:rPr>
        <w:t>p</w:t>
      </w:r>
      <w:r w:rsidR="00F2793E" w:rsidRPr="00A91E83">
        <w:rPr>
          <w:rFonts w:ascii="Times New Roman" w:hAnsi="Times New Roman" w:cs="Times New Roman"/>
          <w:sz w:val="24"/>
          <w:szCs w:val="24"/>
        </w:rPr>
        <w:t>agrindinis susitarimas</w:t>
      </w:r>
      <w:r w:rsidR="00F2793E" w:rsidRPr="00A91E83">
        <w:rPr>
          <w:rStyle w:val="Puslapioinaosnuoroda"/>
          <w:rFonts w:ascii="Times New Roman" w:hAnsi="Times New Roman" w:cs="Times New Roman"/>
          <w:sz w:val="24"/>
          <w:szCs w:val="24"/>
        </w:rPr>
        <w:footnoteReference w:id="137"/>
      </w:r>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i/>
          <w:sz w:val="24"/>
          <w:szCs w:val="24"/>
        </w:rPr>
        <w:t>master</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agreement</w:t>
      </w:r>
      <w:proofErr w:type="spellEnd"/>
      <w:r w:rsidRPr="00A91E83">
        <w:rPr>
          <w:rFonts w:ascii="Times New Roman" w:hAnsi="Times New Roman" w:cs="Times New Roman"/>
          <w:sz w:val="24"/>
          <w:szCs w:val="24"/>
        </w:rPr>
        <w:t>)</w:t>
      </w:r>
      <w:r w:rsidR="00104217" w:rsidRPr="00A91E83">
        <w:rPr>
          <w:rFonts w:ascii="Times New Roman" w:hAnsi="Times New Roman" w:cs="Times New Roman"/>
          <w:sz w:val="24"/>
          <w:szCs w:val="24"/>
        </w:rPr>
        <w:t xml:space="preserve">; (2) </w:t>
      </w:r>
      <w:r w:rsidR="001255A1" w:rsidRPr="00A91E83">
        <w:rPr>
          <w:rFonts w:ascii="Times New Roman" w:hAnsi="Times New Roman" w:cs="Times New Roman"/>
          <w:sz w:val="24"/>
          <w:szCs w:val="24"/>
        </w:rPr>
        <w:t>p</w:t>
      </w:r>
      <w:r w:rsidR="0009173A" w:rsidRPr="00A91E83">
        <w:rPr>
          <w:rFonts w:ascii="Times New Roman" w:hAnsi="Times New Roman" w:cs="Times New Roman"/>
          <w:sz w:val="24"/>
          <w:szCs w:val="24"/>
        </w:rPr>
        <w:t>riedas</w:t>
      </w:r>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i/>
          <w:sz w:val="24"/>
          <w:szCs w:val="24"/>
        </w:rPr>
        <w:t>schedule</w:t>
      </w:r>
      <w:proofErr w:type="spellEnd"/>
      <w:r w:rsidRPr="00A91E83">
        <w:rPr>
          <w:rFonts w:ascii="Times New Roman" w:hAnsi="Times New Roman" w:cs="Times New Roman"/>
          <w:i/>
          <w:sz w:val="24"/>
          <w:szCs w:val="24"/>
        </w:rPr>
        <w:t xml:space="preserve"> to </w:t>
      </w:r>
      <w:proofErr w:type="spellStart"/>
      <w:r w:rsidRPr="00A91E83">
        <w:rPr>
          <w:rFonts w:ascii="Times New Roman" w:hAnsi="Times New Roman" w:cs="Times New Roman"/>
          <w:i/>
          <w:sz w:val="24"/>
          <w:szCs w:val="24"/>
        </w:rPr>
        <w:t>master</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agreement</w:t>
      </w:r>
      <w:proofErr w:type="spellEnd"/>
      <w:r w:rsidRPr="00A91E83">
        <w:rPr>
          <w:rFonts w:ascii="Times New Roman" w:hAnsi="Times New Roman" w:cs="Times New Roman"/>
          <w:sz w:val="24"/>
          <w:szCs w:val="24"/>
        </w:rPr>
        <w:t>); (</w:t>
      </w:r>
      <w:r w:rsidR="00BE5394" w:rsidRPr="00A91E83">
        <w:rPr>
          <w:rFonts w:ascii="Times New Roman" w:hAnsi="Times New Roman" w:cs="Times New Roman"/>
          <w:sz w:val="24"/>
          <w:szCs w:val="24"/>
        </w:rPr>
        <w:t>3</w:t>
      </w:r>
      <w:r w:rsidRPr="00A91E83">
        <w:rPr>
          <w:rFonts w:ascii="Times New Roman" w:hAnsi="Times New Roman" w:cs="Times New Roman"/>
          <w:sz w:val="24"/>
          <w:szCs w:val="24"/>
        </w:rPr>
        <w:t xml:space="preserve">) prievolių įvykdymo užtikrinimo </w:t>
      </w:r>
      <w:r w:rsidR="002B11FF" w:rsidRPr="00A91E83">
        <w:rPr>
          <w:rFonts w:ascii="Times New Roman" w:hAnsi="Times New Roman" w:cs="Times New Roman"/>
          <w:sz w:val="24"/>
          <w:szCs w:val="24"/>
        </w:rPr>
        <w:t>dokument</w:t>
      </w:r>
      <w:r w:rsidR="00F2793E" w:rsidRPr="00A91E83">
        <w:rPr>
          <w:rFonts w:ascii="Times New Roman" w:hAnsi="Times New Roman" w:cs="Times New Roman"/>
          <w:sz w:val="24"/>
          <w:szCs w:val="24"/>
        </w:rPr>
        <w:t xml:space="preserve">ai </w:t>
      </w:r>
      <w:r w:rsidRPr="00A91E83">
        <w:rPr>
          <w:rFonts w:ascii="Times New Roman" w:hAnsi="Times New Roman" w:cs="Times New Roman"/>
          <w:sz w:val="24"/>
          <w:szCs w:val="24"/>
        </w:rPr>
        <w:t>(</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 xml:space="preserve">. </w:t>
      </w:r>
      <w:proofErr w:type="spellStart"/>
      <w:r w:rsidR="0098200E" w:rsidRPr="00A91E83">
        <w:rPr>
          <w:rFonts w:ascii="Times New Roman" w:hAnsi="Times New Roman" w:cs="Times New Roman"/>
          <w:i/>
          <w:sz w:val="24"/>
          <w:szCs w:val="24"/>
        </w:rPr>
        <w:t>credit</w:t>
      </w:r>
      <w:proofErr w:type="spellEnd"/>
      <w:r w:rsidR="0098200E" w:rsidRPr="00A91E83">
        <w:rPr>
          <w:rFonts w:ascii="Times New Roman" w:hAnsi="Times New Roman" w:cs="Times New Roman"/>
          <w:i/>
          <w:sz w:val="24"/>
          <w:szCs w:val="24"/>
        </w:rPr>
        <w:t xml:space="preserve"> </w:t>
      </w:r>
      <w:proofErr w:type="spellStart"/>
      <w:r w:rsidR="0098200E" w:rsidRPr="00A91E83">
        <w:rPr>
          <w:rFonts w:ascii="Times New Roman" w:hAnsi="Times New Roman" w:cs="Times New Roman"/>
          <w:i/>
          <w:sz w:val="24"/>
          <w:szCs w:val="24"/>
        </w:rPr>
        <w:t>support</w:t>
      </w:r>
      <w:proofErr w:type="spellEnd"/>
      <w:r w:rsidR="0098200E" w:rsidRPr="00A91E83">
        <w:rPr>
          <w:rFonts w:ascii="Times New Roman" w:hAnsi="Times New Roman" w:cs="Times New Roman"/>
          <w:i/>
          <w:sz w:val="24"/>
          <w:szCs w:val="24"/>
        </w:rPr>
        <w:t xml:space="preserve"> </w:t>
      </w:r>
      <w:proofErr w:type="spellStart"/>
      <w:r w:rsidR="0098200E" w:rsidRPr="00A91E83">
        <w:rPr>
          <w:rFonts w:ascii="Times New Roman" w:hAnsi="Times New Roman" w:cs="Times New Roman"/>
          <w:i/>
          <w:sz w:val="24"/>
          <w:szCs w:val="24"/>
        </w:rPr>
        <w:t>document</w:t>
      </w:r>
      <w:r w:rsidR="00F2793E" w:rsidRPr="00A91E83">
        <w:rPr>
          <w:rFonts w:ascii="Times New Roman" w:hAnsi="Times New Roman" w:cs="Times New Roman"/>
          <w:i/>
          <w:sz w:val="24"/>
          <w:szCs w:val="24"/>
        </w:rPr>
        <w:t>s</w:t>
      </w:r>
      <w:proofErr w:type="spellEnd"/>
      <w:r w:rsidR="00BE5394" w:rsidRPr="00A91E83">
        <w:rPr>
          <w:rFonts w:ascii="Times New Roman" w:hAnsi="Times New Roman" w:cs="Times New Roman"/>
          <w:sz w:val="24"/>
          <w:szCs w:val="24"/>
        </w:rPr>
        <w:t xml:space="preserve">); </w:t>
      </w:r>
      <w:r w:rsidR="0003660F" w:rsidRPr="00A91E83">
        <w:rPr>
          <w:rFonts w:ascii="Times New Roman" w:hAnsi="Times New Roman" w:cs="Times New Roman"/>
          <w:sz w:val="24"/>
          <w:szCs w:val="24"/>
        </w:rPr>
        <w:t xml:space="preserve">ir </w:t>
      </w:r>
      <w:r w:rsidR="00BE5394" w:rsidRPr="00A91E83">
        <w:rPr>
          <w:rFonts w:ascii="Times New Roman" w:hAnsi="Times New Roman" w:cs="Times New Roman"/>
          <w:sz w:val="24"/>
          <w:szCs w:val="24"/>
        </w:rPr>
        <w:t>(4</w:t>
      </w:r>
      <w:r w:rsidR="0098200E" w:rsidRPr="00A91E83">
        <w:rPr>
          <w:rFonts w:ascii="Times New Roman" w:hAnsi="Times New Roman" w:cs="Times New Roman"/>
          <w:sz w:val="24"/>
          <w:szCs w:val="24"/>
        </w:rPr>
        <w:t xml:space="preserve">) </w:t>
      </w:r>
      <w:r w:rsidR="001255A1" w:rsidRPr="00A91E83">
        <w:rPr>
          <w:rFonts w:ascii="Times New Roman" w:hAnsi="Times New Roman" w:cs="Times New Roman"/>
          <w:sz w:val="24"/>
          <w:szCs w:val="24"/>
        </w:rPr>
        <w:t>p</w:t>
      </w:r>
      <w:r w:rsidR="00493044" w:rsidRPr="00A91E83">
        <w:rPr>
          <w:rFonts w:ascii="Times New Roman" w:hAnsi="Times New Roman" w:cs="Times New Roman"/>
          <w:sz w:val="24"/>
          <w:szCs w:val="24"/>
        </w:rPr>
        <w:t>atvirtin</w:t>
      </w:r>
      <w:r w:rsidR="002B11FF" w:rsidRPr="00A91E83">
        <w:rPr>
          <w:rFonts w:ascii="Times New Roman" w:hAnsi="Times New Roman" w:cs="Times New Roman"/>
          <w:sz w:val="24"/>
          <w:szCs w:val="24"/>
        </w:rPr>
        <w:t>im</w:t>
      </w:r>
      <w:r w:rsidR="00104217" w:rsidRPr="00A91E83">
        <w:rPr>
          <w:rFonts w:ascii="Times New Roman" w:hAnsi="Times New Roman" w:cs="Times New Roman"/>
          <w:sz w:val="24"/>
          <w:szCs w:val="24"/>
        </w:rPr>
        <w:t>as</w:t>
      </w:r>
      <w:r w:rsidR="0098200E" w:rsidRPr="00A91E83">
        <w:rPr>
          <w:rFonts w:ascii="Times New Roman" w:hAnsi="Times New Roman" w:cs="Times New Roman"/>
          <w:sz w:val="24"/>
          <w:szCs w:val="24"/>
        </w:rPr>
        <w:t xml:space="preserve"> (</w:t>
      </w:r>
      <w:proofErr w:type="spellStart"/>
      <w:r w:rsidR="0098200E" w:rsidRPr="00A91E83">
        <w:rPr>
          <w:rFonts w:ascii="Times New Roman" w:hAnsi="Times New Roman" w:cs="Times New Roman"/>
          <w:sz w:val="24"/>
          <w:szCs w:val="24"/>
        </w:rPr>
        <w:t>angl</w:t>
      </w:r>
      <w:proofErr w:type="spellEnd"/>
      <w:r w:rsidR="0098200E" w:rsidRPr="00A91E83">
        <w:rPr>
          <w:rFonts w:ascii="Times New Roman" w:hAnsi="Times New Roman" w:cs="Times New Roman"/>
          <w:sz w:val="24"/>
          <w:szCs w:val="24"/>
        </w:rPr>
        <w:t xml:space="preserve">. </w:t>
      </w:r>
      <w:proofErr w:type="spellStart"/>
      <w:r w:rsidR="0098200E" w:rsidRPr="00A91E83">
        <w:rPr>
          <w:rFonts w:ascii="Times New Roman" w:hAnsi="Times New Roman" w:cs="Times New Roman"/>
          <w:i/>
          <w:sz w:val="24"/>
          <w:szCs w:val="24"/>
        </w:rPr>
        <w:lastRenderedPageBreak/>
        <w:t>confirmation</w:t>
      </w:r>
      <w:proofErr w:type="spellEnd"/>
      <w:r w:rsidR="0098200E" w:rsidRPr="00A91E83">
        <w:rPr>
          <w:rFonts w:ascii="Times New Roman" w:hAnsi="Times New Roman" w:cs="Times New Roman"/>
          <w:sz w:val="24"/>
          <w:szCs w:val="24"/>
        </w:rPr>
        <w:t>).</w:t>
      </w:r>
      <w:r w:rsidR="00104217" w:rsidRPr="00A91E83">
        <w:rPr>
          <w:rFonts w:ascii="Times New Roman" w:hAnsi="Times New Roman" w:cs="Times New Roman"/>
          <w:sz w:val="24"/>
          <w:szCs w:val="24"/>
        </w:rPr>
        <w:t xml:space="preserve"> </w:t>
      </w:r>
      <w:r w:rsidR="005E0569" w:rsidRPr="00A91E83">
        <w:rPr>
          <w:rFonts w:ascii="Times New Roman" w:hAnsi="Times New Roman" w:cs="Times New Roman"/>
          <w:sz w:val="24"/>
          <w:szCs w:val="24"/>
        </w:rPr>
        <w:t xml:space="preserve">Nesutapimo atveju, </w:t>
      </w:r>
      <w:r w:rsidR="00F2793E" w:rsidRPr="00A91E83">
        <w:rPr>
          <w:rFonts w:ascii="Times New Roman" w:hAnsi="Times New Roman" w:cs="Times New Roman"/>
          <w:sz w:val="24"/>
          <w:szCs w:val="24"/>
        </w:rPr>
        <w:t>pagrindinio</w:t>
      </w:r>
      <w:r w:rsidR="005E0569" w:rsidRPr="00A91E83">
        <w:rPr>
          <w:rFonts w:ascii="Times New Roman" w:hAnsi="Times New Roman" w:cs="Times New Roman"/>
          <w:sz w:val="24"/>
          <w:szCs w:val="24"/>
        </w:rPr>
        <w:t xml:space="preserve"> susitarimo </w:t>
      </w:r>
      <w:r w:rsidR="001255A1" w:rsidRPr="00A91E83">
        <w:rPr>
          <w:rFonts w:ascii="Times New Roman" w:hAnsi="Times New Roman" w:cs="Times New Roman"/>
          <w:sz w:val="24"/>
          <w:szCs w:val="24"/>
        </w:rPr>
        <w:t>p</w:t>
      </w:r>
      <w:r w:rsidR="005E0569" w:rsidRPr="00A91E83">
        <w:rPr>
          <w:rFonts w:ascii="Times New Roman" w:hAnsi="Times New Roman" w:cs="Times New Roman"/>
          <w:sz w:val="24"/>
          <w:szCs w:val="24"/>
        </w:rPr>
        <w:t xml:space="preserve">riedas </w:t>
      </w:r>
      <w:r w:rsidR="001255A1" w:rsidRPr="00A91E83">
        <w:rPr>
          <w:rFonts w:ascii="Times New Roman" w:hAnsi="Times New Roman" w:cs="Times New Roman"/>
          <w:sz w:val="24"/>
          <w:szCs w:val="24"/>
        </w:rPr>
        <w:t xml:space="preserve">(toliau – Priedas) </w:t>
      </w:r>
      <w:r w:rsidR="005E0569" w:rsidRPr="00A91E83">
        <w:rPr>
          <w:rFonts w:ascii="Times New Roman" w:hAnsi="Times New Roman" w:cs="Times New Roman"/>
          <w:sz w:val="24"/>
          <w:szCs w:val="24"/>
        </w:rPr>
        <w:t xml:space="preserve">turi pirmenybę prieš </w:t>
      </w:r>
      <w:r w:rsidR="001255A1" w:rsidRPr="00A91E83">
        <w:rPr>
          <w:rFonts w:ascii="Times New Roman" w:hAnsi="Times New Roman" w:cs="Times New Roman"/>
          <w:sz w:val="24"/>
          <w:szCs w:val="24"/>
        </w:rPr>
        <w:t>p</w:t>
      </w:r>
      <w:r w:rsidR="00F2793E" w:rsidRPr="00A91E83">
        <w:rPr>
          <w:rFonts w:ascii="Times New Roman" w:hAnsi="Times New Roman" w:cs="Times New Roman"/>
          <w:sz w:val="24"/>
          <w:szCs w:val="24"/>
        </w:rPr>
        <w:t>agrindinį</w:t>
      </w:r>
      <w:r w:rsidR="00920BA6" w:rsidRPr="00A91E83">
        <w:rPr>
          <w:rFonts w:ascii="Times New Roman" w:hAnsi="Times New Roman" w:cs="Times New Roman"/>
          <w:sz w:val="24"/>
          <w:szCs w:val="24"/>
        </w:rPr>
        <w:t xml:space="preserve"> susitarimą</w:t>
      </w:r>
      <w:r w:rsidR="001255A1" w:rsidRPr="00A91E83">
        <w:rPr>
          <w:rFonts w:ascii="Times New Roman" w:hAnsi="Times New Roman" w:cs="Times New Roman"/>
          <w:sz w:val="24"/>
          <w:szCs w:val="24"/>
        </w:rPr>
        <w:t xml:space="preserve"> (toliau – Pagrindinis susitarimas)</w:t>
      </w:r>
      <w:r w:rsidR="00920BA6" w:rsidRPr="00A91E83">
        <w:rPr>
          <w:rFonts w:ascii="Times New Roman" w:hAnsi="Times New Roman" w:cs="Times New Roman"/>
          <w:sz w:val="24"/>
          <w:szCs w:val="24"/>
        </w:rPr>
        <w:t xml:space="preserve">, o </w:t>
      </w:r>
      <w:r w:rsidR="001255A1" w:rsidRPr="00A91E83">
        <w:rPr>
          <w:rFonts w:ascii="Times New Roman" w:hAnsi="Times New Roman" w:cs="Times New Roman"/>
          <w:sz w:val="24"/>
          <w:szCs w:val="24"/>
        </w:rPr>
        <w:t>p</w:t>
      </w:r>
      <w:r w:rsidR="00920BA6" w:rsidRPr="00A91E83">
        <w:rPr>
          <w:rFonts w:ascii="Times New Roman" w:hAnsi="Times New Roman" w:cs="Times New Roman"/>
          <w:sz w:val="24"/>
          <w:szCs w:val="24"/>
        </w:rPr>
        <w:t xml:space="preserve">atvirtinimas </w:t>
      </w:r>
      <w:r w:rsidR="001255A1" w:rsidRPr="00A91E83">
        <w:rPr>
          <w:rFonts w:ascii="Times New Roman" w:hAnsi="Times New Roman" w:cs="Times New Roman"/>
          <w:sz w:val="24"/>
          <w:szCs w:val="24"/>
        </w:rPr>
        <w:t xml:space="preserve">(toliau - Patvirtinimas) </w:t>
      </w:r>
      <w:r w:rsidR="00920BA6" w:rsidRPr="00A91E83">
        <w:rPr>
          <w:rFonts w:ascii="Times New Roman" w:hAnsi="Times New Roman" w:cs="Times New Roman"/>
          <w:sz w:val="24"/>
          <w:szCs w:val="24"/>
        </w:rPr>
        <w:t xml:space="preserve">prieš </w:t>
      </w:r>
      <w:r w:rsidR="00F2793E" w:rsidRPr="00A91E83">
        <w:rPr>
          <w:rFonts w:ascii="Times New Roman" w:hAnsi="Times New Roman" w:cs="Times New Roman"/>
          <w:sz w:val="24"/>
          <w:szCs w:val="24"/>
        </w:rPr>
        <w:t>juos abu</w:t>
      </w:r>
      <w:r w:rsidR="00920BA6" w:rsidRPr="00A91E83">
        <w:rPr>
          <w:rFonts w:ascii="Times New Roman" w:hAnsi="Times New Roman" w:cs="Times New Roman"/>
          <w:sz w:val="24"/>
          <w:szCs w:val="24"/>
        </w:rPr>
        <w:t>.</w:t>
      </w:r>
      <w:r w:rsidR="00920BA6" w:rsidRPr="00A91E83">
        <w:rPr>
          <w:rStyle w:val="Puslapioinaosnuoroda"/>
          <w:rFonts w:ascii="Times New Roman" w:hAnsi="Times New Roman" w:cs="Times New Roman"/>
          <w:sz w:val="24"/>
          <w:szCs w:val="24"/>
        </w:rPr>
        <w:footnoteReference w:id="138"/>
      </w:r>
      <w:r w:rsidR="00920BA6" w:rsidRPr="00A91E83">
        <w:rPr>
          <w:rFonts w:ascii="Times New Roman" w:hAnsi="Times New Roman" w:cs="Times New Roman"/>
          <w:sz w:val="24"/>
          <w:szCs w:val="24"/>
        </w:rPr>
        <w:t xml:space="preserve"> </w:t>
      </w:r>
      <w:r w:rsidR="00104217" w:rsidRPr="00A91E83">
        <w:rPr>
          <w:rFonts w:ascii="Times New Roman" w:hAnsi="Times New Roman" w:cs="Times New Roman"/>
          <w:sz w:val="24"/>
          <w:szCs w:val="24"/>
        </w:rPr>
        <w:t xml:space="preserve">ISDA </w:t>
      </w:r>
      <w:r w:rsidR="00F2793E" w:rsidRPr="00A91E83">
        <w:rPr>
          <w:rFonts w:ascii="Times New Roman" w:hAnsi="Times New Roman" w:cs="Times New Roman"/>
          <w:sz w:val="24"/>
          <w:szCs w:val="24"/>
        </w:rPr>
        <w:t>formos</w:t>
      </w:r>
      <w:r w:rsidR="00104217" w:rsidRPr="00A91E83">
        <w:rPr>
          <w:rFonts w:ascii="Times New Roman" w:hAnsi="Times New Roman" w:cs="Times New Roman"/>
          <w:sz w:val="24"/>
          <w:szCs w:val="24"/>
        </w:rPr>
        <w:t xml:space="preserve"> dokumentacijos ypatybės </w:t>
      </w:r>
      <w:r w:rsidR="00DC00CA" w:rsidRPr="00A91E83">
        <w:rPr>
          <w:rFonts w:ascii="Times New Roman" w:hAnsi="Times New Roman" w:cs="Times New Roman"/>
          <w:sz w:val="24"/>
          <w:szCs w:val="24"/>
        </w:rPr>
        <w:t xml:space="preserve">gali </w:t>
      </w:r>
      <w:r w:rsidR="00104217" w:rsidRPr="00A91E83">
        <w:rPr>
          <w:rFonts w:ascii="Times New Roman" w:hAnsi="Times New Roman" w:cs="Times New Roman"/>
          <w:sz w:val="24"/>
          <w:szCs w:val="24"/>
        </w:rPr>
        <w:t>būti lengvai suprantamos, je</w:t>
      </w:r>
      <w:r w:rsidR="00DC00CA" w:rsidRPr="00A91E83">
        <w:rPr>
          <w:rFonts w:ascii="Times New Roman" w:hAnsi="Times New Roman" w:cs="Times New Roman"/>
          <w:sz w:val="24"/>
          <w:szCs w:val="24"/>
        </w:rPr>
        <w:t xml:space="preserve">igu dokumentų sąveika perkeliama į </w:t>
      </w:r>
      <w:r w:rsidR="00A01345" w:rsidRPr="00A91E83">
        <w:rPr>
          <w:rFonts w:ascii="Times New Roman" w:hAnsi="Times New Roman" w:cs="Times New Roman"/>
          <w:sz w:val="24"/>
          <w:szCs w:val="24"/>
        </w:rPr>
        <w:t xml:space="preserve">sporto </w:t>
      </w:r>
      <w:r w:rsidR="00DC00CA" w:rsidRPr="00A91E83">
        <w:rPr>
          <w:rFonts w:ascii="Times New Roman" w:hAnsi="Times New Roman" w:cs="Times New Roman"/>
          <w:sz w:val="24"/>
          <w:szCs w:val="24"/>
        </w:rPr>
        <w:t>žaidimo kontekstą.</w:t>
      </w:r>
      <w:r w:rsidR="00A01345" w:rsidRPr="00A91E83">
        <w:rPr>
          <w:rStyle w:val="Puslapioinaosnuoroda"/>
          <w:rFonts w:ascii="Times New Roman" w:hAnsi="Times New Roman" w:cs="Times New Roman"/>
          <w:sz w:val="24"/>
          <w:szCs w:val="24"/>
        </w:rPr>
        <w:footnoteReference w:id="139"/>
      </w:r>
      <w:r w:rsidR="00DC00CA" w:rsidRPr="00A91E83">
        <w:rPr>
          <w:rFonts w:ascii="Times New Roman" w:hAnsi="Times New Roman" w:cs="Times New Roman"/>
          <w:sz w:val="24"/>
          <w:szCs w:val="24"/>
        </w:rPr>
        <w:t xml:space="preserve"> Šios metaforos atžvilgiu</w:t>
      </w:r>
      <w:r w:rsidR="0003660F" w:rsidRPr="00A91E83">
        <w:rPr>
          <w:rFonts w:ascii="Times New Roman" w:hAnsi="Times New Roman" w:cs="Times New Roman"/>
          <w:sz w:val="24"/>
          <w:szCs w:val="24"/>
        </w:rPr>
        <w:t>,</w:t>
      </w:r>
      <w:r w:rsidR="00DC00CA" w:rsidRPr="00A91E83">
        <w:rPr>
          <w:rFonts w:ascii="Times New Roman" w:hAnsi="Times New Roman" w:cs="Times New Roman"/>
          <w:sz w:val="24"/>
          <w:szCs w:val="24"/>
        </w:rPr>
        <w:t xml:space="preserve"> </w:t>
      </w:r>
      <w:r w:rsidR="00C10F88" w:rsidRPr="00A91E83">
        <w:rPr>
          <w:rFonts w:ascii="Times New Roman" w:hAnsi="Times New Roman" w:cs="Times New Roman"/>
          <w:sz w:val="24"/>
          <w:szCs w:val="24"/>
        </w:rPr>
        <w:t>P</w:t>
      </w:r>
      <w:r w:rsidR="00F2793E" w:rsidRPr="00A91E83">
        <w:rPr>
          <w:rFonts w:ascii="Times New Roman" w:hAnsi="Times New Roman" w:cs="Times New Roman"/>
          <w:sz w:val="24"/>
          <w:szCs w:val="24"/>
        </w:rPr>
        <w:t xml:space="preserve">agrindinis </w:t>
      </w:r>
      <w:r w:rsidR="005E0569" w:rsidRPr="00A91E83">
        <w:rPr>
          <w:rFonts w:ascii="Times New Roman" w:hAnsi="Times New Roman" w:cs="Times New Roman"/>
          <w:sz w:val="24"/>
          <w:szCs w:val="24"/>
        </w:rPr>
        <w:t>susitarimas</w:t>
      </w:r>
      <w:r w:rsidR="00DC00CA" w:rsidRPr="00A91E83">
        <w:rPr>
          <w:rFonts w:ascii="Times New Roman" w:hAnsi="Times New Roman" w:cs="Times New Roman"/>
          <w:sz w:val="24"/>
          <w:szCs w:val="24"/>
        </w:rPr>
        <w:t xml:space="preserve"> nustatytų </w:t>
      </w:r>
      <w:r w:rsidR="00F2793E" w:rsidRPr="00A91E83">
        <w:rPr>
          <w:rFonts w:ascii="Times New Roman" w:hAnsi="Times New Roman" w:cs="Times New Roman"/>
          <w:sz w:val="24"/>
          <w:szCs w:val="24"/>
        </w:rPr>
        <w:t>esmines</w:t>
      </w:r>
      <w:r w:rsidR="00DC00CA" w:rsidRPr="00A91E83">
        <w:rPr>
          <w:rFonts w:ascii="Times New Roman" w:hAnsi="Times New Roman" w:cs="Times New Roman"/>
          <w:sz w:val="24"/>
          <w:szCs w:val="24"/>
        </w:rPr>
        <w:t xml:space="preserve"> žaidimo taisykles, kurios gali būti pa</w:t>
      </w:r>
      <w:r w:rsidR="00A043EA" w:rsidRPr="00A91E83">
        <w:rPr>
          <w:rFonts w:ascii="Times New Roman" w:hAnsi="Times New Roman" w:cs="Times New Roman"/>
          <w:sz w:val="24"/>
          <w:szCs w:val="24"/>
        </w:rPr>
        <w:t>keistos</w:t>
      </w:r>
      <w:r w:rsidR="00DC00CA" w:rsidRPr="00A91E83">
        <w:rPr>
          <w:rFonts w:ascii="Times New Roman" w:hAnsi="Times New Roman" w:cs="Times New Roman"/>
          <w:sz w:val="24"/>
          <w:szCs w:val="24"/>
        </w:rPr>
        <w:t xml:space="preserve"> šalių s</w:t>
      </w:r>
      <w:r w:rsidR="005E0569" w:rsidRPr="00A91E83">
        <w:rPr>
          <w:rFonts w:ascii="Times New Roman" w:hAnsi="Times New Roman" w:cs="Times New Roman"/>
          <w:sz w:val="24"/>
          <w:szCs w:val="24"/>
        </w:rPr>
        <w:t>usitarimu</w:t>
      </w:r>
      <w:r w:rsidR="0003660F" w:rsidRPr="00A91E83">
        <w:rPr>
          <w:rFonts w:ascii="Times New Roman" w:hAnsi="Times New Roman" w:cs="Times New Roman"/>
          <w:sz w:val="24"/>
          <w:szCs w:val="24"/>
        </w:rPr>
        <w:t>,</w:t>
      </w:r>
      <w:r w:rsidR="005E0569" w:rsidRPr="00A91E83">
        <w:rPr>
          <w:rFonts w:ascii="Times New Roman" w:hAnsi="Times New Roman" w:cs="Times New Roman"/>
          <w:sz w:val="24"/>
          <w:szCs w:val="24"/>
        </w:rPr>
        <w:t xml:space="preserve"> panaudojant </w:t>
      </w:r>
      <w:r w:rsidR="00F2793E" w:rsidRPr="00A91E83">
        <w:rPr>
          <w:rFonts w:ascii="Times New Roman" w:hAnsi="Times New Roman" w:cs="Times New Roman"/>
          <w:sz w:val="24"/>
          <w:szCs w:val="24"/>
        </w:rPr>
        <w:t>pagrindinio</w:t>
      </w:r>
      <w:r w:rsidR="005E0569" w:rsidRPr="00A91E83">
        <w:rPr>
          <w:rFonts w:ascii="Times New Roman" w:hAnsi="Times New Roman" w:cs="Times New Roman"/>
          <w:sz w:val="24"/>
          <w:szCs w:val="24"/>
        </w:rPr>
        <w:t xml:space="preserve"> susitarimo</w:t>
      </w:r>
      <w:r w:rsidR="00C10F88" w:rsidRPr="00A91E83">
        <w:rPr>
          <w:rFonts w:ascii="Times New Roman" w:hAnsi="Times New Roman" w:cs="Times New Roman"/>
          <w:sz w:val="24"/>
          <w:szCs w:val="24"/>
        </w:rPr>
        <w:t xml:space="preserve"> P</w:t>
      </w:r>
      <w:r w:rsidR="00DC00CA" w:rsidRPr="00A91E83">
        <w:rPr>
          <w:rFonts w:ascii="Times New Roman" w:hAnsi="Times New Roman" w:cs="Times New Roman"/>
          <w:sz w:val="24"/>
          <w:szCs w:val="24"/>
        </w:rPr>
        <w:t>riedą.</w:t>
      </w:r>
      <w:r w:rsidR="0003660F" w:rsidRPr="00A91E83">
        <w:rPr>
          <w:rFonts w:ascii="Times New Roman" w:hAnsi="Times New Roman" w:cs="Times New Roman"/>
          <w:sz w:val="24"/>
          <w:szCs w:val="24"/>
        </w:rPr>
        <w:t xml:space="preserve"> Patvirtinimas būtų naudojamas</w:t>
      </w:r>
      <w:r w:rsidR="008813A8" w:rsidRPr="00A91E83">
        <w:rPr>
          <w:rFonts w:ascii="Times New Roman" w:hAnsi="Times New Roman" w:cs="Times New Roman"/>
          <w:sz w:val="24"/>
          <w:szCs w:val="24"/>
        </w:rPr>
        <w:t xml:space="preserve"> kaip įrašas, kuris įrodytų, kad </w:t>
      </w:r>
      <w:r w:rsidR="00DB1C74" w:rsidRPr="00A91E83">
        <w:rPr>
          <w:rFonts w:ascii="Times New Roman" w:hAnsi="Times New Roman" w:cs="Times New Roman"/>
          <w:sz w:val="24"/>
          <w:szCs w:val="24"/>
        </w:rPr>
        <w:t>konkretus žaidimas buvo sužaistas tarp šalių, o</w:t>
      </w:r>
      <w:r w:rsidR="00A01345" w:rsidRPr="00A91E83">
        <w:rPr>
          <w:rFonts w:ascii="Times New Roman" w:hAnsi="Times New Roman" w:cs="Times New Roman"/>
          <w:sz w:val="24"/>
          <w:szCs w:val="24"/>
        </w:rPr>
        <w:t xml:space="preserve"> prievolių įvykdymo </w:t>
      </w:r>
      <w:r w:rsidR="00FA79E2" w:rsidRPr="00A91E83">
        <w:rPr>
          <w:rFonts w:ascii="Times New Roman" w:hAnsi="Times New Roman" w:cs="Times New Roman"/>
          <w:sz w:val="24"/>
          <w:szCs w:val="24"/>
        </w:rPr>
        <w:t>užtikrinimo dokumenta</w:t>
      </w:r>
      <w:r w:rsidR="00A043EA" w:rsidRPr="00A91E83">
        <w:rPr>
          <w:rFonts w:ascii="Times New Roman" w:hAnsi="Times New Roman" w:cs="Times New Roman"/>
          <w:sz w:val="24"/>
          <w:szCs w:val="24"/>
        </w:rPr>
        <w:t xml:space="preserve">s būtų naudojamas įvertinimui kiek dar komanda gali </w:t>
      </w:r>
      <w:r w:rsidR="00C10F88" w:rsidRPr="00A91E83">
        <w:rPr>
          <w:rFonts w:ascii="Times New Roman" w:hAnsi="Times New Roman" w:cs="Times New Roman"/>
          <w:sz w:val="24"/>
          <w:szCs w:val="24"/>
        </w:rPr>
        <w:t xml:space="preserve">kartų </w:t>
      </w:r>
      <w:r w:rsidR="00A043EA" w:rsidRPr="00A91E83">
        <w:rPr>
          <w:rFonts w:ascii="Times New Roman" w:hAnsi="Times New Roman" w:cs="Times New Roman"/>
          <w:sz w:val="24"/>
          <w:szCs w:val="24"/>
        </w:rPr>
        <w:t xml:space="preserve">pralaimėti, kad neiškristų iš </w:t>
      </w:r>
      <w:r w:rsidR="0003660F" w:rsidRPr="00A91E83">
        <w:rPr>
          <w:rFonts w:ascii="Times New Roman" w:hAnsi="Times New Roman" w:cs="Times New Roman"/>
          <w:sz w:val="24"/>
          <w:szCs w:val="24"/>
        </w:rPr>
        <w:t>turnyro, t. y. kaip tam tikras rezervas.</w:t>
      </w:r>
      <w:r w:rsidR="00ED7BD8" w:rsidRPr="00A91E83">
        <w:rPr>
          <w:rFonts w:ascii="Times New Roman" w:hAnsi="Times New Roman" w:cs="Times New Roman"/>
          <w:sz w:val="24"/>
          <w:szCs w:val="24"/>
        </w:rPr>
        <w:t xml:space="preserve"> Taigi tarp šalių rinkoje bus sudarytas vienas </w:t>
      </w:r>
      <w:r w:rsidR="00C10F88" w:rsidRPr="00A91E83">
        <w:rPr>
          <w:rFonts w:ascii="Times New Roman" w:hAnsi="Times New Roman" w:cs="Times New Roman"/>
          <w:sz w:val="24"/>
          <w:szCs w:val="24"/>
        </w:rPr>
        <w:t>P</w:t>
      </w:r>
      <w:r w:rsidR="00F2793E" w:rsidRPr="00A91E83">
        <w:rPr>
          <w:rFonts w:ascii="Times New Roman" w:hAnsi="Times New Roman" w:cs="Times New Roman"/>
          <w:sz w:val="24"/>
          <w:szCs w:val="24"/>
        </w:rPr>
        <w:t>agrindinis</w:t>
      </w:r>
      <w:r w:rsidR="00ED7BD8" w:rsidRPr="00A91E83">
        <w:rPr>
          <w:rFonts w:ascii="Times New Roman" w:hAnsi="Times New Roman" w:cs="Times New Roman"/>
          <w:sz w:val="24"/>
          <w:szCs w:val="24"/>
        </w:rPr>
        <w:t xml:space="preserve"> susitarimas, kurio atžvilgiu seks šimtai </w:t>
      </w:r>
      <w:r w:rsidR="00C10F88" w:rsidRPr="00A91E83">
        <w:rPr>
          <w:rFonts w:ascii="Times New Roman" w:hAnsi="Times New Roman" w:cs="Times New Roman"/>
          <w:sz w:val="24"/>
          <w:szCs w:val="24"/>
        </w:rPr>
        <w:t>P</w:t>
      </w:r>
      <w:r w:rsidR="00ED7BD8" w:rsidRPr="00A91E83">
        <w:rPr>
          <w:rFonts w:ascii="Times New Roman" w:hAnsi="Times New Roman" w:cs="Times New Roman"/>
          <w:sz w:val="24"/>
          <w:szCs w:val="24"/>
        </w:rPr>
        <w:t>atvirtinimų, įrodančių, jog šalys tarp</w:t>
      </w:r>
      <w:r w:rsidR="00C10F88" w:rsidRPr="00A91E83">
        <w:rPr>
          <w:rFonts w:ascii="Times New Roman" w:hAnsi="Times New Roman" w:cs="Times New Roman"/>
          <w:sz w:val="24"/>
          <w:szCs w:val="24"/>
        </w:rPr>
        <w:t xml:space="preserve">usavyje prekiavo ir nurodančių </w:t>
      </w:r>
      <w:r w:rsidR="00ED7BD8" w:rsidRPr="00A91E83">
        <w:rPr>
          <w:rFonts w:ascii="Times New Roman" w:hAnsi="Times New Roman" w:cs="Times New Roman"/>
          <w:sz w:val="24"/>
          <w:szCs w:val="24"/>
        </w:rPr>
        <w:t xml:space="preserve">kiekvieno sandorio </w:t>
      </w:r>
      <w:r w:rsidR="00C10F88" w:rsidRPr="00A91E83">
        <w:rPr>
          <w:rFonts w:ascii="Times New Roman" w:hAnsi="Times New Roman" w:cs="Times New Roman"/>
          <w:sz w:val="24"/>
          <w:szCs w:val="24"/>
        </w:rPr>
        <w:t xml:space="preserve">ekonomines </w:t>
      </w:r>
      <w:r w:rsidR="00ED7BD8" w:rsidRPr="00A91E83">
        <w:rPr>
          <w:rFonts w:ascii="Times New Roman" w:hAnsi="Times New Roman" w:cs="Times New Roman"/>
          <w:sz w:val="24"/>
          <w:szCs w:val="24"/>
        </w:rPr>
        <w:t>detales.</w:t>
      </w:r>
      <w:r w:rsidR="00920BA6" w:rsidRPr="00A91E83">
        <w:rPr>
          <w:rFonts w:ascii="Times New Roman" w:hAnsi="Times New Roman" w:cs="Times New Roman"/>
          <w:sz w:val="24"/>
          <w:szCs w:val="24"/>
        </w:rPr>
        <w:t xml:space="preserve"> Taip įgyvendinama I</w:t>
      </w:r>
      <w:r w:rsidR="009F1F7B" w:rsidRPr="00A91E83">
        <w:rPr>
          <w:rFonts w:ascii="Times New Roman" w:hAnsi="Times New Roman" w:cs="Times New Roman"/>
          <w:sz w:val="24"/>
          <w:szCs w:val="24"/>
        </w:rPr>
        <w:t xml:space="preserve">SDA filosofija, jog kiekvienas </w:t>
      </w:r>
      <w:r w:rsidR="002C7B8F" w:rsidRPr="00A91E83">
        <w:rPr>
          <w:rFonts w:ascii="Times New Roman" w:hAnsi="Times New Roman" w:cs="Times New Roman"/>
          <w:sz w:val="24"/>
          <w:szCs w:val="24"/>
        </w:rPr>
        <w:t>P</w:t>
      </w:r>
      <w:r w:rsidR="009F1F7B" w:rsidRPr="00A91E83">
        <w:rPr>
          <w:rFonts w:ascii="Times New Roman" w:hAnsi="Times New Roman" w:cs="Times New Roman"/>
          <w:sz w:val="24"/>
          <w:szCs w:val="24"/>
        </w:rPr>
        <w:t xml:space="preserve">atvirtinimas atliktas tarp šalių kartu su </w:t>
      </w:r>
      <w:r w:rsidR="002C7B8F" w:rsidRPr="00A91E83">
        <w:rPr>
          <w:rFonts w:ascii="Times New Roman" w:hAnsi="Times New Roman" w:cs="Times New Roman"/>
          <w:sz w:val="24"/>
          <w:szCs w:val="24"/>
        </w:rPr>
        <w:t>P</w:t>
      </w:r>
      <w:r w:rsidR="00F2793E" w:rsidRPr="00A91E83">
        <w:rPr>
          <w:rFonts w:ascii="Times New Roman" w:hAnsi="Times New Roman" w:cs="Times New Roman"/>
          <w:sz w:val="24"/>
          <w:szCs w:val="24"/>
        </w:rPr>
        <w:t>agrindiniu</w:t>
      </w:r>
      <w:r w:rsidR="009F1F7B" w:rsidRPr="00A91E83">
        <w:rPr>
          <w:rFonts w:ascii="Times New Roman" w:hAnsi="Times New Roman" w:cs="Times New Roman"/>
          <w:sz w:val="24"/>
          <w:szCs w:val="24"/>
        </w:rPr>
        <w:t xml:space="preserve"> susitarimu, jo </w:t>
      </w:r>
      <w:r w:rsidR="002C7B8F" w:rsidRPr="00A91E83">
        <w:rPr>
          <w:rFonts w:ascii="Times New Roman" w:hAnsi="Times New Roman" w:cs="Times New Roman"/>
          <w:sz w:val="24"/>
          <w:szCs w:val="24"/>
        </w:rPr>
        <w:t>P</w:t>
      </w:r>
      <w:r w:rsidR="009F1F7B" w:rsidRPr="00A91E83">
        <w:rPr>
          <w:rFonts w:ascii="Times New Roman" w:hAnsi="Times New Roman" w:cs="Times New Roman"/>
          <w:sz w:val="24"/>
          <w:szCs w:val="24"/>
        </w:rPr>
        <w:t xml:space="preserve">riedu ir prievolių </w:t>
      </w:r>
      <w:r w:rsidR="00F2793E" w:rsidRPr="00A91E83">
        <w:rPr>
          <w:rFonts w:ascii="Times New Roman" w:hAnsi="Times New Roman" w:cs="Times New Roman"/>
          <w:sz w:val="24"/>
          <w:szCs w:val="24"/>
        </w:rPr>
        <w:t xml:space="preserve">įvykdymo užtikrinimo dokumentu </w:t>
      </w:r>
      <w:r w:rsidR="009F1F7B" w:rsidRPr="00A91E83">
        <w:rPr>
          <w:rFonts w:ascii="Times New Roman" w:hAnsi="Times New Roman" w:cs="Times New Roman"/>
          <w:sz w:val="24"/>
          <w:szCs w:val="24"/>
        </w:rPr>
        <w:t>galėtų būti laiko</w:t>
      </w:r>
      <w:r w:rsidR="002C7B8F" w:rsidRPr="00A91E83">
        <w:rPr>
          <w:rFonts w:ascii="Times New Roman" w:hAnsi="Times New Roman" w:cs="Times New Roman"/>
          <w:sz w:val="24"/>
          <w:szCs w:val="24"/>
        </w:rPr>
        <w:t>mas viena sutartimi tarp šalių.</w:t>
      </w:r>
    </w:p>
    <w:p w:rsidR="005E0569" w:rsidRPr="00A91E83" w:rsidRDefault="005E0569" w:rsidP="00B46A53">
      <w:pPr>
        <w:tabs>
          <w:tab w:val="left" w:pos="851"/>
        </w:tabs>
        <w:spacing w:after="0" w:line="360" w:lineRule="auto"/>
        <w:ind w:firstLine="851"/>
        <w:jc w:val="both"/>
        <w:rPr>
          <w:rFonts w:ascii="Times New Roman" w:hAnsi="Times New Roman" w:cs="Times New Roman"/>
          <w:sz w:val="24"/>
          <w:szCs w:val="24"/>
        </w:rPr>
      </w:pPr>
    </w:p>
    <w:p w:rsidR="005E0569" w:rsidRPr="00A91E83" w:rsidRDefault="00A84ECC" w:rsidP="00632F97">
      <w:pPr>
        <w:pStyle w:val="Sraopastraipa"/>
        <w:numPr>
          <w:ilvl w:val="2"/>
          <w:numId w:val="4"/>
        </w:numPr>
        <w:tabs>
          <w:tab w:val="left" w:pos="851"/>
        </w:tabs>
        <w:spacing w:after="0" w:line="360" w:lineRule="auto"/>
        <w:ind w:left="0" w:firstLine="0"/>
        <w:jc w:val="both"/>
        <w:outlineLvl w:val="2"/>
        <w:rPr>
          <w:rFonts w:ascii="Times New Roman" w:hAnsi="Times New Roman" w:cs="Times New Roman"/>
          <w:b/>
          <w:sz w:val="24"/>
          <w:szCs w:val="24"/>
        </w:rPr>
      </w:pPr>
      <w:bookmarkStart w:id="26" w:name="_Toc280546459"/>
      <w:r w:rsidRPr="00A91E83">
        <w:rPr>
          <w:rFonts w:ascii="Times New Roman" w:hAnsi="Times New Roman" w:cs="Times New Roman"/>
          <w:b/>
          <w:sz w:val="24"/>
          <w:szCs w:val="24"/>
        </w:rPr>
        <w:t>P</w:t>
      </w:r>
      <w:r w:rsidR="00F2793E" w:rsidRPr="00A91E83">
        <w:rPr>
          <w:rFonts w:ascii="Times New Roman" w:hAnsi="Times New Roman" w:cs="Times New Roman"/>
          <w:b/>
          <w:sz w:val="24"/>
          <w:szCs w:val="24"/>
        </w:rPr>
        <w:t>agrindinis</w:t>
      </w:r>
      <w:r w:rsidR="005E0569" w:rsidRPr="00A91E83">
        <w:rPr>
          <w:rFonts w:ascii="Times New Roman" w:hAnsi="Times New Roman" w:cs="Times New Roman"/>
          <w:b/>
          <w:sz w:val="24"/>
          <w:szCs w:val="24"/>
        </w:rPr>
        <w:t xml:space="preserve"> susitarimas</w:t>
      </w:r>
      <w:bookmarkEnd w:id="26"/>
    </w:p>
    <w:p w:rsidR="005E0569" w:rsidRPr="00A91E83" w:rsidRDefault="005E0569" w:rsidP="00B46A53">
      <w:pPr>
        <w:pStyle w:val="Sraopastraipa"/>
        <w:tabs>
          <w:tab w:val="left" w:pos="851"/>
        </w:tabs>
        <w:spacing w:after="0" w:line="360" w:lineRule="auto"/>
        <w:ind w:left="0" w:firstLine="851"/>
        <w:jc w:val="both"/>
        <w:rPr>
          <w:rFonts w:ascii="Times New Roman" w:hAnsi="Times New Roman" w:cs="Times New Roman"/>
          <w:sz w:val="24"/>
          <w:szCs w:val="24"/>
        </w:rPr>
      </w:pPr>
    </w:p>
    <w:p w:rsidR="00C03C30" w:rsidRPr="00A91E83" w:rsidRDefault="00F2793E" w:rsidP="00B46A53">
      <w:pPr>
        <w:pStyle w:val="Sraopastraipa"/>
        <w:tabs>
          <w:tab w:val="left" w:pos="851"/>
        </w:tabs>
        <w:spacing w:after="0" w:line="360" w:lineRule="auto"/>
        <w:ind w:left="0" w:firstLine="851"/>
        <w:jc w:val="both"/>
        <w:rPr>
          <w:rFonts w:ascii="Times New Roman" w:hAnsi="Times New Roman" w:cs="Times New Roman"/>
          <w:sz w:val="24"/>
          <w:szCs w:val="24"/>
        </w:rPr>
      </w:pPr>
      <w:r w:rsidRPr="00A91E83">
        <w:rPr>
          <w:rFonts w:ascii="Times New Roman" w:hAnsi="Times New Roman" w:cs="Times New Roman"/>
          <w:sz w:val="24"/>
          <w:szCs w:val="24"/>
        </w:rPr>
        <w:t>Pagrindinio</w:t>
      </w:r>
      <w:r w:rsidR="00C03C30" w:rsidRPr="00A91E83">
        <w:rPr>
          <w:rFonts w:ascii="Times New Roman" w:hAnsi="Times New Roman" w:cs="Times New Roman"/>
          <w:sz w:val="24"/>
          <w:szCs w:val="24"/>
        </w:rPr>
        <w:t xml:space="preserve"> susitarimo poreikis atsirado tik tada, kai stipriai suaktyvėjo </w:t>
      </w:r>
      <w:r w:rsidR="00E6329B" w:rsidRPr="00A91E83">
        <w:rPr>
          <w:rFonts w:ascii="Times New Roman" w:hAnsi="Times New Roman" w:cs="Times New Roman"/>
          <w:sz w:val="24"/>
          <w:szCs w:val="24"/>
        </w:rPr>
        <w:t xml:space="preserve">sandorių dėl </w:t>
      </w:r>
      <w:r w:rsidR="00C03C30" w:rsidRPr="00A91E83">
        <w:rPr>
          <w:rFonts w:ascii="Times New Roman" w:hAnsi="Times New Roman" w:cs="Times New Roman"/>
          <w:sz w:val="24"/>
          <w:szCs w:val="24"/>
        </w:rPr>
        <w:t xml:space="preserve">išvestinių finansinių priemonių rinka. Anksčiau buvo sudaromi atskiri savarankiški susitarimai tarp šalių, nes tokie sandoriai buvo retas reiškinys rinkoje. Dabar, kai situacija pasikeitė, atsirado poreikis </w:t>
      </w:r>
      <w:r w:rsidR="00F566A5" w:rsidRPr="00A91E83">
        <w:rPr>
          <w:rFonts w:ascii="Times New Roman" w:hAnsi="Times New Roman" w:cs="Times New Roman"/>
          <w:sz w:val="24"/>
          <w:szCs w:val="24"/>
        </w:rPr>
        <w:t>išgryninti</w:t>
      </w:r>
      <w:r w:rsidR="00C03C30" w:rsidRPr="00A91E83">
        <w:rPr>
          <w:rFonts w:ascii="Times New Roman" w:hAnsi="Times New Roman" w:cs="Times New Roman"/>
          <w:sz w:val="24"/>
          <w:szCs w:val="24"/>
        </w:rPr>
        <w:t xml:space="preserve"> bendrąsias sąlygas būdingas ne tik paprasčiausiems apsikeitimo sandoriams, bet ir egzotiškoms išve</w:t>
      </w:r>
      <w:r w:rsidR="001B760B" w:rsidRPr="00A91E83">
        <w:rPr>
          <w:rFonts w:ascii="Times New Roman" w:hAnsi="Times New Roman" w:cs="Times New Roman"/>
          <w:sz w:val="24"/>
          <w:szCs w:val="24"/>
        </w:rPr>
        <w:t xml:space="preserve">stinėms finansinėms priemonėms, nes visos išvestinės finansinės priemonės savo esme ir </w:t>
      </w:r>
      <w:r w:rsidR="00E6329B" w:rsidRPr="00A91E83">
        <w:rPr>
          <w:rFonts w:ascii="Times New Roman" w:hAnsi="Times New Roman" w:cs="Times New Roman"/>
          <w:sz w:val="24"/>
          <w:szCs w:val="24"/>
        </w:rPr>
        <w:t>pagrindinėmis struktūros dalimis</w:t>
      </w:r>
      <w:r w:rsidR="001B760B" w:rsidRPr="00A91E83">
        <w:rPr>
          <w:rFonts w:ascii="Times New Roman" w:hAnsi="Times New Roman" w:cs="Times New Roman"/>
          <w:sz w:val="24"/>
          <w:szCs w:val="24"/>
        </w:rPr>
        <w:t xml:space="preserve"> yra panašios.</w:t>
      </w:r>
    </w:p>
    <w:p w:rsidR="008C695A" w:rsidRPr="00A91E83" w:rsidRDefault="008C7E4D" w:rsidP="00B46A53">
      <w:pPr>
        <w:pStyle w:val="Sraopastraipa"/>
        <w:tabs>
          <w:tab w:val="left" w:pos="851"/>
        </w:tabs>
        <w:spacing w:after="0" w:line="360" w:lineRule="auto"/>
        <w:ind w:left="0" w:firstLine="851"/>
        <w:jc w:val="both"/>
        <w:rPr>
          <w:rFonts w:ascii="Times New Roman" w:hAnsi="Times New Roman" w:cs="Times New Roman"/>
          <w:sz w:val="24"/>
          <w:szCs w:val="24"/>
        </w:rPr>
      </w:pPr>
      <w:r w:rsidRPr="00A91E83">
        <w:rPr>
          <w:rFonts w:ascii="Times New Roman" w:hAnsi="Times New Roman" w:cs="Times New Roman"/>
          <w:sz w:val="24"/>
          <w:szCs w:val="24"/>
        </w:rPr>
        <w:t>Pagrindinis</w:t>
      </w:r>
      <w:r w:rsidR="00C03C30" w:rsidRPr="00A91E83">
        <w:rPr>
          <w:rFonts w:ascii="Times New Roman" w:hAnsi="Times New Roman" w:cs="Times New Roman"/>
          <w:sz w:val="24"/>
          <w:szCs w:val="24"/>
        </w:rPr>
        <w:t xml:space="preserve"> susitarimas nustato bendrus terminus, kurie bus taikomi visiems </w:t>
      </w:r>
      <w:r w:rsidR="00763A05" w:rsidRPr="00A91E83">
        <w:rPr>
          <w:rFonts w:ascii="Times New Roman" w:hAnsi="Times New Roman" w:cs="Times New Roman"/>
          <w:sz w:val="24"/>
          <w:szCs w:val="24"/>
        </w:rPr>
        <w:t xml:space="preserve">kitiems </w:t>
      </w:r>
      <w:r w:rsidR="00C03C30" w:rsidRPr="00A91E83">
        <w:rPr>
          <w:rFonts w:ascii="Times New Roman" w:hAnsi="Times New Roman" w:cs="Times New Roman"/>
          <w:sz w:val="24"/>
          <w:szCs w:val="24"/>
        </w:rPr>
        <w:t>sandoriams, kuriuos sudarys šalys tarpu</w:t>
      </w:r>
      <w:r w:rsidR="007E63B3" w:rsidRPr="00A91E83">
        <w:rPr>
          <w:rFonts w:ascii="Times New Roman" w:hAnsi="Times New Roman" w:cs="Times New Roman"/>
          <w:sz w:val="24"/>
          <w:szCs w:val="24"/>
        </w:rPr>
        <w:t xml:space="preserve">savyje, </w:t>
      </w:r>
      <w:r w:rsidR="008C26F1" w:rsidRPr="00A91E83">
        <w:rPr>
          <w:rFonts w:ascii="Times New Roman" w:hAnsi="Times New Roman" w:cs="Times New Roman"/>
          <w:sz w:val="24"/>
          <w:szCs w:val="24"/>
        </w:rPr>
        <w:t>t. y.</w:t>
      </w:r>
      <w:r w:rsidR="007E63B3" w:rsidRPr="00A91E83">
        <w:rPr>
          <w:rFonts w:ascii="Times New Roman" w:hAnsi="Times New Roman" w:cs="Times New Roman"/>
          <w:sz w:val="24"/>
          <w:szCs w:val="24"/>
        </w:rPr>
        <w:t xml:space="preserve"> jis </w:t>
      </w:r>
      <w:r w:rsidR="00DA58A4" w:rsidRPr="00A91E83">
        <w:rPr>
          <w:rFonts w:ascii="Times New Roman" w:hAnsi="Times New Roman" w:cs="Times New Roman"/>
          <w:sz w:val="24"/>
          <w:szCs w:val="24"/>
        </w:rPr>
        <w:t>yra itin svarbus, nes nustato ateities išvestinių finansinių priemonių prekybos tarp šalių bendrus parametrus.</w:t>
      </w:r>
      <w:r w:rsidR="00622659" w:rsidRPr="00A91E83">
        <w:rPr>
          <w:rFonts w:ascii="Times New Roman" w:hAnsi="Times New Roman" w:cs="Times New Roman"/>
          <w:sz w:val="24"/>
          <w:szCs w:val="24"/>
        </w:rPr>
        <w:t xml:space="preserve"> </w:t>
      </w:r>
      <w:r w:rsidRPr="00A91E83">
        <w:rPr>
          <w:rFonts w:ascii="Times New Roman" w:hAnsi="Times New Roman" w:cs="Times New Roman"/>
          <w:sz w:val="24"/>
          <w:szCs w:val="24"/>
        </w:rPr>
        <w:t>Pagrindiniam</w:t>
      </w:r>
      <w:r w:rsidR="00622659" w:rsidRPr="00A91E83">
        <w:rPr>
          <w:rFonts w:ascii="Times New Roman" w:hAnsi="Times New Roman" w:cs="Times New Roman"/>
          <w:sz w:val="24"/>
          <w:szCs w:val="24"/>
        </w:rPr>
        <w:t xml:space="preserve"> susitarimui būdingas ilgo galiojimo pobūdis, </w:t>
      </w:r>
      <w:r w:rsidR="002869A4" w:rsidRPr="00A91E83">
        <w:rPr>
          <w:rFonts w:ascii="Times New Roman" w:hAnsi="Times New Roman" w:cs="Times New Roman"/>
          <w:sz w:val="24"/>
          <w:szCs w:val="24"/>
        </w:rPr>
        <w:t>nes</w:t>
      </w:r>
      <w:r w:rsidR="00622659" w:rsidRPr="00A91E83">
        <w:rPr>
          <w:rFonts w:ascii="Times New Roman" w:hAnsi="Times New Roman" w:cs="Times New Roman"/>
          <w:sz w:val="24"/>
          <w:szCs w:val="24"/>
        </w:rPr>
        <w:t xml:space="preserve"> jis gali galioti kelis metus tarp šalių išvis nekeistas. </w:t>
      </w:r>
      <w:r w:rsidR="00FB11AC" w:rsidRPr="00A91E83">
        <w:rPr>
          <w:rFonts w:ascii="Times New Roman" w:hAnsi="Times New Roman" w:cs="Times New Roman"/>
          <w:sz w:val="24"/>
          <w:szCs w:val="24"/>
        </w:rPr>
        <w:t xml:space="preserve">Vis dėlto neturėtų susidaryti iliuzija, kad jis vieną kartą sudarius </w:t>
      </w:r>
      <w:r w:rsidRPr="00A91E83">
        <w:rPr>
          <w:rFonts w:ascii="Times New Roman" w:hAnsi="Times New Roman" w:cs="Times New Roman"/>
          <w:sz w:val="24"/>
          <w:szCs w:val="24"/>
        </w:rPr>
        <w:t xml:space="preserve">tarp šalių </w:t>
      </w:r>
      <w:r w:rsidR="0009173A" w:rsidRPr="00A91E83">
        <w:rPr>
          <w:rFonts w:ascii="Times New Roman" w:hAnsi="Times New Roman" w:cs="Times New Roman"/>
          <w:sz w:val="24"/>
          <w:szCs w:val="24"/>
        </w:rPr>
        <w:t>turėtų būti užmirštas.</w:t>
      </w:r>
    </w:p>
    <w:p w:rsidR="008C695A" w:rsidRPr="00A91E83" w:rsidRDefault="00103CC7" w:rsidP="00F3191C">
      <w:pPr>
        <w:pStyle w:val="Sraopastraipa"/>
        <w:tabs>
          <w:tab w:val="left" w:pos="851"/>
        </w:tabs>
        <w:spacing w:after="0" w:line="360" w:lineRule="auto"/>
        <w:ind w:left="0" w:firstLine="851"/>
        <w:jc w:val="both"/>
        <w:rPr>
          <w:rFonts w:ascii="Times New Roman" w:hAnsi="Times New Roman" w:cs="Times New Roman"/>
          <w:sz w:val="24"/>
          <w:szCs w:val="24"/>
        </w:rPr>
      </w:pPr>
      <w:r w:rsidRPr="00A91E83">
        <w:rPr>
          <w:rFonts w:ascii="Times New Roman" w:hAnsi="Times New Roman" w:cs="Times New Roman"/>
          <w:sz w:val="24"/>
          <w:szCs w:val="24"/>
        </w:rPr>
        <w:t>Pirma</w:t>
      </w:r>
      <w:r w:rsidR="00FB11AC" w:rsidRPr="00A91E83">
        <w:rPr>
          <w:rFonts w:ascii="Times New Roman" w:hAnsi="Times New Roman" w:cs="Times New Roman"/>
          <w:sz w:val="24"/>
          <w:szCs w:val="24"/>
        </w:rPr>
        <w:t>, įvairios sąvokos</w:t>
      </w:r>
      <w:r w:rsidR="00F566A5" w:rsidRPr="00A91E83">
        <w:rPr>
          <w:rFonts w:ascii="Times New Roman" w:hAnsi="Times New Roman" w:cs="Times New Roman"/>
          <w:sz w:val="24"/>
          <w:szCs w:val="24"/>
        </w:rPr>
        <w:t>,</w:t>
      </w:r>
      <w:r w:rsidR="00FB11AC" w:rsidRPr="00A91E83">
        <w:rPr>
          <w:rFonts w:ascii="Times New Roman" w:hAnsi="Times New Roman" w:cs="Times New Roman"/>
          <w:sz w:val="24"/>
          <w:szCs w:val="24"/>
        </w:rPr>
        <w:t xml:space="preserve"> naudojamos </w:t>
      </w:r>
      <w:r w:rsidR="00F3191C" w:rsidRPr="00A91E83">
        <w:rPr>
          <w:rFonts w:ascii="Times New Roman" w:hAnsi="Times New Roman" w:cs="Times New Roman"/>
          <w:sz w:val="24"/>
          <w:szCs w:val="24"/>
        </w:rPr>
        <w:t>P</w:t>
      </w:r>
      <w:r w:rsidR="008C7E4D" w:rsidRPr="00A91E83">
        <w:rPr>
          <w:rFonts w:ascii="Times New Roman" w:hAnsi="Times New Roman" w:cs="Times New Roman"/>
          <w:sz w:val="24"/>
          <w:szCs w:val="24"/>
        </w:rPr>
        <w:t>agrindiniame</w:t>
      </w:r>
      <w:r w:rsidR="00FB11AC" w:rsidRPr="00A91E83">
        <w:rPr>
          <w:rFonts w:ascii="Times New Roman" w:hAnsi="Times New Roman" w:cs="Times New Roman"/>
          <w:sz w:val="24"/>
          <w:szCs w:val="24"/>
        </w:rPr>
        <w:t xml:space="preserve"> susitarime</w:t>
      </w:r>
      <w:r w:rsidR="00F566A5" w:rsidRPr="00A91E83">
        <w:rPr>
          <w:rFonts w:ascii="Times New Roman" w:hAnsi="Times New Roman" w:cs="Times New Roman"/>
          <w:sz w:val="24"/>
          <w:szCs w:val="24"/>
        </w:rPr>
        <w:t>,</w:t>
      </w:r>
      <w:r w:rsidR="00FB11AC" w:rsidRPr="00A91E83">
        <w:rPr>
          <w:rFonts w:ascii="Times New Roman" w:hAnsi="Times New Roman" w:cs="Times New Roman"/>
          <w:sz w:val="24"/>
          <w:szCs w:val="24"/>
        </w:rPr>
        <w:t xml:space="preserve"> yra p</w:t>
      </w:r>
      <w:r w:rsidR="00130AA3" w:rsidRPr="00A91E83">
        <w:rPr>
          <w:rFonts w:ascii="Times New Roman" w:hAnsi="Times New Roman" w:cs="Times New Roman"/>
          <w:sz w:val="24"/>
          <w:szCs w:val="24"/>
        </w:rPr>
        <w:t>aimtos iš Anglijos</w:t>
      </w:r>
      <w:r w:rsidR="00FB11AC" w:rsidRPr="00A91E83">
        <w:rPr>
          <w:rFonts w:ascii="Times New Roman" w:hAnsi="Times New Roman" w:cs="Times New Roman"/>
          <w:sz w:val="24"/>
          <w:szCs w:val="24"/>
        </w:rPr>
        <w:t xml:space="preserve"> ir JAV jurisdikcijų praktikos, nes jos yra laikomos lyderėmis </w:t>
      </w:r>
      <w:r w:rsidR="00F566A5" w:rsidRPr="00A91E83">
        <w:rPr>
          <w:rFonts w:ascii="Times New Roman" w:hAnsi="Times New Roman" w:cs="Times New Roman"/>
          <w:sz w:val="24"/>
          <w:szCs w:val="24"/>
        </w:rPr>
        <w:t>privatinės</w:t>
      </w:r>
      <w:r w:rsidR="00FB11AC" w:rsidRPr="00A91E83">
        <w:rPr>
          <w:rFonts w:ascii="Times New Roman" w:hAnsi="Times New Roman" w:cs="Times New Roman"/>
          <w:sz w:val="24"/>
          <w:szCs w:val="24"/>
        </w:rPr>
        <w:t xml:space="preserve"> teisės srityse. </w:t>
      </w:r>
      <w:r w:rsidR="008C7E4D" w:rsidRPr="00A91E83">
        <w:rPr>
          <w:rFonts w:ascii="Times New Roman" w:hAnsi="Times New Roman" w:cs="Times New Roman"/>
          <w:sz w:val="24"/>
          <w:szCs w:val="24"/>
        </w:rPr>
        <w:t xml:space="preserve">ISDA suteikia galimybę </w:t>
      </w:r>
      <w:r w:rsidR="00130AA3" w:rsidRPr="00A91E83">
        <w:rPr>
          <w:rFonts w:ascii="Times New Roman" w:hAnsi="Times New Roman" w:cs="Times New Roman"/>
          <w:sz w:val="24"/>
          <w:szCs w:val="24"/>
        </w:rPr>
        <w:t>šalims pasirinkti taikytiną teisę. Praktikoje šalys dažniausiai pasirenka vieną iš minėtų jurisdikcijų.</w:t>
      </w:r>
      <w:r w:rsidR="008C7E4D" w:rsidRPr="00A91E83">
        <w:rPr>
          <w:rFonts w:ascii="Times New Roman" w:hAnsi="Times New Roman" w:cs="Times New Roman"/>
          <w:sz w:val="24"/>
          <w:szCs w:val="24"/>
        </w:rPr>
        <w:t xml:space="preserve"> </w:t>
      </w:r>
      <w:r w:rsidR="00FB11AC" w:rsidRPr="00A91E83">
        <w:rPr>
          <w:rFonts w:ascii="Times New Roman" w:hAnsi="Times New Roman" w:cs="Times New Roman"/>
          <w:sz w:val="24"/>
          <w:szCs w:val="24"/>
        </w:rPr>
        <w:t xml:space="preserve">Abi </w:t>
      </w:r>
      <w:r w:rsidR="008C7E4D" w:rsidRPr="00A91E83">
        <w:rPr>
          <w:rFonts w:ascii="Times New Roman" w:hAnsi="Times New Roman" w:cs="Times New Roman"/>
          <w:sz w:val="24"/>
          <w:szCs w:val="24"/>
        </w:rPr>
        <w:t>valstybės</w:t>
      </w:r>
      <w:r w:rsidR="00FB11AC" w:rsidRPr="00A91E83">
        <w:rPr>
          <w:rFonts w:ascii="Times New Roman" w:hAnsi="Times New Roman" w:cs="Times New Roman"/>
          <w:sz w:val="24"/>
          <w:szCs w:val="24"/>
        </w:rPr>
        <w:t xml:space="preserve"> priklauso bendrosios teisės šeimos grupei. Bendroji teisė </w:t>
      </w:r>
      <w:r w:rsidR="00FB11AC" w:rsidRPr="00A91E83">
        <w:rPr>
          <w:rFonts w:ascii="Times New Roman" w:hAnsi="Times New Roman" w:cs="Times New Roman"/>
          <w:sz w:val="24"/>
          <w:szCs w:val="24"/>
        </w:rPr>
        <w:lastRenderedPageBreak/>
        <w:t>nereikalauja statutinės tei</w:t>
      </w:r>
      <w:r w:rsidR="008065EB" w:rsidRPr="00A91E83">
        <w:rPr>
          <w:rFonts w:ascii="Times New Roman" w:hAnsi="Times New Roman" w:cs="Times New Roman"/>
          <w:sz w:val="24"/>
          <w:szCs w:val="24"/>
        </w:rPr>
        <w:t>sės įsikišimo siekiant įsigalioti</w:t>
      </w:r>
      <w:r w:rsidR="00FB11AC" w:rsidRPr="00A91E83">
        <w:rPr>
          <w:rFonts w:ascii="Times New Roman" w:hAnsi="Times New Roman" w:cs="Times New Roman"/>
          <w:sz w:val="24"/>
          <w:szCs w:val="24"/>
        </w:rPr>
        <w:t xml:space="preserve"> </w:t>
      </w:r>
      <w:r w:rsidR="008065EB" w:rsidRPr="00A91E83">
        <w:rPr>
          <w:rFonts w:ascii="Times New Roman" w:hAnsi="Times New Roman" w:cs="Times New Roman"/>
          <w:sz w:val="24"/>
          <w:szCs w:val="24"/>
        </w:rPr>
        <w:t>teisės</w:t>
      </w:r>
      <w:r w:rsidR="008C7E4D" w:rsidRPr="00A91E83">
        <w:rPr>
          <w:rFonts w:ascii="Times New Roman" w:hAnsi="Times New Roman" w:cs="Times New Roman"/>
          <w:sz w:val="24"/>
          <w:szCs w:val="24"/>
        </w:rPr>
        <w:t xml:space="preserve"> </w:t>
      </w:r>
      <w:r w:rsidR="008065EB" w:rsidRPr="00A91E83">
        <w:rPr>
          <w:rFonts w:ascii="Times New Roman" w:hAnsi="Times New Roman" w:cs="Times New Roman"/>
          <w:sz w:val="24"/>
          <w:szCs w:val="24"/>
        </w:rPr>
        <w:t>pakeitimams</w:t>
      </w:r>
      <w:r w:rsidR="00FB11AC" w:rsidRPr="00A91E83">
        <w:rPr>
          <w:rFonts w:ascii="Times New Roman" w:hAnsi="Times New Roman" w:cs="Times New Roman"/>
          <w:sz w:val="24"/>
          <w:szCs w:val="24"/>
        </w:rPr>
        <w:t>. Taigi vien dėl kelių teisėjų nuomonės</w:t>
      </w:r>
      <w:r w:rsidR="0096454D" w:rsidRPr="00A91E83">
        <w:rPr>
          <w:rFonts w:ascii="Times New Roman" w:hAnsi="Times New Roman" w:cs="Times New Roman"/>
          <w:sz w:val="24"/>
          <w:szCs w:val="24"/>
        </w:rPr>
        <w:t>, priimant tam tikrą sprendimą,</w:t>
      </w:r>
      <w:r w:rsidR="00FB11AC" w:rsidRPr="00A91E83">
        <w:rPr>
          <w:rFonts w:ascii="Times New Roman" w:hAnsi="Times New Roman" w:cs="Times New Roman"/>
          <w:sz w:val="24"/>
          <w:szCs w:val="24"/>
        </w:rPr>
        <w:t xml:space="preserve"> dalis </w:t>
      </w:r>
      <w:r w:rsidR="0096454D" w:rsidRPr="00A91E83">
        <w:rPr>
          <w:rFonts w:ascii="Times New Roman" w:hAnsi="Times New Roman" w:cs="Times New Roman"/>
          <w:sz w:val="24"/>
          <w:szCs w:val="24"/>
        </w:rPr>
        <w:t>P</w:t>
      </w:r>
      <w:r w:rsidR="008C7E4D" w:rsidRPr="00A91E83">
        <w:rPr>
          <w:rFonts w:ascii="Times New Roman" w:hAnsi="Times New Roman" w:cs="Times New Roman"/>
          <w:sz w:val="24"/>
          <w:szCs w:val="24"/>
        </w:rPr>
        <w:t>agrindinio</w:t>
      </w:r>
      <w:r w:rsidR="0096454D" w:rsidRPr="00A91E83">
        <w:rPr>
          <w:rFonts w:ascii="Times New Roman" w:hAnsi="Times New Roman" w:cs="Times New Roman"/>
          <w:sz w:val="24"/>
          <w:szCs w:val="24"/>
        </w:rPr>
        <w:t xml:space="preserve"> susitarimo sąlygų</w:t>
      </w:r>
      <w:r w:rsidR="008065EB" w:rsidRPr="00A91E83">
        <w:rPr>
          <w:rFonts w:ascii="Times New Roman" w:hAnsi="Times New Roman" w:cs="Times New Roman"/>
          <w:sz w:val="24"/>
          <w:szCs w:val="24"/>
        </w:rPr>
        <w:t xml:space="preserve">, ar jų interpretacija </w:t>
      </w:r>
      <w:r w:rsidR="00FB11AC" w:rsidRPr="00A91E83">
        <w:rPr>
          <w:rFonts w:ascii="Times New Roman" w:hAnsi="Times New Roman" w:cs="Times New Roman"/>
          <w:sz w:val="24"/>
          <w:szCs w:val="24"/>
        </w:rPr>
        <w:t>gali pasikeis</w:t>
      </w:r>
      <w:r w:rsidR="008065EB" w:rsidRPr="00A91E83">
        <w:rPr>
          <w:rFonts w:ascii="Times New Roman" w:hAnsi="Times New Roman" w:cs="Times New Roman"/>
          <w:sz w:val="24"/>
          <w:szCs w:val="24"/>
        </w:rPr>
        <w:t>ti šalims nė nežinant apie tai.</w:t>
      </w:r>
    </w:p>
    <w:p w:rsidR="00076622" w:rsidRPr="00A91E83" w:rsidRDefault="00FB11AC" w:rsidP="00B46A53">
      <w:pPr>
        <w:pStyle w:val="Sraopastraipa"/>
        <w:tabs>
          <w:tab w:val="left" w:pos="851"/>
        </w:tabs>
        <w:spacing w:after="0" w:line="360" w:lineRule="auto"/>
        <w:ind w:left="0" w:firstLine="851"/>
        <w:jc w:val="both"/>
        <w:rPr>
          <w:rFonts w:ascii="Times New Roman" w:hAnsi="Times New Roman" w:cs="Times New Roman"/>
          <w:sz w:val="24"/>
          <w:szCs w:val="24"/>
        </w:rPr>
      </w:pPr>
      <w:r w:rsidRPr="00A91E83">
        <w:rPr>
          <w:rFonts w:ascii="Times New Roman" w:hAnsi="Times New Roman" w:cs="Times New Roman"/>
          <w:sz w:val="24"/>
          <w:szCs w:val="24"/>
        </w:rPr>
        <w:t>Antra, ateityje gali susidaryt</w:t>
      </w:r>
      <w:r w:rsidR="00076622" w:rsidRPr="00A91E83">
        <w:rPr>
          <w:rFonts w:ascii="Times New Roman" w:hAnsi="Times New Roman" w:cs="Times New Roman"/>
          <w:sz w:val="24"/>
          <w:szCs w:val="24"/>
        </w:rPr>
        <w:t xml:space="preserve">i situacija, kad šalių naujųjų </w:t>
      </w:r>
      <w:r w:rsidR="00D90AA7" w:rsidRPr="00A91E83">
        <w:rPr>
          <w:rFonts w:ascii="Times New Roman" w:hAnsi="Times New Roman" w:cs="Times New Roman"/>
          <w:sz w:val="24"/>
          <w:szCs w:val="24"/>
        </w:rPr>
        <w:t xml:space="preserve">sandorių dėl </w:t>
      </w:r>
      <w:r w:rsidR="00076622" w:rsidRPr="00A91E83">
        <w:rPr>
          <w:rFonts w:ascii="Times New Roman" w:hAnsi="Times New Roman" w:cs="Times New Roman"/>
          <w:sz w:val="24"/>
          <w:szCs w:val="24"/>
        </w:rPr>
        <w:t>išvestinių finansinių priemonių naudojimo tikslai</w:t>
      </w:r>
      <w:r w:rsidRPr="00A91E83">
        <w:rPr>
          <w:rFonts w:ascii="Times New Roman" w:hAnsi="Times New Roman" w:cs="Times New Roman"/>
          <w:sz w:val="24"/>
          <w:szCs w:val="24"/>
        </w:rPr>
        <w:t xml:space="preserve"> nevisiškai atitiks </w:t>
      </w:r>
      <w:r w:rsidR="00D90AA7" w:rsidRPr="00A91E83">
        <w:rPr>
          <w:rFonts w:ascii="Times New Roman" w:hAnsi="Times New Roman" w:cs="Times New Roman"/>
          <w:sz w:val="24"/>
          <w:szCs w:val="24"/>
        </w:rPr>
        <w:t>P</w:t>
      </w:r>
      <w:r w:rsidR="00076622" w:rsidRPr="00A91E83">
        <w:rPr>
          <w:rFonts w:ascii="Times New Roman" w:hAnsi="Times New Roman" w:cs="Times New Roman"/>
          <w:sz w:val="24"/>
          <w:szCs w:val="24"/>
        </w:rPr>
        <w:t>agrindinio</w:t>
      </w:r>
      <w:r w:rsidRPr="00A91E83">
        <w:rPr>
          <w:rFonts w:ascii="Times New Roman" w:hAnsi="Times New Roman" w:cs="Times New Roman"/>
          <w:sz w:val="24"/>
          <w:szCs w:val="24"/>
        </w:rPr>
        <w:t xml:space="preserve"> susitarimo </w:t>
      </w:r>
      <w:r w:rsidR="00D90AA7" w:rsidRPr="00A91E83">
        <w:rPr>
          <w:rFonts w:ascii="Times New Roman" w:hAnsi="Times New Roman" w:cs="Times New Roman"/>
          <w:sz w:val="24"/>
          <w:szCs w:val="24"/>
        </w:rPr>
        <w:t xml:space="preserve">nustatytą režimą </w:t>
      </w:r>
      <w:r w:rsidRPr="00A91E83">
        <w:rPr>
          <w:rFonts w:ascii="Times New Roman" w:hAnsi="Times New Roman" w:cs="Times New Roman"/>
          <w:sz w:val="24"/>
          <w:szCs w:val="24"/>
        </w:rPr>
        <w:t xml:space="preserve">ir </w:t>
      </w:r>
      <w:r w:rsidR="00F566A5" w:rsidRPr="00A91E83">
        <w:rPr>
          <w:rFonts w:ascii="Times New Roman" w:hAnsi="Times New Roman" w:cs="Times New Roman"/>
          <w:sz w:val="24"/>
          <w:szCs w:val="24"/>
        </w:rPr>
        <w:t>vartojamas</w:t>
      </w:r>
      <w:r w:rsidRPr="00A91E83">
        <w:rPr>
          <w:rFonts w:ascii="Times New Roman" w:hAnsi="Times New Roman" w:cs="Times New Roman"/>
          <w:sz w:val="24"/>
          <w:szCs w:val="24"/>
        </w:rPr>
        <w:t xml:space="preserve"> sąvokas. </w:t>
      </w:r>
    </w:p>
    <w:p w:rsidR="005941FC" w:rsidRPr="00A91E83" w:rsidRDefault="00FB11AC" w:rsidP="00B46A53">
      <w:pPr>
        <w:pStyle w:val="Sraopastraipa"/>
        <w:tabs>
          <w:tab w:val="left" w:pos="851"/>
        </w:tabs>
        <w:spacing w:after="0" w:line="360" w:lineRule="auto"/>
        <w:ind w:left="0"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Trečia, </w:t>
      </w:r>
      <w:r w:rsidR="005941FC" w:rsidRPr="00A91E83">
        <w:rPr>
          <w:rFonts w:ascii="Times New Roman" w:hAnsi="Times New Roman" w:cs="Times New Roman"/>
          <w:sz w:val="24"/>
          <w:szCs w:val="24"/>
        </w:rPr>
        <w:t xml:space="preserve">pasikeitus situacijai rinkoje, natūraliai atsiranda poreikis adaptuoti ir </w:t>
      </w:r>
      <w:r w:rsidR="00753C80" w:rsidRPr="00A91E83">
        <w:rPr>
          <w:rFonts w:ascii="Times New Roman" w:hAnsi="Times New Roman" w:cs="Times New Roman"/>
          <w:sz w:val="24"/>
          <w:szCs w:val="24"/>
        </w:rPr>
        <w:t>P</w:t>
      </w:r>
      <w:r w:rsidR="0022114F" w:rsidRPr="00A91E83">
        <w:rPr>
          <w:rFonts w:ascii="Times New Roman" w:hAnsi="Times New Roman" w:cs="Times New Roman"/>
          <w:sz w:val="24"/>
          <w:szCs w:val="24"/>
        </w:rPr>
        <w:t>agrindinio</w:t>
      </w:r>
      <w:r w:rsidR="005941FC" w:rsidRPr="00A91E83">
        <w:rPr>
          <w:rFonts w:ascii="Times New Roman" w:hAnsi="Times New Roman" w:cs="Times New Roman"/>
          <w:sz w:val="24"/>
          <w:szCs w:val="24"/>
        </w:rPr>
        <w:t xml:space="preserve"> susitarimo sąlygas. Geriausias pavyzdys</w:t>
      </w:r>
      <w:r w:rsidR="008E4E1F" w:rsidRPr="00A91E83">
        <w:rPr>
          <w:rFonts w:ascii="Times New Roman" w:hAnsi="Times New Roman" w:cs="Times New Roman"/>
          <w:sz w:val="24"/>
          <w:szCs w:val="24"/>
        </w:rPr>
        <w:t>,</w:t>
      </w:r>
      <w:r w:rsidR="005941FC" w:rsidRPr="00A91E83">
        <w:rPr>
          <w:rFonts w:ascii="Times New Roman" w:hAnsi="Times New Roman" w:cs="Times New Roman"/>
          <w:sz w:val="24"/>
          <w:szCs w:val="24"/>
        </w:rPr>
        <w:t xml:space="preserve"> susijęs su rinkos naujovėmis, jog sudarant sandorius dėl išvestinių finansinių priemonių</w:t>
      </w:r>
      <w:r w:rsidR="008E4E1F" w:rsidRPr="00A91E83">
        <w:rPr>
          <w:rFonts w:ascii="Times New Roman" w:hAnsi="Times New Roman" w:cs="Times New Roman"/>
          <w:sz w:val="24"/>
          <w:szCs w:val="24"/>
        </w:rPr>
        <w:t>,</w:t>
      </w:r>
      <w:r w:rsidR="005941FC" w:rsidRPr="00A91E83">
        <w:rPr>
          <w:rFonts w:ascii="Times New Roman" w:hAnsi="Times New Roman" w:cs="Times New Roman"/>
          <w:sz w:val="24"/>
          <w:szCs w:val="24"/>
        </w:rPr>
        <w:t xml:space="preserve"> iškart tarp šalių sudaromi dvišaliai </w:t>
      </w:r>
      <w:r w:rsidR="00460EBE" w:rsidRPr="00A91E83">
        <w:rPr>
          <w:rFonts w:ascii="Times New Roman" w:hAnsi="Times New Roman" w:cs="Times New Roman"/>
          <w:sz w:val="24"/>
          <w:szCs w:val="24"/>
        </w:rPr>
        <w:t xml:space="preserve">prievolių įvykdymo užtikrinimo susitarimai </w:t>
      </w:r>
      <w:r w:rsidR="00E03CE2" w:rsidRPr="00A91E83">
        <w:rPr>
          <w:rFonts w:ascii="Times New Roman" w:hAnsi="Times New Roman" w:cs="Times New Roman"/>
          <w:sz w:val="24"/>
          <w:szCs w:val="24"/>
        </w:rPr>
        <w:t>dėl finansinio užstato perdavimo</w:t>
      </w:r>
      <w:r w:rsidR="005941FC" w:rsidRPr="00A91E83">
        <w:rPr>
          <w:rFonts w:ascii="Times New Roman" w:hAnsi="Times New Roman" w:cs="Times New Roman"/>
          <w:sz w:val="24"/>
          <w:szCs w:val="24"/>
        </w:rPr>
        <w:t xml:space="preserve"> (</w:t>
      </w:r>
      <w:proofErr w:type="spellStart"/>
      <w:r w:rsidR="005941FC" w:rsidRPr="00A91E83">
        <w:rPr>
          <w:rFonts w:ascii="Times New Roman" w:hAnsi="Times New Roman" w:cs="Times New Roman"/>
          <w:sz w:val="24"/>
          <w:szCs w:val="24"/>
        </w:rPr>
        <w:t>angl</w:t>
      </w:r>
      <w:proofErr w:type="spellEnd"/>
      <w:r w:rsidR="005941FC" w:rsidRPr="00A91E83">
        <w:rPr>
          <w:rFonts w:ascii="Times New Roman" w:hAnsi="Times New Roman" w:cs="Times New Roman"/>
          <w:sz w:val="24"/>
          <w:szCs w:val="24"/>
        </w:rPr>
        <w:t xml:space="preserve">. </w:t>
      </w:r>
      <w:proofErr w:type="spellStart"/>
      <w:r w:rsidR="005941FC" w:rsidRPr="00A91E83">
        <w:rPr>
          <w:rFonts w:ascii="Times New Roman" w:hAnsi="Times New Roman" w:cs="Times New Roman"/>
          <w:i/>
          <w:sz w:val="24"/>
          <w:szCs w:val="24"/>
        </w:rPr>
        <w:t>two-way</w:t>
      </w:r>
      <w:proofErr w:type="spellEnd"/>
      <w:r w:rsidR="005941FC" w:rsidRPr="00A91E83">
        <w:rPr>
          <w:rFonts w:ascii="Times New Roman" w:hAnsi="Times New Roman" w:cs="Times New Roman"/>
          <w:i/>
          <w:sz w:val="24"/>
          <w:szCs w:val="24"/>
        </w:rPr>
        <w:t xml:space="preserve"> </w:t>
      </w:r>
      <w:proofErr w:type="spellStart"/>
      <w:r w:rsidR="005941FC" w:rsidRPr="00A91E83">
        <w:rPr>
          <w:rFonts w:ascii="Times New Roman" w:hAnsi="Times New Roman" w:cs="Times New Roman"/>
          <w:i/>
          <w:sz w:val="24"/>
          <w:szCs w:val="24"/>
        </w:rPr>
        <w:t>collateral</w:t>
      </w:r>
      <w:proofErr w:type="spellEnd"/>
      <w:r w:rsidR="005941FC" w:rsidRPr="00A91E83">
        <w:rPr>
          <w:rFonts w:ascii="Times New Roman" w:hAnsi="Times New Roman" w:cs="Times New Roman"/>
          <w:i/>
          <w:sz w:val="24"/>
          <w:szCs w:val="24"/>
        </w:rPr>
        <w:t xml:space="preserve"> </w:t>
      </w:r>
      <w:proofErr w:type="spellStart"/>
      <w:r w:rsidR="005941FC" w:rsidRPr="00A91E83">
        <w:rPr>
          <w:rFonts w:ascii="Times New Roman" w:hAnsi="Times New Roman" w:cs="Times New Roman"/>
          <w:i/>
          <w:sz w:val="24"/>
          <w:szCs w:val="24"/>
        </w:rPr>
        <w:t>transfer</w:t>
      </w:r>
      <w:proofErr w:type="spellEnd"/>
      <w:r w:rsidR="005941FC" w:rsidRPr="00A91E83">
        <w:rPr>
          <w:rFonts w:ascii="Times New Roman" w:hAnsi="Times New Roman" w:cs="Times New Roman"/>
          <w:i/>
          <w:sz w:val="24"/>
          <w:szCs w:val="24"/>
        </w:rPr>
        <w:t xml:space="preserve"> </w:t>
      </w:r>
      <w:proofErr w:type="spellStart"/>
      <w:r w:rsidR="005941FC" w:rsidRPr="00A91E83">
        <w:rPr>
          <w:rFonts w:ascii="Times New Roman" w:hAnsi="Times New Roman" w:cs="Times New Roman"/>
          <w:i/>
          <w:sz w:val="24"/>
          <w:szCs w:val="24"/>
        </w:rPr>
        <w:t>agreements</w:t>
      </w:r>
      <w:proofErr w:type="spellEnd"/>
      <w:r w:rsidR="005941FC" w:rsidRPr="00A91E83">
        <w:rPr>
          <w:rFonts w:ascii="Times New Roman" w:hAnsi="Times New Roman" w:cs="Times New Roman"/>
          <w:sz w:val="24"/>
          <w:szCs w:val="24"/>
        </w:rPr>
        <w:t xml:space="preserve">). </w:t>
      </w:r>
      <w:r w:rsidR="00AC2ED1" w:rsidRPr="00A91E83">
        <w:rPr>
          <w:rFonts w:ascii="Times New Roman" w:hAnsi="Times New Roman" w:cs="Times New Roman"/>
          <w:sz w:val="24"/>
          <w:szCs w:val="24"/>
        </w:rPr>
        <w:t>Tokiu atveju pareig</w:t>
      </w:r>
      <w:r w:rsidR="008A63FC" w:rsidRPr="00A91E83">
        <w:rPr>
          <w:rFonts w:ascii="Times New Roman" w:hAnsi="Times New Roman" w:cs="Times New Roman"/>
          <w:sz w:val="24"/>
          <w:szCs w:val="24"/>
        </w:rPr>
        <w:t>os našta</w:t>
      </w:r>
      <w:r w:rsidR="00AC2ED1" w:rsidRPr="00A91E83">
        <w:rPr>
          <w:rFonts w:ascii="Times New Roman" w:hAnsi="Times New Roman" w:cs="Times New Roman"/>
          <w:sz w:val="24"/>
          <w:szCs w:val="24"/>
        </w:rPr>
        <w:t xml:space="preserve"> pa</w:t>
      </w:r>
      <w:r w:rsidR="008A63FC" w:rsidRPr="00A91E83">
        <w:rPr>
          <w:rFonts w:ascii="Times New Roman" w:hAnsi="Times New Roman" w:cs="Times New Roman"/>
          <w:sz w:val="24"/>
          <w:szCs w:val="24"/>
        </w:rPr>
        <w:t>teikti atitinkamą užstatą gali laisvai svyruoti</w:t>
      </w:r>
      <w:r w:rsidR="00AC2ED1" w:rsidRPr="00A91E83">
        <w:rPr>
          <w:rFonts w:ascii="Times New Roman" w:hAnsi="Times New Roman" w:cs="Times New Roman"/>
          <w:sz w:val="24"/>
          <w:szCs w:val="24"/>
        </w:rPr>
        <w:t xml:space="preserve"> </w:t>
      </w:r>
      <w:r w:rsidR="00875BA8" w:rsidRPr="00A91E83">
        <w:rPr>
          <w:rFonts w:ascii="Times New Roman" w:hAnsi="Times New Roman" w:cs="Times New Roman"/>
          <w:sz w:val="24"/>
          <w:szCs w:val="24"/>
        </w:rPr>
        <w:t xml:space="preserve">tarp šalių, </w:t>
      </w:r>
      <w:r w:rsidR="00AC2ED1" w:rsidRPr="00A91E83">
        <w:rPr>
          <w:rFonts w:ascii="Times New Roman" w:hAnsi="Times New Roman" w:cs="Times New Roman"/>
          <w:sz w:val="24"/>
          <w:szCs w:val="24"/>
        </w:rPr>
        <w:t xml:space="preserve">atsižvelgiant į sandorių dėl išvestinių finansinių priemonių rizikos imties </w:t>
      </w:r>
      <w:r w:rsidR="008A63FC" w:rsidRPr="00A91E83">
        <w:rPr>
          <w:rFonts w:ascii="Times New Roman" w:hAnsi="Times New Roman" w:cs="Times New Roman"/>
          <w:sz w:val="24"/>
          <w:szCs w:val="24"/>
        </w:rPr>
        <w:t>pokyčius rinkoje</w:t>
      </w:r>
      <w:r w:rsidR="00AC2ED1" w:rsidRPr="00A91E83">
        <w:rPr>
          <w:rFonts w:ascii="Times New Roman" w:hAnsi="Times New Roman" w:cs="Times New Roman"/>
          <w:sz w:val="24"/>
          <w:szCs w:val="24"/>
        </w:rPr>
        <w:t xml:space="preserve">. Įsipareigojimas pateikti prievolių įvykdymo užtikrinimą </w:t>
      </w:r>
      <w:r w:rsidR="005941FC" w:rsidRPr="00A91E83">
        <w:rPr>
          <w:rFonts w:ascii="Times New Roman" w:hAnsi="Times New Roman" w:cs="Times New Roman"/>
          <w:sz w:val="24"/>
          <w:szCs w:val="24"/>
        </w:rPr>
        <w:t>gali</w:t>
      </w:r>
      <w:r w:rsidR="00AC2ED1" w:rsidRPr="00A91E83">
        <w:rPr>
          <w:rFonts w:ascii="Times New Roman" w:hAnsi="Times New Roman" w:cs="Times New Roman"/>
          <w:sz w:val="24"/>
          <w:szCs w:val="24"/>
        </w:rPr>
        <w:t xml:space="preserve"> judėti </w:t>
      </w:r>
      <w:r w:rsidR="00C36FE7" w:rsidRPr="00A91E83">
        <w:rPr>
          <w:rFonts w:ascii="Times New Roman" w:hAnsi="Times New Roman" w:cs="Times New Roman"/>
          <w:sz w:val="24"/>
          <w:szCs w:val="24"/>
        </w:rPr>
        <w:t xml:space="preserve">be papildomų teisinių kliūčių </w:t>
      </w:r>
      <w:r w:rsidR="00AC2ED1" w:rsidRPr="00A91E83">
        <w:rPr>
          <w:rFonts w:ascii="Times New Roman" w:hAnsi="Times New Roman" w:cs="Times New Roman"/>
          <w:sz w:val="24"/>
          <w:szCs w:val="24"/>
        </w:rPr>
        <w:t xml:space="preserve">abiems </w:t>
      </w:r>
      <w:r w:rsidR="00875BA8" w:rsidRPr="00A91E83">
        <w:rPr>
          <w:rFonts w:ascii="Times New Roman" w:hAnsi="Times New Roman" w:cs="Times New Roman"/>
          <w:sz w:val="24"/>
          <w:szCs w:val="24"/>
        </w:rPr>
        <w:t xml:space="preserve">šalių </w:t>
      </w:r>
      <w:r w:rsidR="00AC2ED1" w:rsidRPr="00A91E83">
        <w:rPr>
          <w:rFonts w:ascii="Times New Roman" w:hAnsi="Times New Roman" w:cs="Times New Roman"/>
          <w:sz w:val="24"/>
          <w:szCs w:val="24"/>
        </w:rPr>
        <w:t>kryptimis, kai</w:t>
      </w:r>
      <w:r w:rsidR="005941FC" w:rsidRPr="00A91E83">
        <w:rPr>
          <w:rFonts w:ascii="Times New Roman" w:hAnsi="Times New Roman" w:cs="Times New Roman"/>
          <w:sz w:val="24"/>
          <w:szCs w:val="24"/>
        </w:rPr>
        <w:t xml:space="preserve"> </w:t>
      </w:r>
      <w:r w:rsidR="00C36FE7" w:rsidRPr="00A91E83">
        <w:rPr>
          <w:rFonts w:ascii="Times New Roman" w:hAnsi="Times New Roman" w:cs="Times New Roman"/>
          <w:sz w:val="24"/>
          <w:szCs w:val="24"/>
        </w:rPr>
        <w:t xml:space="preserve">tik </w:t>
      </w:r>
      <w:r w:rsidR="005941FC" w:rsidRPr="00A91E83">
        <w:rPr>
          <w:rFonts w:ascii="Times New Roman" w:hAnsi="Times New Roman" w:cs="Times New Roman"/>
          <w:sz w:val="24"/>
          <w:szCs w:val="24"/>
        </w:rPr>
        <w:t>bendra rizik</w:t>
      </w:r>
      <w:r w:rsidR="00700817" w:rsidRPr="00A91E83">
        <w:rPr>
          <w:rFonts w:ascii="Times New Roman" w:hAnsi="Times New Roman" w:cs="Times New Roman"/>
          <w:sz w:val="24"/>
          <w:szCs w:val="24"/>
        </w:rPr>
        <w:t>os imtis viršija tarp šalių su</w:t>
      </w:r>
      <w:r w:rsidR="005941FC" w:rsidRPr="00A91E83">
        <w:rPr>
          <w:rFonts w:ascii="Times New Roman" w:hAnsi="Times New Roman" w:cs="Times New Roman"/>
          <w:sz w:val="24"/>
          <w:szCs w:val="24"/>
        </w:rPr>
        <w:t>tartą ribą.</w:t>
      </w:r>
      <w:r w:rsidR="005941FC" w:rsidRPr="00A91E83">
        <w:rPr>
          <w:rStyle w:val="Puslapioinaosnuoroda"/>
          <w:rFonts w:ascii="Times New Roman" w:hAnsi="Times New Roman" w:cs="Times New Roman"/>
          <w:sz w:val="24"/>
          <w:szCs w:val="24"/>
        </w:rPr>
        <w:footnoteReference w:id="140"/>
      </w:r>
      <w:r w:rsidR="003F75E1" w:rsidRPr="00A91E83">
        <w:rPr>
          <w:rFonts w:ascii="Times New Roman" w:hAnsi="Times New Roman" w:cs="Times New Roman"/>
          <w:sz w:val="24"/>
          <w:szCs w:val="24"/>
        </w:rPr>
        <w:t xml:space="preserve"> Anksčiau buvo neįprasta, jog dvi finansiškai pajėgios institucijos išvis reikalautų viena iš kitos prievolių įvykdymo užtikrinimo</w:t>
      </w:r>
      <w:r w:rsidR="008E4E1F" w:rsidRPr="00A91E83">
        <w:rPr>
          <w:rFonts w:ascii="Times New Roman" w:hAnsi="Times New Roman" w:cs="Times New Roman"/>
          <w:sz w:val="24"/>
          <w:szCs w:val="24"/>
        </w:rPr>
        <w:t>,</w:t>
      </w:r>
      <w:r w:rsidR="002C475C" w:rsidRPr="00A91E83">
        <w:rPr>
          <w:rFonts w:ascii="Times New Roman" w:hAnsi="Times New Roman" w:cs="Times New Roman"/>
          <w:sz w:val="24"/>
          <w:szCs w:val="24"/>
        </w:rPr>
        <w:t xml:space="preserve"> sudarant sandorius ne biržoje dėl išvestinių finansinių priemonių</w:t>
      </w:r>
      <w:r w:rsidR="0024465F" w:rsidRPr="00A91E83">
        <w:rPr>
          <w:rFonts w:ascii="Times New Roman" w:hAnsi="Times New Roman" w:cs="Times New Roman"/>
          <w:sz w:val="24"/>
          <w:szCs w:val="24"/>
        </w:rPr>
        <w:t xml:space="preserve">, taigi jų </w:t>
      </w:r>
      <w:r w:rsidR="00893A5A" w:rsidRPr="00A91E83">
        <w:rPr>
          <w:rFonts w:ascii="Times New Roman" w:hAnsi="Times New Roman" w:cs="Times New Roman"/>
          <w:sz w:val="24"/>
          <w:szCs w:val="24"/>
        </w:rPr>
        <w:t>P</w:t>
      </w:r>
      <w:r w:rsidR="005277DA" w:rsidRPr="00A91E83">
        <w:rPr>
          <w:rFonts w:ascii="Times New Roman" w:hAnsi="Times New Roman" w:cs="Times New Roman"/>
          <w:sz w:val="24"/>
          <w:szCs w:val="24"/>
        </w:rPr>
        <w:t>agrindinis</w:t>
      </w:r>
      <w:r w:rsidR="0024465F" w:rsidRPr="00A91E83">
        <w:rPr>
          <w:rFonts w:ascii="Times New Roman" w:hAnsi="Times New Roman" w:cs="Times New Roman"/>
          <w:sz w:val="24"/>
          <w:szCs w:val="24"/>
        </w:rPr>
        <w:t xml:space="preserve"> sus</w:t>
      </w:r>
      <w:r w:rsidR="00E86E82" w:rsidRPr="00A91E83">
        <w:rPr>
          <w:rFonts w:ascii="Times New Roman" w:hAnsi="Times New Roman" w:cs="Times New Roman"/>
          <w:sz w:val="24"/>
          <w:szCs w:val="24"/>
        </w:rPr>
        <w:t xml:space="preserve">itarimas </w:t>
      </w:r>
      <w:r w:rsidR="0024465F" w:rsidRPr="00A91E83">
        <w:rPr>
          <w:rFonts w:ascii="Times New Roman" w:hAnsi="Times New Roman" w:cs="Times New Roman"/>
          <w:sz w:val="24"/>
          <w:szCs w:val="24"/>
        </w:rPr>
        <w:t>atspindėjo tokį abipusį pasitikėjimą.</w:t>
      </w:r>
      <w:r w:rsidR="0024465F" w:rsidRPr="00A91E83">
        <w:rPr>
          <w:rStyle w:val="Puslapioinaosnuoroda"/>
          <w:rFonts w:ascii="Times New Roman" w:hAnsi="Times New Roman" w:cs="Times New Roman"/>
          <w:sz w:val="24"/>
          <w:szCs w:val="24"/>
        </w:rPr>
        <w:footnoteReference w:id="141"/>
      </w:r>
    </w:p>
    <w:p w:rsidR="005E0569" w:rsidRPr="00A91E83" w:rsidRDefault="00753C80" w:rsidP="00B46A53">
      <w:pPr>
        <w:pStyle w:val="Sraopastraipa"/>
        <w:tabs>
          <w:tab w:val="left" w:pos="851"/>
        </w:tabs>
        <w:spacing w:after="0" w:line="360" w:lineRule="auto"/>
        <w:ind w:left="0" w:firstLine="851"/>
        <w:jc w:val="both"/>
        <w:rPr>
          <w:rFonts w:ascii="Times New Roman" w:hAnsi="Times New Roman" w:cs="Times New Roman"/>
          <w:sz w:val="24"/>
          <w:szCs w:val="24"/>
        </w:rPr>
      </w:pPr>
      <w:r w:rsidRPr="00A91E83">
        <w:rPr>
          <w:rFonts w:ascii="Times New Roman" w:hAnsi="Times New Roman" w:cs="Times New Roman"/>
          <w:sz w:val="24"/>
          <w:szCs w:val="24"/>
        </w:rPr>
        <w:t>Siekiant išvengti minėtų nesklandumų</w:t>
      </w:r>
      <w:r w:rsidR="00335F6F" w:rsidRPr="00A91E83">
        <w:rPr>
          <w:rFonts w:ascii="Times New Roman" w:hAnsi="Times New Roman" w:cs="Times New Roman"/>
          <w:sz w:val="24"/>
          <w:szCs w:val="24"/>
        </w:rPr>
        <w:t>,</w:t>
      </w:r>
      <w:r w:rsidRPr="00A91E83">
        <w:rPr>
          <w:rFonts w:ascii="Times New Roman" w:hAnsi="Times New Roman" w:cs="Times New Roman"/>
          <w:sz w:val="24"/>
          <w:szCs w:val="24"/>
        </w:rPr>
        <w:t xml:space="preserve"> </w:t>
      </w:r>
      <w:r w:rsidR="00335F6F" w:rsidRPr="00A91E83">
        <w:rPr>
          <w:rFonts w:ascii="Times New Roman" w:hAnsi="Times New Roman" w:cs="Times New Roman"/>
          <w:sz w:val="24"/>
          <w:szCs w:val="24"/>
        </w:rPr>
        <w:t xml:space="preserve">sandorio </w:t>
      </w:r>
      <w:r w:rsidRPr="00A91E83">
        <w:rPr>
          <w:rFonts w:ascii="Times New Roman" w:hAnsi="Times New Roman" w:cs="Times New Roman"/>
          <w:sz w:val="24"/>
          <w:szCs w:val="24"/>
        </w:rPr>
        <w:t>šalim</w:t>
      </w:r>
      <w:r w:rsidR="00335F6F" w:rsidRPr="00A91E83">
        <w:rPr>
          <w:rFonts w:ascii="Times New Roman" w:hAnsi="Times New Roman" w:cs="Times New Roman"/>
          <w:sz w:val="24"/>
          <w:szCs w:val="24"/>
        </w:rPr>
        <w:t>s</w:t>
      </w:r>
      <w:r w:rsidRPr="00A91E83">
        <w:rPr>
          <w:rFonts w:ascii="Times New Roman" w:hAnsi="Times New Roman" w:cs="Times New Roman"/>
          <w:sz w:val="24"/>
          <w:szCs w:val="24"/>
        </w:rPr>
        <w:t xml:space="preserve"> talkina ISDA, nuolat atnaujindama standartines formas, atsižvelgdama į rinkos pokyčius bei į rinkos dalyvių atsiliepimus ir patirtį.</w:t>
      </w:r>
    </w:p>
    <w:p w:rsidR="00335F6F" w:rsidRPr="00A91E83" w:rsidRDefault="00335F6F" w:rsidP="00B46A53">
      <w:pPr>
        <w:pStyle w:val="Sraopastraipa"/>
        <w:tabs>
          <w:tab w:val="left" w:pos="851"/>
        </w:tabs>
        <w:spacing w:after="0" w:line="360" w:lineRule="auto"/>
        <w:ind w:left="0" w:firstLine="851"/>
        <w:jc w:val="both"/>
        <w:rPr>
          <w:rFonts w:ascii="Times New Roman" w:hAnsi="Times New Roman" w:cs="Times New Roman"/>
          <w:sz w:val="24"/>
          <w:szCs w:val="24"/>
        </w:rPr>
      </w:pPr>
    </w:p>
    <w:p w:rsidR="00CC3446" w:rsidRPr="00A91E83" w:rsidRDefault="009B7939" w:rsidP="00632F97">
      <w:pPr>
        <w:pStyle w:val="Sraopastraipa"/>
        <w:numPr>
          <w:ilvl w:val="3"/>
          <w:numId w:val="4"/>
        </w:numPr>
        <w:tabs>
          <w:tab w:val="left" w:pos="851"/>
        </w:tabs>
        <w:spacing w:after="0" w:line="360" w:lineRule="auto"/>
        <w:ind w:left="0" w:firstLine="0"/>
        <w:jc w:val="both"/>
        <w:outlineLvl w:val="3"/>
        <w:rPr>
          <w:rFonts w:ascii="Times New Roman" w:hAnsi="Times New Roman" w:cs="Times New Roman"/>
          <w:b/>
          <w:sz w:val="24"/>
          <w:szCs w:val="24"/>
        </w:rPr>
      </w:pPr>
      <w:r w:rsidRPr="00A91E83">
        <w:rPr>
          <w:rFonts w:ascii="Times New Roman" w:hAnsi="Times New Roman" w:cs="Times New Roman"/>
          <w:b/>
          <w:sz w:val="24"/>
          <w:szCs w:val="24"/>
        </w:rPr>
        <w:t xml:space="preserve">Vienos sutarties </w:t>
      </w:r>
      <w:r w:rsidR="00632F97" w:rsidRPr="00A91E83">
        <w:rPr>
          <w:rFonts w:ascii="Times New Roman" w:hAnsi="Times New Roman" w:cs="Times New Roman"/>
          <w:b/>
          <w:sz w:val="24"/>
          <w:szCs w:val="24"/>
        </w:rPr>
        <w:t>koncepcija</w:t>
      </w:r>
    </w:p>
    <w:p w:rsidR="00CC3446" w:rsidRPr="00A91E83" w:rsidRDefault="00CC3446" w:rsidP="00B46A53">
      <w:pPr>
        <w:tabs>
          <w:tab w:val="left" w:pos="851"/>
        </w:tabs>
        <w:spacing w:after="0" w:line="360" w:lineRule="auto"/>
        <w:ind w:firstLine="851"/>
        <w:jc w:val="both"/>
        <w:rPr>
          <w:rFonts w:ascii="Times New Roman" w:hAnsi="Times New Roman" w:cs="Times New Roman"/>
          <w:sz w:val="24"/>
          <w:szCs w:val="24"/>
        </w:rPr>
      </w:pPr>
    </w:p>
    <w:p w:rsidR="00FE1CAA" w:rsidRPr="00A91E83" w:rsidRDefault="00CC3446" w:rsidP="00FE1CAA">
      <w:pPr>
        <w:tabs>
          <w:tab w:val="left" w:pos="851"/>
        </w:tabs>
        <w:spacing w:after="0" w:line="360" w:lineRule="auto"/>
        <w:ind w:firstLine="851"/>
        <w:jc w:val="both"/>
        <w:rPr>
          <w:rFonts w:ascii="Times New Roman" w:hAnsi="Times New Roman" w:cs="Times New Roman"/>
          <w:sz w:val="24"/>
          <w:szCs w:val="24"/>
          <w:highlight w:val="lightGray"/>
        </w:rPr>
      </w:pPr>
      <w:r w:rsidRPr="00A91E83">
        <w:rPr>
          <w:rFonts w:ascii="Times New Roman" w:hAnsi="Times New Roman" w:cs="Times New Roman"/>
          <w:sz w:val="24"/>
          <w:szCs w:val="24"/>
        </w:rPr>
        <w:t xml:space="preserve">ISDA </w:t>
      </w:r>
      <w:r w:rsidR="0016138A" w:rsidRPr="00A91E83">
        <w:rPr>
          <w:rFonts w:ascii="Times New Roman" w:hAnsi="Times New Roman" w:cs="Times New Roman"/>
          <w:sz w:val="24"/>
          <w:szCs w:val="24"/>
        </w:rPr>
        <w:t>P</w:t>
      </w:r>
      <w:r w:rsidR="00222A0C" w:rsidRPr="00A91E83">
        <w:rPr>
          <w:rFonts w:ascii="Times New Roman" w:hAnsi="Times New Roman" w:cs="Times New Roman"/>
          <w:sz w:val="24"/>
          <w:szCs w:val="24"/>
        </w:rPr>
        <w:t xml:space="preserve">agrindinis susitarimas </w:t>
      </w:r>
      <w:r w:rsidRPr="00A91E83">
        <w:rPr>
          <w:rFonts w:ascii="Times New Roman" w:hAnsi="Times New Roman" w:cs="Times New Roman"/>
          <w:sz w:val="24"/>
          <w:szCs w:val="24"/>
        </w:rPr>
        <w:t xml:space="preserve">nustato, jog </w:t>
      </w:r>
      <w:r w:rsidR="007A699A" w:rsidRPr="00A91E83">
        <w:rPr>
          <w:rFonts w:ascii="Times New Roman" w:hAnsi="Times New Roman" w:cs="Times New Roman"/>
          <w:sz w:val="24"/>
          <w:szCs w:val="24"/>
        </w:rPr>
        <w:t>šalys gali num</w:t>
      </w:r>
      <w:r w:rsidR="00237CBF" w:rsidRPr="00A91E83">
        <w:rPr>
          <w:rFonts w:ascii="Times New Roman" w:hAnsi="Times New Roman" w:cs="Times New Roman"/>
          <w:sz w:val="24"/>
          <w:szCs w:val="24"/>
        </w:rPr>
        <w:t>atyti</w:t>
      </w:r>
      <w:r w:rsidR="007A699A" w:rsidRPr="00A91E83">
        <w:rPr>
          <w:rFonts w:ascii="Times New Roman" w:hAnsi="Times New Roman" w:cs="Times New Roman"/>
          <w:sz w:val="24"/>
          <w:szCs w:val="24"/>
        </w:rPr>
        <w:t xml:space="preserve">, kad </w:t>
      </w:r>
      <w:r w:rsidR="0016138A" w:rsidRPr="00A91E83">
        <w:rPr>
          <w:rFonts w:ascii="Times New Roman" w:hAnsi="Times New Roman" w:cs="Times New Roman"/>
          <w:sz w:val="24"/>
          <w:szCs w:val="24"/>
        </w:rPr>
        <w:t>P</w:t>
      </w:r>
      <w:r w:rsidR="005650C0" w:rsidRPr="00A91E83">
        <w:rPr>
          <w:rFonts w:ascii="Times New Roman" w:hAnsi="Times New Roman" w:cs="Times New Roman"/>
          <w:sz w:val="24"/>
          <w:szCs w:val="24"/>
        </w:rPr>
        <w:t>agrindinis s</w:t>
      </w:r>
      <w:r w:rsidRPr="00A91E83">
        <w:rPr>
          <w:rFonts w:ascii="Times New Roman" w:hAnsi="Times New Roman" w:cs="Times New Roman"/>
          <w:sz w:val="24"/>
          <w:szCs w:val="24"/>
        </w:rPr>
        <w:t>u</w:t>
      </w:r>
      <w:r w:rsidR="005650C0" w:rsidRPr="00A91E83">
        <w:rPr>
          <w:rFonts w:ascii="Times New Roman" w:hAnsi="Times New Roman" w:cs="Times New Roman"/>
          <w:sz w:val="24"/>
          <w:szCs w:val="24"/>
        </w:rPr>
        <w:t>sitarimas</w:t>
      </w:r>
      <w:r w:rsidRPr="00A91E83">
        <w:rPr>
          <w:rFonts w:ascii="Times New Roman" w:hAnsi="Times New Roman" w:cs="Times New Roman"/>
          <w:sz w:val="24"/>
          <w:szCs w:val="24"/>
        </w:rPr>
        <w:t xml:space="preserve"> ir </w:t>
      </w:r>
      <w:r w:rsidR="0016138A" w:rsidRPr="00A91E83">
        <w:rPr>
          <w:rFonts w:ascii="Times New Roman" w:hAnsi="Times New Roman" w:cs="Times New Roman"/>
          <w:sz w:val="24"/>
          <w:szCs w:val="24"/>
        </w:rPr>
        <w:t>P</w:t>
      </w:r>
      <w:r w:rsidR="005650C0" w:rsidRPr="00A91E83">
        <w:rPr>
          <w:rFonts w:ascii="Times New Roman" w:hAnsi="Times New Roman" w:cs="Times New Roman"/>
          <w:sz w:val="24"/>
          <w:szCs w:val="24"/>
        </w:rPr>
        <w:t>atvirtinimas yra laikomi viena sutartimi</w:t>
      </w:r>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Single</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Agreement</w:t>
      </w:r>
      <w:proofErr w:type="spellEnd"/>
      <w:r w:rsidRPr="00A91E83">
        <w:rPr>
          <w:rFonts w:ascii="Times New Roman" w:hAnsi="Times New Roman" w:cs="Times New Roman"/>
          <w:sz w:val="24"/>
          <w:szCs w:val="24"/>
        </w:rPr>
        <w:t>), ir šalys nesudarytų nei vieno susitarimo tarpusavyje, jeigu būtų priešingai.</w:t>
      </w:r>
      <w:r w:rsidR="00222A0C" w:rsidRPr="00A91E83">
        <w:rPr>
          <w:rStyle w:val="Puslapioinaosnuoroda"/>
          <w:rFonts w:ascii="Times New Roman" w:hAnsi="Times New Roman" w:cs="Times New Roman"/>
          <w:sz w:val="24"/>
          <w:szCs w:val="24"/>
        </w:rPr>
        <w:footnoteReference w:id="142"/>
      </w:r>
      <w:r w:rsidR="00222A0C" w:rsidRPr="00A91E83">
        <w:rPr>
          <w:rFonts w:ascii="Times New Roman" w:hAnsi="Times New Roman" w:cs="Times New Roman"/>
          <w:sz w:val="24"/>
          <w:szCs w:val="24"/>
        </w:rPr>
        <w:t xml:space="preserve"> </w:t>
      </w:r>
      <w:r w:rsidRPr="00A91E83">
        <w:rPr>
          <w:rFonts w:ascii="Times New Roman" w:hAnsi="Times New Roman" w:cs="Times New Roman"/>
          <w:sz w:val="24"/>
          <w:szCs w:val="24"/>
        </w:rPr>
        <w:t>Pagrindinis tikslas tokios nuostatos yra sukurti ryšį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conexity</w:t>
      </w:r>
      <w:proofErr w:type="spellEnd"/>
      <w:r w:rsidRPr="00A91E83">
        <w:rPr>
          <w:rFonts w:ascii="Times New Roman" w:hAnsi="Times New Roman" w:cs="Times New Roman"/>
          <w:sz w:val="24"/>
          <w:szCs w:val="24"/>
        </w:rPr>
        <w:t xml:space="preserve">) tarp šalių sudarytų sandorių ir taip susilpninti galimybę, jog bankroto administratorius </w:t>
      </w:r>
      <w:r w:rsidR="00222A0C" w:rsidRPr="00A91E83">
        <w:rPr>
          <w:rFonts w:ascii="Times New Roman" w:hAnsi="Times New Roman" w:cs="Times New Roman"/>
          <w:sz w:val="24"/>
          <w:szCs w:val="24"/>
        </w:rPr>
        <w:t xml:space="preserve">bendrovės nemokumo atveju </w:t>
      </w:r>
      <w:r w:rsidRPr="00A91E83">
        <w:rPr>
          <w:rFonts w:ascii="Times New Roman" w:hAnsi="Times New Roman" w:cs="Times New Roman"/>
          <w:sz w:val="24"/>
          <w:szCs w:val="24"/>
        </w:rPr>
        <w:t>reikalaus tolimesnio vykdymo tų sandorių</w:t>
      </w:r>
      <w:r w:rsidR="00F67972" w:rsidRPr="00A91E83">
        <w:rPr>
          <w:rFonts w:ascii="Times New Roman" w:hAnsi="Times New Roman" w:cs="Times New Roman"/>
          <w:sz w:val="24"/>
          <w:szCs w:val="24"/>
        </w:rPr>
        <w:t xml:space="preserve"> sudarytų tarp šalių</w:t>
      </w:r>
      <w:r w:rsidRPr="00A91E83">
        <w:rPr>
          <w:rFonts w:ascii="Times New Roman" w:hAnsi="Times New Roman" w:cs="Times New Roman"/>
          <w:sz w:val="24"/>
          <w:szCs w:val="24"/>
        </w:rPr>
        <w:t>, kurie yra naudingi nemokiai bendrovei, o tie kurie nėra naudingi, tai juos nutrauks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cherry-pick</w:t>
      </w:r>
      <w:r w:rsidRPr="00A91E83">
        <w:rPr>
          <w:rFonts w:ascii="Times New Roman" w:hAnsi="Times New Roman" w:cs="Times New Roman"/>
          <w:sz w:val="24"/>
          <w:szCs w:val="24"/>
        </w:rPr>
        <w:t>).</w:t>
      </w:r>
      <w:proofErr w:type="spellEnd"/>
      <w:r w:rsidRPr="00A91E83">
        <w:rPr>
          <w:rFonts w:ascii="Times New Roman" w:hAnsi="Times New Roman" w:cs="Times New Roman"/>
          <w:sz w:val="24"/>
          <w:szCs w:val="24"/>
        </w:rPr>
        <w:t xml:space="preserve"> Teoriškai, jeigu visi tarp šalių sandoriai bus laikomi, kaip vienas susitarimas, tai bankroto administratorius negalėtų pasilikti kai kurių dalių, o kita atmesti: jis turėtų priimti viską, arba neliesti nieko.</w:t>
      </w:r>
      <w:r w:rsidRPr="00A91E83">
        <w:rPr>
          <w:rStyle w:val="Puslapioinaosnuoroda"/>
          <w:rFonts w:ascii="Times New Roman" w:hAnsi="Times New Roman" w:cs="Times New Roman"/>
          <w:sz w:val="24"/>
          <w:szCs w:val="24"/>
        </w:rPr>
        <w:footnoteReference w:id="143"/>
      </w:r>
      <w:r w:rsidR="00F67972" w:rsidRPr="00A91E83">
        <w:rPr>
          <w:rFonts w:ascii="Times New Roman" w:hAnsi="Times New Roman" w:cs="Times New Roman"/>
          <w:sz w:val="24"/>
          <w:szCs w:val="24"/>
        </w:rPr>
        <w:t xml:space="preserve"> </w:t>
      </w:r>
      <w:r w:rsidR="00775A6B" w:rsidRPr="00A91E83">
        <w:rPr>
          <w:rFonts w:ascii="Times New Roman" w:hAnsi="Times New Roman" w:cs="Times New Roman"/>
          <w:sz w:val="24"/>
          <w:szCs w:val="24"/>
        </w:rPr>
        <w:t xml:space="preserve">Pagal skirtingus sandorius gali </w:t>
      </w:r>
      <w:r w:rsidR="00775A6B" w:rsidRPr="00A91E83">
        <w:rPr>
          <w:rFonts w:ascii="Times New Roman" w:hAnsi="Times New Roman" w:cs="Times New Roman"/>
          <w:sz w:val="24"/>
          <w:szCs w:val="24"/>
        </w:rPr>
        <w:lastRenderedPageBreak/>
        <w:t xml:space="preserve">susidaryti skirtingi apskaičiavimo rezultatai, </w:t>
      </w:r>
      <w:proofErr w:type="spellStart"/>
      <w:r w:rsidR="00775A6B" w:rsidRPr="00A91E83">
        <w:rPr>
          <w:rFonts w:ascii="Times New Roman" w:hAnsi="Times New Roman" w:cs="Times New Roman"/>
          <w:sz w:val="24"/>
          <w:szCs w:val="24"/>
        </w:rPr>
        <w:t>pvz</w:t>
      </w:r>
      <w:proofErr w:type="spellEnd"/>
      <w:r w:rsidR="00775A6B" w:rsidRPr="00A91E83">
        <w:rPr>
          <w:rFonts w:ascii="Times New Roman" w:hAnsi="Times New Roman" w:cs="Times New Roman"/>
          <w:sz w:val="24"/>
          <w:szCs w:val="24"/>
        </w:rPr>
        <w:t xml:space="preserve"> vieni pelningi, kiti nuostol</w:t>
      </w:r>
      <w:r w:rsidR="00F33B35" w:rsidRPr="00A91E83">
        <w:rPr>
          <w:rFonts w:ascii="Times New Roman" w:hAnsi="Times New Roman" w:cs="Times New Roman"/>
          <w:sz w:val="24"/>
          <w:szCs w:val="24"/>
        </w:rPr>
        <w:t>ingi. Todėl nėra aišku, ar tokios</w:t>
      </w:r>
      <w:r w:rsidR="00775A6B" w:rsidRPr="00A91E83">
        <w:rPr>
          <w:rFonts w:ascii="Times New Roman" w:hAnsi="Times New Roman" w:cs="Times New Roman"/>
          <w:sz w:val="24"/>
          <w:szCs w:val="24"/>
        </w:rPr>
        <w:t xml:space="preserve"> šalių novacijos sukeliamos pasekmės yra galiojančios bankroto procese. </w:t>
      </w:r>
      <w:r w:rsidR="00FE1CAA" w:rsidRPr="00A91E83">
        <w:rPr>
          <w:rFonts w:ascii="Times New Roman" w:hAnsi="Times New Roman" w:cs="Times New Roman"/>
          <w:sz w:val="24"/>
          <w:szCs w:val="24"/>
        </w:rPr>
        <w:t>Taigi ISDA vienos sutarties koncepcija sukuria užskaitos novacijos būdu efektą.</w:t>
      </w:r>
      <w:r w:rsidR="00FE1CAA" w:rsidRPr="00A91E83">
        <w:rPr>
          <w:rStyle w:val="Puslapioinaosnuoroda"/>
          <w:rFonts w:ascii="Times New Roman" w:hAnsi="Times New Roman" w:cs="Times New Roman"/>
          <w:sz w:val="24"/>
          <w:szCs w:val="24"/>
        </w:rPr>
        <w:footnoteReference w:id="144"/>
      </w:r>
      <w:r w:rsidR="00FE1CAA" w:rsidRPr="00A91E83">
        <w:rPr>
          <w:rFonts w:ascii="Times New Roman" w:hAnsi="Times New Roman" w:cs="Times New Roman"/>
          <w:sz w:val="24"/>
          <w:szCs w:val="24"/>
        </w:rPr>
        <w:t xml:space="preserve"> Visi atskirai sudaryti sandoriai naudojant Patvirtinimus yra sujungiami su prieš tai sudarytais sandoriais, remiantis vienos sutarties są</w:t>
      </w:r>
      <w:r w:rsidR="00CD1862" w:rsidRPr="00A91E83">
        <w:rPr>
          <w:rFonts w:ascii="Times New Roman" w:hAnsi="Times New Roman" w:cs="Times New Roman"/>
          <w:sz w:val="24"/>
          <w:szCs w:val="24"/>
        </w:rPr>
        <w:t>lyga (novacijos sąlyga) numatyta</w:t>
      </w:r>
      <w:r w:rsidR="00FE1CAA" w:rsidRPr="00A91E83">
        <w:rPr>
          <w:rFonts w:ascii="Times New Roman" w:hAnsi="Times New Roman" w:cs="Times New Roman"/>
          <w:sz w:val="24"/>
          <w:szCs w:val="24"/>
        </w:rPr>
        <w:t xml:space="preserve"> Pagrindiniame </w:t>
      </w:r>
      <w:r w:rsidR="000702EC" w:rsidRPr="00A91E83">
        <w:rPr>
          <w:rFonts w:ascii="Times New Roman" w:hAnsi="Times New Roman" w:cs="Times New Roman"/>
          <w:sz w:val="24"/>
          <w:szCs w:val="24"/>
        </w:rPr>
        <w:t>s</w:t>
      </w:r>
      <w:r w:rsidR="00FE1CAA" w:rsidRPr="00A91E83">
        <w:rPr>
          <w:rFonts w:ascii="Times New Roman" w:hAnsi="Times New Roman" w:cs="Times New Roman"/>
          <w:sz w:val="24"/>
          <w:szCs w:val="24"/>
        </w:rPr>
        <w:t>usitarime.</w:t>
      </w:r>
      <w:r w:rsidR="00FE1CAA" w:rsidRPr="00A91E83">
        <w:rPr>
          <w:rStyle w:val="Puslapioinaosnuoroda"/>
          <w:rFonts w:ascii="Times New Roman" w:hAnsi="Times New Roman" w:cs="Times New Roman"/>
          <w:sz w:val="24"/>
          <w:szCs w:val="24"/>
        </w:rPr>
        <w:footnoteReference w:id="145"/>
      </w:r>
    </w:p>
    <w:p w:rsidR="00CC3446" w:rsidRPr="00A91E83" w:rsidRDefault="00A963D0"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Dėl aukščiau minėtų priežasčių d</w:t>
      </w:r>
      <w:r w:rsidR="00CC3446" w:rsidRPr="00A91E83">
        <w:rPr>
          <w:rFonts w:ascii="Times New Roman" w:hAnsi="Times New Roman" w:cs="Times New Roman"/>
          <w:sz w:val="24"/>
          <w:szCs w:val="24"/>
        </w:rPr>
        <w:t xml:space="preserve">augelis </w:t>
      </w:r>
      <w:r w:rsidR="00EF5B10" w:rsidRPr="00A91E83">
        <w:rPr>
          <w:rFonts w:ascii="Times New Roman" w:hAnsi="Times New Roman" w:cs="Times New Roman"/>
          <w:sz w:val="24"/>
          <w:szCs w:val="24"/>
        </w:rPr>
        <w:t>P</w:t>
      </w:r>
      <w:r w:rsidRPr="00A91E83">
        <w:rPr>
          <w:rFonts w:ascii="Times New Roman" w:hAnsi="Times New Roman" w:cs="Times New Roman"/>
          <w:sz w:val="24"/>
          <w:szCs w:val="24"/>
        </w:rPr>
        <w:t>atvirtinimų nustatys</w:t>
      </w:r>
      <w:r w:rsidR="00CC3446" w:rsidRPr="00A91E83">
        <w:rPr>
          <w:rFonts w:ascii="Times New Roman" w:hAnsi="Times New Roman" w:cs="Times New Roman"/>
          <w:sz w:val="24"/>
          <w:szCs w:val="24"/>
        </w:rPr>
        <w:t xml:space="preserve">, jog </w:t>
      </w:r>
      <w:r w:rsidR="00D801FD" w:rsidRPr="00A91E83">
        <w:rPr>
          <w:rFonts w:ascii="Times New Roman" w:hAnsi="Times New Roman" w:cs="Times New Roman"/>
          <w:sz w:val="24"/>
          <w:szCs w:val="24"/>
        </w:rPr>
        <w:t>jie yra laiko</w:t>
      </w:r>
      <w:r w:rsidR="006974FC" w:rsidRPr="00A91E83">
        <w:rPr>
          <w:rFonts w:ascii="Times New Roman" w:hAnsi="Times New Roman" w:cs="Times New Roman"/>
          <w:sz w:val="24"/>
          <w:szCs w:val="24"/>
        </w:rPr>
        <w:t>mi Pagrindinio susitarimo ir kitų iki to laiko sudarytų sandorių dalimi.</w:t>
      </w:r>
      <w:r w:rsidR="00CC3446" w:rsidRPr="00A91E83">
        <w:rPr>
          <w:rFonts w:ascii="Times New Roman" w:hAnsi="Times New Roman" w:cs="Times New Roman"/>
          <w:sz w:val="24"/>
          <w:szCs w:val="24"/>
        </w:rPr>
        <w:t xml:space="preserve"> Jeigu tokio</w:t>
      </w:r>
      <w:r w:rsidR="006974FC" w:rsidRPr="00A91E83">
        <w:rPr>
          <w:rFonts w:ascii="Times New Roman" w:hAnsi="Times New Roman" w:cs="Times New Roman"/>
          <w:sz w:val="24"/>
          <w:szCs w:val="24"/>
        </w:rPr>
        <w:t xml:space="preserve">s intencijos šalys </w:t>
      </w:r>
      <w:r w:rsidR="006C023A" w:rsidRPr="00A91E83">
        <w:rPr>
          <w:rFonts w:ascii="Times New Roman" w:hAnsi="Times New Roman" w:cs="Times New Roman"/>
          <w:sz w:val="24"/>
          <w:szCs w:val="24"/>
        </w:rPr>
        <w:t>neįtvirtina</w:t>
      </w:r>
      <w:r w:rsidR="00CC3446" w:rsidRPr="00A91E83">
        <w:rPr>
          <w:rFonts w:ascii="Times New Roman" w:hAnsi="Times New Roman" w:cs="Times New Roman"/>
          <w:sz w:val="24"/>
          <w:szCs w:val="24"/>
        </w:rPr>
        <w:t xml:space="preserve">, tai turi būti atsižvelgiama į </w:t>
      </w:r>
      <w:r w:rsidR="006974FC" w:rsidRPr="00A91E83">
        <w:rPr>
          <w:rFonts w:ascii="Times New Roman" w:hAnsi="Times New Roman" w:cs="Times New Roman"/>
          <w:sz w:val="24"/>
          <w:szCs w:val="24"/>
        </w:rPr>
        <w:t xml:space="preserve">tikruosius </w:t>
      </w:r>
      <w:r w:rsidR="00CC3446" w:rsidRPr="00A91E83">
        <w:rPr>
          <w:rFonts w:ascii="Times New Roman" w:hAnsi="Times New Roman" w:cs="Times New Roman"/>
          <w:sz w:val="24"/>
          <w:szCs w:val="24"/>
        </w:rPr>
        <w:t>šalių ketinim</w:t>
      </w:r>
      <w:r w:rsidR="00A04C42" w:rsidRPr="00A91E83">
        <w:rPr>
          <w:rFonts w:ascii="Times New Roman" w:hAnsi="Times New Roman" w:cs="Times New Roman"/>
          <w:sz w:val="24"/>
          <w:szCs w:val="24"/>
        </w:rPr>
        <w:t>us, ar vis dėlto šalys to siekė, nes novacijos būtina sąlyga yra šalių ketinimai pakeisti priminę prievolę</w:t>
      </w:r>
      <w:r w:rsidR="009873DE" w:rsidRPr="00A91E83">
        <w:rPr>
          <w:rFonts w:ascii="Times New Roman" w:hAnsi="Times New Roman" w:cs="Times New Roman"/>
          <w:sz w:val="24"/>
          <w:szCs w:val="24"/>
        </w:rPr>
        <w:t>,</w:t>
      </w:r>
      <w:r w:rsidR="00A04C42" w:rsidRPr="00A91E83">
        <w:rPr>
          <w:rFonts w:ascii="Times New Roman" w:hAnsi="Times New Roman" w:cs="Times New Roman"/>
          <w:sz w:val="24"/>
          <w:szCs w:val="24"/>
        </w:rPr>
        <w:t xml:space="preserve"> sudarant naują.</w:t>
      </w:r>
      <w:r w:rsidR="00CC3446" w:rsidRPr="00A91E83">
        <w:rPr>
          <w:rFonts w:ascii="Times New Roman" w:hAnsi="Times New Roman" w:cs="Times New Roman"/>
          <w:sz w:val="24"/>
          <w:szCs w:val="24"/>
        </w:rPr>
        <w:t xml:space="preserve"> </w:t>
      </w:r>
      <w:r w:rsidR="00EF5B10" w:rsidRPr="00A91E83">
        <w:rPr>
          <w:rFonts w:ascii="Times New Roman" w:hAnsi="Times New Roman" w:cs="Times New Roman"/>
          <w:sz w:val="24"/>
          <w:szCs w:val="24"/>
        </w:rPr>
        <w:t>P</w:t>
      </w:r>
      <w:r w:rsidR="00AA5E31" w:rsidRPr="00A91E83">
        <w:rPr>
          <w:rFonts w:ascii="Times New Roman" w:hAnsi="Times New Roman" w:cs="Times New Roman"/>
          <w:sz w:val="24"/>
          <w:szCs w:val="24"/>
        </w:rPr>
        <w:t>agrindinis susitarimas</w:t>
      </w:r>
      <w:r w:rsidR="00CC3446" w:rsidRPr="00A91E83">
        <w:rPr>
          <w:rFonts w:ascii="Times New Roman" w:hAnsi="Times New Roman" w:cs="Times New Roman"/>
          <w:sz w:val="24"/>
          <w:szCs w:val="24"/>
        </w:rPr>
        <w:t xml:space="preserve"> neįtraukia standartinės sąlygos, kad visi sandoriai tarp šalių turi būti</w:t>
      </w:r>
      <w:r w:rsidR="00AA5E31" w:rsidRPr="00A91E83">
        <w:rPr>
          <w:rFonts w:ascii="Times New Roman" w:hAnsi="Times New Roman" w:cs="Times New Roman"/>
          <w:sz w:val="24"/>
          <w:szCs w:val="24"/>
        </w:rPr>
        <w:t xml:space="preserve"> laikomi viena ISDA Sutartimi</w:t>
      </w:r>
      <w:r w:rsidRPr="00A91E83">
        <w:rPr>
          <w:rFonts w:ascii="Times New Roman" w:hAnsi="Times New Roman" w:cs="Times New Roman"/>
          <w:sz w:val="24"/>
          <w:szCs w:val="24"/>
        </w:rPr>
        <w:t xml:space="preserve"> automatiškai, nes yra labai daug atvejų</w:t>
      </w:r>
      <w:r w:rsidR="00CC3446" w:rsidRPr="00A91E83">
        <w:rPr>
          <w:rFonts w:ascii="Times New Roman" w:hAnsi="Times New Roman" w:cs="Times New Roman"/>
          <w:sz w:val="24"/>
          <w:szCs w:val="24"/>
        </w:rPr>
        <w:t>, kai šalys specialiai siekia, kad būtų sudaroma atskiras susitarimas neturintis įtakos</w:t>
      </w:r>
      <w:r w:rsidR="00D801FD" w:rsidRPr="00A91E83">
        <w:rPr>
          <w:rFonts w:ascii="Times New Roman" w:hAnsi="Times New Roman" w:cs="Times New Roman"/>
          <w:sz w:val="24"/>
          <w:szCs w:val="24"/>
        </w:rPr>
        <w:t xml:space="preserve"> šalių</w:t>
      </w:r>
      <w:r w:rsidR="00CC3446" w:rsidRPr="00A91E83">
        <w:rPr>
          <w:rFonts w:ascii="Times New Roman" w:hAnsi="Times New Roman" w:cs="Times New Roman"/>
          <w:sz w:val="24"/>
          <w:szCs w:val="24"/>
        </w:rPr>
        <w:t xml:space="preserve"> iki to laiko susiformav</w:t>
      </w:r>
      <w:r w:rsidR="00D801FD" w:rsidRPr="00A91E83">
        <w:rPr>
          <w:rFonts w:ascii="Times New Roman" w:hAnsi="Times New Roman" w:cs="Times New Roman"/>
          <w:sz w:val="24"/>
          <w:szCs w:val="24"/>
        </w:rPr>
        <w:t>usiems santykiams</w:t>
      </w:r>
      <w:r w:rsidR="00CC3446" w:rsidRPr="00A91E83">
        <w:rPr>
          <w:rFonts w:ascii="Times New Roman" w:hAnsi="Times New Roman" w:cs="Times New Roman"/>
          <w:sz w:val="24"/>
          <w:szCs w:val="24"/>
        </w:rPr>
        <w:t xml:space="preserve">. </w:t>
      </w:r>
      <w:r w:rsidR="00AA5E31" w:rsidRPr="00A91E83">
        <w:rPr>
          <w:rFonts w:ascii="Times New Roman" w:hAnsi="Times New Roman" w:cs="Times New Roman"/>
          <w:sz w:val="24"/>
          <w:szCs w:val="24"/>
        </w:rPr>
        <w:t>Tokia struktūra leidžia laisvai šalims</w:t>
      </w:r>
      <w:r w:rsidR="00CC3446" w:rsidRPr="00A91E83">
        <w:rPr>
          <w:rFonts w:ascii="Times New Roman" w:hAnsi="Times New Roman" w:cs="Times New Roman"/>
          <w:sz w:val="24"/>
          <w:szCs w:val="24"/>
        </w:rPr>
        <w:t xml:space="preserve"> nustatyti, kad sudarius tam tikrą </w:t>
      </w:r>
      <w:r w:rsidR="00AA5E31" w:rsidRPr="00A91E83">
        <w:rPr>
          <w:rFonts w:ascii="Times New Roman" w:hAnsi="Times New Roman" w:cs="Times New Roman"/>
          <w:sz w:val="24"/>
          <w:szCs w:val="24"/>
        </w:rPr>
        <w:t>sandorį</w:t>
      </w:r>
      <w:r w:rsidR="00CC3446" w:rsidRPr="00A91E83">
        <w:rPr>
          <w:rFonts w:ascii="Times New Roman" w:hAnsi="Times New Roman" w:cs="Times New Roman"/>
          <w:sz w:val="24"/>
          <w:szCs w:val="24"/>
        </w:rPr>
        <w:t xml:space="preserve">, visos iki to laiko sudarytos sutartys pateks </w:t>
      </w:r>
      <w:r w:rsidRPr="00A91E83">
        <w:rPr>
          <w:rFonts w:ascii="Times New Roman" w:hAnsi="Times New Roman" w:cs="Times New Roman"/>
          <w:sz w:val="24"/>
          <w:szCs w:val="24"/>
        </w:rPr>
        <w:t xml:space="preserve">ar nepateks </w:t>
      </w:r>
      <w:r w:rsidR="00CC3446" w:rsidRPr="00A91E83">
        <w:rPr>
          <w:rFonts w:ascii="Times New Roman" w:hAnsi="Times New Roman" w:cs="Times New Roman"/>
          <w:sz w:val="24"/>
          <w:szCs w:val="24"/>
        </w:rPr>
        <w:t>į ISDA Sutartį.</w:t>
      </w:r>
      <w:r w:rsidR="00C1633C" w:rsidRPr="00A91E83">
        <w:rPr>
          <w:rFonts w:ascii="Times New Roman" w:hAnsi="Times New Roman" w:cs="Times New Roman"/>
          <w:sz w:val="24"/>
          <w:szCs w:val="24"/>
        </w:rPr>
        <w:t xml:space="preserve"> Taip pat prie ISDA Sutarties vienos koncepcijos prisideda ir prievolių įv</w:t>
      </w:r>
      <w:r w:rsidR="00BD1F3F" w:rsidRPr="00A91E83">
        <w:rPr>
          <w:rFonts w:ascii="Times New Roman" w:hAnsi="Times New Roman" w:cs="Times New Roman"/>
          <w:sz w:val="24"/>
          <w:szCs w:val="24"/>
        </w:rPr>
        <w:t>ykdymo užtikrinimo priedas</w:t>
      </w:r>
      <w:r w:rsidR="004B7C70" w:rsidRPr="00A91E83">
        <w:rPr>
          <w:rFonts w:ascii="Times New Roman" w:hAnsi="Times New Roman" w:cs="Times New Roman"/>
          <w:sz w:val="24"/>
          <w:szCs w:val="24"/>
        </w:rPr>
        <w:t>, kuris turi Patvirtinimo statusą ISDA kontekste.</w:t>
      </w:r>
    </w:p>
    <w:p w:rsidR="0052764C" w:rsidRPr="00A91E83" w:rsidRDefault="0052764C" w:rsidP="00B46A53">
      <w:pPr>
        <w:tabs>
          <w:tab w:val="left" w:pos="851"/>
        </w:tabs>
        <w:spacing w:after="0" w:line="360" w:lineRule="auto"/>
        <w:ind w:firstLine="851"/>
        <w:jc w:val="both"/>
        <w:rPr>
          <w:rFonts w:ascii="Times New Roman" w:hAnsi="Times New Roman" w:cs="Times New Roman"/>
          <w:sz w:val="24"/>
          <w:szCs w:val="24"/>
        </w:rPr>
      </w:pPr>
    </w:p>
    <w:p w:rsidR="00CC3446" w:rsidRPr="00A91E83" w:rsidRDefault="003F079C" w:rsidP="00DF5E36">
      <w:pPr>
        <w:pStyle w:val="Sraopastraipa"/>
        <w:numPr>
          <w:ilvl w:val="3"/>
          <w:numId w:val="4"/>
        </w:numPr>
        <w:tabs>
          <w:tab w:val="left" w:pos="851"/>
        </w:tabs>
        <w:spacing w:after="0" w:line="360" w:lineRule="auto"/>
        <w:ind w:left="0" w:firstLine="0"/>
        <w:jc w:val="both"/>
        <w:outlineLvl w:val="3"/>
        <w:rPr>
          <w:rFonts w:ascii="Times New Roman" w:hAnsi="Times New Roman" w:cs="Times New Roman"/>
          <w:b/>
          <w:sz w:val="24"/>
          <w:szCs w:val="24"/>
        </w:rPr>
      </w:pPr>
      <w:r w:rsidRPr="00A91E83">
        <w:rPr>
          <w:rFonts w:ascii="Times New Roman" w:hAnsi="Times New Roman" w:cs="Times New Roman"/>
          <w:b/>
          <w:sz w:val="24"/>
          <w:szCs w:val="24"/>
        </w:rPr>
        <w:t>Mokėjimo</w:t>
      </w:r>
      <w:r w:rsidR="0052764C" w:rsidRPr="00A91E83">
        <w:rPr>
          <w:rFonts w:ascii="Times New Roman" w:hAnsi="Times New Roman" w:cs="Times New Roman"/>
          <w:b/>
          <w:sz w:val="24"/>
          <w:szCs w:val="24"/>
        </w:rPr>
        <w:t xml:space="preserve"> užskaitos sąlyga</w:t>
      </w:r>
    </w:p>
    <w:p w:rsidR="0052764C" w:rsidRPr="00A91E83" w:rsidRDefault="0052764C" w:rsidP="00B46A53">
      <w:pPr>
        <w:tabs>
          <w:tab w:val="left" w:pos="851"/>
        </w:tabs>
        <w:spacing w:after="0" w:line="360" w:lineRule="auto"/>
        <w:ind w:firstLine="851"/>
        <w:jc w:val="both"/>
        <w:rPr>
          <w:rFonts w:ascii="Times New Roman" w:hAnsi="Times New Roman" w:cs="Times New Roman"/>
          <w:sz w:val="24"/>
          <w:szCs w:val="24"/>
        </w:rPr>
      </w:pPr>
    </w:p>
    <w:p w:rsidR="000B3B3C" w:rsidRPr="00A91E83" w:rsidRDefault="00BD1F3F"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P</w:t>
      </w:r>
      <w:r w:rsidR="00FE534A" w:rsidRPr="00A91E83">
        <w:rPr>
          <w:rFonts w:ascii="Times New Roman" w:hAnsi="Times New Roman" w:cs="Times New Roman"/>
          <w:sz w:val="24"/>
          <w:szCs w:val="24"/>
        </w:rPr>
        <w:t xml:space="preserve">agrindinis susitarimas suteikia šalims galimybę </w:t>
      </w:r>
      <w:r w:rsidR="00B32C75" w:rsidRPr="00A91E83">
        <w:rPr>
          <w:rFonts w:ascii="Times New Roman" w:hAnsi="Times New Roman" w:cs="Times New Roman"/>
          <w:sz w:val="24"/>
          <w:szCs w:val="24"/>
        </w:rPr>
        <w:t>pasinaudoti užskaitymu,</w:t>
      </w:r>
      <w:r w:rsidR="007131DD" w:rsidRPr="00A91E83">
        <w:rPr>
          <w:rFonts w:ascii="Times New Roman" w:hAnsi="Times New Roman" w:cs="Times New Roman"/>
          <w:sz w:val="24"/>
          <w:szCs w:val="24"/>
        </w:rPr>
        <w:t xml:space="preserve"> </w:t>
      </w:r>
      <w:r w:rsidR="00FE534A" w:rsidRPr="00A91E83">
        <w:rPr>
          <w:rFonts w:ascii="Times New Roman" w:hAnsi="Times New Roman" w:cs="Times New Roman"/>
          <w:sz w:val="24"/>
          <w:szCs w:val="24"/>
        </w:rPr>
        <w:t>kai šalys yra mokios ir kai nemokios</w:t>
      </w:r>
      <w:r w:rsidR="00BB5833" w:rsidRPr="00A91E83">
        <w:rPr>
          <w:rFonts w:ascii="Times New Roman" w:hAnsi="Times New Roman" w:cs="Times New Roman"/>
          <w:sz w:val="24"/>
          <w:szCs w:val="24"/>
        </w:rPr>
        <w:t>,</w:t>
      </w:r>
      <w:r w:rsidR="002C5A05" w:rsidRPr="00A91E83">
        <w:rPr>
          <w:rFonts w:ascii="Times New Roman" w:hAnsi="Times New Roman" w:cs="Times New Roman"/>
          <w:sz w:val="24"/>
          <w:szCs w:val="24"/>
        </w:rPr>
        <w:t xml:space="preserve"> sandorių dėl išvestinių finansinių priemonių atžvilgiu</w:t>
      </w:r>
      <w:r w:rsidR="00FE534A" w:rsidRPr="00A91E83">
        <w:rPr>
          <w:rFonts w:ascii="Times New Roman" w:hAnsi="Times New Roman" w:cs="Times New Roman"/>
          <w:sz w:val="24"/>
          <w:szCs w:val="24"/>
        </w:rPr>
        <w:t xml:space="preserve">. </w:t>
      </w:r>
      <w:r w:rsidR="007131DD" w:rsidRPr="00A91E83">
        <w:rPr>
          <w:rFonts w:ascii="Times New Roman" w:hAnsi="Times New Roman" w:cs="Times New Roman"/>
          <w:sz w:val="24"/>
          <w:szCs w:val="24"/>
        </w:rPr>
        <w:t xml:space="preserve">Mokėjimo užskaitos sąlyga dažniausiai aktyvuojama, kai bendrovės yra mokios. </w:t>
      </w:r>
      <w:r w:rsidR="00182A29" w:rsidRPr="00A91E83">
        <w:rPr>
          <w:rFonts w:ascii="Times New Roman" w:hAnsi="Times New Roman" w:cs="Times New Roman"/>
          <w:sz w:val="24"/>
          <w:szCs w:val="24"/>
        </w:rPr>
        <w:t>ISDA numato galimybę, kad jeigu tą pačią dieną, ta pačia valiuta pagal sudarytą sandorį</w:t>
      </w:r>
      <w:r w:rsidR="00043171" w:rsidRPr="00A91E83">
        <w:rPr>
          <w:rFonts w:ascii="Times New Roman" w:hAnsi="Times New Roman" w:cs="Times New Roman"/>
          <w:sz w:val="24"/>
          <w:szCs w:val="24"/>
        </w:rPr>
        <w:t>,</w:t>
      </w:r>
      <w:r w:rsidR="00182A29" w:rsidRPr="00A91E83">
        <w:rPr>
          <w:rFonts w:ascii="Times New Roman" w:hAnsi="Times New Roman" w:cs="Times New Roman"/>
          <w:sz w:val="24"/>
          <w:szCs w:val="24"/>
        </w:rPr>
        <w:t xml:space="preserve"> tarp </w:t>
      </w:r>
      <w:r w:rsidR="00B32C75" w:rsidRPr="00A91E83">
        <w:rPr>
          <w:rFonts w:ascii="Times New Roman" w:hAnsi="Times New Roman" w:cs="Times New Roman"/>
          <w:sz w:val="24"/>
          <w:szCs w:val="24"/>
        </w:rPr>
        <w:t xml:space="preserve">tų pačių </w:t>
      </w:r>
      <w:r w:rsidR="00182A29" w:rsidRPr="00A91E83">
        <w:rPr>
          <w:rFonts w:ascii="Times New Roman" w:hAnsi="Times New Roman" w:cs="Times New Roman"/>
          <w:sz w:val="24"/>
          <w:szCs w:val="24"/>
        </w:rPr>
        <w:t>šalių kyla įsipareigojimai sumokėti tam tikras sumas, tai mokės tik ta šalis, kurios įsipareigojimai viršys kitos šalies mokėtiną sumą.</w:t>
      </w:r>
      <w:r w:rsidR="000E74AF" w:rsidRPr="00A91E83">
        <w:rPr>
          <w:rStyle w:val="Puslapioinaosnuoroda"/>
          <w:rFonts w:ascii="Times New Roman" w:hAnsi="Times New Roman" w:cs="Times New Roman"/>
          <w:sz w:val="24"/>
          <w:szCs w:val="24"/>
        </w:rPr>
        <w:footnoteReference w:id="146"/>
      </w:r>
      <w:r w:rsidR="00182A29" w:rsidRPr="00A91E83">
        <w:rPr>
          <w:rFonts w:ascii="Times New Roman" w:hAnsi="Times New Roman" w:cs="Times New Roman"/>
          <w:sz w:val="24"/>
          <w:szCs w:val="24"/>
        </w:rPr>
        <w:t xml:space="preserve"> </w:t>
      </w:r>
      <w:r w:rsidR="008A2085" w:rsidRPr="00A91E83">
        <w:rPr>
          <w:rFonts w:ascii="Times New Roman" w:hAnsi="Times New Roman" w:cs="Times New Roman"/>
          <w:sz w:val="24"/>
          <w:szCs w:val="24"/>
        </w:rPr>
        <w:t>Efektas toks, jog apmokėjimas vykdomas tik vienos iš šalies ir</w:t>
      </w:r>
      <w:r w:rsidR="00182A29" w:rsidRPr="00A91E83">
        <w:rPr>
          <w:rFonts w:ascii="Times New Roman" w:hAnsi="Times New Roman" w:cs="Times New Roman"/>
          <w:sz w:val="24"/>
          <w:szCs w:val="24"/>
        </w:rPr>
        <w:t xml:space="preserve"> tik </w:t>
      </w:r>
      <w:r w:rsidR="003A6805" w:rsidRPr="00A91E83">
        <w:rPr>
          <w:rFonts w:ascii="Times New Roman" w:hAnsi="Times New Roman" w:cs="Times New Roman"/>
          <w:sz w:val="24"/>
          <w:szCs w:val="24"/>
        </w:rPr>
        <w:t xml:space="preserve">įsipareigojimų </w:t>
      </w:r>
      <w:r w:rsidR="00182A29" w:rsidRPr="00A91E83">
        <w:rPr>
          <w:rFonts w:ascii="Times New Roman" w:hAnsi="Times New Roman" w:cs="Times New Roman"/>
          <w:sz w:val="24"/>
          <w:szCs w:val="24"/>
        </w:rPr>
        <w:t xml:space="preserve">perviršio, o ne bendros įsipareigojimų sumos. </w:t>
      </w:r>
      <w:r w:rsidR="008707F8" w:rsidRPr="00A91E83">
        <w:rPr>
          <w:rFonts w:ascii="Times New Roman" w:hAnsi="Times New Roman" w:cs="Times New Roman"/>
          <w:sz w:val="24"/>
          <w:szCs w:val="24"/>
        </w:rPr>
        <w:t xml:space="preserve">Taip pat šalys Priede gali numatyti kokioms sutartims sudarytoms tarp šalių </w:t>
      </w:r>
      <w:r w:rsidR="002D5949" w:rsidRPr="00A91E83">
        <w:rPr>
          <w:rFonts w:ascii="Times New Roman" w:hAnsi="Times New Roman" w:cs="Times New Roman"/>
          <w:sz w:val="24"/>
          <w:szCs w:val="24"/>
        </w:rPr>
        <w:t>ši užskaitos rūšis bus taikoma.</w:t>
      </w:r>
      <w:r w:rsidR="008707F8" w:rsidRPr="00A91E83">
        <w:rPr>
          <w:rFonts w:ascii="Times New Roman" w:hAnsi="Times New Roman" w:cs="Times New Roman"/>
          <w:sz w:val="24"/>
          <w:szCs w:val="24"/>
        </w:rPr>
        <w:t xml:space="preserve"> </w:t>
      </w:r>
      <w:r w:rsidR="002D5949" w:rsidRPr="00A91E83">
        <w:rPr>
          <w:rFonts w:ascii="Times New Roman" w:hAnsi="Times New Roman" w:cs="Times New Roman"/>
          <w:sz w:val="24"/>
          <w:szCs w:val="24"/>
        </w:rPr>
        <w:t>Š</w:t>
      </w:r>
      <w:r w:rsidR="008707F8" w:rsidRPr="00A91E83">
        <w:rPr>
          <w:rFonts w:ascii="Times New Roman" w:hAnsi="Times New Roman" w:cs="Times New Roman"/>
          <w:sz w:val="24"/>
          <w:szCs w:val="24"/>
        </w:rPr>
        <w:t xml:space="preserve">alys gali numatyti, jog bus taikomas tik tam tikrai grupei sutarčių, </w:t>
      </w:r>
      <w:proofErr w:type="spellStart"/>
      <w:r w:rsidR="008707F8" w:rsidRPr="00A91E83">
        <w:rPr>
          <w:rFonts w:ascii="Times New Roman" w:hAnsi="Times New Roman" w:cs="Times New Roman"/>
          <w:sz w:val="24"/>
          <w:szCs w:val="24"/>
        </w:rPr>
        <w:t>pvz</w:t>
      </w:r>
      <w:proofErr w:type="spellEnd"/>
      <w:r w:rsidR="008707F8" w:rsidRPr="00A91E83">
        <w:rPr>
          <w:rFonts w:ascii="Times New Roman" w:hAnsi="Times New Roman" w:cs="Times New Roman"/>
          <w:sz w:val="24"/>
          <w:szCs w:val="24"/>
        </w:rPr>
        <w:t>.: palūkanų normų apsikeitimo sandoriams, ar visiems sudarytiems sandoriams tarp šalių, ar tik sandoriams, kurie sudaryti nuo tam tikros datos.</w:t>
      </w:r>
      <w:r w:rsidR="008707F8" w:rsidRPr="00A91E83">
        <w:rPr>
          <w:rStyle w:val="Puslapioinaosnuoroda"/>
          <w:rFonts w:ascii="Times New Roman" w:hAnsi="Times New Roman" w:cs="Times New Roman"/>
          <w:sz w:val="24"/>
          <w:szCs w:val="24"/>
        </w:rPr>
        <w:footnoteReference w:id="147"/>
      </w:r>
      <w:r w:rsidR="008707F8" w:rsidRPr="00A91E83">
        <w:rPr>
          <w:rFonts w:ascii="Times New Roman" w:hAnsi="Times New Roman" w:cs="Times New Roman"/>
          <w:sz w:val="24"/>
          <w:szCs w:val="24"/>
        </w:rPr>
        <w:t xml:space="preserve"> Taigi tai vienas iš būdų</w:t>
      </w:r>
      <w:r w:rsidR="00B16792" w:rsidRPr="00A91E83">
        <w:rPr>
          <w:rFonts w:ascii="Times New Roman" w:hAnsi="Times New Roman" w:cs="Times New Roman"/>
          <w:sz w:val="24"/>
          <w:szCs w:val="24"/>
        </w:rPr>
        <w:t>,</w:t>
      </w:r>
      <w:r w:rsidR="008707F8" w:rsidRPr="00A91E83">
        <w:rPr>
          <w:rFonts w:ascii="Times New Roman" w:hAnsi="Times New Roman" w:cs="Times New Roman"/>
          <w:sz w:val="24"/>
          <w:szCs w:val="24"/>
        </w:rPr>
        <w:t xml:space="preserve"> kaip pasinaudojant </w:t>
      </w:r>
      <w:r w:rsidR="003A6805" w:rsidRPr="00A91E83">
        <w:rPr>
          <w:rFonts w:ascii="Times New Roman" w:hAnsi="Times New Roman" w:cs="Times New Roman"/>
          <w:sz w:val="24"/>
          <w:szCs w:val="24"/>
        </w:rPr>
        <w:t xml:space="preserve">ISDA </w:t>
      </w:r>
      <w:r w:rsidR="008707F8" w:rsidRPr="00A91E83">
        <w:rPr>
          <w:rFonts w:ascii="Times New Roman" w:hAnsi="Times New Roman" w:cs="Times New Roman"/>
          <w:sz w:val="24"/>
          <w:szCs w:val="24"/>
        </w:rPr>
        <w:t>vienos sutarties koncepcija</w:t>
      </w:r>
      <w:r w:rsidR="00B16792" w:rsidRPr="00A91E83">
        <w:rPr>
          <w:rFonts w:ascii="Times New Roman" w:hAnsi="Times New Roman" w:cs="Times New Roman"/>
          <w:sz w:val="24"/>
          <w:szCs w:val="24"/>
        </w:rPr>
        <w:t>,</w:t>
      </w:r>
      <w:r w:rsidR="008707F8" w:rsidRPr="00A91E83">
        <w:rPr>
          <w:rFonts w:ascii="Times New Roman" w:hAnsi="Times New Roman" w:cs="Times New Roman"/>
          <w:sz w:val="24"/>
          <w:szCs w:val="24"/>
        </w:rPr>
        <w:t xml:space="preserve"> </w:t>
      </w:r>
      <w:r w:rsidR="003A6805" w:rsidRPr="00A91E83">
        <w:rPr>
          <w:rFonts w:ascii="Times New Roman" w:hAnsi="Times New Roman" w:cs="Times New Roman"/>
          <w:sz w:val="24"/>
          <w:szCs w:val="24"/>
        </w:rPr>
        <w:t>viena mokėjimo užskaitos sąlyga</w:t>
      </w:r>
      <w:r w:rsidR="00B16792" w:rsidRPr="00A91E83">
        <w:rPr>
          <w:rFonts w:ascii="Times New Roman" w:hAnsi="Times New Roman" w:cs="Times New Roman"/>
          <w:sz w:val="24"/>
          <w:szCs w:val="24"/>
        </w:rPr>
        <w:t>,</w:t>
      </w:r>
      <w:r w:rsidR="003A6805" w:rsidRPr="00A91E83">
        <w:rPr>
          <w:rFonts w:ascii="Times New Roman" w:hAnsi="Times New Roman" w:cs="Times New Roman"/>
          <w:sz w:val="24"/>
          <w:szCs w:val="24"/>
        </w:rPr>
        <w:t xml:space="preserve"> numatyta Pagrindiniame susitarime leidžia taikyti mokėjimo užskaitos mechanizmą</w:t>
      </w:r>
      <w:r w:rsidR="00B16792" w:rsidRPr="00A91E83">
        <w:rPr>
          <w:rFonts w:ascii="Times New Roman" w:hAnsi="Times New Roman" w:cs="Times New Roman"/>
          <w:sz w:val="24"/>
          <w:szCs w:val="24"/>
        </w:rPr>
        <w:t>,</w:t>
      </w:r>
      <w:r w:rsidR="003A6805" w:rsidRPr="00A91E83">
        <w:rPr>
          <w:rFonts w:ascii="Times New Roman" w:hAnsi="Times New Roman" w:cs="Times New Roman"/>
          <w:sz w:val="24"/>
          <w:szCs w:val="24"/>
        </w:rPr>
        <w:t xml:space="preserve"> visų tarp šalių sudarytų sa</w:t>
      </w:r>
      <w:r w:rsidR="008707F8" w:rsidRPr="00A91E83">
        <w:rPr>
          <w:rFonts w:ascii="Times New Roman" w:hAnsi="Times New Roman" w:cs="Times New Roman"/>
          <w:sz w:val="24"/>
          <w:szCs w:val="24"/>
        </w:rPr>
        <w:t xml:space="preserve">ndorių </w:t>
      </w:r>
      <w:r w:rsidR="003A6805" w:rsidRPr="00A91E83">
        <w:rPr>
          <w:rFonts w:ascii="Times New Roman" w:hAnsi="Times New Roman" w:cs="Times New Roman"/>
          <w:sz w:val="24"/>
          <w:szCs w:val="24"/>
        </w:rPr>
        <w:t xml:space="preserve">naudojant Patvirtinimus </w:t>
      </w:r>
      <w:r w:rsidR="008707F8" w:rsidRPr="00A91E83">
        <w:rPr>
          <w:rFonts w:ascii="Times New Roman" w:hAnsi="Times New Roman" w:cs="Times New Roman"/>
          <w:sz w:val="24"/>
          <w:szCs w:val="24"/>
        </w:rPr>
        <w:t xml:space="preserve">atžvilgiu. </w:t>
      </w:r>
      <w:r w:rsidR="00182A29" w:rsidRPr="00A91E83">
        <w:rPr>
          <w:rFonts w:ascii="Times New Roman" w:hAnsi="Times New Roman" w:cs="Times New Roman"/>
          <w:sz w:val="24"/>
          <w:szCs w:val="24"/>
        </w:rPr>
        <w:t>K</w:t>
      </w:r>
      <w:r w:rsidR="007131DD" w:rsidRPr="00A91E83">
        <w:rPr>
          <w:rFonts w:ascii="Times New Roman" w:hAnsi="Times New Roman" w:cs="Times New Roman"/>
          <w:sz w:val="24"/>
          <w:szCs w:val="24"/>
        </w:rPr>
        <w:t xml:space="preserve">aip </w:t>
      </w:r>
      <w:r w:rsidR="007131DD" w:rsidRPr="00A91E83">
        <w:rPr>
          <w:rFonts w:ascii="Times New Roman" w:hAnsi="Times New Roman" w:cs="Times New Roman"/>
          <w:sz w:val="24"/>
          <w:szCs w:val="24"/>
        </w:rPr>
        <w:lastRenderedPageBreak/>
        <w:t>ir aptarta aukščiau, mokėjimo</w:t>
      </w:r>
      <w:r w:rsidR="00FE534A" w:rsidRPr="00A91E83">
        <w:rPr>
          <w:rFonts w:ascii="Times New Roman" w:hAnsi="Times New Roman" w:cs="Times New Roman"/>
          <w:sz w:val="24"/>
          <w:szCs w:val="24"/>
        </w:rPr>
        <w:t xml:space="preserve"> užskaitos sąlyga yra </w:t>
      </w:r>
      <w:r w:rsidR="007104D4" w:rsidRPr="00A91E83">
        <w:rPr>
          <w:rFonts w:ascii="Times New Roman" w:hAnsi="Times New Roman" w:cs="Times New Roman"/>
          <w:sz w:val="24"/>
          <w:szCs w:val="24"/>
        </w:rPr>
        <w:t xml:space="preserve">šalių sutartyje numatytas išankstinis susitarimas dėl įskaitymo, kai ateityje </w:t>
      </w:r>
      <w:r w:rsidR="00FE534A" w:rsidRPr="00A91E83">
        <w:rPr>
          <w:rFonts w:ascii="Times New Roman" w:hAnsi="Times New Roman" w:cs="Times New Roman"/>
          <w:sz w:val="24"/>
          <w:szCs w:val="24"/>
        </w:rPr>
        <w:t>sujungiami pinigų srautų įsipareigojimai tarp šalių nurodytą dieną į vieną mokėtiną ar gautiną sumą.</w:t>
      </w:r>
      <w:r w:rsidR="00FE534A" w:rsidRPr="00A91E83">
        <w:rPr>
          <w:rStyle w:val="Puslapioinaosnuoroda"/>
          <w:rFonts w:ascii="Times New Roman" w:hAnsi="Times New Roman" w:cs="Times New Roman"/>
          <w:sz w:val="24"/>
          <w:szCs w:val="24"/>
        </w:rPr>
        <w:footnoteReference w:id="148"/>
      </w:r>
      <w:r w:rsidR="007131DD" w:rsidRPr="00A91E83">
        <w:rPr>
          <w:rFonts w:ascii="Times New Roman" w:hAnsi="Times New Roman" w:cs="Times New Roman"/>
          <w:sz w:val="24"/>
          <w:szCs w:val="24"/>
        </w:rPr>
        <w:t xml:space="preserve"> </w:t>
      </w:r>
      <w:r w:rsidR="002D4CB0" w:rsidRPr="00A91E83">
        <w:rPr>
          <w:rFonts w:ascii="Times New Roman" w:hAnsi="Times New Roman" w:cs="Times New Roman"/>
          <w:sz w:val="24"/>
          <w:szCs w:val="24"/>
        </w:rPr>
        <w:t xml:space="preserve">Palūkanų normų </w:t>
      </w:r>
      <w:r w:rsidR="007104D4" w:rsidRPr="00A91E83">
        <w:rPr>
          <w:rFonts w:ascii="Times New Roman" w:hAnsi="Times New Roman" w:cs="Times New Roman"/>
          <w:sz w:val="24"/>
          <w:szCs w:val="24"/>
        </w:rPr>
        <w:t xml:space="preserve">apsikeitimo sandorio </w:t>
      </w:r>
      <w:r w:rsidR="002D4CB0" w:rsidRPr="00A91E83">
        <w:rPr>
          <w:rFonts w:ascii="Times New Roman" w:hAnsi="Times New Roman" w:cs="Times New Roman"/>
          <w:sz w:val="24"/>
          <w:szCs w:val="24"/>
        </w:rPr>
        <w:t>atveju</w:t>
      </w:r>
      <w:r w:rsidR="005B3578" w:rsidRPr="00A91E83">
        <w:rPr>
          <w:rFonts w:ascii="Times New Roman" w:hAnsi="Times New Roman" w:cs="Times New Roman"/>
          <w:sz w:val="24"/>
          <w:szCs w:val="24"/>
        </w:rPr>
        <w:t>,</w:t>
      </w:r>
      <w:r w:rsidR="002D4CB0" w:rsidRPr="00A91E83">
        <w:rPr>
          <w:rFonts w:ascii="Times New Roman" w:hAnsi="Times New Roman" w:cs="Times New Roman"/>
          <w:sz w:val="24"/>
          <w:szCs w:val="24"/>
        </w:rPr>
        <w:t xml:space="preserve"> ši mokėjimo rūšis yra labai naudinga, nes atsisk</w:t>
      </w:r>
      <w:r w:rsidR="004065A5" w:rsidRPr="00A91E83">
        <w:rPr>
          <w:rFonts w:ascii="Times New Roman" w:hAnsi="Times New Roman" w:cs="Times New Roman"/>
          <w:sz w:val="24"/>
          <w:szCs w:val="24"/>
        </w:rPr>
        <w:t xml:space="preserve">aitymas </w:t>
      </w:r>
      <w:r w:rsidR="003A6805" w:rsidRPr="00A91E83">
        <w:rPr>
          <w:rFonts w:ascii="Times New Roman" w:hAnsi="Times New Roman" w:cs="Times New Roman"/>
          <w:sz w:val="24"/>
          <w:szCs w:val="24"/>
        </w:rPr>
        <w:t>beveik visada vyksta ta pačia valiuta, ta pač</w:t>
      </w:r>
      <w:r w:rsidR="00896DB4" w:rsidRPr="00A91E83">
        <w:rPr>
          <w:rFonts w:ascii="Times New Roman" w:hAnsi="Times New Roman" w:cs="Times New Roman"/>
          <w:sz w:val="24"/>
          <w:szCs w:val="24"/>
        </w:rPr>
        <w:t>ią dieną ir tarp tų pačių šalių.</w:t>
      </w:r>
    </w:p>
    <w:p w:rsidR="00182A29" w:rsidRPr="00A91E83" w:rsidRDefault="004065A5"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Priešinga situacija susidaro </w:t>
      </w:r>
      <w:r w:rsidR="00085B9A" w:rsidRPr="00A91E83">
        <w:rPr>
          <w:rFonts w:ascii="Times New Roman" w:hAnsi="Times New Roman" w:cs="Times New Roman"/>
          <w:sz w:val="24"/>
          <w:szCs w:val="24"/>
        </w:rPr>
        <w:t xml:space="preserve">užsienio </w:t>
      </w:r>
      <w:r w:rsidRPr="00A91E83">
        <w:rPr>
          <w:rFonts w:ascii="Times New Roman" w:hAnsi="Times New Roman" w:cs="Times New Roman"/>
          <w:sz w:val="24"/>
          <w:szCs w:val="24"/>
        </w:rPr>
        <w:t>val</w:t>
      </w:r>
      <w:r w:rsidR="002D4CB0" w:rsidRPr="00A91E83">
        <w:rPr>
          <w:rFonts w:ascii="Times New Roman" w:hAnsi="Times New Roman" w:cs="Times New Roman"/>
          <w:sz w:val="24"/>
          <w:szCs w:val="24"/>
        </w:rPr>
        <w:t>iutų apsikeitimo sandorio atveju</w:t>
      </w:r>
      <w:r w:rsidR="00085B9A" w:rsidRPr="00A91E83">
        <w:rPr>
          <w:rFonts w:ascii="Times New Roman" w:hAnsi="Times New Roman" w:cs="Times New Roman"/>
          <w:sz w:val="24"/>
          <w:szCs w:val="24"/>
        </w:rPr>
        <w:t>, nes</w:t>
      </w:r>
      <w:r w:rsidR="002D4CB0" w:rsidRPr="00A91E83">
        <w:rPr>
          <w:rFonts w:ascii="Times New Roman" w:hAnsi="Times New Roman" w:cs="Times New Roman"/>
          <w:sz w:val="24"/>
          <w:szCs w:val="24"/>
        </w:rPr>
        <w:t xml:space="preserve"> mokėjimo užska</w:t>
      </w:r>
      <w:r w:rsidR="00085B9A" w:rsidRPr="00A91E83">
        <w:rPr>
          <w:rFonts w:ascii="Times New Roman" w:hAnsi="Times New Roman" w:cs="Times New Roman"/>
          <w:sz w:val="24"/>
          <w:szCs w:val="24"/>
        </w:rPr>
        <w:t xml:space="preserve">itos taikymas tampa neįmanomas. Valiutų sandoris </w:t>
      </w:r>
      <w:r w:rsidR="002D4CB0" w:rsidRPr="00A91E83">
        <w:rPr>
          <w:rFonts w:ascii="Times New Roman" w:hAnsi="Times New Roman" w:cs="Times New Roman"/>
          <w:sz w:val="24"/>
          <w:szCs w:val="24"/>
        </w:rPr>
        <w:t>neatitinka reikalavimo, jog būtų atsiskaitoma tarp šalių ta pačia valiuta. Jeigu vienos šalies mokėjimas nėra tiesioginis, bet priklauso nuo tam tikrų sąlygų (</w:t>
      </w:r>
      <w:proofErr w:type="spellStart"/>
      <w:r w:rsidR="002D4CB0" w:rsidRPr="00A91E83">
        <w:rPr>
          <w:rFonts w:ascii="Times New Roman" w:hAnsi="Times New Roman" w:cs="Times New Roman"/>
          <w:sz w:val="24"/>
          <w:szCs w:val="24"/>
        </w:rPr>
        <w:t>pvz</w:t>
      </w:r>
      <w:proofErr w:type="spellEnd"/>
      <w:r w:rsidR="002D4CB0" w:rsidRPr="00A91E83">
        <w:rPr>
          <w:rFonts w:ascii="Times New Roman" w:hAnsi="Times New Roman" w:cs="Times New Roman"/>
          <w:sz w:val="24"/>
          <w:szCs w:val="24"/>
        </w:rPr>
        <w:t>.: valiutos apsikeitimo sandorio atveju priklauso nuo valiutos konvertavimo), tai mokėjimo užskaita negali būti taikoma.</w:t>
      </w:r>
      <w:r w:rsidR="002D4CB0" w:rsidRPr="00A91E83">
        <w:rPr>
          <w:rStyle w:val="Puslapioinaosnuoroda"/>
          <w:rFonts w:ascii="Times New Roman" w:hAnsi="Times New Roman" w:cs="Times New Roman"/>
          <w:sz w:val="24"/>
          <w:szCs w:val="24"/>
        </w:rPr>
        <w:footnoteReference w:id="149"/>
      </w:r>
      <w:r w:rsidR="002D4CB0" w:rsidRPr="00A91E83">
        <w:rPr>
          <w:rFonts w:ascii="Times New Roman" w:hAnsi="Times New Roman" w:cs="Times New Roman"/>
          <w:sz w:val="24"/>
          <w:szCs w:val="24"/>
        </w:rPr>
        <w:t xml:space="preserve"> </w:t>
      </w:r>
      <w:r w:rsidR="008707F8" w:rsidRPr="00A91E83">
        <w:rPr>
          <w:rFonts w:ascii="Times New Roman" w:hAnsi="Times New Roman" w:cs="Times New Roman"/>
          <w:sz w:val="24"/>
          <w:szCs w:val="24"/>
        </w:rPr>
        <w:t>Egzistuoja kitos teisinės priemonės, kurios nėra tiesiogiai susijusios su užskaitymu, kaip galima valdyti atsiskaitymo riziką, kai tarpusavio mokėjimo užskaita negalima. Šalys gali numatyti, kad pirmiausia valiutos apsikeitimo atveju savo įsipareigojimus įvykdo mažesnį kreditingumo pajėgumą turinti šalis, arba panaudojama sąlyginio deponavimo sąskaita (</w:t>
      </w:r>
      <w:proofErr w:type="spellStart"/>
      <w:r w:rsidR="008707F8" w:rsidRPr="00A91E83">
        <w:rPr>
          <w:rFonts w:ascii="Times New Roman" w:hAnsi="Times New Roman" w:cs="Times New Roman"/>
          <w:sz w:val="24"/>
          <w:szCs w:val="24"/>
        </w:rPr>
        <w:t>angl</w:t>
      </w:r>
      <w:proofErr w:type="spellEnd"/>
      <w:r w:rsidR="008707F8" w:rsidRPr="00A91E83">
        <w:rPr>
          <w:rFonts w:ascii="Times New Roman" w:hAnsi="Times New Roman" w:cs="Times New Roman"/>
          <w:sz w:val="24"/>
          <w:szCs w:val="24"/>
        </w:rPr>
        <w:t xml:space="preserve">. </w:t>
      </w:r>
      <w:proofErr w:type="spellStart"/>
      <w:r w:rsidR="008707F8" w:rsidRPr="00A91E83">
        <w:rPr>
          <w:rFonts w:ascii="Times New Roman" w:hAnsi="Times New Roman" w:cs="Times New Roman"/>
          <w:i/>
          <w:sz w:val="24"/>
          <w:szCs w:val="24"/>
        </w:rPr>
        <w:t>escrow</w:t>
      </w:r>
      <w:proofErr w:type="spellEnd"/>
      <w:r w:rsidR="008707F8" w:rsidRPr="00A91E83">
        <w:rPr>
          <w:rFonts w:ascii="Times New Roman" w:hAnsi="Times New Roman" w:cs="Times New Roman"/>
          <w:i/>
          <w:sz w:val="24"/>
          <w:szCs w:val="24"/>
        </w:rPr>
        <w:t xml:space="preserve"> </w:t>
      </w:r>
      <w:proofErr w:type="spellStart"/>
      <w:r w:rsidR="008707F8" w:rsidRPr="00A91E83">
        <w:rPr>
          <w:rFonts w:ascii="Times New Roman" w:hAnsi="Times New Roman" w:cs="Times New Roman"/>
          <w:i/>
          <w:sz w:val="24"/>
          <w:szCs w:val="24"/>
        </w:rPr>
        <w:t>account</w:t>
      </w:r>
      <w:proofErr w:type="spellEnd"/>
      <w:r w:rsidR="005B3578" w:rsidRPr="00A91E83">
        <w:rPr>
          <w:rFonts w:ascii="Times New Roman" w:hAnsi="Times New Roman" w:cs="Times New Roman"/>
          <w:sz w:val="24"/>
          <w:szCs w:val="24"/>
        </w:rPr>
        <w:t>)</w:t>
      </w:r>
      <w:r w:rsidR="00085B9A" w:rsidRPr="00A91E83">
        <w:rPr>
          <w:rFonts w:ascii="Times New Roman" w:hAnsi="Times New Roman" w:cs="Times New Roman"/>
          <w:sz w:val="24"/>
          <w:szCs w:val="24"/>
        </w:rPr>
        <w:t xml:space="preserve"> </w:t>
      </w:r>
      <w:r w:rsidR="008707F8" w:rsidRPr="00A91E83">
        <w:rPr>
          <w:rFonts w:ascii="Times New Roman" w:hAnsi="Times New Roman" w:cs="Times New Roman"/>
          <w:sz w:val="24"/>
          <w:szCs w:val="24"/>
        </w:rPr>
        <w:t>iki galutinio kontrahento</w:t>
      </w:r>
      <w:r w:rsidR="00D02644" w:rsidRPr="00A91E83">
        <w:rPr>
          <w:rFonts w:ascii="Times New Roman" w:hAnsi="Times New Roman" w:cs="Times New Roman"/>
          <w:sz w:val="24"/>
          <w:szCs w:val="24"/>
        </w:rPr>
        <w:t xml:space="preserve"> įsipareigojimų įvykdymo.</w:t>
      </w:r>
      <w:r w:rsidR="008707F8" w:rsidRPr="00A91E83">
        <w:rPr>
          <w:rStyle w:val="Puslapioinaosnuoroda"/>
          <w:rFonts w:ascii="Times New Roman" w:hAnsi="Times New Roman" w:cs="Times New Roman"/>
          <w:sz w:val="24"/>
          <w:szCs w:val="24"/>
        </w:rPr>
        <w:footnoteReference w:id="150"/>
      </w:r>
    </w:p>
    <w:p w:rsidR="00B7190A" w:rsidRPr="00A91E83" w:rsidRDefault="00B7190A" w:rsidP="00B46A53">
      <w:pPr>
        <w:tabs>
          <w:tab w:val="left" w:pos="851"/>
        </w:tabs>
        <w:spacing w:after="0" w:line="360" w:lineRule="auto"/>
        <w:ind w:firstLine="851"/>
        <w:jc w:val="both"/>
        <w:rPr>
          <w:rFonts w:ascii="Times New Roman" w:hAnsi="Times New Roman" w:cs="Times New Roman"/>
          <w:sz w:val="24"/>
          <w:szCs w:val="24"/>
        </w:rPr>
      </w:pPr>
    </w:p>
    <w:p w:rsidR="00F23002" w:rsidRPr="00A91E83" w:rsidRDefault="00B52F28" w:rsidP="00DF5E36">
      <w:pPr>
        <w:pStyle w:val="Sraopastraipa"/>
        <w:numPr>
          <w:ilvl w:val="3"/>
          <w:numId w:val="4"/>
        </w:numPr>
        <w:tabs>
          <w:tab w:val="left" w:pos="851"/>
        </w:tabs>
        <w:spacing w:after="0" w:line="360" w:lineRule="auto"/>
        <w:ind w:left="0" w:firstLine="0"/>
        <w:jc w:val="both"/>
        <w:outlineLvl w:val="3"/>
        <w:rPr>
          <w:rFonts w:ascii="Times New Roman" w:hAnsi="Times New Roman" w:cs="Times New Roman"/>
          <w:b/>
          <w:sz w:val="24"/>
          <w:szCs w:val="24"/>
        </w:rPr>
      </w:pPr>
      <w:r w:rsidRPr="00A91E83">
        <w:rPr>
          <w:rFonts w:ascii="Times New Roman" w:hAnsi="Times New Roman" w:cs="Times New Roman"/>
          <w:b/>
          <w:sz w:val="24"/>
          <w:szCs w:val="24"/>
        </w:rPr>
        <w:t>B</w:t>
      </w:r>
      <w:r w:rsidR="0013119D" w:rsidRPr="00A91E83">
        <w:rPr>
          <w:rFonts w:ascii="Times New Roman" w:hAnsi="Times New Roman" w:cs="Times New Roman"/>
          <w:b/>
          <w:sz w:val="24"/>
          <w:szCs w:val="24"/>
        </w:rPr>
        <w:t>aigiamosios</w:t>
      </w:r>
      <w:r w:rsidR="00DF5E36" w:rsidRPr="00A91E83">
        <w:rPr>
          <w:rFonts w:ascii="Times New Roman" w:hAnsi="Times New Roman" w:cs="Times New Roman"/>
          <w:b/>
          <w:sz w:val="24"/>
          <w:szCs w:val="24"/>
        </w:rPr>
        <w:t xml:space="preserve"> užskaitos sąlyga</w:t>
      </w:r>
    </w:p>
    <w:p w:rsidR="00EC7F35" w:rsidRPr="00A91E83" w:rsidRDefault="00EC7F35" w:rsidP="00B46A53">
      <w:pPr>
        <w:tabs>
          <w:tab w:val="left" w:pos="851"/>
        </w:tabs>
        <w:spacing w:after="0" w:line="360" w:lineRule="auto"/>
        <w:ind w:firstLine="851"/>
        <w:jc w:val="both"/>
        <w:rPr>
          <w:rFonts w:ascii="Times New Roman" w:hAnsi="Times New Roman" w:cs="Times New Roman"/>
          <w:sz w:val="24"/>
          <w:szCs w:val="24"/>
        </w:rPr>
      </w:pPr>
    </w:p>
    <w:p w:rsidR="00B52F28" w:rsidRPr="00A91E83" w:rsidRDefault="00F23002"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Išvestinių finansinių priemonių teisininkams viena svarbiausių problemų</w:t>
      </w:r>
      <w:r w:rsidR="00EC1C9A" w:rsidRPr="00A91E83">
        <w:rPr>
          <w:rFonts w:ascii="Times New Roman" w:hAnsi="Times New Roman" w:cs="Times New Roman"/>
          <w:sz w:val="24"/>
          <w:szCs w:val="24"/>
        </w:rPr>
        <w:t>,</w:t>
      </w:r>
      <w:r w:rsidRPr="00A91E83">
        <w:rPr>
          <w:rFonts w:ascii="Times New Roman" w:hAnsi="Times New Roman" w:cs="Times New Roman"/>
          <w:sz w:val="24"/>
          <w:szCs w:val="24"/>
        </w:rPr>
        <w:t xml:space="preserve"> </w:t>
      </w:r>
      <w:r w:rsidR="005D7D4B" w:rsidRPr="00A91E83">
        <w:rPr>
          <w:rFonts w:ascii="Times New Roman" w:hAnsi="Times New Roman" w:cs="Times New Roman"/>
          <w:sz w:val="24"/>
          <w:szCs w:val="24"/>
        </w:rPr>
        <w:t xml:space="preserve">naudojant </w:t>
      </w:r>
      <w:r w:rsidRPr="00A91E83">
        <w:rPr>
          <w:rFonts w:ascii="Times New Roman" w:hAnsi="Times New Roman" w:cs="Times New Roman"/>
          <w:sz w:val="24"/>
          <w:szCs w:val="24"/>
        </w:rPr>
        <w:t>ISDA</w:t>
      </w:r>
      <w:r w:rsidR="005D7D4B" w:rsidRPr="00A91E83">
        <w:rPr>
          <w:rFonts w:ascii="Times New Roman" w:hAnsi="Times New Roman" w:cs="Times New Roman"/>
          <w:sz w:val="24"/>
          <w:szCs w:val="24"/>
        </w:rPr>
        <w:t xml:space="preserve"> formą</w:t>
      </w:r>
      <w:r w:rsidRPr="00A91E83">
        <w:rPr>
          <w:rFonts w:ascii="Times New Roman" w:hAnsi="Times New Roman" w:cs="Times New Roman"/>
          <w:sz w:val="24"/>
          <w:szCs w:val="24"/>
        </w:rPr>
        <w:t xml:space="preserve">, tai galimybė </w:t>
      </w:r>
      <w:r w:rsidR="00B52F28" w:rsidRPr="00A91E83">
        <w:rPr>
          <w:rFonts w:ascii="Times New Roman" w:hAnsi="Times New Roman" w:cs="Times New Roman"/>
          <w:sz w:val="24"/>
          <w:szCs w:val="24"/>
        </w:rPr>
        <w:t xml:space="preserve">pasinaudoti </w:t>
      </w:r>
      <w:r w:rsidR="005A6F72" w:rsidRPr="00A91E83">
        <w:rPr>
          <w:rFonts w:ascii="Times New Roman" w:hAnsi="Times New Roman" w:cs="Times New Roman"/>
          <w:sz w:val="24"/>
          <w:szCs w:val="24"/>
        </w:rPr>
        <w:t>užskai</w:t>
      </w:r>
      <w:r w:rsidR="00B52F28" w:rsidRPr="00A91E83">
        <w:rPr>
          <w:rFonts w:ascii="Times New Roman" w:hAnsi="Times New Roman" w:cs="Times New Roman"/>
          <w:sz w:val="24"/>
          <w:szCs w:val="24"/>
        </w:rPr>
        <w:t>tos sąlyga</w:t>
      </w:r>
      <w:r w:rsidRPr="00A91E83">
        <w:rPr>
          <w:rFonts w:ascii="Times New Roman" w:hAnsi="Times New Roman" w:cs="Times New Roman"/>
          <w:sz w:val="24"/>
          <w:szCs w:val="24"/>
        </w:rPr>
        <w:t>, kai viena iš šalių tampa nemoki.</w:t>
      </w:r>
      <w:r w:rsidR="00760DC5" w:rsidRPr="00A91E83">
        <w:rPr>
          <w:rFonts w:ascii="Times New Roman" w:hAnsi="Times New Roman" w:cs="Times New Roman"/>
          <w:sz w:val="24"/>
          <w:szCs w:val="24"/>
        </w:rPr>
        <w:t xml:space="preserve"> </w:t>
      </w:r>
      <w:r w:rsidRPr="00A91E83">
        <w:rPr>
          <w:rFonts w:ascii="Times New Roman" w:hAnsi="Times New Roman" w:cs="Times New Roman"/>
          <w:sz w:val="24"/>
          <w:szCs w:val="24"/>
        </w:rPr>
        <w:t xml:space="preserve">ISDA suteikia galimybę šalims sudaryti eilę sandorių tarp šalių ir vienai iš jų tapus nemokiai </w:t>
      </w:r>
      <w:r w:rsidR="00760DC5" w:rsidRPr="00A91E83">
        <w:rPr>
          <w:rFonts w:ascii="Times New Roman" w:hAnsi="Times New Roman" w:cs="Times New Roman"/>
          <w:sz w:val="24"/>
          <w:szCs w:val="24"/>
        </w:rPr>
        <w:t>sumažinti</w:t>
      </w:r>
      <w:r w:rsidRPr="00A91E83">
        <w:rPr>
          <w:rFonts w:ascii="Times New Roman" w:hAnsi="Times New Roman" w:cs="Times New Roman"/>
          <w:sz w:val="24"/>
          <w:szCs w:val="24"/>
        </w:rPr>
        <w:t xml:space="preserve"> mokios šalies rizikos apimtį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exposure</w:t>
      </w:r>
      <w:proofErr w:type="spellEnd"/>
      <w:r w:rsidRPr="00A91E83">
        <w:rPr>
          <w:rFonts w:ascii="Times New Roman" w:hAnsi="Times New Roman" w:cs="Times New Roman"/>
          <w:sz w:val="24"/>
          <w:szCs w:val="24"/>
        </w:rPr>
        <w:t xml:space="preserve">) iki vienos bendros sumos. </w:t>
      </w:r>
      <w:r w:rsidR="00872A80" w:rsidRPr="00A91E83">
        <w:rPr>
          <w:rFonts w:ascii="Times New Roman" w:hAnsi="Times New Roman" w:cs="Times New Roman"/>
          <w:sz w:val="24"/>
          <w:szCs w:val="24"/>
        </w:rPr>
        <w:t>Daugeliu atveju sandoriai sud</w:t>
      </w:r>
      <w:r w:rsidR="00B52F28" w:rsidRPr="00A91E83">
        <w:rPr>
          <w:rFonts w:ascii="Times New Roman" w:hAnsi="Times New Roman" w:cs="Times New Roman"/>
          <w:sz w:val="24"/>
          <w:szCs w:val="24"/>
        </w:rPr>
        <w:t>aryti tarp šalių nebus pasibaigę</w:t>
      </w:r>
      <w:r w:rsidR="00872A80" w:rsidRPr="00A91E83">
        <w:rPr>
          <w:rFonts w:ascii="Times New Roman" w:hAnsi="Times New Roman" w:cs="Times New Roman"/>
          <w:sz w:val="24"/>
          <w:szCs w:val="24"/>
        </w:rPr>
        <w:t>, todėl baigiamosios užskaitos technika padeda nustatyti kuri šalis ir kiek yra skolinga.</w:t>
      </w:r>
      <w:r w:rsidR="00B52F28" w:rsidRPr="00A91E83">
        <w:rPr>
          <w:rStyle w:val="Puslapioinaosnuoroda"/>
          <w:rFonts w:ascii="Times New Roman" w:hAnsi="Times New Roman" w:cs="Times New Roman"/>
          <w:sz w:val="24"/>
          <w:szCs w:val="24"/>
        </w:rPr>
        <w:footnoteReference w:id="151"/>
      </w:r>
      <w:r w:rsidR="001B1D3D" w:rsidRPr="00A91E83">
        <w:rPr>
          <w:rFonts w:ascii="Times New Roman" w:hAnsi="Times New Roman" w:cs="Times New Roman"/>
          <w:sz w:val="24"/>
          <w:szCs w:val="24"/>
        </w:rPr>
        <w:t xml:space="preserve"> </w:t>
      </w:r>
    </w:p>
    <w:p w:rsidR="001C62A1" w:rsidRPr="00A91E83" w:rsidRDefault="004F0CC9"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J</w:t>
      </w:r>
      <w:r w:rsidR="00F23002" w:rsidRPr="00A91E83">
        <w:rPr>
          <w:rFonts w:ascii="Times New Roman" w:hAnsi="Times New Roman" w:cs="Times New Roman"/>
          <w:sz w:val="24"/>
          <w:szCs w:val="24"/>
        </w:rPr>
        <w:t xml:space="preserve">eigu viena šalis tampa nemoki, </w:t>
      </w:r>
      <w:r w:rsidR="00B41437" w:rsidRPr="00A91E83">
        <w:rPr>
          <w:rFonts w:ascii="Times New Roman" w:hAnsi="Times New Roman" w:cs="Times New Roman"/>
          <w:sz w:val="24"/>
          <w:szCs w:val="24"/>
        </w:rPr>
        <w:t>P</w:t>
      </w:r>
      <w:r w:rsidR="005D7D4B" w:rsidRPr="00A91E83">
        <w:rPr>
          <w:rFonts w:ascii="Times New Roman" w:hAnsi="Times New Roman" w:cs="Times New Roman"/>
          <w:sz w:val="24"/>
          <w:szCs w:val="24"/>
        </w:rPr>
        <w:t>agrindinis susitarimas</w:t>
      </w:r>
      <w:r w:rsidR="00760DC5" w:rsidRPr="00A91E83">
        <w:rPr>
          <w:rFonts w:ascii="Times New Roman" w:hAnsi="Times New Roman" w:cs="Times New Roman"/>
          <w:sz w:val="24"/>
          <w:szCs w:val="24"/>
        </w:rPr>
        <w:t xml:space="preserve"> leidžia šalims sus</w:t>
      </w:r>
      <w:r w:rsidR="009D3C3B" w:rsidRPr="00A91E83">
        <w:rPr>
          <w:rFonts w:ascii="Times New Roman" w:hAnsi="Times New Roman" w:cs="Times New Roman"/>
          <w:sz w:val="24"/>
          <w:szCs w:val="24"/>
        </w:rPr>
        <w:t xml:space="preserve">itarti, jog </w:t>
      </w:r>
      <w:r w:rsidR="00B41437" w:rsidRPr="00A91E83">
        <w:rPr>
          <w:rFonts w:ascii="Times New Roman" w:hAnsi="Times New Roman" w:cs="Times New Roman"/>
          <w:sz w:val="24"/>
          <w:szCs w:val="24"/>
        </w:rPr>
        <w:t>sandoriai</w:t>
      </w:r>
      <w:r w:rsidR="00F23002" w:rsidRPr="00A91E83">
        <w:rPr>
          <w:rFonts w:ascii="Times New Roman" w:hAnsi="Times New Roman" w:cs="Times New Roman"/>
          <w:sz w:val="24"/>
          <w:szCs w:val="24"/>
        </w:rPr>
        <w:t xml:space="preserve"> </w:t>
      </w:r>
      <w:r w:rsidR="001C62A1" w:rsidRPr="00A91E83">
        <w:rPr>
          <w:rFonts w:ascii="Times New Roman" w:hAnsi="Times New Roman" w:cs="Times New Roman"/>
          <w:sz w:val="24"/>
          <w:szCs w:val="24"/>
        </w:rPr>
        <w:t xml:space="preserve">(1) </w:t>
      </w:r>
      <w:r w:rsidR="00B4663B" w:rsidRPr="00A91E83">
        <w:rPr>
          <w:rFonts w:ascii="Times New Roman" w:hAnsi="Times New Roman" w:cs="Times New Roman"/>
          <w:sz w:val="24"/>
          <w:szCs w:val="24"/>
        </w:rPr>
        <w:t>bus nutraukti</w:t>
      </w:r>
      <w:r w:rsidR="005A6F72" w:rsidRPr="00A91E83">
        <w:rPr>
          <w:rFonts w:ascii="Times New Roman" w:hAnsi="Times New Roman" w:cs="Times New Roman"/>
          <w:sz w:val="24"/>
          <w:szCs w:val="24"/>
        </w:rPr>
        <w:t>; (2) bus įvertinti (apskaičiuoti nuostoliai ar pelnas</w:t>
      </w:r>
      <w:r w:rsidR="001C62A1" w:rsidRPr="00A91E83">
        <w:rPr>
          <w:rFonts w:ascii="Times New Roman" w:hAnsi="Times New Roman" w:cs="Times New Roman"/>
          <w:sz w:val="24"/>
          <w:szCs w:val="24"/>
        </w:rPr>
        <w:t xml:space="preserve">); ir (3) </w:t>
      </w:r>
      <w:r w:rsidR="006F12E2" w:rsidRPr="00A91E83">
        <w:rPr>
          <w:rFonts w:ascii="Times New Roman" w:hAnsi="Times New Roman" w:cs="Times New Roman"/>
          <w:sz w:val="24"/>
          <w:szCs w:val="24"/>
        </w:rPr>
        <w:t>sujungti įsipareigojimai į galutinį mokėjimo balansą. Tolimesnėje darbo dalyje detaliau apžvelgsime kaip funkcionuoja bai</w:t>
      </w:r>
      <w:r w:rsidR="00093E7A" w:rsidRPr="00A91E83">
        <w:rPr>
          <w:rFonts w:ascii="Times New Roman" w:hAnsi="Times New Roman" w:cs="Times New Roman"/>
          <w:sz w:val="24"/>
          <w:szCs w:val="24"/>
        </w:rPr>
        <w:t>giamosios užskaitos mechanizmas ISDA kontekste.</w:t>
      </w:r>
    </w:p>
    <w:p w:rsidR="005C68DA" w:rsidRPr="00A91E83" w:rsidRDefault="005C68DA" w:rsidP="005C68DA">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b/>
          <w:sz w:val="24"/>
          <w:szCs w:val="24"/>
        </w:rPr>
        <w:t xml:space="preserve">Sandorių </w:t>
      </w:r>
      <w:r w:rsidR="001A47C0" w:rsidRPr="00A91E83">
        <w:rPr>
          <w:rFonts w:ascii="Times New Roman" w:hAnsi="Times New Roman" w:cs="Times New Roman"/>
          <w:b/>
          <w:sz w:val="24"/>
          <w:szCs w:val="24"/>
        </w:rPr>
        <w:t>nutraukimas</w:t>
      </w:r>
      <w:r w:rsidRPr="00A91E83">
        <w:rPr>
          <w:rFonts w:ascii="Times New Roman" w:hAnsi="Times New Roman" w:cs="Times New Roman"/>
          <w:b/>
          <w:sz w:val="24"/>
          <w:szCs w:val="24"/>
        </w:rPr>
        <w:t>.</w:t>
      </w:r>
      <w:r w:rsidRPr="00A91E83">
        <w:rPr>
          <w:rFonts w:ascii="Times New Roman" w:hAnsi="Times New Roman" w:cs="Times New Roman"/>
          <w:sz w:val="24"/>
          <w:szCs w:val="24"/>
        </w:rPr>
        <w:t xml:space="preserve"> Pagrindinis susitarimas numato dviejų lygių sandorių nutraukimo sistemą.</w:t>
      </w:r>
      <w:r w:rsidRPr="00A91E83">
        <w:rPr>
          <w:rStyle w:val="Puslapioinaosnuoroda"/>
          <w:rFonts w:ascii="Times New Roman" w:hAnsi="Times New Roman" w:cs="Times New Roman"/>
          <w:sz w:val="24"/>
          <w:szCs w:val="24"/>
        </w:rPr>
        <w:footnoteReference w:id="152"/>
      </w:r>
      <w:r w:rsidRPr="00A91E83">
        <w:rPr>
          <w:rFonts w:ascii="Times New Roman" w:hAnsi="Times New Roman" w:cs="Times New Roman"/>
          <w:sz w:val="24"/>
          <w:szCs w:val="24"/>
        </w:rPr>
        <w:t xml:space="preserve"> Nutraukimo galimybė bus aktyvuota, kai </w:t>
      </w:r>
      <w:r w:rsidR="00EB7A7D" w:rsidRPr="00A91E83">
        <w:rPr>
          <w:rFonts w:ascii="Times New Roman" w:hAnsi="Times New Roman" w:cs="Times New Roman"/>
          <w:sz w:val="24"/>
          <w:szCs w:val="24"/>
        </w:rPr>
        <w:t>atsitiks</w:t>
      </w:r>
      <w:r w:rsidRPr="00A91E83">
        <w:rPr>
          <w:rFonts w:ascii="Times New Roman" w:hAnsi="Times New Roman" w:cs="Times New Roman"/>
          <w:sz w:val="24"/>
          <w:szCs w:val="24"/>
        </w:rPr>
        <w:t xml:space="preserve"> tam tikras įvykis. </w:t>
      </w:r>
      <w:r w:rsidRPr="00A91E83">
        <w:rPr>
          <w:rFonts w:ascii="Times New Roman" w:hAnsi="Times New Roman" w:cs="Times New Roman"/>
          <w:sz w:val="24"/>
          <w:szCs w:val="24"/>
        </w:rPr>
        <w:lastRenderedPageBreak/>
        <w:t xml:space="preserve">Įvykiai, kurie </w:t>
      </w:r>
      <w:r w:rsidR="00EB7A7D" w:rsidRPr="00A91E83">
        <w:rPr>
          <w:rFonts w:ascii="Times New Roman" w:hAnsi="Times New Roman" w:cs="Times New Roman"/>
          <w:sz w:val="24"/>
          <w:szCs w:val="24"/>
        </w:rPr>
        <w:t>nulemia</w:t>
      </w:r>
      <w:r w:rsidRPr="00A91E83">
        <w:rPr>
          <w:rFonts w:ascii="Times New Roman" w:hAnsi="Times New Roman" w:cs="Times New Roman"/>
          <w:sz w:val="24"/>
          <w:szCs w:val="24"/>
        </w:rPr>
        <w:t xml:space="preserve"> sutarties nutraukimą</w:t>
      </w:r>
      <w:r w:rsidR="004F0CC9" w:rsidRPr="00A91E83">
        <w:rPr>
          <w:rFonts w:ascii="Times New Roman" w:hAnsi="Times New Roman" w:cs="Times New Roman"/>
          <w:sz w:val="24"/>
          <w:szCs w:val="24"/>
        </w:rPr>
        <w:t>,</w:t>
      </w:r>
      <w:r w:rsidRPr="00A91E83">
        <w:rPr>
          <w:rFonts w:ascii="Times New Roman" w:hAnsi="Times New Roman" w:cs="Times New Roman"/>
          <w:sz w:val="24"/>
          <w:szCs w:val="24"/>
        </w:rPr>
        <w:t xml:space="preserve"> skirstomi į veiksmus, kurie priklauso nuo vienos iš šalių įsipareigojimų neįvykdymo, ir į įvykius, kurie atsitinka nepriklausomai nuo šalių valios.</w:t>
      </w:r>
      <w:r w:rsidRPr="00A91E83">
        <w:rPr>
          <w:rStyle w:val="Puslapioinaosnuoroda"/>
          <w:rFonts w:ascii="Times New Roman" w:hAnsi="Times New Roman" w:cs="Times New Roman"/>
          <w:sz w:val="24"/>
          <w:szCs w:val="24"/>
        </w:rPr>
        <w:footnoteReference w:id="153"/>
      </w:r>
      <w:r w:rsidRPr="00A91E83">
        <w:rPr>
          <w:rFonts w:ascii="Times New Roman" w:hAnsi="Times New Roman" w:cs="Times New Roman"/>
          <w:sz w:val="24"/>
          <w:szCs w:val="24"/>
        </w:rPr>
        <w:t xml:space="preserve"> Pirmoji kategorija yra vadinama įsipareigojimų neįvykdymą sąlygojantys veiksmai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i/>
          <w:sz w:val="24"/>
          <w:szCs w:val="24"/>
        </w:rPr>
        <w:t>events</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of</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default</w:t>
      </w:r>
      <w:proofErr w:type="spellEnd"/>
      <w:r w:rsidRPr="00A91E83">
        <w:rPr>
          <w:rFonts w:ascii="Times New Roman" w:hAnsi="Times New Roman" w:cs="Times New Roman"/>
          <w:sz w:val="24"/>
          <w:szCs w:val="24"/>
        </w:rPr>
        <w:t>), o antra – sandorių nutraukimą sąlygojantys įvykiai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i/>
          <w:sz w:val="24"/>
          <w:szCs w:val="24"/>
        </w:rPr>
        <w:t>termination</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events</w:t>
      </w:r>
      <w:proofErr w:type="spellEnd"/>
      <w:r w:rsidRPr="00A91E83">
        <w:rPr>
          <w:rFonts w:ascii="Times New Roman" w:hAnsi="Times New Roman" w:cs="Times New Roman"/>
          <w:sz w:val="24"/>
          <w:szCs w:val="24"/>
        </w:rPr>
        <w:t xml:space="preserve">). Pirmoji veiksmų kategorija </w:t>
      </w:r>
      <w:r w:rsidR="004F0CC9" w:rsidRPr="00A91E83">
        <w:rPr>
          <w:rFonts w:ascii="Times New Roman" w:hAnsi="Times New Roman" w:cs="Times New Roman"/>
          <w:sz w:val="24"/>
          <w:szCs w:val="24"/>
        </w:rPr>
        <w:t xml:space="preserve">atsiranda </w:t>
      </w:r>
      <w:r w:rsidRPr="00A91E83">
        <w:rPr>
          <w:rFonts w:ascii="Times New Roman" w:hAnsi="Times New Roman" w:cs="Times New Roman"/>
          <w:sz w:val="24"/>
          <w:szCs w:val="24"/>
        </w:rPr>
        <w:t>dėl kontrahento kaltės, o kita – įvykiai be šalies kaltės, ar tiesiog įvykiai, kurių atsiradimas nepriklauso nuo šalių</w:t>
      </w:r>
      <w:r w:rsidR="00E80844" w:rsidRPr="00A91E83">
        <w:rPr>
          <w:rFonts w:ascii="Times New Roman" w:hAnsi="Times New Roman" w:cs="Times New Roman"/>
          <w:sz w:val="24"/>
          <w:szCs w:val="24"/>
        </w:rPr>
        <w:t>.</w:t>
      </w:r>
      <w:r w:rsidRPr="00A91E83">
        <w:rPr>
          <w:rStyle w:val="Puslapioinaosnuoroda"/>
          <w:rFonts w:ascii="Times New Roman" w:hAnsi="Times New Roman" w:cs="Times New Roman"/>
          <w:sz w:val="24"/>
          <w:szCs w:val="24"/>
        </w:rPr>
        <w:footnoteReference w:id="154"/>
      </w:r>
    </w:p>
    <w:p w:rsidR="00151F12" w:rsidRPr="00A91E83" w:rsidRDefault="005C68DA"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Įvykus vienam iš </w:t>
      </w:r>
      <w:r w:rsidR="00AB1770" w:rsidRPr="00A91E83">
        <w:rPr>
          <w:rFonts w:ascii="Times New Roman" w:hAnsi="Times New Roman" w:cs="Times New Roman"/>
          <w:sz w:val="24"/>
          <w:szCs w:val="24"/>
        </w:rPr>
        <w:t>minėtų veiksmų</w:t>
      </w:r>
      <w:r w:rsidRPr="00A91E83">
        <w:rPr>
          <w:rFonts w:ascii="Times New Roman" w:hAnsi="Times New Roman" w:cs="Times New Roman"/>
          <w:sz w:val="24"/>
          <w:szCs w:val="24"/>
        </w:rPr>
        <w:t>, priklausomai nuo šalių susitarimo</w:t>
      </w:r>
      <w:r w:rsidR="00210DFB" w:rsidRPr="00A91E83">
        <w:rPr>
          <w:rFonts w:ascii="Times New Roman" w:hAnsi="Times New Roman" w:cs="Times New Roman"/>
          <w:sz w:val="24"/>
          <w:szCs w:val="24"/>
        </w:rPr>
        <w:t>,</w:t>
      </w:r>
      <w:r w:rsidRPr="00A91E83">
        <w:rPr>
          <w:rFonts w:ascii="Times New Roman" w:hAnsi="Times New Roman" w:cs="Times New Roman"/>
          <w:sz w:val="24"/>
          <w:szCs w:val="24"/>
        </w:rPr>
        <w:t xml:space="preserve"> iškart visi sandoriai bus nutraukiami, arba atsiras pareiga vienai iš šalių informuoti kontrahentą apie </w:t>
      </w:r>
      <w:r w:rsidR="00BC3198" w:rsidRPr="00A91E83">
        <w:rPr>
          <w:rFonts w:ascii="Times New Roman" w:hAnsi="Times New Roman" w:cs="Times New Roman"/>
          <w:sz w:val="24"/>
          <w:szCs w:val="24"/>
        </w:rPr>
        <w:t xml:space="preserve">tikslią išankstinę </w:t>
      </w:r>
      <w:r w:rsidRPr="00A91E83">
        <w:rPr>
          <w:rFonts w:ascii="Times New Roman" w:hAnsi="Times New Roman" w:cs="Times New Roman"/>
          <w:sz w:val="24"/>
          <w:szCs w:val="24"/>
        </w:rPr>
        <w:t>sandorių nutraukimo dieną.</w:t>
      </w:r>
      <w:r w:rsidR="0060595D" w:rsidRPr="00A91E83">
        <w:rPr>
          <w:rFonts w:ascii="Times New Roman" w:hAnsi="Times New Roman" w:cs="Times New Roman"/>
          <w:sz w:val="24"/>
          <w:szCs w:val="24"/>
        </w:rPr>
        <w:t xml:space="preserve"> Taip pat pažymėtina, jog jeigu įvyksta pirmos kategorijos įvykis</w:t>
      </w:r>
      <w:r w:rsidR="00AB1770" w:rsidRPr="00A91E83">
        <w:rPr>
          <w:rFonts w:ascii="Times New Roman" w:hAnsi="Times New Roman" w:cs="Times New Roman"/>
          <w:sz w:val="24"/>
          <w:szCs w:val="24"/>
        </w:rPr>
        <w:t xml:space="preserve"> (veiksmas)</w:t>
      </w:r>
      <w:r w:rsidR="0060595D" w:rsidRPr="00A91E83">
        <w:rPr>
          <w:rFonts w:ascii="Times New Roman" w:hAnsi="Times New Roman" w:cs="Times New Roman"/>
          <w:sz w:val="24"/>
          <w:szCs w:val="24"/>
        </w:rPr>
        <w:t xml:space="preserve">, tai pareiga atsiranda </w:t>
      </w:r>
      <w:r w:rsidR="00210DFB" w:rsidRPr="00A91E83">
        <w:rPr>
          <w:rFonts w:ascii="Times New Roman" w:hAnsi="Times New Roman" w:cs="Times New Roman"/>
          <w:sz w:val="24"/>
          <w:szCs w:val="24"/>
        </w:rPr>
        <w:t>nekaltajai</w:t>
      </w:r>
      <w:r w:rsidR="0060595D" w:rsidRPr="00A91E83">
        <w:rPr>
          <w:rFonts w:ascii="Times New Roman" w:hAnsi="Times New Roman" w:cs="Times New Roman"/>
          <w:sz w:val="24"/>
          <w:szCs w:val="24"/>
        </w:rPr>
        <w:t xml:space="preserve"> šaliai informuoti kontrahentą dėl tarpusavio santykių nutraukimo.</w:t>
      </w:r>
      <w:r w:rsidR="00EB7A7D" w:rsidRPr="00A91E83">
        <w:rPr>
          <w:rFonts w:ascii="Times New Roman" w:hAnsi="Times New Roman" w:cs="Times New Roman"/>
          <w:sz w:val="24"/>
          <w:szCs w:val="24"/>
        </w:rPr>
        <w:t xml:space="preserve"> Nors numatyta standartinė sąlyga ISDA Pagrindiniame susitarime reikalauja, jog toks pranešimas būtų atliktas, tačiau gali susidaryti situacijų, kad įsipareigojimų neįvykdymą sąlygojantis veiksmas įvyko, o moki šalis apie tai nė nežino.</w:t>
      </w:r>
      <w:r w:rsidR="00EB7A7D" w:rsidRPr="00A91E83">
        <w:rPr>
          <w:rStyle w:val="Puslapioinaosnuoroda"/>
          <w:rFonts w:ascii="Times New Roman" w:hAnsi="Times New Roman" w:cs="Times New Roman"/>
          <w:sz w:val="24"/>
          <w:szCs w:val="24"/>
        </w:rPr>
        <w:footnoteReference w:id="155"/>
      </w:r>
      <w:r w:rsidR="00EB7A7D" w:rsidRPr="00A91E83">
        <w:rPr>
          <w:rFonts w:ascii="Times New Roman" w:hAnsi="Times New Roman" w:cs="Times New Roman"/>
          <w:sz w:val="24"/>
          <w:szCs w:val="24"/>
        </w:rPr>
        <w:t xml:space="preserve"> Siekiant išvengti tokių pasekmių šalys gali ISDA Priede numatyti, jog tarp šalių galios </w:t>
      </w:r>
      <w:r w:rsidR="00BC3198" w:rsidRPr="00A91E83">
        <w:rPr>
          <w:rFonts w:ascii="Times New Roman" w:hAnsi="Times New Roman" w:cs="Times New Roman"/>
          <w:i/>
          <w:sz w:val="24"/>
          <w:szCs w:val="24"/>
        </w:rPr>
        <w:t xml:space="preserve">automatinio </w:t>
      </w:r>
      <w:r w:rsidR="00EB7A7D" w:rsidRPr="00A91E83">
        <w:rPr>
          <w:rFonts w:ascii="Times New Roman" w:hAnsi="Times New Roman" w:cs="Times New Roman"/>
          <w:sz w:val="24"/>
          <w:szCs w:val="24"/>
        </w:rPr>
        <w:t xml:space="preserve">išankstinio nutraukimo sąlyga, kurios efektas bus toks, jog bus panaikinamas mokios šalies įsipareigojimas informuoti kitą šalį apie sandorių nutraukimą ir nutraukimo diena bus laikoma tam tikro įvykio </w:t>
      </w:r>
      <w:r w:rsidR="00AB1770" w:rsidRPr="00A91E83">
        <w:rPr>
          <w:rFonts w:ascii="Times New Roman" w:hAnsi="Times New Roman" w:cs="Times New Roman"/>
          <w:sz w:val="24"/>
          <w:szCs w:val="24"/>
        </w:rPr>
        <w:t xml:space="preserve">(veiksmo) </w:t>
      </w:r>
      <w:r w:rsidR="00EB7A7D" w:rsidRPr="00A91E83">
        <w:rPr>
          <w:rFonts w:ascii="Times New Roman" w:hAnsi="Times New Roman" w:cs="Times New Roman"/>
          <w:sz w:val="24"/>
          <w:szCs w:val="24"/>
        </w:rPr>
        <w:t>atsitikimo diena.</w:t>
      </w:r>
    </w:p>
    <w:p w:rsidR="003167B5" w:rsidRPr="00A91E83" w:rsidRDefault="00EB7A7D" w:rsidP="00EB7A7D">
      <w:pPr>
        <w:tabs>
          <w:tab w:val="left" w:pos="851"/>
          <w:tab w:val="left" w:pos="1457"/>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Iš viso ISDA numato platų sąrašą įsipareigojimų neįvykdymą sąlygojančių pagrindų, kurie aktyvuoja sandorių nutraukimą. Tyrimo tikslais iš visų jų išskirsime ir detaliau aptarsime bankroto sąlygą. Bankroto sąlyga</w:t>
      </w:r>
      <w:r w:rsidRPr="00A91E83">
        <w:rPr>
          <w:rStyle w:val="Puslapioinaosnuoroda"/>
          <w:rFonts w:ascii="Times New Roman" w:hAnsi="Times New Roman" w:cs="Times New Roman"/>
          <w:sz w:val="24"/>
          <w:szCs w:val="24"/>
        </w:rPr>
        <w:footnoteReference w:id="156"/>
      </w:r>
      <w:r w:rsidRPr="00A91E83">
        <w:rPr>
          <w:rFonts w:ascii="Times New Roman" w:hAnsi="Times New Roman" w:cs="Times New Roman"/>
          <w:sz w:val="24"/>
          <w:szCs w:val="24"/>
        </w:rPr>
        <w:t xml:space="preserve"> </w:t>
      </w:r>
      <w:r w:rsidR="001D41F5" w:rsidRPr="00A91E83">
        <w:rPr>
          <w:rFonts w:ascii="Times New Roman" w:hAnsi="Times New Roman" w:cs="Times New Roman"/>
          <w:sz w:val="24"/>
          <w:szCs w:val="24"/>
        </w:rPr>
        <w:t xml:space="preserve">suprantama plačiai ir </w:t>
      </w:r>
      <w:r w:rsidRPr="00A91E83">
        <w:rPr>
          <w:rFonts w:ascii="Times New Roman" w:hAnsi="Times New Roman" w:cs="Times New Roman"/>
          <w:sz w:val="24"/>
          <w:szCs w:val="24"/>
        </w:rPr>
        <w:t xml:space="preserve">apima </w:t>
      </w:r>
      <w:r w:rsidR="001431EA" w:rsidRPr="00A91E83">
        <w:rPr>
          <w:rFonts w:ascii="Times New Roman" w:hAnsi="Times New Roman" w:cs="Times New Roman"/>
          <w:sz w:val="24"/>
          <w:szCs w:val="24"/>
        </w:rPr>
        <w:t xml:space="preserve">platų spektrą </w:t>
      </w:r>
      <w:r w:rsidR="00A66CC5" w:rsidRPr="00A91E83">
        <w:rPr>
          <w:rFonts w:ascii="Times New Roman" w:hAnsi="Times New Roman" w:cs="Times New Roman"/>
          <w:sz w:val="24"/>
          <w:szCs w:val="24"/>
        </w:rPr>
        <w:t xml:space="preserve">savarankiškų </w:t>
      </w:r>
      <w:r w:rsidR="001D41F5" w:rsidRPr="00A91E83">
        <w:rPr>
          <w:rFonts w:ascii="Times New Roman" w:hAnsi="Times New Roman" w:cs="Times New Roman"/>
          <w:sz w:val="24"/>
          <w:szCs w:val="24"/>
        </w:rPr>
        <w:t>pagrindų</w:t>
      </w:r>
      <w:r w:rsidRPr="00A91E83">
        <w:rPr>
          <w:rFonts w:ascii="Times New Roman" w:hAnsi="Times New Roman" w:cs="Times New Roman"/>
          <w:sz w:val="24"/>
          <w:szCs w:val="24"/>
        </w:rPr>
        <w:t xml:space="preserve">. </w:t>
      </w:r>
      <w:r w:rsidR="00374C27" w:rsidRPr="00A91E83">
        <w:rPr>
          <w:rFonts w:ascii="Times New Roman" w:hAnsi="Times New Roman" w:cs="Times New Roman"/>
          <w:sz w:val="24"/>
          <w:szCs w:val="24"/>
        </w:rPr>
        <w:t xml:space="preserve">Iš viso </w:t>
      </w:r>
      <w:r w:rsidR="00A66CC5" w:rsidRPr="00A91E83">
        <w:rPr>
          <w:rFonts w:ascii="Times New Roman" w:hAnsi="Times New Roman" w:cs="Times New Roman"/>
          <w:sz w:val="24"/>
          <w:szCs w:val="24"/>
        </w:rPr>
        <w:t xml:space="preserve">ISDA forma </w:t>
      </w:r>
      <w:r w:rsidR="00374C27" w:rsidRPr="00A91E83">
        <w:rPr>
          <w:rFonts w:ascii="Times New Roman" w:hAnsi="Times New Roman" w:cs="Times New Roman"/>
          <w:sz w:val="24"/>
          <w:szCs w:val="24"/>
        </w:rPr>
        <w:t xml:space="preserve">jų nustato devynis. </w:t>
      </w:r>
      <w:r w:rsidRPr="00A91E83">
        <w:rPr>
          <w:rFonts w:ascii="Times New Roman" w:hAnsi="Times New Roman" w:cs="Times New Roman"/>
          <w:sz w:val="24"/>
          <w:szCs w:val="24"/>
        </w:rPr>
        <w:t xml:space="preserve">Vieni jų ekonomiškai pagrįsti, </w:t>
      </w:r>
      <w:proofErr w:type="spellStart"/>
      <w:r w:rsidRPr="00A91E83">
        <w:rPr>
          <w:rFonts w:ascii="Times New Roman" w:hAnsi="Times New Roman" w:cs="Times New Roman"/>
          <w:sz w:val="24"/>
          <w:szCs w:val="24"/>
        </w:rPr>
        <w:t>pvz</w:t>
      </w:r>
      <w:proofErr w:type="spellEnd"/>
      <w:r w:rsidRPr="00A91E83">
        <w:rPr>
          <w:rFonts w:ascii="Times New Roman" w:hAnsi="Times New Roman" w:cs="Times New Roman"/>
          <w:sz w:val="24"/>
          <w:szCs w:val="24"/>
        </w:rPr>
        <w:t>.: šalies įsipareigojimų neįvykdymas, kiti remiasi formaliais kriterijais – pareiškimo dėl bankroto bylos iškėlimas, ar bankroto procedūrų pradžios momentas.</w:t>
      </w:r>
    </w:p>
    <w:p w:rsidR="003167B5" w:rsidRPr="00A91E83" w:rsidRDefault="003167B5" w:rsidP="003167B5">
      <w:pPr>
        <w:tabs>
          <w:tab w:val="left" w:pos="851"/>
          <w:tab w:val="left" w:pos="1457"/>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Pirmasis problemi</w:t>
      </w:r>
      <w:r w:rsidR="00374C27" w:rsidRPr="00A91E83">
        <w:rPr>
          <w:rFonts w:ascii="Times New Roman" w:hAnsi="Times New Roman" w:cs="Times New Roman"/>
          <w:sz w:val="24"/>
          <w:szCs w:val="24"/>
        </w:rPr>
        <w:t>nis pagrindas, kuris aktyvuoja b</w:t>
      </w:r>
      <w:r w:rsidRPr="00A91E83">
        <w:rPr>
          <w:rFonts w:ascii="Times New Roman" w:hAnsi="Times New Roman" w:cs="Times New Roman"/>
          <w:sz w:val="24"/>
          <w:szCs w:val="24"/>
        </w:rPr>
        <w:t>ankroto sąlygą, tai pareiškimas dėl bankroto bylos iškėlimo. Pastarasis turi papildom</w:t>
      </w:r>
      <w:r w:rsidR="00BD4DD9" w:rsidRPr="00A91E83">
        <w:rPr>
          <w:rFonts w:ascii="Times New Roman" w:hAnsi="Times New Roman" w:cs="Times New Roman"/>
          <w:sz w:val="24"/>
          <w:szCs w:val="24"/>
        </w:rPr>
        <w:t>ą</w:t>
      </w:r>
      <w:r w:rsidR="00374C27" w:rsidRPr="00A91E83">
        <w:rPr>
          <w:rFonts w:ascii="Times New Roman" w:hAnsi="Times New Roman" w:cs="Times New Roman"/>
          <w:sz w:val="24"/>
          <w:szCs w:val="24"/>
        </w:rPr>
        <w:t xml:space="preserve"> apsaugos mechanizmą. Kadangi b</w:t>
      </w:r>
      <w:r w:rsidRPr="00A91E83">
        <w:rPr>
          <w:rFonts w:ascii="Times New Roman" w:hAnsi="Times New Roman" w:cs="Times New Roman"/>
          <w:sz w:val="24"/>
          <w:szCs w:val="24"/>
        </w:rPr>
        <w:t>ankroto sąlyga aktyvuotų ir baigiamąją užskaitą, tai nepagrįstas bankroto pareiškimas sukeltų netoleruotinas pasekmes.</w:t>
      </w:r>
      <w:r w:rsidRPr="00A91E83">
        <w:rPr>
          <w:rStyle w:val="Puslapioinaosnuoroda"/>
          <w:rFonts w:ascii="Times New Roman" w:hAnsi="Times New Roman" w:cs="Times New Roman"/>
          <w:sz w:val="24"/>
          <w:szCs w:val="24"/>
        </w:rPr>
        <w:footnoteReference w:id="157"/>
      </w:r>
      <w:r w:rsidRPr="00A91E83">
        <w:rPr>
          <w:rFonts w:ascii="Times New Roman" w:hAnsi="Times New Roman" w:cs="Times New Roman"/>
          <w:sz w:val="24"/>
          <w:szCs w:val="24"/>
        </w:rPr>
        <w:t xml:space="preserve"> Todėl numatyta </w:t>
      </w:r>
      <w:r w:rsidR="00F75C12" w:rsidRPr="00A91E83">
        <w:rPr>
          <w:rFonts w:ascii="Times New Roman" w:hAnsi="Times New Roman" w:cs="Times New Roman"/>
          <w:sz w:val="24"/>
          <w:szCs w:val="24"/>
        </w:rPr>
        <w:t>papildoma įsigaliojimo</w:t>
      </w:r>
      <w:r w:rsidRPr="00A91E83">
        <w:rPr>
          <w:rFonts w:ascii="Times New Roman" w:hAnsi="Times New Roman" w:cs="Times New Roman"/>
          <w:sz w:val="24"/>
          <w:szCs w:val="24"/>
        </w:rPr>
        <w:t xml:space="preserve"> sąlyga</w:t>
      </w:r>
      <w:r w:rsidR="00BD4DD9" w:rsidRPr="00A91E83">
        <w:rPr>
          <w:rFonts w:ascii="Times New Roman" w:hAnsi="Times New Roman" w:cs="Times New Roman"/>
          <w:sz w:val="24"/>
          <w:szCs w:val="24"/>
        </w:rPr>
        <w:t>,</w:t>
      </w:r>
      <w:r w:rsidRPr="00A91E83">
        <w:rPr>
          <w:rFonts w:ascii="Times New Roman" w:hAnsi="Times New Roman" w:cs="Times New Roman"/>
          <w:sz w:val="24"/>
          <w:szCs w:val="24"/>
        </w:rPr>
        <w:t xml:space="preserve"> minėto pagrindo atžvilgiu. Jeigu </w:t>
      </w:r>
      <w:r w:rsidR="00374C27" w:rsidRPr="00A91E83">
        <w:rPr>
          <w:rFonts w:ascii="Times New Roman" w:hAnsi="Times New Roman" w:cs="Times New Roman"/>
          <w:sz w:val="24"/>
          <w:szCs w:val="24"/>
        </w:rPr>
        <w:t>pateiktas pareiškimas</w:t>
      </w:r>
      <w:r w:rsidRPr="00A91E83">
        <w:rPr>
          <w:rFonts w:ascii="Times New Roman" w:hAnsi="Times New Roman" w:cs="Times New Roman"/>
          <w:sz w:val="24"/>
          <w:szCs w:val="24"/>
        </w:rPr>
        <w:t xml:space="preserve"> iškelti bankroto bylą, tai tik (A) praėjus 15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terminui</w:t>
      </w:r>
      <w:r w:rsidR="00374C27" w:rsidRPr="00A91E83">
        <w:rPr>
          <w:rFonts w:ascii="Times New Roman" w:hAnsi="Times New Roman" w:cs="Times New Roman"/>
          <w:sz w:val="24"/>
          <w:szCs w:val="24"/>
        </w:rPr>
        <w:t>;</w:t>
      </w:r>
      <w:r w:rsidRPr="00A91E83">
        <w:rPr>
          <w:rFonts w:ascii="Times New Roman" w:hAnsi="Times New Roman" w:cs="Times New Roman"/>
          <w:sz w:val="24"/>
          <w:szCs w:val="24"/>
        </w:rPr>
        <w:t xml:space="preserve"> ar (B) jeigu nepraėjus 15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terminui</w:t>
      </w:r>
      <w:r w:rsidR="00BD4DD9" w:rsidRPr="00A91E83">
        <w:rPr>
          <w:rFonts w:ascii="Times New Roman" w:hAnsi="Times New Roman" w:cs="Times New Roman"/>
          <w:sz w:val="24"/>
          <w:szCs w:val="24"/>
        </w:rPr>
        <w:t>,</w:t>
      </w:r>
      <w:r w:rsidRPr="00A91E83">
        <w:rPr>
          <w:rFonts w:ascii="Times New Roman" w:hAnsi="Times New Roman" w:cs="Times New Roman"/>
          <w:sz w:val="24"/>
          <w:szCs w:val="24"/>
        </w:rPr>
        <w:t xml:space="preserve"> bus iškelta bankr</w:t>
      </w:r>
      <w:r w:rsidR="00AA5EB4" w:rsidRPr="00A91E83">
        <w:rPr>
          <w:rFonts w:ascii="Times New Roman" w:hAnsi="Times New Roman" w:cs="Times New Roman"/>
          <w:sz w:val="24"/>
          <w:szCs w:val="24"/>
        </w:rPr>
        <w:t>oto byla, tai bus laikoma, jog b</w:t>
      </w:r>
      <w:r w:rsidRPr="00A91E83">
        <w:rPr>
          <w:rFonts w:ascii="Times New Roman" w:hAnsi="Times New Roman" w:cs="Times New Roman"/>
          <w:sz w:val="24"/>
          <w:szCs w:val="24"/>
        </w:rPr>
        <w:t xml:space="preserve">ankroto sąlyga įvyko. Lietuvoje bankroto byla turi būti iškeliama per mėnesį nuo pareiškimo padavimo </w:t>
      </w:r>
      <w:r w:rsidRPr="00A91E83">
        <w:rPr>
          <w:rFonts w:ascii="Times New Roman" w:hAnsi="Times New Roman" w:cs="Times New Roman"/>
          <w:sz w:val="24"/>
          <w:szCs w:val="24"/>
        </w:rPr>
        <w:lastRenderedPageBreak/>
        <w:t>momento.</w:t>
      </w:r>
      <w:r w:rsidRPr="00A91E83">
        <w:rPr>
          <w:rStyle w:val="Puslapioinaosnuoroda"/>
          <w:rFonts w:ascii="Times New Roman" w:hAnsi="Times New Roman" w:cs="Times New Roman"/>
          <w:sz w:val="24"/>
          <w:szCs w:val="24"/>
        </w:rPr>
        <w:footnoteReference w:id="158"/>
      </w:r>
      <w:r w:rsidRPr="00A91E83">
        <w:rPr>
          <w:rFonts w:ascii="Times New Roman" w:hAnsi="Times New Roman" w:cs="Times New Roman"/>
          <w:sz w:val="24"/>
          <w:szCs w:val="24"/>
        </w:rPr>
        <w:t xml:space="preserve"> Retai byla iškeliama anksčiau negu per 1</w:t>
      </w:r>
      <w:r w:rsidR="00374C27" w:rsidRPr="00A91E83">
        <w:rPr>
          <w:rFonts w:ascii="Times New Roman" w:hAnsi="Times New Roman" w:cs="Times New Roman"/>
          <w:sz w:val="24"/>
          <w:szCs w:val="24"/>
        </w:rPr>
        <w:t xml:space="preserve">5 </w:t>
      </w:r>
      <w:proofErr w:type="spellStart"/>
      <w:r w:rsidR="00374C27" w:rsidRPr="00A91E83">
        <w:rPr>
          <w:rFonts w:ascii="Times New Roman" w:hAnsi="Times New Roman" w:cs="Times New Roman"/>
          <w:sz w:val="24"/>
          <w:szCs w:val="24"/>
        </w:rPr>
        <w:t>d</w:t>
      </w:r>
      <w:proofErr w:type="spellEnd"/>
      <w:r w:rsidR="00374C27" w:rsidRPr="00A91E83">
        <w:rPr>
          <w:rFonts w:ascii="Times New Roman" w:hAnsi="Times New Roman" w:cs="Times New Roman"/>
          <w:sz w:val="24"/>
          <w:szCs w:val="24"/>
        </w:rPr>
        <w:t>., bet vis dėlto tokių atvejų pagal teisinį reguliavimą gali būti ir</w:t>
      </w:r>
      <w:r w:rsidRPr="00A91E83">
        <w:rPr>
          <w:rFonts w:ascii="Times New Roman" w:hAnsi="Times New Roman" w:cs="Times New Roman"/>
          <w:sz w:val="24"/>
          <w:szCs w:val="24"/>
        </w:rPr>
        <w:t xml:space="preserve"> pasitaiko.</w:t>
      </w:r>
      <w:r w:rsidRPr="00A91E83">
        <w:rPr>
          <w:rStyle w:val="Puslapioinaosnuoroda"/>
          <w:rFonts w:ascii="Times New Roman" w:hAnsi="Times New Roman" w:cs="Times New Roman"/>
          <w:sz w:val="24"/>
          <w:szCs w:val="24"/>
        </w:rPr>
        <w:footnoteReference w:id="159"/>
      </w:r>
      <w:r w:rsidRPr="00A91E83">
        <w:rPr>
          <w:rFonts w:ascii="Times New Roman" w:hAnsi="Times New Roman" w:cs="Times New Roman"/>
          <w:sz w:val="24"/>
          <w:szCs w:val="24"/>
        </w:rPr>
        <w:t xml:space="preserve"> ISDA 2002 metų versijoje sutrumpintas atidedamasis terminas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i/>
          <w:sz w:val="24"/>
          <w:szCs w:val="24"/>
        </w:rPr>
        <w:t>grace</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period</w:t>
      </w:r>
      <w:proofErr w:type="spellEnd"/>
      <w:r w:rsidRPr="00A91E83">
        <w:rPr>
          <w:rFonts w:ascii="Times New Roman" w:hAnsi="Times New Roman" w:cs="Times New Roman"/>
          <w:i/>
          <w:sz w:val="24"/>
          <w:szCs w:val="24"/>
        </w:rPr>
        <w:t xml:space="preserve">) </w:t>
      </w:r>
      <w:r w:rsidRPr="00A91E83">
        <w:rPr>
          <w:rFonts w:ascii="Times New Roman" w:hAnsi="Times New Roman" w:cs="Times New Roman"/>
          <w:sz w:val="24"/>
          <w:szCs w:val="24"/>
        </w:rPr>
        <w:t xml:space="preserve">iki 15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vietoj buvusio 30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1992 metų versijoje,</w:t>
      </w:r>
      <w:r w:rsidRPr="00A91E83">
        <w:rPr>
          <w:rStyle w:val="Puslapioinaosnuoroda"/>
          <w:rFonts w:ascii="Times New Roman" w:hAnsi="Times New Roman" w:cs="Times New Roman"/>
          <w:sz w:val="24"/>
          <w:szCs w:val="24"/>
        </w:rPr>
        <w:footnoteReference w:id="160"/>
      </w:r>
      <w:r w:rsidRPr="00A91E83">
        <w:rPr>
          <w:rFonts w:ascii="Times New Roman" w:hAnsi="Times New Roman" w:cs="Times New Roman"/>
          <w:sz w:val="24"/>
          <w:szCs w:val="24"/>
        </w:rPr>
        <w:t xml:space="preserve"> manoma, kad tai pakankamas </w:t>
      </w:r>
      <w:r w:rsidR="00AA5EB4" w:rsidRPr="00A91E83">
        <w:rPr>
          <w:rFonts w:ascii="Times New Roman" w:hAnsi="Times New Roman" w:cs="Times New Roman"/>
          <w:sz w:val="24"/>
          <w:szCs w:val="24"/>
        </w:rPr>
        <w:t>laikotarpis</w:t>
      </w:r>
      <w:r w:rsidRPr="00A91E83">
        <w:rPr>
          <w:rFonts w:ascii="Times New Roman" w:hAnsi="Times New Roman" w:cs="Times New Roman"/>
          <w:sz w:val="24"/>
          <w:szCs w:val="24"/>
        </w:rPr>
        <w:t xml:space="preserve"> atmesti nepagrįstus pareiškimus dėl </w:t>
      </w:r>
      <w:r w:rsidR="00374C27" w:rsidRPr="00A91E83">
        <w:rPr>
          <w:rFonts w:ascii="Times New Roman" w:hAnsi="Times New Roman" w:cs="Times New Roman"/>
          <w:sz w:val="24"/>
          <w:szCs w:val="24"/>
        </w:rPr>
        <w:t xml:space="preserve">bendrovės </w:t>
      </w:r>
      <w:r w:rsidRPr="00A91E83">
        <w:rPr>
          <w:rFonts w:ascii="Times New Roman" w:hAnsi="Times New Roman" w:cs="Times New Roman"/>
          <w:sz w:val="24"/>
          <w:szCs w:val="24"/>
        </w:rPr>
        <w:t xml:space="preserve">nemokumo ir taip išvengti tolimesnio </w:t>
      </w:r>
      <w:r w:rsidR="00AA5EB4" w:rsidRPr="00A91E83">
        <w:rPr>
          <w:rFonts w:ascii="Times New Roman" w:hAnsi="Times New Roman" w:cs="Times New Roman"/>
          <w:sz w:val="24"/>
          <w:szCs w:val="24"/>
        </w:rPr>
        <w:t>baigiamosios užskaitos</w:t>
      </w:r>
      <w:r w:rsidRPr="00A91E83">
        <w:rPr>
          <w:rFonts w:ascii="Times New Roman" w:hAnsi="Times New Roman" w:cs="Times New Roman"/>
          <w:sz w:val="24"/>
          <w:szCs w:val="24"/>
        </w:rPr>
        <w:t xml:space="preserve"> mechanizmo aktyvavimo. Išimtis numatyta, jog šis atidedamasis terminas nėra taikomas, jeigu iškelti bankroto bylą pareiškė priežiūros funkcijas vykdanti institucija.</w:t>
      </w:r>
      <w:r w:rsidRPr="00A91E83">
        <w:rPr>
          <w:rStyle w:val="Puslapioinaosnuoroda"/>
          <w:rFonts w:ascii="Times New Roman" w:hAnsi="Times New Roman" w:cs="Times New Roman"/>
          <w:sz w:val="24"/>
          <w:szCs w:val="24"/>
        </w:rPr>
        <w:footnoteReference w:id="161"/>
      </w:r>
    </w:p>
    <w:p w:rsidR="003167B5" w:rsidRPr="00A91E83" w:rsidRDefault="003167B5" w:rsidP="003167B5">
      <w:pPr>
        <w:tabs>
          <w:tab w:val="left" w:pos="851"/>
          <w:tab w:val="left" w:pos="1457"/>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Svarbu </w:t>
      </w:r>
      <w:r w:rsidR="004E4C24" w:rsidRPr="00A91E83">
        <w:rPr>
          <w:rFonts w:ascii="Times New Roman" w:hAnsi="Times New Roman" w:cs="Times New Roman"/>
          <w:sz w:val="24"/>
          <w:szCs w:val="24"/>
        </w:rPr>
        <w:t>paminėti, kad net ir aktyvavus b</w:t>
      </w:r>
      <w:r w:rsidRPr="00A91E83">
        <w:rPr>
          <w:rFonts w:ascii="Times New Roman" w:hAnsi="Times New Roman" w:cs="Times New Roman"/>
          <w:sz w:val="24"/>
          <w:szCs w:val="24"/>
        </w:rPr>
        <w:t>ankroto sąlyga, tai nebūtinai reiškia, jog santykiai tarp šalių nutrunka i</w:t>
      </w:r>
      <w:r w:rsidR="004E4C24" w:rsidRPr="00A91E83">
        <w:rPr>
          <w:rFonts w:ascii="Times New Roman" w:hAnsi="Times New Roman" w:cs="Times New Roman"/>
          <w:sz w:val="24"/>
          <w:szCs w:val="24"/>
        </w:rPr>
        <w:t>r įvykdoma tarpusavio užskaita, nes</w:t>
      </w:r>
      <w:r w:rsidR="002A0AC9" w:rsidRPr="00A91E83">
        <w:rPr>
          <w:rFonts w:ascii="Times New Roman" w:hAnsi="Times New Roman" w:cs="Times New Roman"/>
          <w:sz w:val="24"/>
          <w:szCs w:val="24"/>
        </w:rPr>
        <w:t>,</w:t>
      </w:r>
      <w:r w:rsidR="004E4C24" w:rsidRPr="00A91E83">
        <w:rPr>
          <w:rFonts w:ascii="Times New Roman" w:hAnsi="Times New Roman" w:cs="Times New Roman"/>
          <w:sz w:val="24"/>
          <w:szCs w:val="24"/>
        </w:rPr>
        <w:t xml:space="preserve"> kaip minėta</w:t>
      </w:r>
      <w:r w:rsidR="002A0AC9" w:rsidRPr="00A91E83">
        <w:rPr>
          <w:rFonts w:ascii="Times New Roman" w:hAnsi="Times New Roman" w:cs="Times New Roman"/>
          <w:sz w:val="24"/>
          <w:szCs w:val="24"/>
        </w:rPr>
        <w:t>,</w:t>
      </w:r>
      <w:r w:rsidRPr="00A91E83">
        <w:rPr>
          <w:rFonts w:ascii="Times New Roman" w:hAnsi="Times New Roman" w:cs="Times New Roman"/>
          <w:sz w:val="24"/>
          <w:szCs w:val="24"/>
        </w:rPr>
        <w:t xml:space="preserve"> ISDA numatytas privalomas mokios šalies pranešimas nemokiam kontrahentui, jog ISDA sutartis nutraukta. Tai turi būti atliekama per 20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w:t>
      </w:r>
      <w:r w:rsidRPr="00A91E83">
        <w:rPr>
          <w:rStyle w:val="Puslapioinaosnuoroda"/>
          <w:rFonts w:ascii="Times New Roman" w:hAnsi="Times New Roman" w:cs="Times New Roman"/>
          <w:sz w:val="24"/>
          <w:szCs w:val="24"/>
        </w:rPr>
        <w:footnoteReference w:id="162"/>
      </w:r>
      <w:r w:rsidRPr="00A91E83">
        <w:rPr>
          <w:rFonts w:ascii="Times New Roman" w:hAnsi="Times New Roman" w:cs="Times New Roman"/>
          <w:sz w:val="24"/>
          <w:szCs w:val="24"/>
        </w:rPr>
        <w:t xml:space="preserve"> Taigi susidaro situacija, jog ISDA suteikia teisę mokiai šaliai net ir iškėlus bankroto bylą, nuspręsti, kada nutraukti tarpusavio santykius, tik apribodama galutiniu </w:t>
      </w:r>
      <w:r w:rsidR="00050B11" w:rsidRPr="00A91E83">
        <w:rPr>
          <w:rFonts w:ascii="Times New Roman" w:hAnsi="Times New Roman" w:cs="Times New Roman"/>
          <w:sz w:val="24"/>
          <w:szCs w:val="24"/>
        </w:rPr>
        <w:t xml:space="preserve">20 </w:t>
      </w:r>
      <w:proofErr w:type="spellStart"/>
      <w:r w:rsidR="00050B11" w:rsidRPr="00A91E83">
        <w:rPr>
          <w:rFonts w:ascii="Times New Roman" w:hAnsi="Times New Roman" w:cs="Times New Roman"/>
          <w:sz w:val="24"/>
          <w:szCs w:val="24"/>
        </w:rPr>
        <w:t>d</w:t>
      </w:r>
      <w:proofErr w:type="spellEnd"/>
      <w:r w:rsidR="00050B11" w:rsidRPr="00A91E83">
        <w:rPr>
          <w:rFonts w:ascii="Times New Roman" w:hAnsi="Times New Roman" w:cs="Times New Roman"/>
          <w:sz w:val="24"/>
          <w:szCs w:val="24"/>
        </w:rPr>
        <w:t xml:space="preserve">. </w:t>
      </w:r>
      <w:r w:rsidRPr="00A91E83">
        <w:rPr>
          <w:rFonts w:ascii="Times New Roman" w:hAnsi="Times New Roman" w:cs="Times New Roman"/>
          <w:sz w:val="24"/>
          <w:szCs w:val="24"/>
        </w:rPr>
        <w:t xml:space="preserve">terminu per kurį turi būti </w:t>
      </w:r>
      <w:r w:rsidR="0073281C" w:rsidRPr="00A91E83">
        <w:rPr>
          <w:rFonts w:ascii="Times New Roman" w:hAnsi="Times New Roman" w:cs="Times New Roman"/>
          <w:sz w:val="24"/>
          <w:szCs w:val="24"/>
        </w:rPr>
        <w:t xml:space="preserve">nustatyta </w:t>
      </w:r>
      <w:r w:rsidR="008405E3" w:rsidRPr="00A91E83">
        <w:rPr>
          <w:rFonts w:ascii="Times New Roman" w:hAnsi="Times New Roman" w:cs="Times New Roman"/>
          <w:sz w:val="24"/>
          <w:szCs w:val="24"/>
        </w:rPr>
        <w:t xml:space="preserve">kada </w:t>
      </w:r>
      <w:r w:rsidR="002A0AC9" w:rsidRPr="00A91E83">
        <w:rPr>
          <w:rFonts w:ascii="Times New Roman" w:hAnsi="Times New Roman" w:cs="Times New Roman"/>
          <w:sz w:val="24"/>
          <w:szCs w:val="24"/>
        </w:rPr>
        <w:t>bus</w:t>
      </w:r>
      <w:r w:rsidR="0073281C" w:rsidRPr="00A91E83">
        <w:rPr>
          <w:rFonts w:ascii="Times New Roman" w:hAnsi="Times New Roman" w:cs="Times New Roman"/>
          <w:sz w:val="24"/>
          <w:szCs w:val="24"/>
        </w:rPr>
        <w:t xml:space="preserve"> </w:t>
      </w:r>
      <w:r w:rsidRPr="00A91E83">
        <w:rPr>
          <w:rFonts w:ascii="Times New Roman" w:hAnsi="Times New Roman" w:cs="Times New Roman"/>
          <w:sz w:val="24"/>
          <w:szCs w:val="24"/>
        </w:rPr>
        <w:t>atlikta tarpusavio užskaita. Probleminę situaciją dėl tokios sąlygos galiojimo Lietuvos bankroto teisės kontekste analizuosime tyrimo IV dalyje.</w:t>
      </w:r>
    </w:p>
    <w:p w:rsidR="007D3672" w:rsidRPr="00A91E83" w:rsidRDefault="009735AA" w:rsidP="009735AA">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b/>
          <w:sz w:val="24"/>
          <w:szCs w:val="24"/>
        </w:rPr>
        <w:t>Nuostolių ar pelno apskaičiavimas.</w:t>
      </w:r>
      <w:r w:rsidRPr="00A91E83">
        <w:rPr>
          <w:rFonts w:ascii="Times New Roman" w:hAnsi="Times New Roman" w:cs="Times New Roman"/>
          <w:sz w:val="24"/>
          <w:szCs w:val="24"/>
        </w:rPr>
        <w:t xml:space="preserve"> ISDA formos sąlygos</w:t>
      </w:r>
      <w:r w:rsidR="00384207" w:rsidRPr="00A91E83">
        <w:rPr>
          <w:rFonts w:ascii="Times New Roman" w:hAnsi="Times New Roman" w:cs="Times New Roman"/>
          <w:sz w:val="24"/>
          <w:szCs w:val="24"/>
        </w:rPr>
        <w:t>,</w:t>
      </w:r>
      <w:r w:rsidRPr="00A91E83">
        <w:rPr>
          <w:rFonts w:ascii="Times New Roman" w:hAnsi="Times New Roman" w:cs="Times New Roman"/>
          <w:sz w:val="24"/>
          <w:szCs w:val="24"/>
        </w:rPr>
        <w:t xml:space="preserve"> nustatančios kas turėtų kam mokėti</w:t>
      </w:r>
      <w:r w:rsidR="00384207" w:rsidRPr="00A91E83">
        <w:rPr>
          <w:rFonts w:ascii="Times New Roman" w:hAnsi="Times New Roman" w:cs="Times New Roman"/>
          <w:sz w:val="24"/>
          <w:szCs w:val="24"/>
        </w:rPr>
        <w:t>,</w:t>
      </w:r>
      <w:r w:rsidRPr="00A91E83">
        <w:rPr>
          <w:rFonts w:ascii="Times New Roman" w:hAnsi="Times New Roman" w:cs="Times New Roman"/>
          <w:sz w:val="24"/>
          <w:szCs w:val="24"/>
        </w:rPr>
        <w:t xml:space="preserve"> laikui bėgant keitėsi. Ankstesnėse ISDA formose šalys galėjo numatyti </w:t>
      </w:r>
      <w:r w:rsidR="000D0FE3" w:rsidRPr="00A91E83">
        <w:rPr>
          <w:rFonts w:ascii="Times New Roman" w:hAnsi="Times New Roman" w:cs="Times New Roman"/>
          <w:sz w:val="24"/>
          <w:szCs w:val="24"/>
        </w:rPr>
        <w:t>„</w:t>
      </w:r>
      <w:r w:rsidRPr="00A91E83">
        <w:rPr>
          <w:rFonts w:ascii="Times New Roman" w:hAnsi="Times New Roman" w:cs="Times New Roman"/>
          <w:sz w:val="24"/>
          <w:szCs w:val="24"/>
        </w:rPr>
        <w:t>nuėjimo sąlygą</w:t>
      </w:r>
      <w:r w:rsidR="000D0FE3" w:rsidRPr="00A91E83">
        <w:rPr>
          <w:rFonts w:ascii="Times New Roman" w:hAnsi="Times New Roman" w:cs="Times New Roman"/>
          <w:sz w:val="24"/>
          <w:szCs w:val="24"/>
        </w:rPr>
        <w:t>“</w:t>
      </w:r>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i/>
          <w:sz w:val="24"/>
          <w:szCs w:val="24"/>
        </w:rPr>
        <w:t>walk-away</w:t>
      </w:r>
      <w:r w:rsidRPr="00A91E83">
        <w:rPr>
          <w:rFonts w:ascii="Times New Roman" w:hAnsi="Times New Roman" w:cs="Times New Roman"/>
          <w:sz w:val="24"/>
          <w:szCs w:val="24"/>
        </w:rPr>
        <w:t>)</w:t>
      </w:r>
      <w:proofErr w:type="spellEnd"/>
      <w:r w:rsidR="000D0FE3" w:rsidRPr="00A91E83">
        <w:rPr>
          <w:rFonts w:ascii="Times New Roman" w:hAnsi="Times New Roman" w:cs="Times New Roman"/>
          <w:sz w:val="24"/>
          <w:szCs w:val="24"/>
        </w:rPr>
        <w:t xml:space="preserve"> arba dar vadinamą riboto dvipusiu mokėjimo</w:t>
      </w:r>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i/>
          <w:sz w:val="24"/>
          <w:szCs w:val="24"/>
        </w:rPr>
        <w:t>two-way</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payment</w:t>
      </w:r>
      <w:proofErr w:type="spellEnd"/>
      <w:r w:rsidRPr="00A91E83">
        <w:rPr>
          <w:rFonts w:ascii="Times New Roman" w:hAnsi="Times New Roman" w:cs="Times New Roman"/>
          <w:sz w:val="24"/>
          <w:szCs w:val="24"/>
        </w:rPr>
        <w:t>)</w:t>
      </w:r>
      <w:r w:rsidR="00384207" w:rsidRPr="00A91E83">
        <w:rPr>
          <w:rFonts w:ascii="Times New Roman" w:hAnsi="Times New Roman" w:cs="Times New Roman"/>
          <w:sz w:val="24"/>
          <w:szCs w:val="24"/>
        </w:rPr>
        <w:t xml:space="preserve"> sąlyga</w:t>
      </w:r>
      <w:r w:rsidR="006C3711" w:rsidRPr="00A91E83">
        <w:rPr>
          <w:rFonts w:ascii="Times New Roman" w:hAnsi="Times New Roman" w:cs="Times New Roman"/>
          <w:sz w:val="24"/>
          <w:szCs w:val="24"/>
        </w:rPr>
        <w:t xml:space="preserve">. </w:t>
      </w:r>
      <w:r w:rsidRPr="00A91E83">
        <w:rPr>
          <w:rFonts w:ascii="Times New Roman" w:hAnsi="Times New Roman" w:cs="Times New Roman"/>
          <w:sz w:val="24"/>
          <w:szCs w:val="24"/>
        </w:rPr>
        <w:t>Jeigu sandoris buvo nutrauktas dėl šalies kaltės, kai šio sandorio nutraukimo momentu</w:t>
      </w:r>
      <w:r w:rsidR="006C3711" w:rsidRPr="00A91E83">
        <w:rPr>
          <w:rFonts w:ascii="Times New Roman" w:hAnsi="Times New Roman" w:cs="Times New Roman"/>
          <w:sz w:val="24"/>
          <w:szCs w:val="24"/>
        </w:rPr>
        <w:t>,</w:t>
      </w:r>
      <w:r w:rsidRPr="00A91E83">
        <w:rPr>
          <w:rFonts w:ascii="Times New Roman" w:hAnsi="Times New Roman" w:cs="Times New Roman"/>
          <w:sz w:val="24"/>
          <w:szCs w:val="24"/>
        </w:rPr>
        <w:t xml:space="preserve"> </w:t>
      </w:r>
      <w:r w:rsidR="006C3711" w:rsidRPr="00A91E83">
        <w:rPr>
          <w:rFonts w:ascii="Times New Roman" w:hAnsi="Times New Roman" w:cs="Times New Roman"/>
          <w:sz w:val="24"/>
          <w:szCs w:val="24"/>
        </w:rPr>
        <w:t xml:space="preserve">nekaltos šalies atžvilgiu, </w:t>
      </w:r>
      <w:r w:rsidRPr="00A91E83">
        <w:rPr>
          <w:rFonts w:ascii="Times New Roman" w:hAnsi="Times New Roman" w:cs="Times New Roman"/>
          <w:sz w:val="24"/>
          <w:szCs w:val="24"/>
        </w:rPr>
        <w:t xml:space="preserve">vertė rinkoje yra mažesnė nei pradinė </w:t>
      </w:r>
      <w:r w:rsidR="00384207" w:rsidRPr="00A91E83">
        <w:rPr>
          <w:rFonts w:ascii="Times New Roman" w:hAnsi="Times New Roman" w:cs="Times New Roman"/>
          <w:sz w:val="24"/>
          <w:szCs w:val="24"/>
        </w:rPr>
        <w:t xml:space="preserve">sandorio </w:t>
      </w:r>
      <w:r w:rsidRPr="00A91E83">
        <w:rPr>
          <w:rFonts w:ascii="Times New Roman" w:hAnsi="Times New Roman" w:cs="Times New Roman"/>
          <w:sz w:val="24"/>
          <w:szCs w:val="24"/>
        </w:rPr>
        <w:t xml:space="preserve">sudarymo vertė, </w:t>
      </w:r>
      <w:r w:rsidR="008C26F1" w:rsidRPr="00A91E83">
        <w:rPr>
          <w:rFonts w:ascii="Times New Roman" w:hAnsi="Times New Roman" w:cs="Times New Roman"/>
          <w:sz w:val="24"/>
          <w:szCs w:val="24"/>
        </w:rPr>
        <w:t>t. y.</w:t>
      </w:r>
      <w:r w:rsidRPr="00A91E83">
        <w:rPr>
          <w:rFonts w:ascii="Times New Roman" w:hAnsi="Times New Roman" w:cs="Times New Roman"/>
          <w:sz w:val="24"/>
          <w:szCs w:val="24"/>
        </w:rPr>
        <w:t xml:space="preserve"> </w:t>
      </w:r>
      <w:r w:rsidR="00B80E0C" w:rsidRPr="00A91E83">
        <w:rPr>
          <w:rFonts w:ascii="Times New Roman" w:hAnsi="Times New Roman" w:cs="Times New Roman"/>
          <w:sz w:val="24"/>
          <w:szCs w:val="24"/>
        </w:rPr>
        <w:t xml:space="preserve">kai </w:t>
      </w:r>
      <w:r w:rsidRPr="00A91E83">
        <w:rPr>
          <w:rFonts w:ascii="Times New Roman" w:hAnsi="Times New Roman" w:cs="Times New Roman"/>
          <w:sz w:val="24"/>
          <w:szCs w:val="24"/>
        </w:rPr>
        <w:t xml:space="preserve">sandoris yra nepelningas </w:t>
      </w:r>
      <w:r w:rsidR="006C3711" w:rsidRPr="00A91E83">
        <w:rPr>
          <w:rFonts w:ascii="Times New Roman" w:hAnsi="Times New Roman" w:cs="Times New Roman"/>
          <w:sz w:val="24"/>
          <w:szCs w:val="24"/>
        </w:rPr>
        <w:t xml:space="preserve">nekaltai </w:t>
      </w:r>
      <w:r w:rsidRPr="00A91E83">
        <w:rPr>
          <w:rFonts w:ascii="Times New Roman" w:hAnsi="Times New Roman" w:cs="Times New Roman"/>
          <w:sz w:val="24"/>
          <w:szCs w:val="24"/>
        </w:rPr>
        <w:t xml:space="preserve">šaliai, tai </w:t>
      </w:r>
      <w:r w:rsidR="006C3711" w:rsidRPr="00A91E83">
        <w:rPr>
          <w:rFonts w:ascii="Times New Roman" w:hAnsi="Times New Roman" w:cs="Times New Roman"/>
          <w:sz w:val="24"/>
          <w:szCs w:val="24"/>
        </w:rPr>
        <w:t>kalta</w:t>
      </w:r>
      <w:r w:rsidR="00384207" w:rsidRPr="00A91E83">
        <w:rPr>
          <w:rFonts w:ascii="Times New Roman" w:hAnsi="Times New Roman" w:cs="Times New Roman"/>
          <w:sz w:val="24"/>
          <w:szCs w:val="24"/>
        </w:rPr>
        <w:t xml:space="preserve"> šalis prival</w:t>
      </w:r>
      <w:r w:rsidR="00297A5E" w:rsidRPr="00A91E83">
        <w:rPr>
          <w:rFonts w:ascii="Times New Roman" w:hAnsi="Times New Roman" w:cs="Times New Roman"/>
          <w:sz w:val="24"/>
          <w:szCs w:val="24"/>
        </w:rPr>
        <w:t>o</w:t>
      </w:r>
      <w:r w:rsidRPr="00A91E83">
        <w:rPr>
          <w:rFonts w:ascii="Times New Roman" w:hAnsi="Times New Roman" w:cs="Times New Roman"/>
          <w:sz w:val="24"/>
          <w:szCs w:val="24"/>
        </w:rPr>
        <w:t xml:space="preserve"> kompensuoti nuostolius, kurie atsirado dėl sutarties nutraukimo. Taip pat pagal nuėjimo sąlygą, kaip nuostolių apskaičiavimo metodiką</w:t>
      </w:r>
      <w:r w:rsidR="00B80E0C" w:rsidRPr="00A91E83">
        <w:rPr>
          <w:rFonts w:ascii="Times New Roman" w:hAnsi="Times New Roman" w:cs="Times New Roman"/>
          <w:sz w:val="24"/>
          <w:szCs w:val="24"/>
        </w:rPr>
        <w:t>,</w:t>
      </w:r>
      <w:r w:rsidRPr="00A91E83">
        <w:rPr>
          <w:rFonts w:ascii="Times New Roman" w:hAnsi="Times New Roman" w:cs="Times New Roman"/>
          <w:sz w:val="24"/>
          <w:szCs w:val="24"/>
        </w:rPr>
        <w:t xml:space="preserve"> net jeigu ir sandoris yra pelningas </w:t>
      </w:r>
      <w:r w:rsidR="005D118D" w:rsidRPr="00A91E83">
        <w:rPr>
          <w:rFonts w:ascii="Times New Roman" w:hAnsi="Times New Roman" w:cs="Times New Roman"/>
          <w:sz w:val="24"/>
          <w:szCs w:val="24"/>
        </w:rPr>
        <w:t>kaltajai</w:t>
      </w:r>
      <w:r w:rsidRPr="00A91E83">
        <w:rPr>
          <w:rFonts w:ascii="Times New Roman" w:hAnsi="Times New Roman" w:cs="Times New Roman"/>
          <w:sz w:val="24"/>
          <w:szCs w:val="24"/>
        </w:rPr>
        <w:t xml:space="preserve"> </w:t>
      </w:r>
      <w:r w:rsidR="005D118D" w:rsidRPr="00A91E83">
        <w:rPr>
          <w:rFonts w:ascii="Times New Roman" w:hAnsi="Times New Roman" w:cs="Times New Roman"/>
          <w:sz w:val="24"/>
          <w:szCs w:val="24"/>
        </w:rPr>
        <w:t>šaliai, tai</w:t>
      </w:r>
      <w:r w:rsidRPr="00A91E83">
        <w:rPr>
          <w:rFonts w:ascii="Times New Roman" w:hAnsi="Times New Roman" w:cs="Times New Roman"/>
          <w:sz w:val="24"/>
          <w:szCs w:val="24"/>
        </w:rPr>
        <w:t xml:space="preserve"> kontrahentas vis tiek neprivalo mokėti jokios kompensacijos</w:t>
      </w:r>
      <w:r w:rsidR="007D3672" w:rsidRPr="00A91E83">
        <w:rPr>
          <w:rFonts w:ascii="Times New Roman" w:hAnsi="Times New Roman" w:cs="Times New Roman"/>
          <w:sz w:val="24"/>
          <w:szCs w:val="24"/>
        </w:rPr>
        <w:t xml:space="preserve"> ir gali tiesiog pasitraukti iš sandorio nesumokėdama</w:t>
      </w:r>
      <w:r w:rsidR="002A174B" w:rsidRPr="00A91E83">
        <w:rPr>
          <w:rFonts w:ascii="Times New Roman" w:hAnsi="Times New Roman" w:cs="Times New Roman"/>
          <w:sz w:val="24"/>
          <w:szCs w:val="24"/>
        </w:rPr>
        <w:t>s</w:t>
      </w:r>
      <w:r w:rsidR="004323DA" w:rsidRPr="00A91E83">
        <w:rPr>
          <w:rFonts w:ascii="Times New Roman" w:hAnsi="Times New Roman" w:cs="Times New Roman"/>
          <w:sz w:val="24"/>
          <w:szCs w:val="24"/>
        </w:rPr>
        <w:t xml:space="preserve"> </w:t>
      </w:r>
      <w:r w:rsidR="007D3672" w:rsidRPr="00A91E83">
        <w:rPr>
          <w:rFonts w:ascii="Times New Roman" w:hAnsi="Times New Roman" w:cs="Times New Roman"/>
          <w:sz w:val="24"/>
          <w:szCs w:val="24"/>
        </w:rPr>
        <w:t>nuostolių.</w:t>
      </w:r>
    </w:p>
    <w:p w:rsidR="009735AA" w:rsidRPr="00A91E83" w:rsidRDefault="009735AA" w:rsidP="009735AA">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1987 ISDA formoje tokia nuėjimo sąlyga buvo numatyta </w:t>
      </w:r>
      <w:r w:rsidR="009D66A9" w:rsidRPr="00A91E83">
        <w:rPr>
          <w:rFonts w:ascii="Times New Roman" w:hAnsi="Times New Roman" w:cs="Times New Roman"/>
          <w:sz w:val="24"/>
          <w:szCs w:val="24"/>
        </w:rPr>
        <w:t xml:space="preserve">kaip standartinė, t. y taikoma </w:t>
      </w:r>
      <w:r w:rsidRPr="00A91E83">
        <w:rPr>
          <w:rFonts w:ascii="Times New Roman" w:hAnsi="Times New Roman" w:cs="Times New Roman"/>
          <w:sz w:val="24"/>
          <w:szCs w:val="24"/>
        </w:rPr>
        <w:t>automatiškai, tačiau 1992 ISDA formoje šalys</w:t>
      </w:r>
      <w:r w:rsidR="00424027" w:rsidRPr="00A91E83">
        <w:rPr>
          <w:rFonts w:ascii="Times New Roman" w:hAnsi="Times New Roman" w:cs="Times New Roman"/>
          <w:sz w:val="24"/>
          <w:szCs w:val="24"/>
        </w:rPr>
        <w:t>,</w:t>
      </w:r>
      <w:r w:rsidRPr="00A91E83">
        <w:rPr>
          <w:rFonts w:ascii="Times New Roman" w:hAnsi="Times New Roman" w:cs="Times New Roman"/>
          <w:sz w:val="24"/>
          <w:szCs w:val="24"/>
        </w:rPr>
        <w:t xml:space="preserve"> norinčios pasinaudoti tokiu reguliavimu</w:t>
      </w:r>
      <w:r w:rsidR="00424027" w:rsidRPr="00A91E83">
        <w:rPr>
          <w:rFonts w:ascii="Times New Roman" w:hAnsi="Times New Roman" w:cs="Times New Roman"/>
          <w:sz w:val="24"/>
          <w:szCs w:val="24"/>
        </w:rPr>
        <w:t>,</w:t>
      </w:r>
      <w:r w:rsidRPr="00A91E83">
        <w:rPr>
          <w:rFonts w:ascii="Times New Roman" w:hAnsi="Times New Roman" w:cs="Times New Roman"/>
          <w:sz w:val="24"/>
          <w:szCs w:val="24"/>
        </w:rPr>
        <w:t xml:space="preserve"> turėjo tokį nuostolių apskaičiavimo metodą pasirinkti, o 2002 ISDA formoje tokio me</w:t>
      </w:r>
      <w:r w:rsidR="009D66A9" w:rsidRPr="00A91E83">
        <w:rPr>
          <w:rFonts w:ascii="Times New Roman" w:hAnsi="Times New Roman" w:cs="Times New Roman"/>
          <w:sz w:val="24"/>
          <w:szCs w:val="24"/>
        </w:rPr>
        <w:t xml:space="preserve">todo išvis nebeliko. Taigi </w:t>
      </w:r>
      <w:r w:rsidRPr="00A91E83">
        <w:rPr>
          <w:rFonts w:ascii="Times New Roman" w:hAnsi="Times New Roman" w:cs="Times New Roman"/>
          <w:sz w:val="24"/>
          <w:szCs w:val="24"/>
        </w:rPr>
        <w:t xml:space="preserve">ankstesnis ISDA reguliavimas susilaukė nemažai kritikos, nes moki šalis galėdavo pasinaudoti nemokios šalies nemokumu ir pasipelnyti iš sandorio, kurio rinkoje vertė </w:t>
      </w:r>
      <w:r w:rsidRPr="00A91E83">
        <w:rPr>
          <w:rFonts w:ascii="Times New Roman" w:hAnsi="Times New Roman" w:cs="Times New Roman"/>
          <w:sz w:val="24"/>
          <w:szCs w:val="24"/>
        </w:rPr>
        <w:lastRenderedPageBreak/>
        <w:t>nukritusi. Ypač bankų priežiūros atstovai neigiamai vertino tokią nuostatą ir jau sen</w:t>
      </w:r>
      <w:r w:rsidR="000A343D" w:rsidRPr="00A91E83">
        <w:rPr>
          <w:rFonts w:ascii="Times New Roman" w:hAnsi="Times New Roman" w:cs="Times New Roman"/>
          <w:sz w:val="24"/>
          <w:szCs w:val="24"/>
        </w:rPr>
        <w:t>i</w:t>
      </w:r>
      <w:r w:rsidRPr="00A91E83">
        <w:rPr>
          <w:rFonts w:ascii="Times New Roman" w:hAnsi="Times New Roman" w:cs="Times New Roman"/>
          <w:sz w:val="24"/>
          <w:szCs w:val="24"/>
        </w:rPr>
        <w:t>ai pripažino, jog tokia nuostata neleidži</w:t>
      </w:r>
      <w:r w:rsidR="00424027" w:rsidRPr="00A91E83">
        <w:rPr>
          <w:rFonts w:ascii="Times New Roman" w:hAnsi="Times New Roman" w:cs="Times New Roman"/>
          <w:sz w:val="24"/>
          <w:szCs w:val="24"/>
        </w:rPr>
        <w:t>a sumažinti sisteminės rizikos.</w:t>
      </w:r>
      <w:r w:rsidRPr="00A91E83">
        <w:rPr>
          <w:rFonts w:ascii="Times New Roman" w:hAnsi="Times New Roman" w:cs="Times New Roman"/>
          <w:sz w:val="24"/>
          <w:szCs w:val="24"/>
        </w:rPr>
        <w:t>.</w:t>
      </w:r>
      <w:r w:rsidRPr="00A91E83">
        <w:rPr>
          <w:rStyle w:val="Puslapioinaosnuoroda"/>
          <w:rFonts w:ascii="Times New Roman" w:hAnsi="Times New Roman" w:cs="Times New Roman"/>
          <w:sz w:val="24"/>
          <w:szCs w:val="24"/>
        </w:rPr>
        <w:footnoteReference w:id="163"/>
      </w:r>
    </w:p>
    <w:p w:rsidR="00AC2676" w:rsidRPr="00A91E83" w:rsidRDefault="00D625E7" w:rsidP="0093513B">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Dabartinėje ISDA 2002 formoje </w:t>
      </w:r>
      <w:r w:rsidR="00EC7ED1" w:rsidRPr="00A91E83">
        <w:rPr>
          <w:rFonts w:ascii="Times New Roman" w:hAnsi="Times New Roman" w:cs="Times New Roman"/>
          <w:sz w:val="24"/>
          <w:szCs w:val="24"/>
        </w:rPr>
        <w:t xml:space="preserve">nuostolių apskaičiavimo </w:t>
      </w:r>
      <w:r w:rsidRPr="00A91E83">
        <w:rPr>
          <w:rFonts w:ascii="Times New Roman" w:hAnsi="Times New Roman" w:cs="Times New Roman"/>
          <w:sz w:val="24"/>
          <w:szCs w:val="24"/>
        </w:rPr>
        <w:t xml:space="preserve">metodai nustatyti Pagrindinio susitarimo 14 skyriuje. Sandoriai dėl finansinių priemonių yra simetriški, tai vienos šalies nuostoliai bus lygus kitos pelnui. Nebėra jokių išimčių mokiai šaliai dėl nuostolių </w:t>
      </w:r>
      <w:r w:rsidR="00A176DA" w:rsidRPr="00A91E83">
        <w:rPr>
          <w:rFonts w:ascii="Times New Roman" w:hAnsi="Times New Roman" w:cs="Times New Roman"/>
          <w:sz w:val="24"/>
          <w:szCs w:val="24"/>
        </w:rPr>
        <w:t>ne</w:t>
      </w:r>
      <w:r w:rsidRPr="00A91E83">
        <w:rPr>
          <w:rFonts w:ascii="Times New Roman" w:hAnsi="Times New Roman" w:cs="Times New Roman"/>
          <w:sz w:val="24"/>
          <w:szCs w:val="24"/>
        </w:rPr>
        <w:t xml:space="preserve">mokėjimo, </w:t>
      </w:r>
      <w:r w:rsidR="008C26F1" w:rsidRPr="00A91E83">
        <w:rPr>
          <w:rFonts w:ascii="Times New Roman" w:hAnsi="Times New Roman" w:cs="Times New Roman"/>
          <w:sz w:val="24"/>
          <w:szCs w:val="24"/>
        </w:rPr>
        <w:t>t. y.</w:t>
      </w:r>
      <w:r w:rsidRPr="00A91E83">
        <w:rPr>
          <w:rFonts w:ascii="Times New Roman" w:hAnsi="Times New Roman" w:cs="Times New Roman"/>
          <w:sz w:val="24"/>
          <w:szCs w:val="24"/>
        </w:rPr>
        <w:t xml:space="preserve"> kad ji neturės atlikti mokėjimų</w:t>
      </w:r>
      <w:r w:rsidR="00F624F2" w:rsidRPr="00A91E83">
        <w:rPr>
          <w:rFonts w:ascii="Times New Roman" w:hAnsi="Times New Roman" w:cs="Times New Roman"/>
          <w:sz w:val="24"/>
          <w:szCs w:val="24"/>
        </w:rPr>
        <w:t>, net ir kai sandorio</w:t>
      </w:r>
      <w:r w:rsidR="00A176DA" w:rsidRPr="00A91E83">
        <w:rPr>
          <w:rFonts w:ascii="Times New Roman" w:hAnsi="Times New Roman" w:cs="Times New Roman"/>
          <w:sz w:val="24"/>
          <w:szCs w:val="24"/>
        </w:rPr>
        <w:t xml:space="preserve"> dėl išvestinių finansinių priemonių </w:t>
      </w:r>
      <w:r w:rsidR="00A7626B" w:rsidRPr="00A91E83">
        <w:rPr>
          <w:rFonts w:ascii="Times New Roman" w:hAnsi="Times New Roman" w:cs="Times New Roman"/>
          <w:sz w:val="24"/>
          <w:szCs w:val="24"/>
        </w:rPr>
        <w:t xml:space="preserve">vertė </w:t>
      </w:r>
      <w:r w:rsidR="00A176DA" w:rsidRPr="00A91E83">
        <w:rPr>
          <w:rFonts w:ascii="Times New Roman" w:hAnsi="Times New Roman" w:cs="Times New Roman"/>
          <w:sz w:val="24"/>
          <w:szCs w:val="24"/>
        </w:rPr>
        <w:t xml:space="preserve">rinkoje </w:t>
      </w:r>
      <w:r w:rsidR="00F624F2" w:rsidRPr="00A91E83">
        <w:rPr>
          <w:rFonts w:ascii="Times New Roman" w:hAnsi="Times New Roman" w:cs="Times New Roman"/>
          <w:sz w:val="24"/>
          <w:szCs w:val="24"/>
        </w:rPr>
        <w:t>nukrito</w:t>
      </w:r>
      <w:r w:rsidRPr="00A91E83">
        <w:rPr>
          <w:rFonts w:ascii="Times New Roman" w:hAnsi="Times New Roman" w:cs="Times New Roman"/>
          <w:sz w:val="24"/>
          <w:szCs w:val="24"/>
        </w:rPr>
        <w:t>. Abi</w:t>
      </w:r>
      <w:r w:rsidR="000D53C6" w:rsidRPr="00A91E83">
        <w:rPr>
          <w:rFonts w:ascii="Times New Roman" w:hAnsi="Times New Roman" w:cs="Times New Roman"/>
          <w:sz w:val="24"/>
          <w:szCs w:val="24"/>
        </w:rPr>
        <w:t>ems šalims gal</w:t>
      </w:r>
      <w:r w:rsidR="00525EBF" w:rsidRPr="00A91E83">
        <w:rPr>
          <w:rFonts w:ascii="Times New Roman" w:hAnsi="Times New Roman" w:cs="Times New Roman"/>
          <w:sz w:val="24"/>
          <w:szCs w:val="24"/>
        </w:rPr>
        <w:t>i</w:t>
      </w:r>
      <w:r w:rsidR="000D53C6" w:rsidRPr="00A91E83">
        <w:rPr>
          <w:rFonts w:ascii="Times New Roman" w:hAnsi="Times New Roman" w:cs="Times New Roman"/>
          <w:sz w:val="24"/>
          <w:szCs w:val="24"/>
        </w:rPr>
        <w:t xml:space="preserve"> tekti</w:t>
      </w:r>
      <w:r w:rsidRPr="00A91E83">
        <w:rPr>
          <w:rFonts w:ascii="Times New Roman" w:hAnsi="Times New Roman" w:cs="Times New Roman"/>
          <w:sz w:val="24"/>
          <w:szCs w:val="24"/>
        </w:rPr>
        <w:t xml:space="preserve"> mokėti, atsižvelgiant į </w:t>
      </w:r>
      <w:r w:rsidR="006D4E12" w:rsidRPr="00A91E83">
        <w:rPr>
          <w:rFonts w:ascii="Times New Roman" w:hAnsi="Times New Roman" w:cs="Times New Roman"/>
          <w:sz w:val="24"/>
          <w:szCs w:val="24"/>
        </w:rPr>
        <w:t xml:space="preserve">pakitusią </w:t>
      </w:r>
      <w:r w:rsidRPr="00A91E83">
        <w:rPr>
          <w:rFonts w:ascii="Times New Roman" w:hAnsi="Times New Roman" w:cs="Times New Roman"/>
          <w:sz w:val="24"/>
          <w:szCs w:val="24"/>
        </w:rPr>
        <w:t>sandorio vertę rinkoje. Pagrindinio susitarimo nuostolių / pelno nustatymo metodika atspindi pagrindinius sutartinės atsakomybės principus. Nuostoliai dėl sandorio pažeidimo yra tokie, kurie natūraliai kyla dėl pažeidimo ir kiti nuostoliai, kurie specialiai buvo aptarti sutartyje, atsižvelgiant į tai, kad moki šalis turi pareigą stengtis sumažinti kylančius nuostolius ir neįtraukti tų nuostolių, kurie yra pernelyg nutolę.</w:t>
      </w:r>
      <w:r w:rsidRPr="00A91E83">
        <w:rPr>
          <w:rStyle w:val="Puslapioinaosnuoroda"/>
          <w:rFonts w:ascii="Times New Roman" w:hAnsi="Times New Roman" w:cs="Times New Roman"/>
          <w:sz w:val="24"/>
          <w:szCs w:val="24"/>
        </w:rPr>
        <w:footnoteReference w:id="164"/>
      </w:r>
      <w:r w:rsidR="006A1172" w:rsidRPr="00A91E83">
        <w:rPr>
          <w:rFonts w:ascii="Times New Roman" w:hAnsi="Times New Roman" w:cs="Times New Roman"/>
          <w:sz w:val="24"/>
          <w:szCs w:val="24"/>
        </w:rPr>
        <w:t xml:space="preserve"> Baigiamosios užskaito</w:t>
      </w:r>
      <w:r w:rsidR="006D4E12" w:rsidRPr="00A91E83">
        <w:rPr>
          <w:rFonts w:ascii="Times New Roman" w:hAnsi="Times New Roman" w:cs="Times New Roman"/>
          <w:sz w:val="24"/>
          <w:szCs w:val="24"/>
        </w:rPr>
        <w:t>s mokėtina suma yra kaina, kurią</w:t>
      </w:r>
      <w:r w:rsidR="006A1172" w:rsidRPr="00A91E83">
        <w:rPr>
          <w:rFonts w:ascii="Times New Roman" w:hAnsi="Times New Roman" w:cs="Times New Roman"/>
          <w:sz w:val="24"/>
          <w:szCs w:val="24"/>
        </w:rPr>
        <w:t xml:space="preserve"> reikia sumokėti siekiant pakeisti analogišku sandoriu rinkoje, </w:t>
      </w:r>
      <w:r w:rsidR="008C26F1" w:rsidRPr="00A91E83">
        <w:rPr>
          <w:rFonts w:ascii="Times New Roman" w:hAnsi="Times New Roman" w:cs="Times New Roman"/>
          <w:sz w:val="24"/>
          <w:szCs w:val="24"/>
        </w:rPr>
        <w:t>t. y.</w:t>
      </w:r>
      <w:r w:rsidR="006A1172" w:rsidRPr="00A91E83">
        <w:rPr>
          <w:rFonts w:ascii="Times New Roman" w:hAnsi="Times New Roman" w:cs="Times New Roman"/>
          <w:sz w:val="24"/>
          <w:szCs w:val="24"/>
        </w:rPr>
        <w:t xml:space="preserve"> ekonominiu ekvivalentu. </w:t>
      </w:r>
      <w:proofErr w:type="spellStart"/>
      <w:r w:rsidR="006A1172" w:rsidRPr="00A91E83">
        <w:rPr>
          <w:rFonts w:ascii="Times New Roman" w:hAnsi="Times New Roman" w:cs="Times New Roman"/>
          <w:sz w:val="24"/>
          <w:szCs w:val="24"/>
        </w:rPr>
        <w:t>Pvz</w:t>
      </w:r>
      <w:proofErr w:type="spellEnd"/>
      <w:r w:rsidR="006A1172" w:rsidRPr="00A91E83">
        <w:rPr>
          <w:rFonts w:ascii="Times New Roman" w:hAnsi="Times New Roman" w:cs="Times New Roman"/>
          <w:sz w:val="24"/>
          <w:szCs w:val="24"/>
        </w:rPr>
        <w:t xml:space="preserve">.: </w:t>
      </w:r>
      <w:r w:rsidR="00AE670F" w:rsidRPr="00A91E83">
        <w:rPr>
          <w:rFonts w:ascii="Times New Roman" w:hAnsi="Times New Roman" w:cs="Times New Roman"/>
          <w:sz w:val="24"/>
          <w:szCs w:val="24"/>
        </w:rPr>
        <w:t>sudarant užsienio valiutų apsikeitimo sandorį, kai pirmoji sandorio dalis (užsienio valiutos pakei</w:t>
      </w:r>
      <w:r w:rsidR="007819B8" w:rsidRPr="00A91E83">
        <w:rPr>
          <w:rFonts w:ascii="Times New Roman" w:hAnsi="Times New Roman" w:cs="Times New Roman"/>
          <w:sz w:val="24"/>
          <w:szCs w:val="24"/>
        </w:rPr>
        <w:t>timas nedelsiamuoju kursu</w:t>
      </w:r>
      <w:r w:rsidR="00AE670F" w:rsidRPr="00A91E83">
        <w:rPr>
          <w:rFonts w:ascii="Times New Roman" w:hAnsi="Times New Roman" w:cs="Times New Roman"/>
          <w:sz w:val="24"/>
          <w:szCs w:val="24"/>
        </w:rPr>
        <w:t>) įvyko, o antroji dalis (atsikeitimas užsienio valiutos tarp šalių</w:t>
      </w:r>
      <w:r w:rsidR="007819B8" w:rsidRPr="00A91E83">
        <w:rPr>
          <w:rFonts w:ascii="Times New Roman" w:hAnsi="Times New Roman" w:cs="Times New Roman"/>
          <w:sz w:val="24"/>
          <w:szCs w:val="24"/>
        </w:rPr>
        <w:t xml:space="preserve"> ateityje</w:t>
      </w:r>
      <w:r w:rsidR="00AE670F" w:rsidRPr="00A91E83">
        <w:rPr>
          <w:rFonts w:ascii="Times New Roman" w:hAnsi="Times New Roman" w:cs="Times New Roman"/>
          <w:sz w:val="24"/>
          <w:szCs w:val="24"/>
        </w:rPr>
        <w:t>) buvo sukliudyta bankroto procedūros, ta</w:t>
      </w:r>
      <w:r w:rsidR="00E904BD" w:rsidRPr="00A91E83">
        <w:rPr>
          <w:rFonts w:ascii="Times New Roman" w:hAnsi="Times New Roman" w:cs="Times New Roman"/>
          <w:sz w:val="24"/>
          <w:szCs w:val="24"/>
        </w:rPr>
        <w:t>i</w:t>
      </w:r>
      <w:r w:rsidR="00AE670F" w:rsidRPr="00A91E83">
        <w:rPr>
          <w:rFonts w:ascii="Times New Roman" w:hAnsi="Times New Roman" w:cs="Times New Roman"/>
          <w:sz w:val="24"/>
          <w:szCs w:val="24"/>
        </w:rPr>
        <w:t xml:space="preserve"> šalių nuostolių ar pelno įvertinimas bus nule</w:t>
      </w:r>
      <w:r w:rsidR="00E904BD" w:rsidRPr="00A91E83">
        <w:rPr>
          <w:rFonts w:ascii="Times New Roman" w:hAnsi="Times New Roman" w:cs="Times New Roman"/>
          <w:sz w:val="24"/>
          <w:szCs w:val="24"/>
        </w:rPr>
        <w:t xml:space="preserve">mtas dabartinės rinkos kainos. </w:t>
      </w:r>
      <w:r w:rsidR="00AE670F" w:rsidRPr="00A91E83">
        <w:rPr>
          <w:rFonts w:ascii="Times New Roman" w:hAnsi="Times New Roman" w:cs="Times New Roman"/>
          <w:sz w:val="24"/>
          <w:szCs w:val="24"/>
        </w:rPr>
        <w:t>Jeigu šalys ateityje turėjo atsikeisti</w:t>
      </w:r>
      <w:r w:rsidR="006A1172" w:rsidRPr="00A91E83">
        <w:rPr>
          <w:rFonts w:ascii="Times New Roman" w:hAnsi="Times New Roman" w:cs="Times New Roman"/>
          <w:sz w:val="24"/>
          <w:szCs w:val="24"/>
        </w:rPr>
        <w:t xml:space="preserve"> 100€ </w:t>
      </w:r>
      <w:r w:rsidR="00AE670F" w:rsidRPr="00A91E83">
        <w:rPr>
          <w:rFonts w:ascii="Times New Roman" w:hAnsi="Times New Roman" w:cs="Times New Roman"/>
          <w:sz w:val="24"/>
          <w:szCs w:val="24"/>
        </w:rPr>
        <w:t>į</w:t>
      </w:r>
      <w:r w:rsidR="006A1172" w:rsidRPr="00A91E83">
        <w:rPr>
          <w:rFonts w:ascii="Times New Roman" w:hAnsi="Times New Roman" w:cs="Times New Roman"/>
          <w:sz w:val="24"/>
          <w:szCs w:val="24"/>
        </w:rPr>
        <w:t xml:space="preserve"> 130$, tai jeigu dabar rinkoje tie patys 130$ kainuos 103€, tai sandorio pakeitimo nuostoliai bus 3€. Ir atvirkščiai, jeigu rinkoje 130$ kainuos 97€, tai šalies pelnas iš minėto sandorio bus lygus 3€.</w:t>
      </w:r>
      <w:r w:rsidR="00B528CF" w:rsidRPr="00A91E83">
        <w:rPr>
          <w:rFonts w:ascii="Times New Roman" w:hAnsi="Times New Roman" w:cs="Times New Roman"/>
          <w:sz w:val="24"/>
          <w:szCs w:val="24"/>
        </w:rPr>
        <w:t xml:space="preserve"> Nustatant konkrečius nuostolius / pelną šalys turi elgtis sąžiningai ir elgtis komerciškai </w:t>
      </w:r>
      <w:r w:rsidR="006D4E12" w:rsidRPr="00A91E83">
        <w:rPr>
          <w:rFonts w:ascii="Times New Roman" w:hAnsi="Times New Roman" w:cs="Times New Roman"/>
          <w:sz w:val="24"/>
          <w:szCs w:val="24"/>
        </w:rPr>
        <w:t>įprastu būdu</w:t>
      </w:r>
      <w:r w:rsidR="00B528CF" w:rsidRPr="00A91E83">
        <w:rPr>
          <w:rFonts w:ascii="Times New Roman" w:hAnsi="Times New Roman" w:cs="Times New Roman"/>
          <w:sz w:val="24"/>
          <w:szCs w:val="24"/>
        </w:rPr>
        <w:t>, kad būtų gautas ekonomiškai pagrįstas rezultatas.</w:t>
      </w:r>
      <w:r w:rsidR="003E30FB" w:rsidRPr="00A91E83">
        <w:rPr>
          <w:rFonts w:ascii="Times New Roman" w:hAnsi="Times New Roman" w:cs="Times New Roman"/>
          <w:sz w:val="24"/>
          <w:szCs w:val="24"/>
        </w:rPr>
        <w:t xml:space="preserve"> Turi būti atsiž</w:t>
      </w:r>
      <w:r w:rsidR="006D4E12" w:rsidRPr="00A91E83">
        <w:rPr>
          <w:rFonts w:ascii="Times New Roman" w:hAnsi="Times New Roman" w:cs="Times New Roman"/>
          <w:sz w:val="24"/>
          <w:szCs w:val="24"/>
        </w:rPr>
        <w:t>velgiama į rinkos indeksus, kitą</w:t>
      </w:r>
      <w:r w:rsidR="003E30FB" w:rsidRPr="00A91E83">
        <w:rPr>
          <w:rFonts w:ascii="Times New Roman" w:hAnsi="Times New Roman" w:cs="Times New Roman"/>
          <w:sz w:val="24"/>
          <w:szCs w:val="24"/>
        </w:rPr>
        <w:t xml:space="preserve"> rinkoje aktualią informaciją, kad prašoma kompensacija nesiskirtų nuo įprasto reikalaujamo nuostolių rezultato pagal sutartinės atsakomybės principus.</w:t>
      </w:r>
      <w:r w:rsidR="000929F1" w:rsidRPr="00A91E83">
        <w:rPr>
          <w:rFonts w:ascii="Times New Roman" w:hAnsi="Times New Roman" w:cs="Times New Roman"/>
          <w:sz w:val="24"/>
          <w:szCs w:val="24"/>
        </w:rPr>
        <w:t xml:space="preserve"> Svarbu paminėti, kad nuostolių / pelno apskaičiavimo diena yra laikoma diena, kada buvo nutrauktas sandoris.</w:t>
      </w:r>
      <w:r w:rsidR="006D4E12" w:rsidRPr="00A91E83">
        <w:rPr>
          <w:rFonts w:ascii="Times New Roman" w:hAnsi="Times New Roman" w:cs="Times New Roman"/>
          <w:sz w:val="24"/>
          <w:szCs w:val="24"/>
        </w:rPr>
        <w:t xml:space="preserve"> </w:t>
      </w:r>
      <w:r w:rsidR="00AC2676" w:rsidRPr="00A91E83">
        <w:rPr>
          <w:rFonts w:ascii="Times New Roman" w:hAnsi="Times New Roman" w:cs="Times New Roman"/>
          <w:sz w:val="24"/>
          <w:szCs w:val="24"/>
        </w:rPr>
        <w:t xml:space="preserve">Pabaigoje įsipareigojimai šalių atžvilgiu yra konvertuojami į vieną šalių pasirinktą valiutą. Šalys yra laisvos Priede </w:t>
      </w:r>
      <w:r w:rsidR="00D71612" w:rsidRPr="00A91E83">
        <w:rPr>
          <w:rFonts w:ascii="Times New Roman" w:hAnsi="Times New Roman" w:cs="Times New Roman"/>
          <w:sz w:val="24"/>
          <w:szCs w:val="24"/>
        </w:rPr>
        <w:t>nustatyti atsiskaitymo valiutą.</w:t>
      </w:r>
    </w:p>
    <w:p w:rsidR="007840C1" w:rsidRPr="00A91E83" w:rsidRDefault="007840C1" w:rsidP="007840C1">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Visas apskaičiavimas privalo būti atliekamas kaip įmanoma greičiau po sandorių nutraukimo.</w:t>
      </w:r>
      <w:r w:rsidR="006D4E12" w:rsidRPr="00A91E83">
        <w:rPr>
          <w:rStyle w:val="Puslapioinaosnuoroda"/>
          <w:rFonts w:ascii="Times New Roman" w:hAnsi="Times New Roman" w:cs="Times New Roman"/>
          <w:sz w:val="24"/>
          <w:szCs w:val="24"/>
        </w:rPr>
        <w:footnoteReference w:id="165"/>
      </w:r>
      <w:r w:rsidRPr="00A91E83">
        <w:rPr>
          <w:rFonts w:ascii="Times New Roman" w:hAnsi="Times New Roman" w:cs="Times New Roman"/>
          <w:sz w:val="24"/>
          <w:szCs w:val="24"/>
        </w:rPr>
        <w:t xml:space="preserve"> Apskaičiavimą</w:t>
      </w:r>
      <w:r w:rsidR="004A309B" w:rsidRPr="00A91E83">
        <w:rPr>
          <w:rFonts w:ascii="Times New Roman" w:hAnsi="Times New Roman" w:cs="Times New Roman"/>
          <w:sz w:val="24"/>
          <w:szCs w:val="24"/>
        </w:rPr>
        <w:t xml:space="preserve"> dažniausiai atliks</w:t>
      </w:r>
      <w:r w:rsidRPr="00A91E83">
        <w:rPr>
          <w:rFonts w:ascii="Times New Roman" w:hAnsi="Times New Roman" w:cs="Times New Roman"/>
          <w:sz w:val="24"/>
          <w:szCs w:val="24"/>
        </w:rPr>
        <w:t xml:space="preserve"> viena iš šalių</w:t>
      </w:r>
      <w:r w:rsidR="00EA5567" w:rsidRPr="00A91E83">
        <w:rPr>
          <w:rFonts w:ascii="Times New Roman" w:hAnsi="Times New Roman" w:cs="Times New Roman"/>
          <w:sz w:val="24"/>
          <w:szCs w:val="24"/>
        </w:rPr>
        <w:t xml:space="preserve">, o aktyvavus bankroto sąlygą, tai dažniausiai </w:t>
      </w:r>
      <w:r w:rsidR="00346A34" w:rsidRPr="00A91E83">
        <w:rPr>
          <w:rFonts w:ascii="Times New Roman" w:hAnsi="Times New Roman" w:cs="Times New Roman"/>
          <w:sz w:val="24"/>
          <w:szCs w:val="24"/>
        </w:rPr>
        <w:t>atliks moki šalis.</w:t>
      </w:r>
      <w:r w:rsidR="00346A34" w:rsidRPr="00A91E83">
        <w:rPr>
          <w:rStyle w:val="Puslapioinaosnuoroda"/>
          <w:rFonts w:ascii="Times New Roman" w:hAnsi="Times New Roman" w:cs="Times New Roman"/>
          <w:sz w:val="24"/>
          <w:szCs w:val="24"/>
        </w:rPr>
        <w:footnoteReference w:id="166"/>
      </w:r>
      <w:r w:rsidRPr="00A91E83">
        <w:rPr>
          <w:rFonts w:ascii="Times New Roman" w:hAnsi="Times New Roman" w:cs="Times New Roman"/>
          <w:sz w:val="24"/>
          <w:szCs w:val="24"/>
        </w:rPr>
        <w:t xml:space="preserve"> Nuostolių / pelno apskaičiavimą bei duomenis, kuriais buvo remtasi nustatant mokėjimo sumas įpareigota šalis persiunčia kontrahentui.</w:t>
      </w:r>
      <w:r w:rsidR="006F2959" w:rsidRPr="00A91E83">
        <w:rPr>
          <w:rStyle w:val="Puslapioinaosnuoroda"/>
          <w:rFonts w:ascii="Times New Roman" w:hAnsi="Times New Roman" w:cs="Times New Roman"/>
          <w:sz w:val="24"/>
          <w:szCs w:val="24"/>
        </w:rPr>
        <w:footnoteReference w:id="167"/>
      </w:r>
      <w:r w:rsidRPr="00A91E83">
        <w:rPr>
          <w:rFonts w:ascii="Times New Roman" w:hAnsi="Times New Roman" w:cs="Times New Roman"/>
          <w:sz w:val="24"/>
          <w:szCs w:val="24"/>
        </w:rPr>
        <w:t xml:space="preserve"> Vėliau šalys </w:t>
      </w:r>
      <w:r w:rsidRPr="00A91E83">
        <w:rPr>
          <w:rFonts w:ascii="Times New Roman" w:hAnsi="Times New Roman" w:cs="Times New Roman"/>
          <w:sz w:val="24"/>
          <w:szCs w:val="24"/>
        </w:rPr>
        <w:lastRenderedPageBreak/>
        <w:t>patvirtina, kad tai pagrįstas apskaičiavimas ir jokie tolimesni nuostoliai nebus kompensuojami, o apskaičiuoti nuostoliai nebus suprantami kaip bauda.</w:t>
      </w:r>
      <w:r w:rsidR="006F2959" w:rsidRPr="00A91E83">
        <w:rPr>
          <w:rStyle w:val="Puslapioinaosnuoroda"/>
          <w:rFonts w:ascii="Times New Roman" w:hAnsi="Times New Roman" w:cs="Times New Roman"/>
          <w:sz w:val="24"/>
          <w:szCs w:val="24"/>
        </w:rPr>
        <w:footnoteReference w:id="168"/>
      </w:r>
    </w:p>
    <w:p w:rsidR="00264A1E" w:rsidRPr="00A91E83" w:rsidRDefault="00264A1E" w:rsidP="007840C1">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b/>
          <w:sz w:val="24"/>
          <w:szCs w:val="24"/>
        </w:rPr>
        <w:t>Galutinio mokėjimo nustatymas</w:t>
      </w:r>
      <w:r w:rsidRPr="00A91E83">
        <w:rPr>
          <w:rFonts w:ascii="Times New Roman" w:hAnsi="Times New Roman" w:cs="Times New Roman"/>
          <w:sz w:val="24"/>
          <w:szCs w:val="24"/>
        </w:rPr>
        <w:t xml:space="preserve">. </w:t>
      </w:r>
      <w:r w:rsidR="00F3612A" w:rsidRPr="00A91E83">
        <w:rPr>
          <w:rFonts w:ascii="Times New Roman" w:hAnsi="Times New Roman" w:cs="Times New Roman"/>
          <w:sz w:val="24"/>
          <w:szCs w:val="24"/>
        </w:rPr>
        <w:t>Nustačius priešprie</w:t>
      </w:r>
      <w:r w:rsidR="004C1635" w:rsidRPr="00A91E83">
        <w:rPr>
          <w:rFonts w:ascii="Times New Roman" w:hAnsi="Times New Roman" w:cs="Times New Roman"/>
          <w:sz w:val="24"/>
          <w:szCs w:val="24"/>
        </w:rPr>
        <w:t>šinius mokėjimo įsipareigojimus</w:t>
      </w:r>
      <w:r w:rsidR="00F3612A" w:rsidRPr="00A91E83">
        <w:rPr>
          <w:rFonts w:ascii="Times New Roman" w:hAnsi="Times New Roman" w:cs="Times New Roman"/>
          <w:sz w:val="24"/>
          <w:szCs w:val="24"/>
        </w:rPr>
        <w:t xml:space="preserve"> ir (ar) sujungiant įsipareigojimus</w:t>
      </w:r>
      <w:r w:rsidR="00C07789" w:rsidRPr="00A91E83">
        <w:rPr>
          <w:rFonts w:ascii="Times New Roman" w:hAnsi="Times New Roman" w:cs="Times New Roman"/>
          <w:sz w:val="24"/>
          <w:szCs w:val="24"/>
        </w:rPr>
        <w:t>,</w:t>
      </w:r>
      <w:r w:rsidR="00F3612A" w:rsidRPr="00A91E83">
        <w:rPr>
          <w:rFonts w:ascii="Times New Roman" w:hAnsi="Times New Roman" w:cs="Times New Roman"/>
          <w:sz w:val="24"/>
          <w:szCs w:val="24"/>
        </w:rPr>
        <w:t xml:space="preserve"> atsiradusius nustačius sandorio pakeitimo kainą</w:t>
      </w:r>
      <w:r w:rsidR="00C07789" w:rsidRPr="00A91E83">
        <w:rPr>
          <w:rFonts w:ascii="Times New Roman" w:hAnsi="Times New Roman" w:cs="Times New Roman"/>
          <w:sz w:val="24"/>
          <w:szCs w:val="24"/>
        </w:rPr>
        <w:t xml:space="preserve"> ar kitu būdu įvertinus įsipareigojimų vertę,</w:t>
      </w:r>
      <w:r w:rsidR="00F3612A" w:rsidRPr="00A91E83">
        <w:rPr>
          <w:rFonts w:ascii="Times New Roman" w:hAnsi="Times New Roman" w:cs="Times New Roman"/>
          <w:sz w:val="24"/>
          <w:szCs w:val="24"/>
        </w:rPr>
        <w:t xml:space="preserve"> gaunamas galutinis balansas. </w:t>
      </w:r>
      <w:r w:rsidRPr="00A91E83">
        <w:rPr>
          <w:rFonts w:ascii="Times New Roman" w:hAnsi="Times New Roman" w:cs="Times New Roman"/>
          <w:sz w:val="24"/>
          <w:szCs w:val="24"/>
        </w:rPr>
        <w:t>Kaip jau aptarta, ISDA formų kombinavimas</w:t>
      </w:r>
      <w:r w:rsidR="00C07789" w:rsidRPr="00A91E83">
        <w:rPr>
          <w:rFonts w:ascii="Times New Roman" w:hAnsi="Times New Roman" w:cs="Times New Roman"/>
          <w:sz w:val="24"/>
          <w:szCs w:val="24"/>
        </w:rPr>
        <w:t>,</w:t>
      </w:r>
      <w:r w:rsidRPr="00A91E83">
        <w:rPr>
          <w:rFonts w:ascii="Times New Roman" w:hAnsi="Times New Roman" w:cs="Times New Roman"/>
          <w:sz w:val="24"/>
          <w:szCs w:val="24"/>
        </w:rPr>
        <w:t xml:space="preserve"> išlaikant vienos sutarties koncepciją</w:t>
      </w:r>
      <w:r w:rsidR="00C07789" w:rsidRPr="00A91E83">
        <w:rPr>
          <w:rFonts w:ascii="Times New Roman" w:hAnsi="Times New Roman" w:cs="Times New Roman"/>
          <w:sz w:val="24"/>
          <w:szCs w:val="24"/>
        </w:rPr>
        <w:t>,</w:t>
      </w:r>
      <w:r w:rsidRPr="00A91E83">
        <w:rPr>
          <w:rFonts w:ascii="Times New Roman" w:hAnsi="Times New Roman" w:cs="Times New Roman"/>
          <w:sz w:val="24"/>
          <w:szCs w:val="24"/>
        </w:rPr>
        <w:t xml:space="preserve"> </w:t>
      </w:r>
      <w:r w:rsidR="007120DF" w:rsidRPr="00A91E83">
        <w:rPr>
          <w:rFonts w:ascii="Times New Roman" w:hAnsi="Times New Roman" w:cs="Times New Roman"/>
          <w:sz w:val="24"/>
          <w:szCs w:val="24"/>
        </w:rPr>
        <w:t xml:space="preserve">sustiprina baigiamosios užskaitos efektą, nes galima apskaičiuoti mokėtiną sumą įtraukiant ne tik priešpriešinius mokėjimus kylančius iš to paties sandorio, bet ir kitus tarp šalių sudarytus sandorius, kurie dėl novacijos buvo sujungti į vieną sandorį. </w:t>
      </w:r>
      <w:r w:rsidR="00686662" w:rsidRPr="00A91E83">
        <w:rPr>
          <w:rFonts w:ascii="Times New Roman" w:hAnsi="Times New Roman" w:cs="Times New Roman"/>
          <w:sz w:val="24"/>
          <w:szCs w:val="24"/>
        </w:rPr>
        <w:t>Lietuvos teisės atžvilgiu, tokiu būdu įvykdyta novacija yra laikoma įprasta ir leidžiama procedūra.</w:t>
      </w:r>
      <w:r w:rsidR="002F5962" w:rsidRPr="00A91E83">
        <w:rPr>
          <w:rStyle w:val="Puslapioinaosnuoroda"/>
          <w:rFonts w:ascii="Times New Roman" w:hAnsi="Times New Roman" w:cs="Times New Roman"/>
          <w:sz w:val="24"/>
          <w:szCs w:val="24"/>
        </w:rPr>
        <w:footnoteReference w:id="169"/>
      </w:r>
      <w:r w:rsidR="00686662" w:rsidRPr="00A91E83">
        <w:rPr>
          <w:rFonts w:ascii="Times New Roman" w:hAnsi="Times New Roman" w:cs="Times New Roman"/>
          <w:sz w:val="24"/>
          <w:szCs w:val="24"/>
        </w:rPr>
        <w:t xml:space="preserve"> </w:t>
      </w:r>
      <w:r w:rsidRPr="00A91E83">
        <w:rPr>
          <w:rFonts w:ascii="Times New Roman" w:hAnsi="Times New Roman" w:cs="Times New Roman"/>
          <w:sz w:val="24"/>
          <w:szCs w:val="24"/>
        </w:rPr>
        <w:t xml:space="preserve">Taigi visi </w:t>
      </w:r>
      <w:r w:rsidR="007120DF" w:rsidRPr="00A91E83">
        <w:rPr>
          <w:rFonts w:ascii="Times New Roman" w:hAnsi="Times New Roman" w:cs="Times New Roman"/>
          <w:sz w:val="24"/>
          <w:szCs w:val="24"/>
        </w:rPr>
        <w:t>priešpriešiniai mokėjimai (</w:t>
      </w:r>
      <w:proofErr w:type="spellStart"/>
      <w:r w:rsidR="007120DF" w:rsidRPr="00A91E83">
        <w:rPr>
          <w:rFonts w:ascii="Times New Roman" w:hAnsi="Times New Roman" w:cs="Times New Roman"/>
          <w:sz w:val="24"/>
          <w:szCs w:val="24"/>
        </w:rPr>
        <w:t>pvz</w:t>
      </w:r>
      <w:proofErr w:type="spellEnd"/>
      <w:r w:rsidR="007120DF" w:rsidRPr="00A91E83">
        <w:rPr>
          <w:rFonts w:ascii="Times New Roman" w:hAnsi="Times New Roman" w:cs="Times New Roman"/>
          <w:sz w:val="24"/>
          <w:szCs w:val="24"/>
        </w:rPr>
        <w:t xml:space="preserve">.: pagal palūkanų apsikeitimo sandorį) ir (ar) </w:t>
      </w:r>
      <w:r w:rsidR="006348FC" w:rsidRPr="00A91E83">
        <w:rPr>
          <w:rFonts w:ascii="Times New Roman" w:hAnsi="Times New Roman" w:cs="Times New Roman"/>
          <w:sz w:val="24"/>
          <w:szCs w:val="24"/>
        </w:rPr>
        <w:t>pakeitimo kaina,</w:t>
      </w:r>
      <w:r w:rsidRPr="00A91E83">
        <w:rPr>
          <w:rFonts w:ascii="Times New Roman" w:hAnsi="Times New Roman" w:cs="Times New Roman"/>
          <w:sz w:val="24"/>
          <w:szCs w:val="24"/>
        </w:rPr>
        <w:t xml:space="preserve"> </w:t>
      </w:r>
      <w:r w:rsidR="006348FC" w:rsidRPr="00A91E83">
        <w:rPr>
          <w:rFonts w:ascii="Times New Roman" w:hAnsi="Times New Roman" w:cs="Times New Roman"/>
          <w:sz w:val="24"/>
          <w:szCs w:val="24"/>
        </w:rPr>
        <w:t>apskaičiuota</w:t>
      </w:r>
      <w:r w:rsidR="007120DF" w:rsidRPr="00A91E83">
        <w:rPr>
          <w:rFonts w:ascii="Times New Roman" w:hAnsi="Times New Roman" w:cs="Times New Roman"/>
          <w:sz w:val="24"/>
          <w:szCs w:val="24"/>
        </w:rPr>
        <w:t xml:space="preserve"> </w:t>
      </w:r>
      <w:r w:rsidRPr="00A91E83">
        <w:rPr>
          <w:rFonts w:ascii="Times New Roman" w:hAnsi="Times New Roman" w:cs="Times New Roman"/>
          <w:sz w:val="24"/>
          <w:szCs w:val="24"/>
        </w:rPr>
        <w:t xml:space="preserve">kiekvieno </w:t>
      </w:r>
      <w:r w:rsidR="001C5F37" w:rsidRPr="00A91E83">
        <w:rPr>
          <w:rFonts w:ascii="Times New Roman" w:hAnsi="Times New Roman" w:cs="Times New Roman"/>
          <w:sz w:val="24"/>
          <w:szCs w:val="24"/>
        </w:rPr>
        <w:t xml:space="preserve">kito </w:t>
      </w:r>
      <w:r w:rsidRPr="00A91E83">
        <w:rPr>
          <w:rFonts w:ascii="Times New Roman" w:hAnsi="Times New Roman" w:cs="Times New Roman"/>
          <w:sz w:val="24"/>
          <w:szCs w:val="24"/>
        </w:rPr>
        <w:t xml:space="preserve">sandorio </w:t>
      </w:r>
      <w:r w:rsidR="001C5F37" w:rsidRPr="00A91E83">
        <w:rPr>
          <w:rFonts w:ascii="Times New Roman" w:hAnsi="Times New Roman" w:cs="Times New Roman"/>
          <w:sz w:val="24"/>
          <w:szCs w:val="24"/>
        </w:rPr>
        <w:t>(</w:t>
      </w:r>
      <w:proofErr w:type="spellStart"/>
      <w:r w:rsidR="001C5F37" w:rsidRPr="00A91E83">
        <w:rPr>
          <w:rFonts w:ascii="Times New Roman" w:hAnsi="Times New Roman" w:cs="Times New Roman"/>
          <w:sz w:val="24"/>
          <w:szCs w:val="24"/>
        </w:rPr>
        <w:t>pvz</w:t>
      </w:r>
      <w:proofErr w:type="spellEnd"/>
      <w:r w:rsidR="001C5F37" w:rsidRPr="00A91E83">
        <w:rPr>
          <w:rFonts w:ascii="Times New Roman" w:hAnsi="Times New Roman" w:cs="Times New Roman"/>
          <w:sz w:val="24"/>
          <w:szCs w:val="24"/>
        </w:rPr>
        <w:t>.: užsienio valiutos apsikeitimo sandorio) atžvilgiu</w:t>
      </w:r>
      <w:r w:rsidR="006348FC" w:rsidRPr="00A91E83">
        <w:rPr>
          <w:rFonts w:ascii="Times New Roman" w:hAnsi="Times New Roman" w:cs="Times New Roman"/>
          <w:sz w:val="24"/>
          <w:szCs w:val="24"/>
        </w:rPr>
        <w:t>,</w:t>
      </w:r>
      <w:r w:rsidR="007120DF" w:rsidRPr="00A91E83">
        <w:rPr>
          <w:rFonts w:ascii="Times New Roman" w:hAnsi="Times New Roman" w:cs="Times New Roman"/>
          <w:sz w:val="24"/>
          <w:szCs w:val="24"/>
        </w:rPr>
        <w:t xml:space="preserve"> sujungiami</w:t>
      </w:r>
      <w:r w:rsidRPr="00A91E83">
        <w:rPr>
          <w:rFonts w:ascii="Times New Roman" w:hAnsi="Times New Roman" w:cs="Times New Roman"/>
          <w:sz w:val="24"/>
          <w:szCs w:val="24"/>
        </w:rPr>
        <w:t xml:space="preserve"> ir bendrą sumą ir taip nustatoma, kuri šalis ir kiek turi sumokėti.</w:t>
      </w:r>
      <w:r w:rsidR="00A213FF" w:rsidRPr="00A91E83">
        <w:rPr>
          <w:rFonts w:ascii="Times New Roman" w:hAnsi="Times New Roman" w:cs="Times New Roman"/>
          <w:sz w:val="24"/>
          <w:szCs w:val="24"/>
        </w:rPr>
        <w:t xml:space="preserve"> </w:t>
      </w:r>
      <w:r w:rsidR="007120DF" w:rsidRPr="00A91E83">
        <w:rPr>
          <w:rFonts w:ascii="Times New Roman" w:hAnsi="Times New Roman" w:cs="Times New Roman"/>
          <w:sz w:val="24"/>
          <w:szCs w:val="24"/>
        </w:rPr>
        <w:t>Efektas sukuriamas toks, kad p</w:t>
      </w:r>
      <w:r w:rsidR="00A213FF" w:rsidRPr="00A91E83">
        <w:rPr>
          <w:rFonts w:ascii="Times New Roman" w:hAnsi="Times New Roman" w:cs="Times New Roman"/>
          <w:sz w:val="24"/>
          <w:szCs w:val="24"/>
        </w:rPr>
        <w:t>abaigoje atliekamas tik vienas mokėjimas ir tik vienos šalies.</w:t>
      </w:r>
    </w:p>
    <w:p w:rsidR="00B542FA" w:rsidRPr="00A91E83" w:rsidRDefault="00B542FA" w:rsidP="007840C1">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Mūsų tyrimo ribose finansinis užstatas, kuris yra perduodamas kaip prievolių įvykdymo užtikrinimas yra itin svarbus</w:t>
      </w:r>
      <w:r w:rsidR="0074434B" w:rsidRPr="00A91E83">
        <w:rPr>
          <w:rFonts w:ascii="Times New Roman" w:hAnsi="Times New Roman" w:cs="Times New Roman"/>
          <w:sz w:val="24"/>
          <w:szCs w:val="24"/>
        </w:rPr>
        <w:t>, kaip viena iš priemonių, kuri naudojama</w:t>
      </w:r>
      <w:r w:rsidRPr="00A91E83">
        <w:rPr>
          <w:rFonts w:ascii="Times New Roman" w:hAnsi="Times New Roman" w:cs="Times New Roman"/>
          <w:sz w:val="24"/>
          <w:szCs w:val="24"/>
        </w:rPr>
        <w:t xml:space="preserve"> apskaičiuojant galutinę mokėtiną sumą baigiamosios užskaitos atveju, nes finansinis turtas yra vienas iš šaltinių, kurie bus naudojami nustatant kiek ir kuri šalis viena kitai skolinga. ISDA vienos sutarties koncepcijos dėka</w:t>
      </w:r>
      <w:r w:rsidR="00E14FB4" w:rsidRPr="00A91E83">
        <w:rPr>
          <w:rFonts w:ascii="Times New Roman" w:hAnsi="Times New Roman" w:cs="Times New Roman"/>
          <w:sz w:val="24"/>
          <w:szCs w:val="24"/>
        </w:rPr>
        <w:t>,</w:t>
      </w:r>
      <w:r w:rsidRPr="00A91E83">
        <w:rPr>
          <w:rFonts w:ascii="Times New Roman" w:hAnsi="Times New Roman" w:cs="Times New Roman"/>
          <w:sz w:val="24"/>
          <w:szCs w:val="24"/>
        </w:rPr>
        <w:t xml:space="preserve"> šalys gali įtraukti perduotą finansinį užstatą baigiamosios užskaitos trečiajame etape, </w:t>
      </w:r>
      <w:r w:rsidR="008C26F1" w:rsidRPr="00A91E83">
        <w:rPr>
          <w:rFonts w:ascii="Times New Roman" w:hAnsi="Times New Roman" w:cs="Times New Roman"/>
          <w:sz w:val="24"/>
          <w:szCs w:val="24"/>
        </w:rPr>
        <w:t>t. y.</w:t>
      </w:r>
      <w:r w:rsidRPr="00A91E83">
        <w:rPr>
          <w:rFonts w:ascii="Times New Roman" w:hAnsi="Times New Roman" w:cs="Times New Roman"/>
          <w:sz w:val="24"/>
          <w:szCs w:val="24"/>
        </w:rPr>
        <w:t xml:space="preserve"> kada yra susumuojami įsipareigojimai</w:t>
      </w:r>
      <w:r w:rsidR="00E14FB4" w:rsidRPr="00A91E83">
        <w:rPr>
          <w:rFonts w:ascii="Times New Roman" w:hAnsi="Times New Roman" w:cs="Times New Roman"/>
          <w:sz w:val="24"/>
          <w:szCs w:val="24"/>
        </w:rPr>
        <w:t>,</w:t>
      </w:r>
      <w:r w:rsidRPr="00A91E83">
        <w:rPr>
          <w:rFonts w:ascii="Times New Roman" w:hAnsi="Times New Roman" w:cs="Times New Roman"/>
          <w:sz w:val="24"/>
          <w:szCs w:val="24"/>
        </w:rPr>
        <w:t xml:space="preserve"> visų sandorių sudarytų tarp šalių Pagrindinio susitarimo atžvilgiu. </w:t>
      </w:r>
    </w:p>
    <w:p w:rsidR="00CC3446" w:rsidRPr="00A91E83" w:rsidRDefault="00CC3446" w:rsidP="00B46A53">
      <w:pPr>
        <w:pStyle w:val="Sraopastraipa"/>
        <w:tabs>
          <w:tab w:val="left" w:pos="851"/>
        </w:tabs>
        <w:spacing w:after="0" w:line="360" w:lineRule="auto"/>
        <w:ind w:left="0" w:firstLine="851"/>
        <w:jc w:val="both"/>
        <w:rPr>
          <w:rFonts w:ascii="Times New Roman" w:hAnsi="Times New Roman" w:cs="Times New Roman"/>
          <w:sz w:val="24"/>
          <w:szCs w:val="24"/>
        </w:rPr>
      </w:pPr>
    </w:p>
    <w:p w:rsidR="00B56369" w:rsidRPr="00A91E83" w:rsidRDefault="000473F5" w:rsidP="00F43A58">
      <w:pPr>
        <w:pStyle w:val="Sraopastraipa"/>
        <w:numPr>
          <w:ilvl w:val="2"/>
          <w:numId w:val="4"/>
        </w:numPr>
        <w:tabs>
          <w:tab w:val="left" w:pos="851"/>
        </w:tabs>
        <w:spacing w:after="0" w:line="360" w:lineRule="auto"/>
        <w:ind w:left="0" w:firstLine="0"/>
        <w:jc w:val="both"/>
        <w:outlineLvl w:val="2"/>
        <w:rPr>
          <w:rFonts w:ascii="Times New Roman" w:hAnsi="Times New Roman" w:cs="Times New Roman"/>
          <w:b/>
          <w:sz w:val="24"/>
          <w:szCs w:val="24"/>
        </w:rPr>
      </w:pPr>
      <w:bookmarkStart w:id="27" w:name="_Toc280546460"/>
      <w:r w:rsidRPr="00A91E83">
        <w:rPr>
          <w:rFonts w:ascii="Times New Roman" w:hAnsi="Times New Roman" w:cs="Times New Roman"/>
          <w:b/>
          <w:sz w:val="24"/>
          <w:szCs w:val="24"/>
        </w:rPr>
        <w:t>Pav</w:t>
      </w:r>
      <w:r w:rsidR="00FC36AC" w:rsidRPr="00A91E83">
        <w:rPr>
          <w:rFonts w:ascii="Times New Roman" w:hAnsi="Times New Roman" w:cs="Times New Roman"/>
          <w:b/>
          <w:sz w:val="24"/>
          <w:szCs w:val="24"/>
        </w:rPr>
        <w:t>i</w:t>
      </w:r>
      <w:r w:rsidRPr="00A91E83">
        <w:rPr>
          <w:rFonts w:ascii="Times New Roman" w:hAnsi="Times New Roman" w:cs="Times New Roman"/>
          <w:b/>
          <w:sz w:val="24"/>
          <w:szCs w:val="24"/>
        </w:rPr>
        <w:t>rtinimas</w:t>
      </w:r>
      <w:bookmarkEnd w:id="27"/>
    </w:p>
    <w:p w:rsidR="00B56369" w:rsidRPr="00A91E83" w:rsidRDefault="00B56369" w:rsidP="00B46A53">
      <w:pPr>
        <w:pStyle w:val="Sraopastraipa"/>
        <w:tabs>
          <w:tab w:val="left" w:pos="851"/>
        </w:tabs>
        <w:spacing w:after="0" w:line="360" w:lineRule="auto"/>
        <w:ind w:left="0" w:firstLine="851"/>
        <w:jc w:val="both"/>
        <w:rPr>
          <w:rFonts w:ascii="Times New Roman" w:hAnsi="Times New Roman" w:cs="Times New Roman"/>
          <w:sz w:val="24"/>
          <w:szCs w:val="24"/>
        </w:rPr>
      </w:pPr>
    </w:p>
    <w:p w:rsidR="00940E49" w:rsidRPr="00A91E83" w:rsidRDefault="005216BC" w:rsidP="00B46A53">
      <w:pPr>
        <w:pStyle w:val="Sraopastraipa"/>
        <w:tabs>
          <w:tab w:val="left" w:pos="851"/>
        </w:tabs>
        <w:spacing w:after="0" w:line="360" w:lineRule="auto"/>
        <w:ind w:left="0" w:firstLine="851"/>
        <w:jc w:val="both"/>
        <w:rPr>
          <w:rFonts w:ascii="Times New Roman" w:hAnsi="Times New Roman" w:cs="Times New Roman"/>
          <w:sz w:val="24"/>
          <w:szCs w:val="24"/>
        </w:rPr>
      </w:pPr>
      <w:r w:rsidRPr="00A91E83">
        <w:rPr>
          <w:rFonts w:ascii="Times New Roman" w:hAnsi="Times New Roman" w:cs="Times New Roman"/>
          <w:sz w:val="24"/>
          <w:szCs w:val="24"/>
        </w:rPr>
        <w:t>Patvir</w:t>
      </w:r>
      <w:r w:rsidR="00121657" w:rsidRPr="00A91E83">
        <w:rPr>
          <w:rFonts w:ascii="Times New Roman" w:hAnsi="Times New Roman" w:cs="Times New Roman"/>
          <w:sz w:val="24"/>
          <w:szCs w:val="24"/>
        </w:rPr>
        <w:t>tinimas yra dokumentas, kuriame šalys įrašo svarbiausius ekonominius terminus</w:t>
      </w:r>
      <w:r w:rsidR="007D5EC5" w:rsidRPr="00A91E83">
        <w:rPr>
          <w:rFonts w:ascii="Times New Roman" w:hAnsi="Times New Roman" w:cs="Times New Roman"/>
          <w:sz w:val="24"/>
          <w:szCs w:val="24"/>
        </w:rPr>
        <w:t>,</w:t>
      </w:r>
      <w:r w:rsidR="00121657" w:rsidRPr="00A91E83">
        <w:rPr>
          <w:rStyle w:val="Puslapioinaosnuoroda"/>
          <w:rFonts w:ascii="Times New Roman" w:hAnsi="Times New Roman" w:cs="Times New Roman"/>
          <w:sz w:val="24"/>
          <w:szCs w:val="24"/>
        </w:rPr>
        <w:footnoteReference w:id="170"/>
      </w:r>
      <w:r w:rsidR="00121657" w:rsidRPr="00A91E83">
        <w:rPr>
          <w:rFonts w:ascii="Times New Roman" w:hAnsi="Times New Roman" w:cs="Times New Roman"/>
          <w:sz w:val="24"/>
          <w:szCs w:val="24"/>
        </w:rPr>
        <w:t xml:space="preserve"> </w:t>
      </w:r>
      <w:r w:rsidR="008C26F1" w:rsidRPr="00A91E83">
        <w:rPr>
          <w:rFonts w:ascii="Times New Roman" w:hAnsi="Times New Roman" w:cs="Times New Roman"/>
          <w:sz w:val="24"/>
          <w:szCs w:val="24"/>
        </w:rPr>
        <w:t>t. y.</w:t>
      </w:r>
      <w:r w:rsidR="001653F3" w:rsidRPr="00A91E83">
        <w:rPr>
          <w:rFonts w:ascii="Times New Roman" w:hAnsi="Times New Roman" w:cs="Times New Roman"/>
          <w:sz w:val="24"/>
          <w:szCs w:val="24"/>
        </w:rPr>
        <w:t xml:space="preserve"> </w:t>
      </w:r>
      <w:r w:rsidR="00716825" w:rsidRPr="00A91E83">
        <w:rPr>
          <w:rFonts w:ascii="Times New Roman" w:hAnsi="Times New Roman" w:cs="Times New Roman"/>
          <w:sz w:val="24"/>
          <w:szCs w:val="24"/>
        </w:rPr>
        <w:t>nu</w:t>
      </w:r>
      <w:r w:rsidR="00121657" w:rsidRPr="00A91E83">
        <w:rPr>
          <w:rFonts w:ascii="Times New Roman" w:hAnsi="Times New Roman" w:cs="Times New Roman"/>
          <w:sz w:val="24"/>
          <w:szCs w:val="24"/>
        </w:rPr>
        <w:t>statomos</w:t>
      </w:r>
      <w:r w:rsidR="00716825" w:rsidRPr="00A91E83">
        <w:rPr>
          <w:rFonts w:ascii="Times New Roman" w:hAnsi="Times New Roman" w:cs="Times New Roman"/>
          <w:sz w:val="24"/>
          <w:szCs w:val="24"/>
        </w:rPr>
        <w:t xml:space="preserve"> sąlygos, kurios taikomos konkrečiam sandoriui. D</w:t>
      </w:r>
      <w:r w:rsidR="001653F3" w:rsidRPr="00A91E83">
        <w:rPr>
          <w:rFonts w:ascii="Times New Roman" w:hAnsi="Times New Roman" w:cs="Times New Roman"/>
          <w:sz w:val="24"/>
          <w:szCs w:val="24"/>
        </w:rPr>
        <w:t xml:space="preserve">ažniausiai identifikuojamos </w:t>
      </w:r>
      <w:r w:rsidR="008336B7" w:rsidRPr="00A91E83">
        <w:rPr>
          <w:rFonts w:ascii="Times New Roman" w:hAnsi="Times New Roman" w:cs="Times New Roman"/>
          <w:sz w:val="24"/>
          <w:szCs w:val="24"/>
        </w:rPr>
        <w:t xml:space="preserve">sandorio </w:t>
      </w:r>
      <w:r w:rsidR="001653F3" w:rsidRPr="00A91E83">
        <w:rPr>
          <w:rFonts w:ascii="Times New Roman" w:hAnsi="Times New Roman" w:cs="Times New Roman"/>
          <w:sz w:val="24"/>
          <w:szCs w:val="24"/>
        </w:rPr>
        <w:t xml:space="preserve">šalys, nurodomi galiojimo terminai, apibrėžiamos esminės </w:t>
      </w:r>
      <w:r w:rsidR="00E71D60" w:rsidRPr="00A91E83">
        <w:rPr>
          <w:rFonts w:ascii="Times New Roman" w:hAnsi="Times New Roman" w:cs="Times New Roman"/>
          <w:sz w:val="24"/>
          <w:szCs w:val="24"/>
        </w:rPr>
        <w:t xml:space="preserve">šalių teisės ir pareigos, </w:t>
      </w:r>
      <w:r w:rsidR="008C26F1" w:rsidRPr="00A91E83">
        <w:rPr>
          <w:rFonts w:ascii="Times New Roman" w:hAnsi="Times New Roman" w:cs="Times New Roman"/>
          <w:sz w:val="24"/>
          <w:szCs w:val="24"/>
        </w:rPr>
        <w:t>t. y.</w:t>
      </w:r>
      <w:r w:rsidR="007F17DF" w:rsidRPr="00A91E83">
        <w:rPr>
          <w:rFonts w:ascii="Times New Roman" w:hAnsi="Times New Roman" w:cs="Times New Roman"/>
          <w:sz w:val="24"/>
          <w:szCs w:val="24"/>
        </w:rPr>
        <w:t xml:space="preserve"> tam tikro sandorio </w:t>
      </w:r>
      <w:r w:rsidR="00392F41" w:rsidRPr="00A91E83">
        <w:rPr>
          <w:rFonts w:ascii="Times New Roman" w:hAnsi="Times New Roman" w:cs="Times New Roman"/>
          <w:sz w:val="24"/>
          <w:szCs w:val="24"/>
        </w:rPr>
        <w:t xml:space="preserve">dėl išvestinių finansinių priemonių </w:t>
      </w:r>
      <w:r w:rsidR="007F17DF" w:rsidRPr="00A91E83">
        <w:rPr>
          <w:rFonts w:ascii="Times New Roman" w:hAnsi="Times New Roman" w:cs="Times New Roman"/>
          <w:sz w:val="24"/>
          <w:szCs w:val="24"/>
        </w:rPr>
        <w:t>esminės sąlygos.</w:t>
      </w:r>
      <w:r w:rsidR="001653F3" w:rsidRPr="00A91E83">
        <w:rPr>
          <w:rFonts w:ascii="Times New Roman" w:hAnsi="Times New Roman" w:cs="Times New Roman"/>
          <w:sz w:val="24"/>
          <w:szCs w:val="24"/>
        </w:rPr>
        <w:t xml:space="preserve"> </w:t>
      </w:r>
      <w:r w:rsidRPr="00A91E83">
        <w:rPr>
          <w:rFonts w:ascii="Times New Roman" w:hAnsi="Times New Roman" w:cs="Times New Roman"/>
          <w:sz w:val="24"/>
          <w:szCs w:val="24"/>
        </w:rPr>
        <w:t>Kartais gali susidaryti situacija, kai šalys</w:t>
      </w:r>
      <w:r w:rsidR="00AC380F" w:rsidRPr="00A91E83">
        <w:rPr>
          <w:rFonts w:ascii="Times New Roman" w:hAnsi="Times New Roman" w:cs="Times New Roman"/>
          <w:sz w:val="24"/>
          <w:szCs w:val="24"/>
        </w:rPr>
        <w:t>,</w:t>
      </w:r>
      <w:r w:rsidRPr="00A91E83">
        <w:rPr>
          <w:rFonts w:ascii="Times New Roman" w:hAnsi="Times New Roman" w:cs="Times New Roman"/>
          <w:sz w:val="24"/>
          <w:szCs w:val="24"/>
        </w:rPr>
        <w:t xml:space="preserve"> neturėdamos </w:t>
      </w:r>
      <w:r w:rsidR="008336B7" w:rsidRPr="00A91E83">
        <w:rPr>
          <w:rFonts w:ascii="Times New Roman" w:hAnsi="Times New Roman" w:cs="Times New Roman"/>
          <w:sz w:val="24"/>
          <w:szCs w:val="24"/>
        </w:rPr>
        <w:t>P</w:t>
      </w:r>
      <w:r w:rsidR="00231B42" w:rsidRPr="00A91E83">
        <w:rPr>
          <w:rFonts w:ascii="Times New Roman" w:hAnsi="Times New Roman" w:cs="Times New Roman"/>
          <w:sz w:val="24"/>
          <w:szCs w:val="24"/>
        </w:rPr>
        <w:t>agrindinio</w:t>
      </w:r>
      <w:r w:rsidRPr="00A91E83">
        <w:rPr>
          <w:rFonts w:ascii="Times New Roman" w:hAnsi="Times New Roman" w:cs="Times New Roman"/>
          <w:sz w:val="24"/>
          <w:szCs w:val="24"/>
        </w:rPr>
        <w:t xml:space="preserve"> susitarimo</w:t>
      </w:r>
      <w:r w:rsidR="00AC380F" w:rsidRPr="00A91E83">
        <w:rPr>
          <w:rFonts w:ascii="Times New Roman" w:hAnsi="Times New Roman" w:cs="Times New Roman"/>
          <w:sz w:val="24"/>
          <w:szCs w:val="24"/>
        </w:rPr>
        <w:t>,</w:t>
      </w:r>
      <w:r w:rsidRPr="00A91E83">
        <w:rPr>
          <w:rFonts w:ascii="Times New Roman" w:hAnsi="Times New Roman" w:cs="Times New Roman"/>
          <w:sz w:val="24"/>
          <w:szCs w:val="24"/>
        </w:rPr>
        <w:t xml:space="preserve"> sudaro sandorį dėl išvestinių finansinių priemonių </w:t>
      </w:r>
      <w:r w:rsidR="008336B7" w:rsidRPr="00A91E83">
        <w:rPr>
          <w:rFonts w:ascii="Times New Roman" w:hAnsi="Times New Roman" w:cs="Times New Roman"/>
          <w:sz w:val="24"/>
          <w:szCs w:val="24"/>
        </w:rPr>
        <w:t>P</w:t>
      </w:r>
      <w:r w:rsidRPr="00A91E83">
        <w:rPr>
          <w:rFonts w:ascii="Times New Roman" w:hAnsi="Times New Roman" w:cs="Times New Roman"/>
          <w:sz w:val="24"/>
          <w:szCs w:val="24"/>
        </w:rPr>
        <w:t>atvirtinimo pag</w:t>
      </w:r>
      <w:r w:rsidR="0089483B" w:rsidRPr="00A91E83">
        <w:rPr>
          <w:rFonts w:ascii="Times New Roman" w:hAnsi="Times New Roman" w:cs="Times New Roman"/>
          <w:sz w:val="24"/>
          <w:szCs w:val="24"/>
        </w:rPr>
        <w:t xml:space="preserve">rindu. Tokia situacija pavojinga tuo, jog sąlygos numatytos </w:t>
      </w:r>
      <w:r w:rsidR="008336B7" w:rsidRPr="00A91E83">
        <w:rPr>
          <w:rFonts w:ascii="Times New Roman" w:hAnsi="Times New Roman" w:cs="Times New Roman"/>
          <w:sz w:val="24"/>
          <w:szCs w:val="24"/>
        </w:rPr>
        <w:t>P</w:t>
      </w:r>
      <w:r w:rsidR="0089483B" w:rsidRPr="00A91E83">
        <w:rPr>
          <w:rFonts w:ascii="Times New Roman" w:hAnsi="Times New Roman" w:cs="Times New Roman"/>
          <w:sz w:val="24"/>
          <w:szCs w:val="24"/>
        </w:rPr>
        <w:t xml:space="preserve">atvirtinimo formoje yra neišsamios ir nebūtinai tiksliai atspindi konkrečius šalių </w:t>
      </w:r>
      <w:r w:rsidR="0089483B" w:rsidRPr="00A91E83">
        <w:rPr>
          <w:rFonts w:ascii="Times New Roman" w:hAnsi="Times New Roman" w:cs="Times New Roman"/>
          <w:sz w:val="24"/>
          <w:szCs w:val="24"/>
        </w:rPr>
        <w:lastRenderedPageBreak/>
        <w:t xml:space="preserve">tikslus. </w:t>
      </w:r>
      <w:r w:rsidR="00716825" w:rsidRPr="00A91E83">
        <w:rPr>
          <w:rFonts w:ascii="Times New Roman" w:hAnsi="Times New Roman" w:cs="Times New Roman"/>
          <w:sz w:val="24"/>
          <w:szCs w:val="24"/>
        </w:rPr>
        <w:t xml:space="preserve">Taip pat gali susidaryti situacija, kai sudaromi keli sandoriai tarp šalių standartinių </w:t>
      </w:r>
      <w:r w:rsidR="003748D8" w:rsidRPr="00A91E83">
        <w:rPr>
          <w:rFonts w:ascii="Times New Roman" w:hAnsi="Times New Roman" w:cs="Times New Roman"/>
          <w:sz w:val="24"/>
          <w:szCs w:val="24"/>
        </w:rPr>
        <w:t>P</w:t>
      </w:r>
      <w:r w:rsidR="00716825" w:rsidRPr="00A91E83">
        <w:rPr>
          <w:rFonts w:ascii="Times New Roman" w:hAnsi="Times New Roman" w:cs="Times New Roman"/>
          <w:sz w:val="24"/>
          <w:szCs w:val="24"/>
        </w:rPr>
        <w:t xml:space="preserve">atvirtinimo formų būdu. Tokiu atveju nesant </w:t>
      </w:r>
      <w:r w:rsidR="003748D8" w:rsidRPr="00A91E83">
        <w:rPr>
          <w:rFonts w:ascii="Times New Roman" w:hAnsi="Times New Roman" w:cs="Times New Roman"/>
          <w:sz w:val="24"/>
          <w:szCs w:val="24"/>
        </w:rPr>
        <w:t>P</w:t>
      </w:r>
      <w:r w:rsidR="00231B42" w:rsidRPr="00A91E83">
        <w:rPr>
          <w:rFonts w:ascii="Times New Roman" w:hAnsi="Times New Roman" w:cs="Times New Roman"/>
          <w:sz w:val="24"/>
          <w:szCs w:val="24"/>
        </w:rPr>
        <w:t>agrindinio</w:t>
      </w:r>
      <w:r w:rsidR="00716825" w:rsidRPr="00A91E83">
        <w:rPr>
          <w:rFonts w:ascii="Times New Roman" w:hAnsi="Times New Roman" w:cs="Times New Roman"/>
          <w:sz w:val="24"/>
          <w:szCs w:val="24"/>
        </w:rPr>
        <w:t xml:space="preserve"> susitarimo sąlygos, jog visi susitarimai</w:t>
      </w:r>
      <w:r w:rsidR="00AC380F" w:rsidRPr="00A91E83">
        <w:rPr>
          <w:rFonts w:ascii="Times New Roman" w:hAnsi="Times New Roman" w:cs="Times New Roman"/>
          <w:sz w:val="24"/>
          <w:szCs w:val="24"/>
        </w:rPr>
        <w:t>,</w:t>
      </w:r>
      <w:r w:rsidR="00716825" w:rsidRPr="00A91E83">
        <w:rPr>
          <w:rFonts w:ascii="Times New Roman" w:hAnsi="Times New Roman" w:cs="Times New Roman"/>
          <w:sz w:val="24"/>
          <w:szCs w:val="24"/>
        </w:rPr>
        <w:t xml:space="preserve"> sudaryti tarp šalių</w:t>
      </w:r>
      <w:r w:rsidR="00AC380F" w:rsidRPr="00A91E83">
        <w:rPr>
          <w:rFonts w:ascii="Times New Roman" w:hAnsi="Times New Roman" w:cs="Times New Roman"/>
          <w:sz w:val="24"/>
          <w:szCs w:val="24"/>
        </w:rPr>
        <w:t>,</w:t>
      </w:r>
      <w:r w:rsidR="00716825" w:rsidRPr="00A91E83">
        <w:rPr>
          <w:rFonts w:ascii="Times New Roman" w:hAnsi="Times New Roman" w:cs="Times New Roman"/>
          <w:sz w:val="24"/>
          <w:szCs w:val="24"/>
        </w:rPr>
        <w:t xml:space="preserve"> privalo būti laikomi viena sutartimi</w:t>
      </w:r>
      <w:r w:rsidR="00AC380F" w:rsidRPr="00A91E83">
        <w:rPr>
          <w:rFonts w:ascii="Times New Roman" w:hAnsi="Times New Roman" w:cs="Times New Roman"/>
          <w:sz w:val="24"/>
          <w:szCs w:val="24"/>
        </w:rPr>
        <w:t>,</w:t>
      </w:r>
      <w:r w:rsidR="003748D8" w:rsidRPr="00A91E83">
        <w:rPr>
          <w:rFonts w:ascii="Times New Roman" w:hAnsi="Times New Roman" w:cs="Times New Roman"/>
          <w:sz w:val="24"/>
          <w:szCs w:val="24"/>
        </w:rPr>
        <w:t xml:space="preserve"> būtų neįmanoma pasiekti ISDA vienos sutarties efekto, o tai </w:t>
      </w:r>
      <w:r w:rsidR="00704F61" w:rsidRPr="00A91E83">
        <w:rPr>
          <w:rFonts w:ascii="Times New Roman" w:hAnsi="Times New Roman" w:cs="Times New Roman"/>
          <w:sz w:val="24"/>
          <w:szCs w:val="24"/>
        </w:rPr>
        <w:t>atitinkamai galėtų sukelti</w:t>
      </w:r>
      <w:r w:rsidR="00716825" w:rsidRPr="00A91E83">
        <w:rPr>
          <w:rFonts w:ascii="Times New Roman" w:hAnsi="Times New Roman" w:cs="Times New Roman"/>
          <w:sz w:val="24"/>
          <w:szCs w:val="24"/>
        </w:rPr>
        <w:t xml:space="preserve"> priešingus rezultatus, nei siekė šalys. Patvirtinimo formoje nėra nieko užsimenama apie prievolių įvykdymo užtikrinimą, nei apie galimybę </w:t>
      </w:r>
      <w:r w:rsidR="008F46FF" w:rsidRPr="00A91E83">
        <w:rPr>
          <w:rFonts w:ascii="Times New Roman" w:hAnsi="Times New Roman" w:cs="Times New Roman"/>
          <w:sz w:val="24"/>
          <w:szCs w:val="24"/>
        </w:rPr>
        <w:t>užskaityti</w:t>
      </w:r>
      <w:r w:rsidR="00716825" w:rsidRPr="00A91E83">
        <w:rPr>
          <w:rFonts w:ascii="Times New Roman" w:hAnsi="Times New Roman" w:cs="Times New Roman"/>
          <w:sz w:val="24"/>
          <w:szCs w:val="24"/>
        </w:rPr>
        <w:t xml:space="preserve"> reikalavimus</w:t>
      </w:r>
      <w:r w:rsidR="00013C48" w:rsidRPr="00A91E83">
        <w:rPr>
          <w:rFonts w:ascii="Times New Roman" w:hAnsi="Times New Roman" w:cs="Times New Roman"/>
          <w:sz w:val="24"/>
          <w:szCs w:val="24"/>
        </w:rPr>
        <w:t>,</w:t>
      </w:r>
      <w:r w:rsidR="00716825" w:rsidRPr="00A91E83">
        <w:rPr>
          <w:rFonts w:ascii="Times New Roman" w:hAnsi="Times New Roman" w:cs="Times New Roman"/>
          <w:sz w:val="24"/>
          <w:szCs w:val="24"/>
        </w:rPr>
        <w:t xml:space="preserve"> </w:t>
      </w:r>
      <w:proofErr w:type="spellStart"/>
      <w:r w:rsidR="00A340D1" w:rsidRPr="00A91E83">
        <w:rPr>
          <w:rFonts w:ascii="Times New Roman" w:hAnsi="Times New Roman" w:cs="Times New Roman"/>
          <w:sz w:val="24"/>
          <w:szCs w:val="24"/>
        </w:rPr>
        <w:t>pvz</w:t>
      </w:r>
      <w:proofErr w:type="spellEnd"/>
      <w:r w:rsidR="00A340D1" w:rsidRPr="00A91E83">
        <w:rPr>
          <w:rFonts w:ascii="Times New Roman" w:hAnsi="Times New Roman" w:cs="Times New Roman"/>
          <w:sz w:val="24"/>
          <w:szCs w:val="24"/>
        </w:rPr>
        <w:t xml:space="preserve">.: </w:t>
      </w:r>
      <w:r w:rsidR="00716825" w:rsidRPr="00A91E83">
        <w:rPr>
          <w:rFonts w:ascii="Times New Roman" w:hAnsi="Times New Roman" w:cs="Times New Roman"/>
          <w:sz w:val="24"/>
          <w:szCs w:val="24"/>
        </w:rPr>
        <w:t xml:space="preserve">vienos iš šalies nemokumo atveju. </w:t>
      </w:r>
      <w:r w:rsidR="00053934" w:rsidRPr="00A91E83">
        <w:rPr>
          <w:rFonts w:ascii="Times New Roman" w:hAnsi="Times New Roman" w:cs="Times New Roman"/>
          <w:sz w:val="24"/>
          <w:szCs w:val="24"/>
        </w:rPr>
        <w:t>Taigi, kai nėra sudaryta</w:t>
      </w:r>
      <w:r w:rsidR="008336B7" w:rsidRPr="00A91E83">
        <w:rPr>
          <w:rFonts w:ascii="Times New Roman" w:hAnsi="Times New Roman" w:cs="Times New Roman"/>
          <w:sz w:val="24"/>
          <w:szCs w:val="24"/>
        </w:rPr>
        <w:t>s</w:t>
      </w:r>
      <w:r w:rsidR="00053934" w:rsidRPr="00A91E83">
        <w:rPr>
          <w:rFonts w:ascii="Times New Roman" w:hAnsi="Times New Roman" w:cs="Times New Roman"/>
          <w:sz w:val="24"/>
          <w:szCs w:val="24"/>
        </w:rPr>
        <w:t xml:space="preserve"> </w:t>
      </w:r>
      <w:r w:rsidR="008336B7" w:rsidRPr="00A91E83">
        <w:rPr>
          <w:rFonts w:ascii="Times New Roman" w:hAnsi="Times New Roman" w:cs="Times New Roman"/>
          <w:sz w:val="24"/>
          <w:szCs w:val="24"/>
        </w:rPr>
        <w:t>P</w:t>
      </w:r>
      <w:r w:rsidR="00E66958" w:rsidRPr="00A91E83">
        <w:rPr>
          <w:rFonts w:ascii="Times New Roman" w:hAnsi="Times New Roman" w:cs="Times New Roman"/>
          <w:sz w:val="24"/>
          <w:szCs w:val="24"/>
        </w:rPr>
        <w:t>agrindinis</w:t>
      </w:r>
      <w:r w:rsidR="00053934" w:rsidRPr="00A91E83">
        <w:rPr>
          <w:rFonts w:ascii="Times New Roman" w:hAnsi="Times New Roman" w:cs="Times New Roman"/>
          <w:sz w:val="24"/>
          <w:szCs w:val="24"/>
        </w:rPr>
        <w:t xml:space="preserve"> susitarimas, siekiant išvengti minėtų teisinių neaiškumų</w:t>
      </w:r>
      <w:r w:rsidR="00013C48" w:rsidRPr="00A91E83">
        <w:rPr>
          <w:rFonts w:ascii="Times New Roman" w:hAnsi="Times New Roman" w:cs="Times New Roman"/>
          <w:sz w:val="24"/>
          <w:szCs w:val="24"/>
        </w:rPr>
        <w:t>,</w:t>
      </w:r>
      <w:r w:rsidR="00053934" w:rsidRPr="00A91E83">
        <w:rPr>
          <w:rFonts w:ascii="Times New Roman" w:hAnsi="Times New Roman" w:cs="Times New Roman"/>
          <w:sz w:val="24"/>
          <w:szCs w:val="24"/>
        </w:rPr>
        <w:t xml:space="preserve"> patariama šalims</w:t>
      </w:r>
      <w:r w:rsidR="00006A17" w:rsidRPr="00A91E83">
        <w:rPr>
          <w:rFonts w:ascii="Times New Roman" w:hAnsi="Times New Roman" w:cs="Times New Roman"/>
          <w:sz w:val="24"/>
          <w:szCs w:val="24"/>
        </w:rPr>
        <w:t xml:space="preserve"> išplėsti standartines </w:t>
      </w:r>
      <w:r w:rsidR="00E66958" w:rsidRPr="00A91E83">
        <w:rPr>
          <w:rFonts w:ascii="Times New Roman" w:hAnsi="Times New Roman" w:cs="Times New Roman"/>
          <w:sz w:val="24"/>
          <w:szCs w:val="24"/>
        </w:rPr>
        <w:t>P</w:t>
      </w:r>
      <w:r w:rsidR="00006A17" w:rsidRPr="00A91E83">
        <w:rPr>
          <w:rFonts w:ascii="Times New Roman" w:hAnsi="Times New Roman" w:cs="Times New Roman"/>
          <w:sz w:val="24"/>
          <w:szCs w:val="24"/>
        </w:rPr>
        <w:t>atvirtinimo sąlygas</w:t>
      </w:r>
      <w:r w:rsidR="00704F61" w:rsidRPr="00A91E83">
        <w:rPr>
          <w:rFonts w:ascii="Times New Roman" w:hAnsi="Times New Roman" w:cs="Times New Roman"/>
          <w:sz w:val="24"/>
          <w:szCs w:val="24"/>
        </w:rPr>
        <w:t>.</w:t>
      </w:r>
      <w:r w:rsidR="00E66958" w:rsidRPr="00A91E83">
        <w:rPr>
          <w:rFonts w:ascii="Times New Roman" w:hAnsi="Times New Roman" w:cs="Times New Roman"/>
          <w:sz w:val="24"/>
          <w:szCs w:val="24"/>
        </w:rPr>
        <w:t xml:space="preserve"> ISDA specialiai yra parengusi P</w:t>
      </w:r>
      <w:r w:rsidR="00704F61" w:rsidRPr="00A91E83">
        <w:rPr>
          <w:rFonts w:ascii="Times New Roman" w:hAnsi="Times New Roman" w:cs="Times New Roman"/>
          <w:sz w:val="24"/>
          <w:szCs w:val="24"/>
        </w:rPr>
        <w:t xml:space="preserve">atvirtinimo ilgąsias formas, kuriose yra galimybė iš anksto susitarti dėl finansinio užstato. Vis dėlto remiantis geriausia </w:t>
      </w:r>
      <w:r w:rsidR="00A340D1" w:rsidRPr="00A91E83">
        <w:rPr>
          <w:rFonts w:ascii="Times New Roman" w:hAnsi="Times New Roman" w:cs="Times New Roman"/>
          <w:sz w:val="24"/>
          <w:szCs w:val="24"/>
        </w:rPr>
        <w:t xml:space="preserve">rinkos dalyvių </w:t>
      </w:r>
      <w:r w:rsidR="00704F61" w:rsidRPr="00A91E83">
        <w:rPr>
          <w:rFonts w:ascii="Times New Roman" w:hAnsi="Times New Roman" w:cs="Times New Roman"/>
          <w:sz w:val="24"/>
          <w:szCs w:val="24"/>
        </w:rPr>
        <w:t xml:space="preserve">praktika, šalys turėtų </w:t>
      </w:r>
      <w:r w:rsidR="00006A17" w:rsidRPr="00A91E83">
        <w:rPr>
          <w:rFonts w:ascii="Times New Roman" w:hAnsi="Times New Roman" w:cs="Times New Roman"/>
          <w:sz w:val="24"/>
          <w:szCs w:val="24"/>
        </w:rPr>
        <w:t>numatyti,</w:t>
      </w:r>
      <w:r w:rsidR="00053934" w:rsidRPr="00A91E83">
        <w:rPr>
          <w:rFonts w:ascii="Times New Roman" w:hAnsi="Times New Roman" w:cs="Times New Roman"/>
          <w:sz w:val="24"/>
          <w:szCs w:val="24"/>
        </w:rPr>
        <w:t xml:space="preserve"> jog </w:t>
      </w:r>
      <w:r w:rsidR="00E66958" w:rsidRPr="00A91E83">
        <w:rPr>
          <w:rFonts w:ascii="Times New Roman" w:hAnsi="Times New Roman" w:cs="Times New Roman"/>
          <w:sz w:val="24"/>
          <w:szCs w:val="24"/>
        </w:rPr>
        <w:t>P</w:t>
      </w:r>
      <w:r w:rsidR="00231B42" w:rsidRPr="00A91E83">
        <w:rPr>
          <w:rFonts w:ascii="Times New Roman" w:hAnsi="Times New Roman" w:cs="Times New Roman"/>
          <w:sz w:val="24"/>
          <w:szCs w:val="24"/>
        </w:rPr>
        <w:t>agrindinis</w:t>
      </w:r>
      <w:r w:rsidR="00053934" w:rsidRPr="00A91E83">
        <w:rPr>
          <w:rFonts w:ascii="Times New Roman" w:hAnsi="Times New Roman" w:cs="Times New Roman"/>
          <w:sz w:val="24"/>
          <w:szCs w:val="24"/>
        </w:rPr>
        <w:t xml:space="preserve"> sus</w:t>
      </w:r>
      <w:r w:rsidR="00704F61" w:rsidRPr="00A91E83">
        <w:rPr>
          <w:rFonts w:ascii="Times New Roman" w:hAnsi="Times New Roman" w:cs="Times New Roman"/>
          <w:sz w:val="24"/>
          <w:szCs w:val="24"/>
        </w:rPr>
        <w:t>itarimas bus sudarytas ateityje ir vėlesniųjų ISDA dokumentų sudarymas pakeis esančius susitarimus.</w:t>
      </w:r>
      <w:r w:rsidR="00F94022" w:rsidRPr="00A91E83">
        <w:rPr>
          <w:rStyle w:val="Puslapioinaosnuoroda"/>
          <w:rFonts w:ascii="Times New Roman" w:hAnsi="Times New Roman" w:cs="Times New Roman"/>
          <w:sz w:val="24"/>
          <w:szCs w:val="24"/>
        </w:rPr>
        <w:footnoteReference w:id="171"/>
      </w:r>
    </w:p>
    <w:p w:rsidR="00716825" w:rsidRPr="00A91E83" w:rsidRDefault="00716825" w:rsidP="00B46A53">
      <w:pPr>
        <w:pStyle w:val="Sraopastraipa"/>
        <w:tabs>
          <w:tab w:val="left" w:pos="851"/>
        </w:tabs>
        <w:spacing w:after="0" w:line="360" w:lineRule="auto"/>
        <w:ind w:left="0" w:firstLine="851"/>
        <w:jc w:val="both"/>
        <w:rPr>
          <w:rFonts w:ascii="Times New Roman" w:hAnsi="Times New Roman" w:cs="Times New Roman"/>
          <w:sz w:val="24"/>
          <w:szCs w:val="24"/>
        </w:rPr>
      </w:pPr>
    </w:p>
    <w:p w:rsidR="00CC3446" w:rsidRPr="00A91E83" w:rsidRDefault="00FC19CA" w:rsidP="00582932">
      <w:pPr>
        <w:pStyle w:val="Sraopastraipa"/>
        <w:numPr>
          <w:ilvl w:val="2"/>
          <w:numId w:val="4"/>
        </w:numPr>
        <w:tabs>
          <w:tab w:val="left" w:pos="851"/>
        </w:tabs>
        <w:spacing w:after="0" w:line="360" w:lineRule="auto"/>
        <w:ind w:left="0" w:firstLine="0"/>
        <w:jc w:val="both"/>
        <w:outlineLvl w:val="2"/>
        <w:rPr>
          <w:rFonts w:ascii="Times New Roman" w:eastAsia="Times New Roman" w:hAnsi="Times New Roman" w:cs="Times New Roman"/>
          <w:color w:val="000000"/>
          <w:sz w:val="24"/>
          <w:szCs w:val="24"/>
        </w:rPr>
      </w:pPr>
      <w:bookmarkStart w:id="28" w:name="_Toc280546461"/>
      <w:r w:rsidRPr="00A91E83">
        <w:rPr>
          <w:rFonts w:ascii="Times New Roman" w:hAnsi="Times New Roman" w:cs="Times New Roman"/>
          <w:b/>
          <w:sz w:val="24"/>
          <w:szCs w:val="24"/>
        </w:rPr>
        <w:t xml:space="preserve">Prievolių </w:t>
      </w:r>
      <w:r w:rsidR="00582932" w:rsidRPr="00A91E83">
        <w:rPr>
          <w:rFonts w:ascii="Times New Roman" w:hAnsi="Times New Roman" w:cs="Times New Roman"/>
          <w:b/>
          <w:sz w:val="24"/>
          <w:szCs w:val="24"/>
        </w:rPr>
        <w:t>įvykdymo užtikrinimas</w:t>
      </w:r>
      <w:bookmarkEnd w:id="28"/>
    </w:p>
    <w:p w:rsidR="00582932" w:rsidRPr="00A91E83" w:rsidRDefault="00582932" w:rsidP="00582932">
      <w:pPr>
        <w:pStyle w:val="Sraopastraipa"/>
        <w:tabs>
          <w:tab w:val="left" w:pos="851"/>
        </w:tabs>
        <w:spacing w:after="0" w:line="360" w:lineRule="auto"/>
        <w:ind w:left="0"/>
        <w:jc w:val="both"/>
        <w:outlineLvl w:val="2"/>
        <w:rPr>
          <w:rFonts w:ascii="Times New Roman" w:eastAsia="Times New Roman" w:hAnsi="Times New Roman" w:cs="Times New Roman"/>
          <w:color w:val="000000"/>
          <w:sz w:val="24"/>
          <w:szCs w:val="24"/>
        </w:rPr>
      </w:pPr>
    </w:p>
    <w:p w:rsidR="00602A60" w:rsidRPr="00A91E83" w:rsidRDefault="003969DE"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Specialiai nebiržiniams sandoriams ISDA yra paruošusi standartines formas, kurios naudojamos suteikiant finansinį užstatą, kaip prievolių įvykdymo užtikrinimo priemonę – ISDA prievolių įvykdymo užtikrinimo formas (</w:t>
      </w:r>
      <w:proofErr w:type="spellStart"/>
      <w:r w:rsidRPr="00A91E83">
        <w:rPr>
          <w:rFonts w:ascii="Times New Roman" w:hAnsi="Times New Roman" w:cs="Times New Roman"/>
          <w:sz w:val="24"/>
          <w:szCs w:val="24"/>
        </w:rPr>
        <w:t>angl</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i/>
          <w:sz w:val="24"/>
          <w:szCs w:val="24"/>
        </w:rPr>
        <w:t>credit</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support</w:t>
      </w:r>
      <w:proofErr w:type="spellEnd"/>
      <w:r w:rsidRPr="00A91E83">
        <w:rPr>
          <w:rFonts w:ascii="Times New Roman" w:hAnsi="Times New Roman" w:cs="Times New Roman"/>
          <w:i/>
          <w:sz w:val="24"/>
          <w:szCs w:val="24"/>
        </w:rPr>
        <w:t xml:space="preserve"> </w:t>
      </w:r>
      <w:proofErr w:type="spellStart"/>
      <w:r w:rsidRPr="00A91E83">
        <w:rPr>
          <w:rFonts w:ascii="Times New Roman" w:hAnsi="Times New Roman" w:cs="Times New Roman"/>
          <w:i/>
          <w:sz w:val="24"/>
          <w:szCs w:val="24"/>
        </w:rPr>
        <w:t>documents</w:t>
      </w:r>
      <w:proofErr w:type="spellEnd"/>
      <w:r w:rsidR="00FE6CA4" w:rsidRPr="00A91E83">
        <w:rPr>
          <w:rFonts w:ascii="Times New Roman" w:hAnsi="Times New Roman" w:cs="Times New Roman"/>
          <w:sz w:val="24"/>
          <w:szCs w:val="24"/>
        </w:rPr>
        <w:t>). Šių ISDA formų</w:t>
      </w:r>
      <w:r w:rsidRPr="00A91E83">
        <w:rPr>
          <w:rFonts w:ascii="Times New Roman" w:hAnsi="Times New Roman" w:cs="Times New Roman"/>
          <w:sz w:val="24"/>
          <w:szCs w:val="24"/>
        </w:rPr>
        <w:t xml:space="preserve"> preambulėje numatyta, jog ISDA prievolių užtikrinimo priedas įgyja Patvirtinimo galią</w:t>
      </w:r>
      <w:r w:rsidR="008F6082" w:rsidRPr="00A91E83">
        <w:rPr>
          <w:rFonts w:ascii="Times New Roman" w:hAnsi="Times New Roman" w:cs="Times New Roman"/>
          <w:sz w:val="24"/>
          <w:szCs w:val="24"/>
        </w:rPr>
        <w:t>,</w:t>
      </w:r>
      <w:r w:rsidRPr="00A91E83">
        <w:rPr>
          <w:rFonts w:ascii="Times New Roman" w:hAnsi="Times New Roman" w:cs="Times New Roman"/>
          <w:sz w:val="24"/>
          <w:szCs w:val="24"/>
        </w:rPr>
        <w:t xml:space="preserve"> tarp šalių sudaryto Pagrindinio susitarimo atžvilgiu. </w:t>
      </w:r>
      <w:r w:rsidR="00CC3446" w:rsidRPr="00A91E83">
        <w:rPr>
          <w:rFonts w:ascii="Times New Roman" w:hAnsi="Times New Roman" w:cs="Times New Roman"/>
          <w:sz w:val="24"/>
          <w:szCs w:val="24"/>
        </w:rPr>
        <w:t xml:space="preserve">Užsienio ekonominėje ir teisinėje literatūroje įsigalėjusi sąvoka </w:t>
      </w:r>
      <w:proofErr w:type="spellStart"/>
      <w:r w:rsidR="00CC3446" w:rsidRPr="00A91E83">
        <w:rPr>
          <w:rFonts w:ascii="Times New Roman" w:hAnsi="Times New Roman" w:cs="Times New Roman"/>
          <w:i/>
          <w:sz w:val="24"/>
          <w:szCs w:val="24"/>
        </w:rPr>
        <w:t>collateral</w:t>
      </w:r>
      <w:proofErr w:type="spellEnd"/>
      <w:r w:rsidR="00CC3446" w:rsidRPr="00A91E83">
        <w:rPr>
          <w:rFonts w:ascii="Times New Roman" w:hAnsi="Times New Roman" w:cs="Times New Roman"/>
          <w:sz w:val="24"/>
          <w:szCs w:val="24"/>
        </w:rPr>
        <w:t xml:space="preserve"> reiškia tiek įkeistą turtą, tiek turtą, į kurį skolininkas, siekdamas užtikrinti prievolės įvykdymą, skolintojui perleido </w:t>
      </w:r>
      <w:r w:rsidR="004974DB" w:rsidRPr="00A91E83">
        <w:rPr>
          <w:rFonts w:ascii="Times New Roman" w:hAnsi="Times New Roman" w:cs="Times New Roman"/>
          <w:sz w:val="24"/>
          <w:szCs w:val="24"/>
        </w:rPr>
        <w:t xml:space="preserve">visą </w:t>
      </w:r>
      <w:r w:rsidR="00CC3446" w:rsidRPr="00A91E83">
        <w:rPr>
          <w:rFonts w:ascii="Times New Roman" w:hAnsi="Times New Roman" w:cs="Times New Roman"/>
          <w:sz w:val="24"/>
          <w:szCs w:val="24"/>
        </w:rPr>
        <w:t>nuosavybės teisę.</w:t>
      </w:r>
      <w:r w:rsidR="00CC3446" w:rsidRPr="00A91E83">
        <w:rPr>
          <w:rStyle w:val="Puslapioinaosnuoroda"/>
          <w:rFonts w:ascii="Times New Roman" w:hAnsi="Times New Roman" w:cs="Times New Roman"/>
          <w:sz w:val="24"/>
          <w:szCs w:val="24"/>
        </w:rPr>
        <w:footnoteReference w:id="172"/>
      </w:r>
      <w:r w:rsidR="00CC3446" w:rsidRPr="00A91E83">
        <w:rPr>
          <w:rFonts w:ascii="Times New Roman" w:hAnsi="Times New Roman" w:cs="Times New Roman"/>
          <w:sz w:val="24"/>
          <w:szCs w:val="24"/>
        </w:rPr>
        <w:t xml:space="preserve"> </w:t>
      </w:r>
      <w:r w:rsidR="00F817BB" w:rsidRPr="00A91E83">
        <w:rPr>
          <w:rFonts w:ascii="Times New Roman" w:hAnsi="Times New Roman" w:cs="Times New Roman"/>
          <w:sz w:val="24"/>
          <w:szCs w:val="24"/>
        </w:rPr>
        <w:t>Paprastai tariant, finansinis užstatas – tai turtas, kuris vienos šalies pateikiamas kontrahentui per sandorių dėl išvestinių finansinių priemonių galiojimo laikotarpį, kad sumažint</w:t>
      </w:r>
      <w:r w:rsidR="008F6082" w:rsidRPr="00A91E83">
        <w:rPr>
          <w:rFonts w:ascii="Times New Roman" w:hAnsi="Times New Roman" w:cs="Times New Roman"/>
          <w:sz w:val="24"/>
          <w:szCs w:val="24"/>
        </w:rPr>
        <w:t>ų</w:t>
      </w:r>
      <w:r w:rsidR="00F817BB" w:rsidRPr="00A91E83">
        <w:rPr>
          <w:rFonts w:ascii="Times New Roman" w:hAnsi="Times New Roman" w:cs="Times New Roman"/>
          <w:sz w:val="24"/>
          <w:szCs w:val="24"/>
        </w:rPr>
        <w:t xml:space="preserve"> kredito riziką.</w:t>
      </w:r>
      <w:r w:rsidR="00F817BB" w:rsidRPr="00A91E83">
        <w:rPr>
          <w:rStyle w:val="Puslapioinaosnuoroda"/>
          <w:rFonts w:ascii="Times New Roman" w:hAnsi="Times New Roman" w:cs="Times New Roman"/>
          <w:sz w:val="24"/>
          <w:szCs w:val="24"/>
        </w:rPr>
        <w:footnoteReference w:id="173"/>
      </w:r>
      <w:r w:rsidR="00F817BB" w:rsidRPr="00A91E83">
        <w:rPr>
          <w:rFonts w:ascii="Times New Roman" w:hAnsi="Times New Roman" w:cs="Times New Roman"/>
          <w:sz w:val="24"/>
          <w:szCs w:val="24"/>
        </w:rPr>
        <w:t xml:space="preserve"> </w:t>
      </w:r>
      <w:r w:rsidR="00B91D4C" w:rsidRPr="00A91E83">
        <w:rPr>
          <w:rFonts w:ascii="Times New Roman" w:hAnsi="Times New Roman" w:cs="Times New Roman"/>
          <w:sz w:val="24"/>
          <w:szCs w:val="24"/>
        </w:rPr>
        <w:t>Lietuvos teisės doktrinoje</w:t>
      </w:r>
      <w:r w:rsidR="005C0E5D" w:rsidRPr="00A91E83">
        <w:rPr>
          <w:rFonts w:ascii="Times New Roman" w:hAnsi="Times New Roman" w:cs="Times New Roman"/>
          <w:sz w:val="24"/>
          <w:szCs w:val="24"/>
        </w:rPr>
        <w:t xml:space="preserve"> sąvoka „finansinis užstatas“ </w:t>
      </w:r>
      <w:r w:rsidR="00B91D4C" w:rsidRPr="00A91E83">
        <w:rPr>
          <w:rFonts w:ascii="Times New Roman" w:hAnsi="Times New Roman" w:cs="Times New Roman"/>
          <w:sz w:val="24"/>
          <w:szCs w:val="24"/>
        </w:rPr>
        <w:t xml:space="preserve">pradėta vartoti priėmus FUSĮ. </w:t>
      </w:r>
      <w:r w:rsidR="00CC3446" w:rsidRPr="00A91E83">
        <w:rPr>
          <w:rFonts w:ascii="Times New Roman" w:hAnsi="Times New Roman" w:cs="Times New Roman"/>
          <w:sz w:val="24"/>
          <w:szCs w:val="24"/>
        </w:rPr>
        <w:t>Tokią plačią</w:t>
      </w:r>
      <w:r w:rsidR="005C0E5D" w:rsidRPr="00A91E83">
        <w:rPr>
          <w:rFonts w:ascii="Times New Roman" w:hAnsi="Times New Roman" w:cs="Times New Roman"/>
          <w:sz w:val="24"/>
          <w:szCs w:val="24"/>
        </w:rPr>
        <w:t xml:space="preserve"> užsienio doktrinoje vartojamą</w:t>
      </w:r>
      <w:r w:rsidR="00CC3446" w:rsidRPr="00A91E83">
        <w:rPr>
          <w:rFonts w:ascii="Times New Roman" w:hAnsi="Times New Roman" w:cs="Times New Roman"/>
          <w:sz w:val="24"/>
          <w:szCs w:val="24"/>
        </w:rPr>
        <w:t xml:space="preserve"> </w:t>
      </w:r>
      <w:r w:rsidR="005C0E5D" w:rsidRPr="00A91E83">
        <w:rPr>
          <w:rFonts w:ascii="Times New Roman" w:hAnsi="Times New Roman" w:cs="Times New Roman"/>
          <w:sz w:val="24"/>
          <w:szCs w:val="24"/>
        </w:rPr>
        <w:t xml:space="preserve">užstato </w:t>
      </w:r>
      <w:r w:rsidR="00FE6CA4" w:rsidRPr="00A91E83">
        <w:rPr>
          <w:rFonts w:ascii="Times New Roman" w:hAnsi="Times New Roman" w:cs="Times New Roman"/>
          <w:sz w:val="24"/>
          <w:szCs w:val="24"/>
        </w:rPr>
        <w:t>sąvoką</w:t>
      </w:r>
      <w:r w:rsidR="005149ED" w:rsidRPr="00A91E83">
        <w:rPr>
          <w:rFonts w:ascii="Times New Roman" w:hAnsi="Times New Roman" w:cs="Times New Roman"/>
          <w:sz w:val="24"/>
          <w:szCs w:val="24"/>
        </w:rPr>
        <w:t xml:space="preserve"> atspindi ir ISDA dokumentacija, kur užstatas apima ne tik finansines priemones, bet ir pinigines lėšas</w:t>
      </w:r>
      <w:r w:rsidR="002113F4" w:rsidRPr="00A91E83">
        <w:rPr>
          <w:rFonts w:ascii="Times New Roman" w:hAnsi="Times New Roman" w:cs="Times New Roman"/>
          <w:sz w:val="24"/>
          <w:szCs w:val="24"/>
        </w:rPr>
        <w:t>,</w:t>
      </w:r>
      <w:r w:rsidR="005149ED" w:rsidRPr="00A91E83">
        <w:rPr>
          <w:rFonts w:ascii="Times New Roman" w:hAnsi="Times New Roman" w:cs="Times New Roman"/>
          <w:sz w:val="24"/>
          <w:szCs w:val="24"/>
        </w:rPr>
        <w:t xml:space="preserve"> esančias sąskaitoje (negrynuosius pinigus).</w:t>
      </w:r>
      <w:r w:rsidR="00CC3446" w:rsidRPr="00A91E83">
        <w:rPr>
          <w:rFonts w:ascii="Times New Roman" w:hAnsi="Times New Roman" w:cs="Times New Roman"/>
          <w:sz w:val="24"/>
          <w:szCs w:val="24"/>
        </w:rPr>
        <w:t xml:space="preserve"> </w:t>
      </w:r>
      <w:r w:rsidR="00EE09A2" w:rsidRPr="00A91E83">
        <w:rPr>
          <w:rFonts w:ascii="Times New Roman" w:hAnsi="Times New Roman" w:cs="Times New Roman"/>
          <w:sz w:val="24"/>
          <w:szCs w:val="24"/>
        </w:rPr>
        <w:t xml:space="preserve">Nors naudojamos ir kitos prievolių užtikrinimo priemonės, </w:t>
      </w:r>
      <w:proofErr w:type="spellStart"/>
      <w:r w:rsidR="00EE09A2" w:rsidRPr="00A91E83">
        <w:rPr>
          <w:rFonts w:ascii="Times New Roman" w:hAnsi="Times New Roman" w:cs="Times New Roman"/>
          <w:sz w:val="24"/>
          <w:szCs w:val="24"/>
        </w:rPr>
        <w:t>pvz</w:t>
      </w:r>
      <w:proofErr w:type="spellEnd"/>
      <w:r w:rsidR="00EE09A2" w:rsidRPr="00A91E83">
        <w:rPr>
          <w:rFonts w:ascii="Times New Roman" w:hAnsi="Times New Roman" w:cs="Times New Roman"/>
          <w:sz w:val="24"/>
          <w:szCs w:val="24"/>
        </w:rPr>
        <w:t>.: garantija, tačiau šiuo metu populiariausias būdas</w:t>
      </w:r>
      <w:r w:rsidR="00FE6CA4" w:rsidRPr="00A91E83">
        <w:rPr>
          <w:rFonts w:ascii="Times New Roman" w:hAnsi="Times New Roman" w:cs="Times New Roman"/>
          <w:sz w:val="24"/>
          <w:szCs w:val="24"/>
        </w:rPr>
        <w:t>,</w:t>
      </w:r>
      <w:r w:rsidR="00EE09A2" w:rsidRPr="00A91E83">
        <w:rPr>
          <w:rFonts w:ascii="Times New Roman" w:hAnsi="Times New Roman" w:cs="Times New Roman"/>
          <w:sz w:val="24"/>
          <w:szCs w:val="24"/>
        </w:rPr>
        <w:t xml:space="preserve"> </w:t>
      </w:r>
      <w:r w:rsidR="00FE6CA4" w:rsidRPr="00A91E83">
        <w:rPr>
          <w:rFonts w:ascii="Times New Roman" w:hAnsi="Times New Roman" w:cs="Times New Roman"/>
          <w:sz w:val="24"/>
          <w:szCs w:val="24"/>
        </w:rPr>
        <w:t xml:space="preserve">sudarant sandorius dėl išvestinių finansinių prievolių, </w:t>
      </w:r>
      <w:r w:rsidR="00EE09A2" w:rsidRPr="00A91E83">
        <w:rPr>
          <w:rFonts w:ascii="Times New Roman" w:hAnsi="Times New Roman" w:cs="Times New Roman"/>
          <w:sz w:val="24"/>
          <w:szCs w:val="24"/>
        </w:rPr>
        <w:t>pateikti užstatą.</w:t>
      </w:r>
      <w:r w:rsidR="00DC4B2C" w:rsidRPr="00A91E83">
        <w:rPr>
          <w:rStyle w:val="Puslapioinaosnuoroda"/>
          <w:rFonts w:ascii="Times New Roman" w:hAnsi="Times New Roman" w:cs="Times New Roman"/>
          <w:sz w:val="24"/>
          <w:szCs w:val="24"/>
        </w:rPr>
        <w:footnoteReference w:id="174"/>
      </w:r>
      <w:r w:rsidR="00DC4B2C" w:rsidRPr="00A91E83">
        <w:rPr>
          <w:rFonts w:ascii="Times New Roman" w:hAnsi="Times New Roman" w:cs="Times New Roman"/>
          <w:sz w:val="24"/>
          <w:szCs w:val="24"/>
        </w:rPr>
        <w:t xml:space="preserve"> </w:t>
      </w:r>
    </w:p>
    <w:p w:rsidR="001A1940" w:rsidRPr="00A91E83" w:rsidRDefault="008C6D23"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lastRenderedPageBreak/>
        <w:t xml:space="preserve">ISDA </w:t>
      </w:r>
      <w:r w:rsidR="002113F4" w:rsidRPr="00A91E83">
        <w:rPr>
          <w:rFonts w:ascii="Times New Roman" w:hAnsi="Times New Roman" w:cs="Times New Roman"/>
          <w:sz w:val="24"/>
          <w:szCs w:val="24"/>
        </w:rPr>
        <w:t>prievolių įvykdymo užtikrinimo dokumentai</w:t>
      </w:r>
      <w:r w:rsidR="0088328A" w:rsidRPr="00A91E83">
        <w:rPr>
          <w:rFonts w:ascii="Times New Roman" w:hAnsi="Times New Roman" w:cs="Times New Roman"/>
          <w:sz w:val="24"/>
          <w:szCs w:val="24"/>
        </w:rPr>
        <w:t xml:space="preserve"> leidžia įkeisti turtą, ar perleisti jį nuosavybės teise užstato turėtojui. </w:t>
      </w:r>
      <w:r w:rsidR="001A1940" w:rsidRPr="00A91E83">
        <w:rPr>
          <w:rFonts w:ascii="Times New Roman" w:hAnsi="Times New Roman" w:cs="Times New Roman"/>
          <w:sz w:val="24"/>
          <w:szCs w:val="24"/>
        </w:rPr>
        <w:t>Darbe bus detaliau aptariama ISDA prievolių įvykdymo užtikrinimo forma</w:t>
      </w:r>
      <w:r w:rsidR="008351D8" w:rsidRPr="00A91E83">
        <w:rPr>
          <w:rFonts w:ascii="Times New Roman" w:hAnsi="Times New Roman" w:cs="Times New Roman"/>
          <w:sz w:val="24"/>
          <w:szCs w:val="24"/>
        </w:rPr>
        <w:t>,</w:t>
      </w:r>
      <w:r w:rsidR="001A1940" w:rsidRPr="00A91E83">
        <w:rPr>
          <w:rStyle w:val="Puslapioinaosnuoroda"/>
          <w:rFonts w:ascii="Times New Roman" w:hAnsi="Times New Roman" w:cs="Times New Roman"/>
          <w:sz w:val="24"/>
          <w:szCs w:val="24"/>
        </w:rPr>
        <w:footnoteReference w:id="175"/>
      </w:r>
      <w:r w:rsidR="001A1940" w:rsidRPr="00A91E83">
        <w:rPr>
          <w:rFonts w:ascii="Times New Roman" w:hAnsi="Times New Roman" w:cs="Times New Roman"/>
          <w:sz w:val="24"/>
          <w:szCs w:val="24"/>
        </w:rPr>
        <w:t xml:space="preserve"> kuri leidžia perleisti finansinį užstatą su nuos</w:t>
      </w:r>
      <w:r w:rsidR="003C19C0" w:rsidRPr="00A91E83">
        <w:rPr>
          <w:rFonts w:ascii="Times New Roman" w:hAnsi="Times New Roman" w:cs="Times New Roman"/>
          <w:sz w:val="24"/>
          <w:szCs w:val="24"/>
        </w:rPr>
        <w:t>avybės teise užstato turėtojui.</w:t>
      </w:r>
      <w:r w:rsidR="003C19C0" w:rsidRPr="00A91E83">
        <w:rPr>
          <w:rStyle w:val="Puslapioinaosnuoroda"/>
          <w:rFonts w:ascii="Times New Roman" w:hAnsi="Times New Roman" w:cs="Times New Roman"/>
          <w:sz w:val="24"/>
          <w:szCs w:val="24"/>
        </w:rPr>
        <w:footnoteReference w:id="176"/>
      </w:r>
    </w:p>
    <w:p w:rsidR="00286955" w:rsidRPr="00A91E83" w:rsidRDefault="00827CCE" w:rsidP="00286955">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Anksčiau </w:t>
      </w:r>
      <w:r w:rsidR="001C20F3" w:rsidRPr="00A91E83">
        <w:rPr>
          <w:rFonts w:ascii="Times New Roman" w:hAnsi="Times New Roman" w:cs="Times New Roman"/>
          <w:sz w:val="24"/>
          <w:szCs w:val="24"/>
        </w:rPr>
        <w:t>s</w:t>
      </w:r>
      <w:r w:rsidRPr="00A91E83">
        <w:rPr>
          <w:rFonts w:ascii="Times New Roman" w:hAnsi="Times New Roman" w:cs="Times New Roman"/>
          <w:sz w:val="24"/>
          <w:szCs w:val="24"/>
        </w:rPr>
        <w:t>andoriai dėl išvestinių finansinių priemonių buvo sudaromi tik su aukštą kredito reitingą turinčiomis šalimis</w:t>
      </w:r>
      <w:r w:rsidR="00F4325E" w:rsidRPr="00A91E83">
        <w:rPr>
          <w:rFonts w:ascii="Times New Roman" w:hAnsi="Times New Roman" w:cs="Times New Roman"/>
          <w:sz w:val="24"/>
          <w:szCs w:val="24"/>
        </w:rPr>
        <w:t>,</w:t>
      </w:r>
      <w:r w:rsidRPr="00A91E83">
        <w:rPr>
          <w:rFonts w:ascii="Times New Roman" w:hAnsi="Times New Roman" w:cs="Times New Roman"/>
          <w:sz w:val="24"/>
          <w:szCs w:val="24"/>
        </w:rPr>
        <w:t xml:space="preserve"> siekiant užsitikrinti, kad kontrahentas netaps nemokus, o užstatas</w:t>
      </w:r>
      <w:r w:rsidR="001C20F3" w:rsidRPr="00A91E83">
        <w:rPr>
          <w:rFonts w:ascii="Times New Roman" w:hAnsi="Times New Roman" w:cs="Times New Roman"/>
          <w:sz w:val="24"/>
          <w:szCs w:val="24"/>
        </w:rPr>
        <w:t>, kaip prievolių įvykdymo užtikrinimas</w:t>
      </w:r>
      <w:r w:rsidR="00F4325E" w:rsidRPr="00A91E83">
        <w:rPr>
          <w:rFonts w:ascii="Times New Roman" w:hAnsi="Times New Roman" w:cs="Times New Roman"/>
          <w:sz w:val="24"/>
          <w:szCs w:val="24"/>
        </w:rPr>
        <w:t>,</w:t>
      </w:r>
      <w:r w:rsidRPr="00A91E83">
        <w:rPr>
          <w:rFonts w:ascii="Times New Roman" w:hAnsi="Times New Roman" w:cs="Times New Roman"/>
          <w:sz w:val="24"/>
          <w:szCs w:val="24"/>
        </w:rPr>
        <w:t xml:space="preserve"> buvo naudojamas retai.</w:t>
      </w:r>
      <w:r w:rsidRPr="00A91E83">
        <w:rPr>
          <w:rStyle w:val="Puslapioinaosnuoroda"/>
          <w:rFonts w:ascii="Times New Roman" w:hAnsi="Times New Roman" w:cs="Times New Roman"/>
          <w:sz w:val="24"/>
          <w:szCs w:val="24"/>
        </w:rPr>
        <w:footnoteReference w:id="177"/>
      </w:r>
      <w:r w:rsidRPr="00A91E83">
        <w:rPr>
          <w:rFonts w:ascii="Times New Roman" w:hAnsi="Times New Roman" w:cs="Times New Roman"/>
          <w:sz w:val="24"/>
          <w:szCs w:val="24"/>
        </w:rPr>
        <w:t xml:space="preserve"> Situacijai rinkoje pasikeitus ir pradėjus užstatą naudoti sandorių dėl išvestinių finansinių priemonių atžvilgiu, p</w:t>
      </w:r>
      <w:r w:rsidR="001C182C" w:rsidRPr="00A91E83">
        <w:rPr>
          <w:rFonts w:ascii="Times New Roman" w:hAnsi="Times New Roman" w:cs="Times New Roman"/>
          <w:sz w:val="24"/>
          <w:szCs w:val="24"/>
        </w:rPr>
        <w:t xml:space="preserve">rievolių </w:t>
      </w:r>
      <w:r w:rsidR="001C20F3" w:rsidRPr="00A91E83">
        <w:rPr>
          <w:rFonts w:ascii="Times New Roman" w:hAnsi="Times New Roman" w:cs="Times New Roman"/>
          <w:sz w:val="24"/>
          <w:szCs w:val="24"/>
        </w:rPr>
        <w:t>į</w:t>
      </w:r>
      <w:r w:rsidR="001C182C" w:rsidRPr="00A91E83">
        <w:rPr>
          <w:rFonts w:ascii="Times New Roman" w:hAnsi="Times New Roman" w:cs="Times New Roman"/>
          <w:sz w:val="24"/>
          <w:szCs w:val="24"/>
        </w:rPr>
        <w:t>vykdymo užtikrinimas</w:t>
      </w:r>
      <w:r w:rsidR="00F4325E" w:rsidRPr="00A91E83">
        <w:rPr>
          <w:rFonts w:ascii="Times New Roman" w:hAnsi="Times New Roman" w:cs="Times New Roman"/>
          <w:sz w:val="24"/>
          <w:szCs w:val="24"/>
        </w:rPr>
        <w:t>,</w:t>
      </w:r>
      <w:r w:rsidR="001C182C" w:rsidRPr="00A91E83">
        <w:rPr>
          <w:rFonts w:ascii="Times New Roman" w:hAnsi="Times New Roman" w:cs="Times New Roman"/>
          <w:sz w:val="24"/>
          <w:szCs w:val="24"/>
        </w:rPr>
        <w:t xml:space="preserve"> perduodant nuosavybės teisę</w:t>
      </w:r>
      <w:r w:rsidR="00F4325E" w:rsidRPr="00A91E83">
        <w:rPr>
          <w:rFonts w:ascii="Times New Roman" w:hAnsi="Times New Roman" w:cs="Times New Roman"/>
          <w:sz w:val="24"/>
          <w:szCs w:val="24"/>
        </w:rPr>
        <w:t>,</w:t>
      </w:r>
      <w:r w:rsidR="0088328A" w:rsidRPr="00A91E83">
        <w:rPr>
          <w:rFonts w:ascii="Times New Roman" w:hAnsi="Times New Roman" w:cs="Times New Roman"/>
          <w:sz w:val="24"/>
          <w:szCs w:val="24"/>
        </w:rPr>
        <w:t xml:space="preserve"> </w:t>
      </w:r>
      <w:r w:rsidRPr="00A91E83">
        <w:rPr>
          <w:rFonts w:ascii="Times New Roman" w:hAnsi="Times New Roman" w:cs="Times New Roman"/>
          <w:sz w:val="24"/>
          <w:szCs w:val="24"/>
        </w:rPr>
        <w:t>padarė perversmą. Nuosavybės perdavimas</w:t>
      </w:r>
      <w:r w:rsidR="00F4325E" w:rsidRPr="00A91E83">
        <w:rPr>
          <w:rFonts w:ascii="Times New Roman" w:hAnsi="Times New Roman" w:cs="Times New Roman"/>
          <w:sz w:val="24"/>
          <w:szCs w:val="24"/>
        </w:rPr>
        <w:t>,</w:t>
      </w:r>
      <w:r w:rsidRPr="00A91E83">
        <w:rPr>
          <w:rFonts w:ascii="Times New Roman" w:hAnsi="Times New Roman" w:cs="Times New Roman"/>
          <w:sz w:val="24"/>
          <w:szCs w:val="24"/>
        </w:rPr>
        <w:t xml:space="preserve"> užtikrinant prievolių įvykdymą</w:t>
      </w:r>
      <w:r w:rsidR="00F4325E" w:rsidRPr="00A91E83">
        <w:rPr>
          <w:rFonts w:ascii="Times New Roman" w:hAnsi="Times New Roman" w:cs="Times New Roman"/>
          <w:sz w:val="24"/>
          <w:szCs w:val="24"/>
        </w:rPr>
        <w:t>,</w:t>
      </w:r>
      <w:r w:rsidRPr="00A91E83">
        <w:rPr>
          <w:rFonts w:ascii="Times New Roman" w:hAnsi="Times New Roman" w:cs="Times New Roman"/>
          <w:sz w:val="24"/>
          <w:szCs w:val="24"/>
        </w:rPr>
        <w:t xml:space="preserve"> </w:t>
      </w:r>
      <w:r w:rsidR="0088328A" w:rsidRPr="00A91E83">
        <w:rPr>
          <w:rFonts w:ascii="Times New Roman" w:hAnsi="Times New Roman" w:cs="Times New Roman"/>
          <w:sz w:val="24"/>
          <w:szCs w:val="24"/>
        </w:rPr>
        <w:t>yra laikoma</w:t>
      </w:r>
      <w:r w:rsidR="001C182C" w:rsidRPr="00A91E83">
        <w:rPr>
          <w:rFonts w:ascii="Times New Roman" w:hAnsi="Times New Roman" w:cs="Times New Roman"/>
          <w:sz w:val="24"/>
          <w:szCs w:val="24"/>
        </w:rPr>
        <w:t>s</w:t>
      </w:r>
      <w:r w:rsidR="006356F5" w:rsidRPr="00A91E83">
        <w:rPr>
          <w:rFonts w:ascii="Times New Roman" w:hAnsi="Times New Roman" w:cs="Times New Roman"/>
          <w:sz w:val="24"/>
          <w:szCs w:val="24"/>
        </w:rPr>
        <w:t xml:space="preserve"> vienu</w:t>
      </w:r>
      <w:r w:rsidR="0088328A" w:rsidRPr="00A91E83">
        <w:rPr>
          <w:rFonts w:ascii="Times New Roman" w:hAnsi="Times New Roman" w:cs="Times New Roman"/>
          <w:sz w:val="24"/>
          <w:szCs w:val="24"/>
        </w:rPr>
        <w:t xml:space="preserve"> iš </w:t>
      </w:r>
      <w:r w:rsidR="001C182C" w:rsidRPr="00A91E83">
        <w:rPr>
          <w:rFonts w:ascii="Times New Roman" w:hAnsi="Times New Roman" w:cs="Times New Roman"/>
          <w:sz w:val="24"/>
          <w:szCs w:val="24"/>
        </w:rPr>
        <w:t>veiksnių</w:t>
      </w:r>
      <w:r w:rsidR="0088328A" w:rsidRPr="00A91E83">
        <w:rPr>
          <w:rFonts w:ascii="Times New Roman" w:hAnsi="Times New Roman" w:cs="Times New Roman"/>
          <w:sz w:val="24"/>
          <w:szCs w:val="24"/>
        </w:rPr>
        <w:t>, kodėl taip išpopuliarėjo finansinio užstato panaudojimas</w:t>
      </w:r>
      <w:r w:rsidR="00F4325E" w:rsidRPr="00A91E83">
        <w:rPr>
          <w:rFonts w:ascii="Times New Roman" w:hAnsi="Times New Roman" w:cs="Times New Roman"/>
          <w:sz w:val="24"/>
          <w:szCs w:val="24"/>
        </w:rPr>
        <w:t>,</w:t>
      </w:r>
      <w:r w:rsidR="0088328A" w:rsidRPr="00A91E83">
        <w:rPr>
          <w:rFonts w:ascii="Times New Roman" w:hAnsi="Times New Roman" w:cs="Times New Roman"/>
          <w:sz w:val="24"/>
          <w:szCs w:val="24"/>
        </w:rPr>
        <w:t xml:space="preserve"> sudarant sandorius dėl išvestinių finansinių priemonių.</w:t>
      </w:r>
      <w:r w:rsidR="00D41879" w:rsidRPr="00A91E83">
        <w:rPr>
          <w:rFonts w:ascii="Times New Roman" w:hAnsi="Times New Roman" w:cs="Times New Roman"/>
          <w:sz w:val="24"/>
          <w:szCs w:val="24"/>
        </w:rPr>
        <w:t xml:space="preserve"> </w:t>
      </w:r>
      <w:r w:rsidR="001C182C" w:rsidRPr="00A91E83">
        <w:rPr>
          <w:rFonts w:ascii="Times New Roman" w:hAnsi="Times New Roman" w:cs="Times New Roman"/>
          <w:sz w:val="24"/>
          <w:szCs w:val="24"/>
        </w:rPr>
        <w:t>U</w:t>
      </w:r>
      <w:r w:rsidR="005E155E" w:rsidRPr="00A91E83">
        <w:rPr>
          <w:rFonts w:ascii="Times New Roman" w:hAnsi="Times New Roman" w:cs="Times New Roman"/>
          <w:sz w:val="24"/>
          <w:szCs w:val="24"/>
        </w:rPr>
        <w:t xml:space="preserve">žstato </w:t>
      </w:r>
      <w:r w:rsidR="00D25EB7" w:rsidRPr="00A91E83">
        <w:rPr>
          <w:rFonts w:ascii="Times New Roman" w:hAnsi="Times New Roman" w:cs="Times New Roman"/>
          <w:sz w:val="24"/>
          <w:szCs w:val="24"/>
        </w:rPr>
        <w:t>turėtojas</w:t>
      </w:r>
      <w:r w:rsidR="00D41879" w:rsidRPr="00A91E83">
        <w:rPr>
          <w:rFonts w:ascii="Times New Roman" w:hAnsi="Times New Roman" w:cs="Times New Roman"/>
          <w:sz w:val="24"/>
          <w:szCs w:val="24"/>
        </w:rPr>
        <w:t xml:space="preserve"> visada gali perduotu turtu disponuoti kaip savo, atitinkamai mokant tam tikras palūkanas </w:t>
      </w:r>
      <w:r w:rsidR="001766AB" w:rsidRPr="00A91E83">
        <w:rPr>
          <w:rFonts w:ascii="Times New Roman" w:hAnsi="Times New Roman" w:cs="Times New Roman"/>
          <w:sz w:val="24"/>
          <w:szCs w:val="24"/>
        </w:rPr>
        <w:t xml:space="preserve">užstato davėjui </w:t>
      </w:r>
      <w:r w:rsidR="00D41879" w:rsidRPr="00A91E83">
        <w:rPr>
          <w:rFonts w:ascii="Times New Roman" w:hAnsi="Times New Roman" w:cs="Times New Roman"/>
          <w:sz w:val="24"/>
          <w:szCs w:val="24"/>
        </w:rPr>
        <w:t xml:space="preserve">ir įsipareigojant grąžinti </w:t>
      </w:r>
      <w:r w:rsidR="005E155E" w:rsidRPr="00A91E83">
        <w:rPr>
          <w:rFonts w:ascii="Times New Roman" w:hAnsi="Times New Roman" w:cs="Times New Roman"/>
          <w:sz w:val="24"/>
          <w:szCs w:val="24"/>
        </w:rPr>
        <w:t>ne tą patį turtą, o tik ekvivalentą.</w:t>
      </w:r>
      <w:r w:rsidR="00286955" w:rsidRPr="00A91E83">
        <w:rPr>
          <w:rStyle w:val="Puslapioinaosnuoroda"/>
          <w:rFonts w:ascii="Times New Roman" w:hAnsi="Times New Roman" w:cs="Times New Roman"/>
          <w:sz w:val="24"/>
          <w:szCs w:val="24"/>
        </w:rPr>
        <w:t xml:space="preserve"> </w:t>
      </w:r>
      <w:r w:rsidR="00286955" w:rsidRPr="00A91E83">
        <w:rPr>
          <w:rStyle w:val="Puslapioinaosnuoroda"/>
          <w:rFonts w:ascii="Times New Roman" w:hAnsi="Times New Roman" w:cs="Times New Roman"/>
          <w:sz w:val="24"/>
          <w:szCs w:val="24"/>
        </w:rPr>
        <w:footnoteReference w:id="178"/>
      </w:r>
      <w:r w:rsidR="006F2D39" w:rsidRPr="00A91E83">
        <w:rPr>
          <w:rFonts w:ascii="Times New Roman" w:hAnsi="Times New Roman" w:cs="Times New Roman"/>
          <w:sz w:val="24"/>
          <w:szCs w:val="24"/>
        </w:rPr>
        <w:t xml:space="preserve"> </w:t>
      </w:r>
      <w:r w:rsidR="001C182C" w:rsidRPr="00A91E83">
        <w:rPr>
          <w:rFonts w:ascii="Times New Roman" w:hAnsi="Times New Roman" w:cs="Times New Roman"/>
          <w:sz w:val="24"/>
          <w:szCs w:val="24"/>
        </w:rPr>
        <w:t>Tokiu atveju, užstato turėtojas gali perduotą turtą panaudoti</w:t>
      </w:r>
      <w:r w:rsidR="00EC604C" w:rsidRPr="00A91E83">
        <w:rPr>
          <w:rFonts w:ascii="Times New Roman" w:hAnsi="Times New Roman" w:cs="Times New Roman"/>
          <w:sz w:val="24"/>
          <w:szCs w:val="24"/>
        </w:rPr>
        <w:t>,</w:t>
      </w:r>
      <w:r w:rsidR="001766AB" w:rsidRPr="00A91E83">
        <w:rPr>
          <w:rFonts w:ascii="Times New Roman" w:hAnsi="Times New Roman" w:cs="Times New Roman"/>
          <w:sz w:val="24"/>
          <w:szCs w:val="24"/>
        </w:rPr>
        <w:t xml:space="preserve"> kaip prievolių </w:t>
      </w:r>
      <w:r w:rsidR="00EC604C" w:rsidRPr="00A91E83">
        <w:rPr>
          <w:rFonts w:ascii="Times New Roman" w:hAnsi="Times New Roman" w:cs="Times New Roman"/>
          <w:sz w:val="24"/>
          <w:szCs w:val="24"/>
        </w:rPr>
        <w:t xml:space="preserve">įvykdymo </w:t>
      </w:r>
      <w:r w:rsidR="001C182C" w:rsidRPr="00A91E83">
        <w:rPr>
          <w:rFonts w:ascii="Times New Roman" w:hAnsi="Times New Roman" w:cs="Times New Roman"/>
          <w:sz w:val="24"/>
          <w:szCs w:val="24"/>
        </w:rPr>
        <w:t>užtikrinimą</w:t>
      </w:r>
      <w:r w:rsidR="00EC604C" w:rsidRPr="00A91E83">
        <w:rPr>
          <w:rFonts w:ascii="Times New Roman" w:hAnsi="Times New Roman" w:cs="Times New Roman"/>
          <w:sz w:val="24"/>
          <w:szCs w:val="24"/>
        </w:rPr>
        <w:t xml:space="preserve">, </w:t>
      </w:r>
      <w:r w:rsidR="00D25EB7" w:rsidRPr="00A91E83">
        <w:rPr>
          <w:rFonts w:ascii="Times New Roman" w:hAnsi="Times New Roman" w:cs="Times New Roman"/>
          <w:sz w:val="24"/>
          <w:szCs w:val="24"/>
        </w:rPr>
        <w:t>kitiems sandoriams</w:t>
      </w:r>
      <w:r w:rsidR="001C182C" w:rsidRPr="00A91E83">
        <w:rPr>
          <w:rFonts w:ascii="Times New Roman" w:hAnsi="Times New Roman" w:cs="Times New Roman"/>
          <w:sz w:val="24"/>
          <w:szCs w:val="24"/>
        </w:rPr>
        <w:t>.</w:t>
      </w:r>
      <w:r w:rsidR="001766AB" w:rsidRPr="00A91E83">
        <w:rPr>
          <w:rFonts w:ascii="Times New Roman" w:hAnsi="Times New Roman" w:cs="Times New Roman"/>
          <w:sz w:val="24"/>
          <w:szCs w:val="24"/>
        </w:rPr>
        <w:t xml:space="preserve"> Taigi užstato gavėjas jį gali perduot</w:t>
      </w:r>
      <w:r w:rsidR="001C182C" w:rsidRPr="00A91E83">
        <w:rPr>
          <w:rFonts w:ascii="Times New Roman" w:hAnsi="Times New Roman" w:cs="Times New Roman"/>
          <w:sz w:val="24"/>
          <w:szCs w:val="24"/>
        </w:rPr>
        <w:t xml:space="preserve">i kitam užstato turėtojui ir </w:t>
      </w:r>
      <w:r w:rsidR="008C26F1" w:rsidRPr="00A91E83">
        <w:rPr>
          <w:rFonts w:ascii="Times New Roman" w:hAnsi="Times New Roman" w:cs="Times New Roman"/>
          <w:sz w:val="24"/>
          <w:szCs w:val="24"/>
        </w:rPr>
        <w:t>t. t.</w:t>
      </w:r>
      <w:r w:rsidR="001766AB" w:rsidRPr="00A91E83">
        <w:rPr>
          <w:rFonts w:ascii="Times New Roman" w:hAnsi="Times New Roman" w:cs="Times New Roman"/>
          <w:sz w:val="24"/>
          <w:szCs w:val="24"/>
        </w:rPr>
        <w:t xml:space="preserve"> </w:t>
      </w:r>
      <w:r w:rsidR="00161688" w:rsidRPr="00A91E83">
        <w:rPr>
          <w:rFonts w:ascii="Times New Roman" w:hAnsi="Times New Roman" w:cs="Times New Roman"/>
          <w:sz w:val="24"/>
          <w:szCs w:val="24"/>
        </w:rPr>
        <w:t xml:space="preserve">Atkreiptinas dėmesys, jeigu užstatas perleistas su nuosavybės teise, tai nereiškia, jog užstato turėtojas tampa absoliučiu savininku, nes jis lieka įsipareigojęs jį grąžinti, kai užstato davėjas įvykdys savo įsipareigojimus. </w:t>
      </w:r>
      <w:r w:rsidR="007B1C61" w:rsidRPr="00A91E83">
        <w:rPr>
          <w:rFonts w:ascii="Times New Roman" w:hAnsi="Times New Roman" w:cs="Times New Roman"/>
          <w:sz w:val="24"/>
          <w:szCs w:val="24"/>
        </w:rPr>
        <w:t>Taip pat</w:t>
      </w:r>
      <w:r w:rsidR="00CA6E5A" w:rsidRPr="00A91E83">
        <w:rPr>
          <w:rFonts w:ascii="Times New Roman" w:hAnsi="Times New Roman" w:cs="Times New Roman"/>
          <w:sz w:val="24"/>
          <w:szCs w:val="24"/>
        </w:rPr>
        <w:t>,</w:t>
      </w:r>
      <w:r w:rsidR="007B1C61" w:rsidRPr="00A91E83">
        <w:rPr>
          <w:rFonts w:ascii="Times New Roman" w:hAnsi="Times New Roman" w:cs="Times New Roman"/>
          <w:sz w:val="24"/>
          <w:szCs w:val="24"/>
        </w:rPr>
        <w:t xml:space="preserve"> jeigu užstato turėtojas gauna iš finansinio užstato dividendus, tai jie irgi priklauso užstato davėjui.</w:t>
      </w:r>
      <w:r w:rsidR="007B1C61" w:rsidRPr="00A91E83">
        <w:rPr>
          <w:rStyle w:val="Puslapioinaosnuoroda"/>
          <w:rFonts w:ascii="Times New Roman" w:hAnsi="Times New Roman" w:cs="Times New Roman"/>
          <w:sz w:val="24"/>
          <w:szCs w:val="24"/>
        </w:rPr>
        <w:footnoteReference w:id="179"/>
      </w:r>
      <w:r w:rsidR="00161688" w:rsidRPr="00A91E83">
        <w:rPr>
          <w:rFonts w:ascii="Times New Roman" w:hAnsi="Times New Roman" w:cs="Times New Roman"/>
          <w:sz w:val="24"/>
          <w:szCs w:val="24"/>
        </w:rPr>
        <w:t xml:space="preserve">Jeigu užstato davėjas nebegali įvykdyti prievolės, tai užstato </w:t>
      </w:r>
      <w:r w:rsidR="000A3277" w:rsidRPr="00A91E83">
        <w:rPr>
          <w:rFonts w:ascii="Times New Roman" w:hAnsi="Times New Roman" w:cs="Times New Roman"/>
          <w:sz w:val="24"/>
          <w:szCs w:val="24"/>
        </w:rPr>
        <w:t xml:space="preserve">turėtojas </w:t>
      </w:r>
      <w:r w:rsidR="001C20F3" w:rsidRPr="00A91E83">
        <w:rPr>
          <w:rFonts w:ascii="Times New Roman" w:hAnsi="Times New Roman" w:cs="Times New Roman"/>
          <w:sz w:val="24"/>
          <w:szCs w:val="24"/>
        </w:rPr>
        <w:t xml:space="preserve">pasinaudodamas aptartu baigiamosios užskaitos mechanizmu įtraukia finansinio užstato vertę į galutinės mokėtinos sumos balansą. </w:t>
      </w:r>
      <w:r w:rsidR="00286955" w:rsidRPr="00A91E83">
        <w:rPr>
          <w:rFonts w:ascii="Times New Roman" w:hAnsi="Times New Roman" w:cs="Times New Roman"/>
          <w:sz w:val="24"/>
          <w:szCs w:val="24"/>
        </w:rPr>
        <w:t>Apskritai būtina įsitikinti, ar šis užstatas bus pripažįstamas pagal taikomą teisę ir ar nedarys užstato realizavimui įtakos šalies nemokumas.</w:t>
      </w:r>
      <w:r w:rsidR="00286955" w:rsidRPr="00A91E83">
        <w:rPr>
          <w:rStyle w:val="Puslapioinaosnuoroda"/>
          <w:rFonts w:ascii="Times New Roman" w:hAnsi="Times New Roman" w:cs="Times New Roman"/>
          <w:sz w:val="24"/>
          <w:szCs w:val="24"/>
        </w:rPr>
        <w:footnoteReference w:id="180"/>
      </w:r>
      <w:r w:rsidR="00CC2BA9" w:rsidRPr="00A91E83">
        <w:rPr>
          <w:rFonts w:ascii="Times New Roman" w:hAnsi="Times New Roman" w:cs="Times New Roman"/>
          <w:sz w:val="24"/>
          <w:szCs w:val="24"/>
        </w:rPr>
        <w:t xml:space="preserve"> Plačiau su finansinio užstato statusu bankroto procese nagrinėjamos IV dalyje.</w:t>
      </w:r>
      <w:r w:rsidR="00286955" w:rsidRPr="00A91E83">
        <w:rPr>
          <w:rFonts w:ascii="Times New Roman" w:hAnsi="Times New Roman" w:cs="Times New Roman"/>
          <w:sz w:val="24"/>
          <w:szCs w:val="24"/>
        </w:rPr>
        <w:t xml:space="preserve"> </w:t>
      </w:r>
    </w:p>
    <w:p w:rsidR="00CC3446" w:rsidRPr="00A91E83" w:rsidRDefault="003F5E31" w:rsidP="00FE0B42">
      <w:pPr>
        <w:pStyle w:val="Sraopastraipa"/>
        <w:tabs>
          <w:tab w:val="left" w:pos="851"/>
        </w:tabs>
        <w:spacing w:after="0" w:line="360" w:lineRule="auto"/>
        <w:ind w:left="0" w:firstLine="851"/>
        <w:jc w:val="both"/>
        <w:rPr>
          <w:rFonts w:ascii="Times New Roman" w:hAnsi="Times New Roman" w:cs="Times New Roman"/>
          <w:sz w:val="24"/>
          <w:szCs w:val="24"/>
        </w:rPr>
      </w:pPr>
      <w:r w:rsidRPr="00A91E83">
        <w:rPr>
          <w:rFonts w:ascii="Times New Roman" w:hAnsi="Times New Roman" w:cs="Times New Roman"/>
          <w:sz w:val="24"/>
          <w:szCs w:val="24"/>
        </w:rPr>
        <w:t>Finansinis užstatas dažniausiai</w:t>
      </w:r>
      <w:r w:rsidR="00CC3446" w:rsidRPr="00A91E83">
        <w:rPr>
          <w:rFonts w:ascii="Times New Roman" w:hAnsi="Times New Roman" w:cs="Times New Roman"/>
          <w:sz w:val="24"/>
          <w:szCs w:val="24"/>
        </w:rPr>
        <w:t xml:space="preserve"> yra aukštai įvertinti skolos vertybiniai popieriai</w:t>
      </w:r>
      <w:r w:rsidR="00DA56E6" w:rsidRPr="00A91E83">
        <w:rPr>
          <w:rFonts w:ascii="Times New Roman" w:hAnsi="Times New Roman" w:cs="Times New Roman"/>
          <w:sz w:val="24"/>
          <w:szCs w:val="24"/>
        </w:rPr>
        <w:t>,</w:t>
      </w:r>
      <w:r w:rsidR="00CC3446" w:rsidRPr="00A91E83">
        <w:rPr>
          <w:rStyle w:val="Puslapioinaosnuoroda"/>
          <w:rFonts w:ascii="Times New Roman" w:hAnsi="Times New Roman" w:cs="Times New Roman"/>
          <w:sz w:val="24"/>
          <w:szCs w:val="24"/>
        </w:rPr>
        <w:footnoteReference w:id="181"/>
      </w:r>
      <w:r w:rsidR="00CC3446" w:rsidRPr="00A91E83">
        <w:rPr>
          <w:rFonts w:ascii="Times New Roman" w:hAnsi="Times New Roman" w:cs="Times New Roman"/>
          <w:sz w:val="24"/>
          <w:szCs w:val="24"/>
        </w:rPr>
        <w:t xml:space="preserve"> </w:t>
      </w:r>
      <w:r w:rsidR="00682775" w:rsidRPr="00A91E83">
        <w:rPr>
          <w:rFonts w:ascii="Times New Roman" w:hAnsi="Times New Roman" w:cs="Times New Roman"/>
          <w:sz w:val="24"/>
          <w:szCs w:val="24"/>
        </w:rPr>
        <w:t xml:space="preserve">piniginės </w:t>
      </w:r>
      <w:r w:rsidR="00CC3446" w:rsidRPr="00A91E83">
        <w:rPr>
          <w:rFonts w:ascii="Times New Roman" w:hAnsi="Times New Roman" w:cs="Times New Roman"/>
          <w:sz w:val="24"/>
          <w:szCs w:val="24"/>
        </w:rPr>
        <w:t xml:space="preserve">lėšos sąskaitose, </w:t>
      </w:r>
      <w:r w:rsidR="008C26F1" w:rsidRPr="00A91E83">
        <w:rPr>
          <w:rFonts w:ascii="Times New Roman" w:hAnsi="Times New Roman" w:cs="Times New Roman"/>
          <w:sz w:val="24"/>
          <w:szCs w:val="24"/>
        </w:rPr>
        <w:t>t. y.</w:t>
      </w:r>
      <w:r w:rsidR="00CC3446" w:rsidRPr="00A91E83">
        <w:rPr>
          <w:rFonts w:ascii="Times New Roman" w:hAnsi="Times New Roman" w:cs="Times New Roman"/>
          <w:sz w:val="24"/>
          <w:szCs w:val="24"/>
        </w:rPr>
        <w:t xml:space="preserve"> itin aukšto likvidumo finansiniai produktai. Nors </w:t>
      </w:r>
      <w:r w:rsidR="00682775" w:rsidRPr="00A91E83">
        <w:rPr>
          <w:rFonts w:ascii="Times New Roman" w:hAnsi="Times New Roman" w:cs="Times New Roman"/>
          <w:sz w:val="24"/>
          <w:szCs w:val="24"/>
        </w:rPr>
        <w:t xml:space="preserve">piniginės </w:t>
      </w:r>
      <w:r w:rsidR="0036368D" w:rsidRPr="00A91E83">
        <w:rPr>
          <w:rFonts w:ascii="Times New Roman" w:hAnsi="Times New Roman" w:cs="Times New Roman"/>
          <w:sz w:val="24"/>
          <w:szCs w:val="24"/>
        </w:rPr>
        <w:t>lėšos</w:t>
      </w:r>
      <w:r w:rsidR="00CC3446" w:rsidRPr="00A91E83">
        <w:rPr>
          <w:rFonts w:ascii="Times New Roman" w:hAnsi="Times New Roman" w:cs="Times New Roman"/>
          <w:sz w:val="24"/>
          <w:szCs w:val="24"/>
        </w:rPr>
        <w:t xml:space="preserve"> </w:t>
      </w:r>
      <w:r w:rsidR="00D539B3" w:rsidRPr="00A91E83">
        <w:rPr>
          <w:rFonts w:ascii="Times New Roman" w:hAnsi="Times New Roman" w:cs="Times New Roman"/>
          <w:sz w:val="24"/>
          <w:szCs w:val="24"/>
        </w:rPr>
        <w:t xml:space="preserve">esančios sąskaitoje </w:t>
      </w:r>
      <w:r w:rsidR="00D30E03" w:rsidRPr="00A91E83">
        <w:rPr>
          <w:rFonts w:ascii="Times New Roman" w:hAnsi="Times New Roman" w:cs="Times New Roman"/>
          <w:sz w:val="24"/>
          <w:szCs w:val="24"/>
        </w:rPr>
        <w:t>yra laikomo</w:t>
      </w:r>
      <w:r w:rsidR="00CC3446" w:rsidRPr="00A91E83">
        <w:rPr>
          <w:rFonts w:ascii="Times New Roman" w:hAnsi="Times New Roman" w:cs="Times New Roman"/>
          <w:sz w:val="24"/>
          <w:szCs w:val="24"/>
        </w:rPr>
        <w:t>s brangia užstato forma</w:t>
      </w:r>
      <w:r w:rsidR="000E7D71" w:rsidRPr="00A91E83">
        <w:rPr>
          <w:rFonts w:ascii="Times New Roman" w:hAnsi="Times New Roman" w:cs="Times New Roman"/>
          <w:sz w:val="24"/>
          <w:szCs w:val="24"/>
        </w:rPr>
        <w:t>,</w:t>
      </w:r>
      <w:r w:rsidR="00CC3446" w:rsidRPr="00A91E83">
        <w:rPr>
          <w:rStyle w:val="Puslapioinaosnuoroda"/>
          <w:rFonts w:ascii="Times New Roman" w:hAnsi="Times New Roman" w:cs="Times New Roman"/>
          <w:sz w:val="24"/>
          <w:szCs w:val="24"/>
        </w:rPr>
        <w:footnoteReference w:id="182"/>
      </w:r>
      <w:r w:rsidR="00CC3446" w:rsidRPr="00A91E83">
        <w:rPr>
          <w:rFonts w:ascii="Times New Roman" w:hAnsi="Times New Roman" w:cs="Times New Roman"/>
          <w:sz w:val="24"/>
          <w:szCs w:val="24"/>
        </w:rPr>
        <w:t xml:space="preserve"> vis dėlto </w:t>
      </w:r>
      <w:r w:rsidR="00154A7D" w:rsidRPr="00A91E83">
        <w:rPr>
          <w:rFonts w:ascii="Times New Roman" w:hAnsi="Times New Roman" w:cs="Times New Roman"/>
          <w:sz w:val="24"/>
          <w:szCs w:val="24"/>
        </w:rPr>
        <w:t xml:space="preserve">kaip ir buvo minėta didžioji finansinio </w:t>
      </w:r>
      <w:r w:rsidR="00CC3446" w:rsidRPr="00A91E83">
        <w:rPr>
          <w:rFonts w:ascii="Times New Roman" w:hAnsi="Times New Roman" w:cs="Times New Roman"/>
          <w:sz w:val="24"/>
          <w:szCs w:val="24"/>
        </w:rPr>
        <w:t xml:space="preserve">užstato </w:t>
      </w:r>
      <w:r w:rsidR="00154A7D" w:rsidRPr="00A91E83">
        <w:rPr>
          <w:rFonts w:ascii="Times New Roman" w:hAnsi="Times New Roman" w:cs="Times New Roman"/>
          <w:sz w:val="24"/>
          <w:szCs w:val="24"/>
        </w:rPr>
        <w:t xml:space="preserve">dalis </w:t>
      </w:r>
      <w:r w:rsidR="00CC3446" w:rsidRPr="00A91E83">
        <w:rPr>
          <w:rFonts w:ascii="Times New Roman" w:hAnsi="Times New Roman" w:cs="Times New Roman"/>
          <w:sz w:val="24"/>
          <w:szCs w:val="24"/>
        </w:rPr>
        <w:t xml:space="preserve">laikoma </w:t>
      </w:r>
      <w:r w:rsidR="00682775" w:rsidRPr="00A91E83">
        <w:rPr>
          <w:rFonts w:ascii="Times New Roman" w:hAnsi="Times New Roman" w:cs="Times New Roman"/>
          <w:sz w:val="24"/>
          <w:szCs w:val="24"/>
        </w:rPr>
        <w:t>piniginių lėšų</w:t>
      </w:r>
      <w:r w:rsidR="00154A7D" w:rsidRPr="00A91E83">
        <w:rPr>
          <w:rFonts w:ascii="Times New Roman" w:hAnsi="Times New Roman" w:cs="Times New Roman"/>
          <w:sz w:val="24"/>
          <w:szCs w:val="24"/>
        </w:rPr>
        <w:t xml:space="preserve"> pavidalu</w:t>
      </w:r>
      <w:r w:rsidR="00CC3446" w:rsidRPr="00A91E83">
        <w:rPr>
          <w:rFonts w:ascii="Times New Roman" w:hAnsi="Times New Roman" w:cs="Times New Roman"/>
          <w:sz w:val="24"/>
          <w:szCs w:val="24"/>
        </w:rPr>
        <w:t xml:space="preserve">. </w:t>
      </w:r>
      <w:r w:rsidR="004659E5" w:rsidRPr="00A91E83">
        <w:rPr>
          <w:rFonts w:ascii="Times New Roman" w:hAnsi="Times New Roman" w:cs="Times New Roman"/>
          <w:sz w:val="24"/>
          <w:szCs w:val="24"/>
        </w:rPr>
        <w:t xml:space="preserve">Kadangi dalis užstato dažniausiai bus </w:t>
      </w:r>
      <w:r w:rsidR="004659E5" w:rsidRPr="00A91E83">
        <w:rPr>
          <w:rFonts w:ascii="Times New Roman" w:hAnsi="Times New Roman" w:cs="Times New Roman"/>
          <w:sz w:val="24"/>
          <w:szCs w:val="24"/>
        </w:rPr>
        <w:lastRenderedPageBreak/>
        <w:t xml:space="preserve">vertybiniai popieriai, tai visada išlieka interesas turėti galimybę jais disponuoti, </w:t>
      </w:r>
      <w:r w:rsidR="006A1004" w:rsidRPr="00A91E83">
        <w:rPr>
          <w:rFonts w:ascii="Times New Roman" w:hAnsi="Times New Roman" w:cs="Times New Roman"/>
          <w:sz w:val="24"/>
          <w:szCs w:val="24"/>
        </w:rPr>
        <w:t>atsižvelgiant į rinkos pokyčius, o tokią galimybę ISDA forma šalims suteikia.</w:t>
      </w:r>
    </w:p>
    <w:p w:rsidR="00CC3446" w:rsidRPr="00A91E83" w:rsidRDefault="00CC3446"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Svarbu šalims yra susitarti, ar finansinio užstato susitarimai bus abipusiai, ar tik vienos šalies atžvilgiu. Ar užteks, kad viena šalis pateiktų finansinį užstatą, ar vis dėlto reikės abiems šalims tai padaryti. Šis sprendimas dažniausiai yra priimamas remiantis šalių kreditingumo lygiu. Šiais laikais yra įprasta, jog abi šalys viena kitos atžvilgiu reikalauja užstato. </w:t>
      </w:r>
      <w:r w:rsidR="00A3045D" w:rsidRPr="00A91E83">
        <w:rPr>
          <w:rFonts w:ascii="Times New Roman" w:hAnsi="Times New Roman" w:cs="Times New Roman"/>
          <w:sz w:val="24"/>
          <w:szCs w:val="24"/>
        </w:rPr>
        <w:t>Atsižvelgiant į sandorių dėl išvestinių finansinių priemonių vertės svyravimų specifiką</w:t>
      </w:r>
      <w:r w:rsidR="00874E4B" w:rsidRPr="00A91E83">
        <w:rPr>
          <w:rFonts w:ascii="Times New Roman" w:hAnsi="Times New Roman" w:cs="Times New Roman"/>
          <w:sz w:val="24"/>
          <w:szCs w:val="24"/>
        </w:rPr>
        <w:t>,</w:t>
      </w:r>
      <w:r w:rsidR="00A3045D" w:rsidRPr="00A91E83">
        <w:rPr>
          <w:rFonts w:ascii="Times New Roman" w:hAnsi="Times New Roman" w:cs="Times New Roman"/>
          <w:sz w:val="24"/>
          <w:szCs w:val="24"/>
        </w:rPr>
        <w:t xml:space="preserve"> šalims patariama sukur</w:t>
      </w:r>
      <w:r w:rsidR="00874E4B" w:rsidRPr="00A91E83">
        <w:rPr>
          <w:rFonts w:ascii="Times New Roman" w:hAnsi="Times New Roman" w:cs="Times New Roman"/>
          <w:sz w:val="24"/>
          <w:szCs w:val="24"/>
        </w:rPr>
        <w:t>ti lanksčią sistema, kuri leistų</w:t>
      </w:r>
      <w:r w:rsidR="00A3045D" w:rsidRPr="00A91E83">
        <w:rPr>
          <w:rFonts w:ascii="Times New Roman" w:hAnsi="Times New Roman" w:cs="Times New Roman"/>
          <w:sz w:val="24"/>
          <w:szCs w:val="24"/>
        </w:rPr>
        <w:t xml:space="preserve"> kontroliuoti užstato </w:t>
      </w:r>
      <w:r w:rsidR="00DD0CD0" w:rsidRPr="00A91E83">
        <w:rPr>
          <w:rFonts w:ascii="Times New Roman" w:hAnsi="Times New Roman" w:cs="Times New Roman"/>
          <w:sz w:val="24"/>
          <w:szCs w:val="24"/>
        </w:rPr>
        <w:t>perdavimo ir grąžinimo procesą.</w:t>
      </w:r>
      <w:r w:rsidR="00DD0CD0" w:rsidRPr="00A91E83">
        <w:rPr>
          <w:rStyle w:val="Puslapioinaosnuoroda"/>
          <w:rFonts w:ascii="Times New Roman" w:hAnsi="Times New Roman" w:cs="Times New Roman"/>
          <w:sz w:val="24"/>
          <w:szCs w:val="24"/>
        </w:rPr>
        <w:footnoteReference w:id="183"/>
      </w:r>
      <w:r w:rsidR="00DE405A" w:rsidRPr="00A91E83">
        <w:rPr>
          <w:rFonts w:ascii="Times New Roman" w:hAnsi="Times New Roman" w:cs="Times New Roman"/>
          <w:sz w:val="24"/>
          <w:szCs w:val="24"/>
        </w:rPr>
        <w:t xml:space="preserve"> </w:t>
      </w:r>
      <w:r w:rsidRPr="00A91E83">
        <w:rPr>
          <w:rFonts w:ascii="Times New Roman" w:hAnsi="Times New Roman" w:cs="Times New Roman"/>
          <w:sz w:val="24"/>
          <w:szCs w:val="24"/>
        </w:rPr>
        <w:t xml:space="preserve">Taigi net ir nustačius, jog abi šalys privalo pateikti užstatą vis dėlto jis gali būti tarpusavyje įskaitomas, </w:t>
      </w:r>
      <w:r w:rsidR="008C26F1" w:rsidRPr="00A91E83">
        <w:rPr>
          <w:rFonts w:ascii="Times New Roman" w:hAnsi="Times New Roman" w:cs="Times New Roman"/>
          <w:sz w:val="24"/>
          <w:szCs w:val="24"/>
        </w:rPr>
        <w:t>t. y.</w:t>
      </w:r>
      <w:r w:rsidRPr="00A91E83">
        <w:rPr>
          <w:rFonts w:ascii="Times New Roman" w:hAnsi="Times New Roman" w:cs="Times New Roman"/>
          <w:sz w:val="24"/>
          <w:szCs w:val="24"/>
        </w:rPr>
        <w:t xml:space="preserve"> užstatas, kurį viena šalis turi perduoti kitai šaliai</w:t>
      </w:r>
      <w:r w:rsidR="00874E4B" w:rsidRPr="00A91E83">
        <w:rPr>
          <w:rFonts w:ascii="Times New Roman" w:hAnsi="Times New Roman" w:cs="Times New Roman"/>
          <w:sz w:val="24"/>
          <w:szCs w:val="24"/>
        </w:rPr>
        <w:t>,</w:t>
      </w:r>
      <w:r w:rsidRPr="00A91E83">
        <w:rPr>
          <w:rFonts w:ascii="Times New Roman" w:hAnsi="Times New Roman" w:cs="Times New Roman"/>
          <w:sz w:val="24"/>
          <w:szCs w:val="24"/>
        </w:rPr>
        <w:t xml:space="preserve"> įskaitomas į užstato vertę, kurį turi perduoti kita šalis. Rezultatas toks, jog užstatas, kuris iš tikrųjų yra perleidžiamas sudaro tik mažą dalį.</w:t>
      </w:r>
      <w:r w:rsidRPr="00A91E83">
        <w:rPr>
          <w:rStyle w:val="Puslapioinaosnuoroda"/>
          <w:rFonts w:ascii="Times New Roman" w:hAnsi="Times New Roman" w:cs="Times New Roman"/>
          <w:sz w:val="24"/>
          <w:szCs w:val="24"/>
        </w:rPr>
        <w:footnoteReference w:id="184"/>
      </w:r>
      <w:r w:rsidR="009D0696" w:rsidRPr="00A91E83">
        <w:rPr>
          <w:rFonts w:ascii="Times New Roman" w:hAnsi="Times New Roman" w:cs="Times New Roman"/>
          <w:sz w:val="24"/>
          <w:szCs w:val="24"/>
        </w:rPr>
        <w:t>`</w:t>
      </w:r>
      <w:r w:rsidR="00710854" w:rsidRPr="00A91E83">
        <w:rPr>
          <w:rFonts w:ascii="Times New Roman" w:hAnsi="Times New Roman" w:cs="Times New Roman"/>
          <w:sz w:val="24"/>
          <w:szCs w:val="24"/>
        </w:rPr>
        <w:t xml:space="preserve"> Tokiu būdu abi šalys gali laikyti sandorius dėl išvestinių finansinių priemonių kaip užtikrintus </w:t>
      </w:r>
      <w:r w:rsidR="00874E4B" w:rsidRPr="00A91E83">
        <w:rPr>
          <w:rFonts w:ascii="Times New Roman" w:hAnsi="Times New Roman" w:cs="Times New Roman"/>
          <w:sz w:val="24"/>
          <w:szCs w:val="24"/>
        </w:rPr>
        <w:t xml:space="preserve">finansiniu </w:t>
      </w:r>
      <w:r w:rsidR="00710854" w:rsidRPr="00A91E83">
        <w:rPr>
          <w:rFonts w:ascii="Times New Roman" w:hAnsi="Times New Roman" w:cs="Times New Roman"/>
          <w:sz w:val="24"/>
          <w:szCs w:val="24"/>
        </w:rPr>
        <w:t>užstatu, o tai pagerina kapitalo pakankamumo rodiklius.</w:t>
      </w:r>
    </w:p>
    <w:p w:rsidR="00F8650C" w:rsidRPr="00A91E83" w:rsidRDefault="00F8650C" w:rsidP="00B46A53">
      <w:pPr>
        <w:tabs>
          <w:tab w:val="left" w:pos="851"/>
        </w:tabs>
        <w:spacing w:after="0" w:line="360" w:lineRule="auto"/>
        <w:ind w:firstLine="851"/>
        <w:jc w:val="both"/>
        <w:rPr>
          <w:rFonts w:ascii="Times New Roman" w:hAnsi="Times New Roman" w:cs="Times New Roman"/>
          <w:sz w:val="24"/>
          <w:szCs w:val="24"/>
        </w:rPr>
      </w:pPr>
    </w:p>
    <w:p w:rsidR="00595053" w:rsidRPr="00A91E83" w:rsidRDefault="002940B0" w:rsidP="00256B0B">
      <w:pPr>
        <w:pStyle w:val="Sraopastraipa"/>
        <w:numPr>
          <w:ilvl w:val="0"/>
          <w:numId w:val="4"/>
        </w:numPr>
        <w:tabs>
          <w:tab w:val="left" w:pos="851"/>
        </w:tabs>
        <w:spacing w:after="0" w:line="360" w:lineRule="auto"/>
        <w:ind w:left="0" w:firstLine="0"/>
        <w:jc w:val="both"/>
        <w:outlineLvl w:val="0"/>
        <w:rPr>
          <w:rFonts w:ascii="Times New Roman" w:hAnsi="Times New Roman" w:cs="Times New Roman"/>
          <w:b/>
          <w:smallCaps/>
          <w:sz w:val="24"/>
          <w:szCs w:val="24"/>
        </w:rPr>
      </w:pPr>
      <w:r w:rsidRPr="00A91E83">
        <w:rPr>
          <w:rFonts w:ascii="Times New Roman" w:hAnsi="Times New Roman" w:cs="Times New Roman"/>
          <w:sz w:val="24"/>
          <w:szCs w:val="24"/>
        </w:rPr>
        <w:br w:type="column"/>
      </w:r>
      <w:bookmarkStart w:id="29" w:name="_Toc280546462"/>
      <w:r w:rsidR="00256B0B" w:rsidRPr="00A91E83">
        <w:rPr>
          <w:rFonts w:ascii="Times New Roman" w:hAnsi="Times New Roman" w:cs="Times New Roman"/>
          <w:b/>
          <w:smallCaps/>
          <w:sz w:val="24"/>
          <w:szCs w:val="24"/>
        </w:rPr>
        <w:lastRenderedPageBreak/>
        <w:t>u</w:t>
      </w:r>
      <w:r w:rsidR="00595053" w:rsidRPr="00A91E83">
        <w:rPr>
          <w:rFonts w:ascii="Times New Roman" w:hAnsi="Times New Roman" w:cs="Times New Roman"/>
          <w:b/>
          <w:smallCaps/>
          <w:sz w:val="24"/>
          <w:szCs w:val="24"/>
        </w:rPr>
        <w:t>žskaitos sąlygų galiojimas bankroto procese</w:t>
      </w:r>
      <w:bookmarkEnd w:id="29"/>
    </w:p>
    <w:p w:rsidR="00595053" w:rsidRPr="00A91E83" w:rsidRDefault="00595053" w:rsidP="00B46A53">
      <w:pPr>
        <w:pStyle w:val="Sraopastraipa"/>
        <w:tabs>
          <w:tab w:val="left" w:pos="851"/>
        </w:tabs>
        <w:spacing w:after="0" w:line="360" w:lineRule="auto"/>
        <w:ind w:left="0" w:firstLine="851"/>
        <w:jc w:val="both"/>
        <w:rPr>
          <w:rFonts w:ascii="Times New Roman" w:hAnsi="Times New Roman" w:cs="Times New Roman"/>
          <w:sz w:val="24"/>
          <w:szCs w:val="24"/>
        </w:rPr>
      </w:pPr>
    </w:p>
    <w:p w:rsidR="00595053" w:rsidRPr="00A91E83" w:rsidRDefault="00595053" w:rsidP="00B46A53">
      <w:pPr>
        <w:pStyle w:val="Sraopastraipa"/>
        <w:tabs>
          <w:tab w:val="left" w:pos="851"/>
        </w:tabs>
        <w:spacing w:after="0" w:line="360" w:lineRule="auto"/>
        <w:ind w:left="0" w:firstLine="851"/>
        <w:jc w:val="both"/>
        <w:rPr>
          <w:rFonts w:ascii="Times New Roman" w:hAnsi="Times New Roman" w:cs="Times New Roman"/>
          <w:sz w:val="24"/>
          <w:szCs w:val="24"/>
        </w:rPr>
      </w:pPr>
      <w:r w:rsidRPr="00A91E83">
        <w:rPr>
          <w:rFonts w:ascii="Times New Roman" w:hAnsi="Times New Roman" w:cs="Times New Roman"/>
          <w:sz w:val="24"/>
          <w:szCs w:val="24"/>
        </w:rPr>
        <w:t>Paskutinėje tyrimo dalyje apžvelgsime kaip sąveikauja aptartas ISDA formos</w:t>
      </w:r>
      <w:r w:rsidR="00697686" w:rsidRPr="00A91E83">
        <w:rPr>
          <w:rFonts w:ascii="Times New Roman" w:hAnsi="Times New Roman" w:cs="Times New Roman"/>
          <w:sz w:val="24"/>
          <w:szCs w:val="24"/>
        </w:rPr>
        <w:t xml:space="preserve"> baigiamosios</w:t>
      </w:r>
      <w:r w:rsidRPr="00A91E83">
        <w:rPr>
          <w:rFonts w:ascii="Times New Roman" w:hAnsi="Times New Roman" w:cs="Times New Roman"/>
          <w:sz w:val="24"/>
          <w:szCs w:val="24"/>
        </w:rPr>
        <w:t xml:space="preserve"> </w:t>
      </w:r>
      <w:r w:rsidR="00697686" w:rsidRPr="00A91E83">
        <w:rPr>
          <w:rFonts w:ascii="Times New Roman" w:hAnsi="Times New Roman" w:cs="Times New Roman"/>
          <w:sz w:val="24"/>
          <w:szCs w:val="24"/>
        </w:rPr>
        <w:t>užskaitos</w:t>
      </w:r>
      <w:r w:rsidRPr="00A91E83">
        <w:rPr>
          <w:rFonts w:ascii="Times New Roman" w:hAnsi="Times New Roman" w:cs="Times New Roman"/>
          <w:sz w:val="24"/>
          <w:szCs w:val="24"/>
        </w:rPr>
        <w:t xml:space="preserve"> mechanizmas ir imperatyvus bankroto režimas. Tolimesnė teisinė analizė </w:t>
      </w:r>
      <w:r w:rsidR="001507B3">
        <w:rPr>
          <w:rFonts w:ascii="Times New Roman" w:hAnsi="Times New Roman" w:cs="Times New Roman"/>
          <w:sz w:val="24"/>
          <w:szCs w:val="24"/>
        </w:rPr>
        <w:t>atskleis</w:t>
      </w:r>
      <w:r w:rsidR="000D013C" w:rsidRPr="00A91E83">
        <w:rPr>
          <w:rFonts w:ascii="Times New Roman" w:hAnsi="Times New Roman" w:cs="Times New Roman"/>
          <w:sz w:val="24"/>
          <w:szCs w:val="24"/>
        </w:rPr>
        <w:t xml:space="preserve">, ar </w:t>
      </w:r>
      <w:r w:rsidRPr="00A91E83">
        <w:rPr>
          <w:rFonts w:ascii="Times New Roman" w:hAnsi="Times New Roman" w:cs="Times New Roman"/>
          <w:sz w:val="24"/>
          <w:szCs w:val="24"/>
        </w:rPr>
        <w:t>šalys</w:t>
      </w:r>
      <w:r w:rsidR="000D013C" w:rsidRPr="00A91E83">
        <w:rPr>
          <w:rFonts w:ascii="Times New Roman" w:hAnsi="Times New Roman" w:cs="Times New Roman"/>
          <w:sz w:val="24"/>
          <w:szCs w:val="24"/>
        </w:rPr>
        <w:t>,</w:t>
      </w:r>
      <w:r w:rsidRPr="00A91E83">
        <w:rPr>
          <w:rFonts w:ascii="Times New Roman" w:hAnsi="Times New Roman" w:cs="Times New Roman"/>
          <w:sz w:val="24"/>
          <w:szCs w:val="24"/>
        </w:rPr>
        <w:t xml:space="preserve"> naudodamos ISDA formą ir pasirinkusios Lietuvos taikytiną </w:t>
      </w:r>
      <w:r w:rsidR="00CA587F" w:rsidRPr="00A91E83">
        <w:rPr>
          <w:rFonts w:ascii="Times New Roman" w:hAnsi="Times New Roman" w:cs="Times New Roman"/>
          <w:sz w:val="24"/>
          <w:szCs w:val="24"/>
        </w:rPr>
        <w:t>teisę</w:t>
      </w:r>
      <w:r w:rsidR="000D013C" w:rsidRPr="00A91E83">
        <w:rPr>
          <w:rFonts w:ascii="Times New Roman" w:hAnsi="Times New Roman" w:cs="Times New Roman"/>
          <w:sz w:val="24"/>
          <w:szCs w:val="24"/>
        </w:rPr>
        <w:t>,</w:t>
      </w:r>
      <w:r w:rsidR="00CA587F" w:rsidRPr="00A91E83">
        <w:rPr>
          <w:rFonts w:ascii="Times New Roman" w:hAnsi="Times New Roman" w:cs="Times New Roman"/>
          <w:sz w:val="24"/>
          <w:szCs w:val="24"/>
        </w:rPr>
        <w:t xml:space="preserve"> gali tikėtis, kad užskaitos mechanizmas normaliai funkcionuos ir </w:t>
      </w:r>
      <w:r w:rsidR="001A37A3" w:rsidRPr="00A91E83">
        <w:rPr>
          <w:rFonts w:ascii="Times New Roman" w:hAnsi="Times New Roman" w:cs="Times New Roman"/>
          <w:sz w:val="24"/>
          <w:szCs w:val="24"/>
        </w:rPr>
        <w:t>vienai iš šalių tapus nemokiai.</w:t>
      </w:r>
      <w:r w:rsidR="00480AF0" w:rsidRPr="00A91E83">
        <w:rPr>
          <w:rFonts w:ascii="Times New Roman" w:hAnsi="Times New Roman" w:cs="Times New Roman"/>
          <w:sz w:val="24"/>
          <w:szCs w:val="24"/>
        </w:rPr>
        <w:t xml:space="preserve"> </w:t>
      </w:r>
      <w:r w:rsidR="000D013C" w:rsidRPr="00A91E83">
        <w:rPr>
          <w:rFonts w:ascii="Times New Roman" w:hAnsi="Times New Roman" w:cs="Times New Roman"/>
          <w:sz w:val="24"/>
          <w:szCs w:val="24"/>
        </w:rPr>
        <w:t xml:space="preserve">Negatyvūs analizės rezultatai, </w:t>
      </w:r>
      <w:r w:rsidR="00480AF0" w:rsidRPr="00A91E83">
        <w:rPr>
          <w:rFonts w:ascii="Times New Roman" w:hAnsi="Times New Roman" w:cs="Times New Roman"/>
          <w:sz w:val="24"/>
          <w:szCs w:val="24"/>
        </w:rPr>
        <w:t>galėtų turėti neigiamų padarinių ateities užsie</w:t>
      </w:r>
      <w:r w:rsidR="003C5CCB" w:rsidRPr="00A91E83">
        <w:rPr>
          <w:rFonts w:ascii="Times New Roman" w:hAnsi="Times New Roman" w:cs="Times New Roman"/>
          <w:sz w:val="24"/>
          <w:szCs w:val="24"/>
        </w:rPr>
        <w:t xml:space="preserve">nio investicijų </w:t>
      </w:r>
      <w:r w:rsidR="00C67AA1" w:rsidRPr="00A91E83">
        <w:rPr>
          <w:rFonts w:ascii="Times New Roman" w:hAnsi="Times New Roman" w:cs="Times New Roman"/>
          <w:sz w:val="24"/>
          <w:szCs w:val="24"/>
        </w:rPr>
        <w:t xml:space="preserve">Lietuvoje </w:t>
      </w:r>
      <w:r w:rsidR="00982E37" w:rsidRPr="00A91E83">
        <w:rPr>
          <w:rFonts w:ascii="Times New Roman" w:hAnsi="Times New Roman" w:cs="Times New Roman"/>
          <w:sz w:val="24"/>
          <w:szCs w:val="24"/>
        </w:rPr>
        <w:t>apimčiai</w:t>
      </w:r>
      <w:r w:rsidR="000D013C" w:rsidRPr="00A91E83">
        <w:rPr>
          <w:rFonts w:ascii="Times New Roman" w:hAnsi="Times New Roman" w:cs="Times New Roman"/>
          <w:sz w:val="24"/>
          <w:szCs w:val="24"/>
        </w:rPr>
        <w:t>,</w:t>
      </w:r>
      <w:r w:rsidR="00982E37" w:rsidRPr="00A91E83">
        <w:rPr>
          <w:rFonts w:ascii="Times New Roman" w:hAnsi="Times New Roman" w:cs="Times New Roman"/>
          <w:sz w:val="24"/>
          <w:szCs w:val="24"/>
        </w:rPr>
        <w:t xml:space="preserve"> sandorių dėl išvestinių </w:t>
      </w:r>
      <w:r w:rsidR="00537738" w:rsidRPr="00A91E83">
        <w:rPr>
          <w:rFonts w:ascii="Times New Roman" w:hAnsi="Times New Roman" w:cs="Times New Roman"/>
          <w:sz w:val="24"/>
          <w:szCs w:val="24"/>
        </w:rPr>
        <w:t>finansinių priemonių srityje</w:t>
      </w:r>
      <w:r w:rsidR="006B47CB" w:rsidRPr="00A91E83">
        <w:rPr>
          <w:rFonts w:ascii="Times New Roman" w:hAnsi="Times New Roman" w:cs="Times New Roman"/>
          <w:sz w:val="24"/>
          <w:szCs w:val="24"/>
        </w:rPr>
        <w:t>.</w:t>
      </w:r>
    </w:p>
    <w:p w:rsidR="00595053" w:rsidRPr="00A91E83" w:rsidRDefault="00595053" w:rsidP="00B46A53">
      <w:pPr>
        <w:pStyle w:val="Sraopastraipa"/>
        <w:tabs>
          <w:tab w:val="left" w:pos="851"/>
        </w:tabs>
        <w:spacing w:after="0" w:line="360" w:lineRule="auto"/>
        <w:ind w:left="0" w:firstLine="851"/>
        <w:jc w:val="both"/>
        <w:rPr>
          <w:rFonts w:ascii="Times New Roman" w:hAnsi="Times New Roman" w:cs="Times New Roman"/>
          <w:b/>
          <w:sz w:val="24"/>
          <w:szCs w:val="24"/>
        </w:rPr>
      </w:pPr>
    </w:p>
    <w:p w:rsidR="002940B0" w:rsidRPr="00A91E83" w:rsidRDefault="001E2306" w:rsidP="00256B0B">
      <w:pPr>
        <w:pStyle w:val="Sraopastraipa"/>
        <w:numPr>
          <w:ilvl w:val="1"/>
          <w:numId w:val="4"/>
        </w:numPr>
        <w:tabs>
          <w:tab w:val="left" w:pos="851"/>
        </w:tabs>
        <w:spacing w:after="0" w:line="360" w:lineRule="auto"/>
        <w:ind w:left="0" w:firstLine="0"/>
        <w:jc w:val="both"/>
        <w:outlineLvl w:val="1"/>
        <w:rPr>
          <w:rFonts w:ascii="Times New Roman" w:hAnsi="Times New Roman" w:cs="Times New Roman"/>
          <w:b/>
          <w:sz w:val="24"/>
          <w:szCs w:val="24"/>
        </w:rPr>
      </w:pPr>
      <w:bookmarkStart w:id="30" w:name="_Toc280546463"/>
      <w:r w:rsidRPr="00A91E83">
        <w:rPr>
          <w:rFonts w:ascii="Times New Roman" w:hAnsi="Times New Roman" w:cs="Times New Roman"/>
          <w:b/>
          <w:sz w:val="24"/>
          <w:szCs w:val="24"/>
        </w:rPr>
        <w:t>Užskaitos sąlygos galiojimas FUSĮ kontekste</w:t>
      </w:r>
      <w:bookmarkEnd w:id="30"/>
    </w:p>
    <w:p w:rsidR="002940B0" w:rsidRPr="00A91E83" w:rsidRDefault="002940B0" w:rsidP="00B46A53">
      <w:pPr>
        <w:pStyle w:val="Sraopastraipa"/>
        <w:tabs>
          <w:tab w:val="left" w:pos="851"/>
        </w:tabs>
        <w:spacing w:after="0" w:line="360" w:lineRule="auto"/>
        <w:ind w:left="0" w:firstLine="851"/>
        <w:jc w:val="both"/>
        <w:rPr>
          <w:rFonts w:ascii="Times New Roman" w:hAnsi="Times New Roman" w:cs="Times New Roman"/>
          <w:b/>
          <w:sz w:val="24"/>
          <w:szCs w:val="24"/>
        </w:rPr>
      </w:pPr>
    </w:p>
    <w:p w:rsidR="00B36D81" w:rsidRPr="00A91E83" w:rsidRDefault="001E2306" w:rsidP="00B36D81">
      <w:pPr>
        <w:pStyle w:val="Sraopastraipa"/>
        <w:tabs>
          <w:tab w:val="left" w:pos="851"/>
        </w:tabs>
        <w:spacing w:after="0" w:line="360" w:lineRule="auto"/>
        <w:ind w:left="0"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FUSĮ 5 </w:t>
      </w:r>
      <w:proofErr w:type="spellStart"/>
      <w:r w:rsidRPr="00A91E83">
        <w:rPr>
          <w:rFonts w:ascii="Times New Roman" w:hAnsi="Times New Roman" w:cs="Times New Roman"/>
          <w:sz w:val="24"/>
          <w:szCs w:val="24"/>
        </w:rPr>
        <w:t>str</w:t>
      </w:r>
      <w:proofErr w:type="spellEnd"/>
      <w:r w:rsidRPr="00A91E83">
        <w:rPr>
          <w:rFonts w:ascii="Times New Roman" w:hAnsi="Times New Roman" w:cs="Times New Roman"/>
          <w:sz w:val="24"/>
          <w:szCs w:val="24"/>
        </w:rPr>
        <w:t>. nustato baigiamosios užskaitos sąlygą. Pateikta sąvoka apima galimybę atlikti visus tris anksčiau tyrime aptartus užskaitos veiksmus: nutraukti sandorius; apskaičiuoti nuostolius / pelną</w:t>
      </w:r>
      <w:r w:rsidR="00E537B1">
        <w:rPr>
          <w:rFonts w:ascii="Times New Roman" w:hAnsi="Times New Roman" w:cs="Times New Roman"/>
          <w:sz w:val="24"/>
          <w:szCs w:val="24"/>
        </w:rPr>
        <w:t>,</w:t>
      </w:r>
      <w:r w:rsidRPr="00A91E83">
        <w:rPr>
          <w:rFonts w:ascii="Times New Roman" w:hAnsi="Times New Roman" w:cs="Times New Roman"/>
          <w:sz w:val="24"/>
          <w:szCs w:val="24"/>
        </w:rPr>
        <w:t xml:space="preserve"> kylančius iš vieno ar kelių sandorių; ir įskaityti.</w:t>
      </w:r>
      <w:r w:rsidR="008D1A90" w:rsidRPr="00A91E83">
        <w:rPr>
          <w:rFonts w:ascii="Times New Roman" w:hAnsi="Times New Roman" w:cs="Times New Roman"/>
          <w:sz w:val="24"/>
          <w:szCs w:val="24"/>
        </w:rPr>
        <w:t xml:space="preserve"> Ši baigiamosios užskaitos sąlygą galioja</w:t>
      </w:r>
      <w:r w:rsidR="002466E9" w:rsidRPr="00A91E83">
        <w:rPr>
          <w:rFonts w:ascii="Times New Roman" w:hAnsi="Times New Roman" w:cs="Times New Roman"/>
          <w:sz w:val="24"/>
          <w:szCs w:val="24"/>
        </w:rPr>
        <w:t xml:space="preserve"> visa apimtimi</w:t>
      </w:r>
      <w:r w:rsidR="008D1A90" w:rsidRPr="00A91E83">
        <w:rPr>
          <w:rFonts w:ascii="Times New Roman" w:hAnsi="Times New Roman" w:cs="Times New Roman"/>
          <w:sz w:val="24"/>
          <w:szCs w:val="24"/>
        </w:rPr>
        <w:t>, nepaisant bendrųjų ĮBĮ nuostatų įskaitymo draudimo.</w:t>
      </w:r>
      <w:r w:rsidR="008D1A90" w:rsidRPr="00A91E83">
        <w:rPr>
          <w:rStyle w:val="Puslapioinaosnuoroda"/>
          <w:rFonts w:ascii="Times New Roman" w:hAnsi="Times New Roman" w:cs="Times New Roman"/>
          <w:sz w:val="24"/>
          <w:szCs w:val="24"/>
        </w:rPr>
        <w:footnoteReference w:id="185"/>
      </w:r>
      <w:r w:rsidR="008D1A90" w:rsidRPr="00A91E83">
        <w:rPr>
          <w:rFonts w:ascii="Times New Roman" w:hAnsi="Times New Roman" w:cs="Times New Roman"/>
          <w:sz w:val="24"/>
          <w:szCs w:val="24"/>
        </w:rPr>
        <w:t xml:space="preserve">Tačiau </w:t>
      </w:r>
      <w:r w:rsidR="00020019" w:rsidRPr="00A91E83">
        <w:rPr>
          <w:rFonts w:ascii="Times New Roman" w:hAnsi="Times New Roman" w:cs="Times New Roman"/>
          <w:sz w:val="24"/>
          <w:szCs w:val="24"/>
        </w:rPr>
        <w:t>FUSĮ nustato griežtas sąlygas dėl galimybės šalims taikyti palankesnį kreditoriams režimą</w:t>
      </w:r>
      <w:r w:rsidR="00C53118" w:rsidRPr="00A91E83">
        <w:rPr>
          <w:rFonts w:ascii="Times New Roman" w:hAnsi="Times New Roman" w:cs="Times New Roman"/>
          <w:sz w:val="24"/>
          <w:szCs w:val="24"/>
        </w:rPr>
        <w:t>,</w:t>
      </w:r>
      <w:r w:rsidR="00020019" w:rsidRPr="00A91E83">
        <w:rPr>
          <w:rFonts w:ascii="Times New Roman" w:hAnsi="Times New Roman" w:cs="Times New Roman"/>
          <w:sz w:val="24"/>
          <w:szCs w:val="24"/>
        </w:rPr>
        <w:t xml:space="preserve"> prasidėjus bankroto procedūroms. </w:t>
      </w:r>
      <w:r w:rsidR="00B36D81" w:rsidRPr="00A91E83">
        <w:rPr>
          <w:rFonts w:ascii="Times New Roman" w:hAnsi="Times New Roman" w:cs="Times New Roman"/>
          <w:sz w:val="24"/>
          <w:szCs w:val="24"/>
        </w:rPr>
        <w:t>FUSĮ laikomas specialiu teisiniu reguliavimu bendrųjų bankroto normų atžvilgiu, todėl įtvirtintos kreditorių lygiateisiškumo nuostatos ĮBĮ nėra taikomos, jeigu šalių teisiniai santykiai patenka į FUSĮ reguliavimo sritį. ĮBĮ galioja tik tiek, kiek jis neprieštarauja FUSĮ.</w:t>
      </w:r>
      <w:r w:rsidR="00B36D81" w:rsidRPr="00A91E83">
        <w:rPr>
          <w:rStyle w:val="Puslapioinaosnuoroda"/>
          <w:rFonts w:ascii="Times New Roman" w:hAnsi="Times New Roman" w:cs="Times New Roman"/>
          <w:sz w:val="24"/>
          <w:szCs w:val="24"/>
        </w:rPr>
        <w:footnoteReference w:id="186"/>
      </w:r>
    </w:p>
    <w:p w:rsidR="001C50BB" w:rsidRPr="00A91E83" w:rsidRDefault="00020019" w:rsidP="009A5679">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Vis dėlto tik</w:t>
      </w:r>
      <w:r w:rsidR="001C50BB" w:rsidRPr="00A91E83">
        <w:rPr>
          <w:rFonts w:ascii="Times New Roman" w:hAnsi="Times New Roman" w:cs="Times New Roman"/>
          <w:sz w:val="24"/>
          <w:szCs w:val="24"/>
        </w:rPr>
        <w:t xml:space="preserve"> kumuliatyvių sąlygų atitikimas galėtų būti pagrindas taikyti </w:t>
      </w:r>
      <w:r w:rsidRPr="00A91E83">
        <w:rPr>
          <w:rFonts w:ascii="Times New Roman" w:hAnsi="Times New Roman" w:cs="Times New Roman"/>
          <w:sz w:val="24"/>
          <w:szCs w:val="24"/>
        </w:rPr>
        <w:t>baigiamosios</w:t>
      </w:r>
      <w:r w:rsidR="001C50BB" w:rsidRPr="00A91E83">
        <w:rPr>
          <w:rFonts w:ascii="Times New Roman" w:hAnsi="Times New Roman" w:cs="Times New Roman"/>
          <w:sz w:val="24"/>
          <w:szCs w:val="24"/>
        </w:rPr>
        <w:t xml:space="preserve"> užskaitos mechanizmą numatytą F</w:t>
      </w:r>
      <w:r w:rsidRPr="00A91E83">
        <w:rPr>
          <w:rFonts w:ascii="Times New Roman" w:hAnsi="Times New Roman" w:cs="Times New Roman"/>
          <w:sz w:val="24"/>
          <w:szCs w:val="24"/>
        </w:rPr>
        <w:t xml:space="preserve">USĮ. </w:t>
      </w:r>
      <w:r w:rsidR="001C50BB" w:rsidRPr="00A91E83">
        <w:rPr>
          <w:rFonts w:ascii="Times New Roman" w:hAnsi="Times New Roman" w:cs="Times New Roman"/>
          <w:sz w:val="24"/>
          <w:szCs w:val="24"/>
        </w:rPr>
        <w:t xml:space="preserve">Taigi </w:t>
      </w:r>
      <w:r w:rsidR="009A5679" w:rsidRPr="00A91E83">
        <w:rPr>
          <w:rFonts w:ascii="Times New Roman" w:hAnsi="Times New Roman" w:cs="Times New Roman"/>
          <w:sz w:val="24"/>
          <w:szCs w:val="24"/>
        </w:rPr>
        <w:t>tolimesnė darbo dalis de</w:t>
      </w:r>
      <w:r w:rsidR="00642E6F" w:rsidRPr="00A91E83">
        <w:rPr>
          <w:rFonts w:ascii="Times New Roman" w:hAnsi="Times New Roman" w:cs="Times New Roman"/>
          <w:sz w:val="24"/>
          <w:szCs w:val="24"/>
        </w:rPr>
        <w:t xml:space="preserve">taliai nagrinės </w:t>
      </w:r>
      <w:r w:rsidR="000E7AF1" w:rsidRPr="00A91E83">
        <w:rPr>
          <w:rFonts w:ascii="Times New Roman" w:hAnsi="Times New Roman" w:cs="Times New Roman"/>
          <w:sz w:val="24"/>
          <w:szCs w:val="24"/>
        </w:rPr>
        <w:t>minėtų sąlygų taikymo aspektus, konkrečiai analizuojant</w:t>
      </w:r>
      <w:r w:rsidR="00642E6F" w:rsidRPr="00A91E83">
        <w:rPr>
          <w:rFonts w:ascii="Times New Roman" w:hAnsi="Times New Roman" w:cs="Times New Roman"/>
          <w:sz w:val="24"/>
          <w:szCs w:val="24"/>
        </w:rPr>
        <w:t xml:space="preserve">: </w:t>
      </w:r>
      <w:r w:rsidR="0036301C" w:rsidRPr="00A91E83">
        <w:rPr>
          <w:rFonts w:ascii="Times New Roman" w:hAnsi="Times New Roman" w:cs="Times New Roman"/>
          <w:sz w:val="24"/>
          <w:szCs w:val="24"/>
        </w:rPr>
        <w:t xml:space="preserve">(1) </w:t>
      </w:r>
      <w:r w:rsidR="000E7AF1" w:rsidRPr="00A91E83">
        <w:rPr>
          <w:rFonts w:ascii="Times New Roman" w:hAnsi="Times New Roman" w:cs="Times New Roman"/>
          <w:sz w:val="24"/>
          <w:szCs w:val="24"/>
        </w:rPr>
        <w:t>šalių statusą</w:t>
      </w:r>
      <w:r w:rsidR="00642E6F" w:rsidRPr="00A91E83">
        <w:rPr>
          <w:rFonts w:ascii="Times New Roman" w:hAnsi="Times New Roman" w:cs="Times New Roman"/>
          <w:sz w:val="24"/>
          <w:szCs w:val="24"/>
        </w:rPr>
        <w:t>,</w:t>
      </w:r>
      <w:r w:rsidR="000E7AF1" w:rsidRPr="00A91E83">
        <w:rPr>
          <w:rFonts w:ascii="Times New Roman" w:hAnsi="Times New Roman" w:cs="Times New Roman"/>
          <w:sz w:val="24"/>
          <w:szCs w:val="24"/>
        </w:rPr>
        <w:t xml:space="preserve"> kurių atžvilgiu</w:t>
      </w:r>
      <w:r w:rsidR="00B36D81" w:rsidRPr="00A91E83">
        <w:rPr>
          <w:rFonts w:ascii="Times New Roman" w:hAnsi="Times New Roman" w:cs="Times New Roman"/>
          <w:sz w:val="24"/>
          <w:szCs w:val="24"/>
        </w:rPr>
        <w:t xml:space="preserve"> galioja minėto įstatymo išimtys</w:t>
      </w:r>
      <w:r w:rsidR="000E7AF1" w:rsidRPr="00A91E83">
        <w:rPr>
          <w:rFonts w:ascii="Times New Roman" w:hAnsi="Times New Roman" w:cs="Times New Roman"/>
          <w:sz w:val="24"/>
          <w:szCs w:val="24"/>
        </w:rPr>
        <w:t>;</w:t>
      </w:r>
      <w:r w:rsidR="00642E6F" w:rsidRPr="00A91E83">
        <w:rPr>
          <w:rFonts w:ascii="Times New Roman" w:hAnsi="Times New Roman" w:cs="Times New Roman"/>
          <w:sz w:val="24"/>
          <w:szCs w:val="24"/>
        </w:rPr>
        <w:t xml:space="preserve"> </w:t>
      </w:r>
      <w:r w:rsidR="0036301C" w:rsidRPr="00A91E83">
        <w:rPr>
          <w:rFonts w:ascii="Times New Roman" w:hAnsi="Times New Roman" w:cs="Times New Roman"/>
          <w:sz w:val="24"/>
          <w:szCs w:val="24"/>
        </w:rPr>
        <w:t xml:space="preserve">(2) </w:t>
      </w:r>
      <w:r w:rsidR="00642E6F" w:rsidRPr="00A91E83">
        <w:rPr>
          <w:rFonts w:ascii="Times New Roman" w:hAnsi="Times New Roman" w:cs="Times New Roman"/>
          <w:sz w:val="24"/>
          <w:szCs w:val="24"/>
        </w:rPr>
        <w:t xml:space="preserve">finansinio užtikrinimo </w:t>
      </w:r>
      <w:r w:rsidR="000E7AF1" w:rsidRPr="00A91E83">
        <w:rPr>
          <w:rFonts w:ascii="Times New Roman" w:hAnsi="Times New Roman" w:cs="Times New Roman"/>
          <w:sz w:val="24"/>
          <w:szCs w:val="24"/>
        </w:rPr>
        <w:t>susitarimui keliamus reikalavimus;</w:t>
      </w:r>
      <w:r w:rsidR="00642E6F" w:rsidRPr="00A91E83">
        <w:rPr>
          <w:rFonts w:ascii="Times New Roman" w:hAnsi="Times New Roman" w:cs="Times New Roman"/>
          <w:sz w:val="24"/>
          <w:szCs w:val="24"/>
        </w:rPr>
        <w:t xml:space="preserve"> </w:t>
      </w:r>
      <w:r w:rsidR="000E7AF1" w:rsidRPr="00A91E83">
        <w:rPr>
          <w:rFonts w:ascii="Times New Roman" w:hAnsi="Times New Roman" w:cs="Times New Roman"/>
          <w:sz w:val="24"/>
          <w:szCs w:val="24"/>
        </w:rPr>
        <w:t>(3) turtą</w:t>
      </w:r>
      <w:r w:rsidR="0036301C" w:rsidRPr="00A91E83">
        <w:rPr>
          <w:rFonts w:ascii="Times New Roman" w:hAnsi="Times New Roman" w:cs="Times New Roman"/>
          <w:sz w:val="24"/>
          <w:szCs w:val="24"/>
        </w:rPr>
        <w:t>, kuris gali bū</w:t>
      </w:r>
      <w:r w:rsidR="000E7AF1" w:rsidRPr="00A91E83">
        <w:rPr>
          <w:rFonts w:ascii="Times New Roman" w:hAnsi="Times New Roman" w:cs="Times New Roman"/>
          <w:sz w:val="24"/>
          <w:szCs w:val="24"/>
        </w:rPr>
        <w:t xml:space="preserve">ti laikomas finansiniu užstatu; </w:t>
      </w:r>
      <w:r w:rsidR="0036301C" w:rsidRPr="00A91E83">
        <w:rPr>
          <w:rFonts w:ascii="Times New Roman" w:hAnsi="Times New Roman" w:cs="Times New Roman"/>
          <w:sz w:val="24"/>
          <w:szCs w:val="24"/>
        </w:rPr>
        <w:t>(4)</w:t>
      </w:r>
      <w:r w:rsidR="0036301C" w:rsidRPr="00A91E83">
        <w:rPr>
          <w:rFonts w:ascii="Times New Roman" w:hAnsi="Times New Roman" w:cs="Times New Roman"/>
          <w:b/>
          <w:sz w:val="24"/>
          <w:szCs w:val="24"/>
        </w:rPr>
        <w:t xml:space="preserve"> </w:t>
      </w:r>
      <w:r w:rsidR="000E7AF1" w:rsidRPr="00A91E83">
        <w:rPr>
          <w:rFonts w:ascii="Times New Roman" w:hAnsi="Times New Roman" w:cs="Times New Roman"/>
          <w:sz w:val="24"/>
          <w:szCs w:val="24"/>
        </w:rPr>
        <w:t>finansinius įsipareigojimus</w:t>
      </w:r>
      <w:r w:rsidR="0036301C" w:rsidRPr="00A91E83">
        <w:rPr>
          <w:rFonts w:ascii="Times New Roman" w:hAnsi="Times New Roman" w:cs="Times New Roman"/>
          <w:sz w:val="24"/>
          <w:szCs w:val="24"/>
        </w:rPr>
        <w:t xml:space="preserve">, kurių įvykdymui užtikrinti </w:t>
      </w:r>
      <w:r w:rsidR="00B36D81" w:rsidRPr="00A91E83">
        <w:rPr>
          <w:rFonts w:ascii="Times New Roman" w:hAnsi="Times New Roman" w:cs="Times New Roman"/>
          <w:sz w:val="24"/>
          <w:szCs w:val="24"/>
        </w:rPr>
        <w:t xml:space="preserve">gali būti </w:t>
      </w:r>
      <w:r w:rsidR="0036301C" w:rsidRPr="00A91E83">
        <w:rPr>
          <w:rFonts w:ascii="Times New Roman" w:hAnsi="Times New Roman" w:cs="Times New Roman"/>
          <w:sz w:val="24"/>
          <w:szCs w:val="24"/>
        </w:rPr>
        <w:t>pateiktas finansinis užstatas</w:t>
      </w:r>
      <w:r w:rsidR="00B36D81" w:rsidRPr="00A91E83">
        <w:rPr>
          <w:rFonts w:ascii="Times New Roman" w:hAnsi="Times New Roman" w:cs="Times New Roman"/>
          <w:sz w:val="24"/>
          <w:szCs w:val="24"/>
        </w:rPr>
        <w:t>. Taip pat 4.1 p</w:t>
      </w:r>
      <w:r w:rsidR="00BB0F3F" w:rsidRPr="00A91E83">
        <w:rPr>
          <w:rFonts w:ascii="Times New Roman" w:hAnsi="Times New Roman" w:cs="Times New Roman"/>
          <w:sz w:val="24"/>
          <w:szCs w:val="24"/>
        </w:rPr>
        <w:t>oskyrio pabaigoje apžvelgsime ISDA formos</w:t>
      </w:r>
      <w:r w:rsidR="00B8500D" w:rsidRPr="00A91E83">
        <w:rPr>
          <w:rFonts w:ascii="Times New Roman" w:hAnsi="Times New Roman" w:cs="Times New Roman"/>
          <w:sz w:val="24"/>
          <w:szCs w:val="24"/>
        </w:rPr>
        <w:t>,</w:t>
      </w:r>
      <w:r w:rsidR="00BB0F3F" w:rsidRPr="00A91E83">
        <w:rPr>
          <w:rFonts w:ascii="Times New Roman" w:hAnsi="Times New Roman" w:cs="Times New Roman"/>
          <w:sz w:val="24"/>
          <w:szCs w:val="24"/>
        </w:rPr>
        <w:t xml:space="preserve"> </w:t>
      </w:r>
      <w:r w:rsidR="00B4651C" w:rsidRPr="00A91E83">
        <w:rPr>
          <w:rFonts w:ascii="Times New Roman" w:hAnsi="Times New Roman" w:cs="Times New Roman"/>
          <w:sz w:val="24"/>
          <w:szCs w:val="24"/>
        </w:rPr>
        <w:t>numatytų standartinių sąlygų</w:t>
      </w:r>
      <w:r w:rsidR="00B8500D" w:rsidRPr="00A91E83">
        <w:rPr>
          <w:rFonts w:ascii="Times New Roman" w:hAnsi="Times New Roman" w:cs="Times New Roman"/>
          <w:sz w:val="24"/>
          <w:szCs w:val="24"/>
        </w:rPr>
        <w:t>,</w:t>
      </w:r>
      <w:r w:rsidR="00B4651C" w:rsidRPr="00A91E83">
        <w:rPr>
          <w:rFonts w:ascii="Times New Roman" w:hAnsi="Times New Roman" w:cs="Times New Roman"/>
          <w:sz w:val="24"/>
          <w:szCs w:val="24"/>
        </w:rPr>
        <w:t xml:space="preserve"> atitikimą FUSĮ reikalavimams.</w:t>
      </w:r>
    </w:p>
    <w:p w:rsidR="00B91D4C" w:rsidRPr="00A91E83" w:rsidRDefault="00B91D4C" w:rsidP="00B46A53">
      <w:pPr>
        <w:tabs>
          <w:tab w:val="left" w:pos="851"/>
        </w:tabs>
        <w:spacing w:after="0" w:line="360" w:lineRule="auto"/>
        <w:ind w:firstLine="851"/>
        <w:jc w:val="both"/>
        <w:rPr>
          <w:rFonts w:ascii="Times New Roman" w:hAnsi="Times New Roman" w:cs="Times New Roman"/>
          <w:sz w:val="24"/>
          <w:szCs w:val="24"/>
        </w:rPr>
      </w:pPr>
    </w:p>
    <w:p w:rsidR="001C50BB" w:rsidRPr="00A91E83" w:rsidRDefault="0083713A" w:rsidP="00256B0B">
      <w:pPr>
        <w:pStyle w:val="Sraopastraipa"/>
        <w:numPr>
          <w:ilvl w:val="2"/>
          <w:numId w:val="4"/>
        </w:numPr>
        <w:tabs>
          <w:tab w:val="left" w:pos="851"/>
        </w:tabs>
        <w:spacing w:after="0" w:line="360" w:lineRule="auto"/>
        <w:ind w:left="0" w:firstLine="0"/>
        <w:jc w:val="both"/>
        <w:outlineLvl w:val="2"/>
        <w:rPr>
          <w:rFonts w:ascii="Times New Roman" w:hAnsi="Times New Roman" w:cs="Times New Roman"/>
          <w:b/>
          <w:sz w:val="24"/>
          <w:szCs w:val="24"/>
        </w:rPr>
      </w:pPr>
      <w:bookmarkStart w:id="31" w:name="_Toc280546464"/>
      <w:r w:rsidRPr="00A91E83">
        <w:rPr>
          <w:rFonts w:ascii="Times New Roman" w:hAnsi="Times New Roman" w:cs="Times New Roman"/>
          <w:b/>
          <w:sz w:val="24"/>
          <w:szCs w:val="24"/>
        </w:rPr>
        <w:t>Šal</w:t>
      </w:r>
      <w:r w:rsidR="006A03EC" w:rsidRPr="00A91E83">
        <w:rPr>
          <w:rFonts w:ascii="Times New Roman" w:hAnsi="Times New Roman" w:cs="Times New Roman"/>
          <w:b/>
          <w:sz w:val="24"/>
          <w:szCs w:val="24"/>
        </w:rPr>
        <w:t>ių statusas</w:t>
      </w:r>
      <w:bookmarkEnd w:id="31"/>
    </w:p>
    <w:p w:rsidR="00B91D4C" w:rsidRPr="00A91E83" w:rsidRDefault="00B91D4C" w:rsidP="00B46A53">
      <w:pPr>
        <w:tabs>
          <w:tab w:val="left" w:pos="851"/>
        </w:tabs>
        <w:spacing w:after="0" w:line="360" w:lineRule="auto"/>
        <w:ind w:firstLine="851"/>
        <w:jc w:val="both"/>
        <w:rPr>
          <w:rFonts w:ascii="Times New Roman" w:hAnsi="Times New Roman" w:cs="Times New Roman"/>
          <w:sz w:val="24"/>
          <w:szCs w:val="24"/>
        </w:rPr>
      </w:pPr>
    </w:p>
    <w:p w:rsidR="00C45B6F" w:rsidRPr="00A91E83" w:rsidRDefault="00627795" w:rsidP="00C45B6F">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Subjektų ratas, kuriam gali būti taikomas FUSĮ</w:t>
      </w:r>
      <w:r w:rsidR="00FB1965" w:rsidRPr="00A91E83">
        <w:rPr>
          <w:rStyle w:val="Puslapioinaosnuoroda"/>
          <w:rFonts w:ascii="Times New Roman" w:hAnsi="Times New Roman" w:cs="Times New Roman"/>
          <w:sz w:val="24"/>
          <w:szCs w:val="24"/>
        </w:rPr>
        <w:footnoteReference w:id="187"/>
      </w:r>
      <w:r w:rsidRPr="00A91E83">
        <w:rPr>
          <w:rFonts w:ascii="Times New Roman" w:hAnsi="Times New Roman" w:cs="Times New Roman"/>
          <w:sz w:val="24"/>
          <w:szCs w:val="24"/>
        </w:rPr>
        <w:t xml:space="preserve"> režimas, yra ribotas. Šalys: užstato davėjas ir užstato turėtojas, galėtų būti skirstom</w:t>
      </w:r>
      <w:r w:rsidR="00B8500D" w:rsidRPr="00A91E83">
        <w:rPr>
          <w:rFonts w:ascii="Times New Roman" w:hAnsi="Times New Roman" w:cs="Times New Roman"/>
          <w:sz w:val="24"/>
          <w:szCs w:val="24"/>
        </w:rPr>
        <w:t>o</w:t>
      </w:r>
      <w:r w:rsidRPr="00A91E83">
        <w:rPr>
          <w:rFonts w:ascii="Times New Roman" w:hAnsi="Times New Roman" w:cs="Times New Roman"/>
          <w:sz w:val="24"/>
          <w:szCs w:val="24"/>
        </w:rPr>
        <w:t xml:space="preserve">s į dvi kategorijas. Pirmosios kategorijos subjektai – tai </w:t>
      </w:r>
      <w:r w:rsidR="00BF51B5" w:rsidRPr="00A91E83">
        <w:rPr>
          <w:rFonts w:ascii="Times New Roman" w:hAnsi="Times New Roman" w:cs="Times New Roman"/>
          <w:sz w:val="24"/>
          <w:szCs w:val="24"/>
        </w:rPr>
        <w:t>nacionalinės valdžios institucijos, Europos Sąjungos valstybių narių valdžios</w:t>
      </w:r>
      <w:r w:rsidRPr="00A91E83">
        <w:rPr>
          <w:rFonts w:ascii="Times New Roman" w:hAnsi="Times New Roman" w:cs="Times New Roman"/>
          <w:sz w:val="24"/>
          <w:szCs w:val="24"/>
        </w:rPr>
        <w:t xml:space="preserve"> </w:t>
      </w:r>
      <w:r w:rsidRPr="00A91E83">
        <w:rPr>
          <w:rFonts w:ascii="Times New Roman" w:hAnsi="Times New Roman" w:cs="Times New Roman"/>
          <w:sz w:val="24"/>
          <w:szCs w:val="24"/>
        </w:rPr>
        <w:lastRenderedPageBreak/>
        <w:t>institucijos</w:t>
      </w:r>
      <w:r w:rsidR="00BF51B5" w:rsidRPr="00A91E83">
        <w:rPr>
          <w:rFonts w:ascii="Times New Roman" w:hAnsi="Times New Roman" w:cs="Times New Roman"/>
          <w:sz w:val="24"/>
          <w:szCs w:val="24"/>
        </w:rPr>
        <w:t xml:space="preserve">, </w:t>
      </w:r>
      <w:r w:rsidR="00B12ED6" w:rsidRPr="00A91E83">
        <w:rPr>
          <w:rFonts w:ascii="Times New Roman" w:hAnsi="Times New Roman" w:cs="Times New Roman"/>
          <w:sz w:val="24"/>
          <w:szCs w:val="24"/>
        </w:rPr>
        <w:t>įpareigotos dalyvauti ar dalyvaujančio</w:t>
      </w:r>
      <w:r w:rsidRPr="00A91E83">
        <w:rPr>
          <w:rFonts w:ascii="Times New Roman" w:hAnsi="Times New Roman" w:cs="Times New Roman"/>
          <w:sz w:val="24"/>
          <w:szCs w:val="24"/>
        </w:rPr>
        <w:t>s valdant valstybės skolą, centriniai bankai,</w:t>
      </w:r>
      <w:r w:rsidR="0014498A" w:rsidRPr="00A91E83">
        <w:rPr>
          <w:rFonts w:ascii="Times New Roman" w:hAnsi="Times New Roman" w:cs="Times New Roman"/>
          <w:sz w:val="24"/>
          <w:szCs w:val="24"/>
        </w:rPr>
        <w:t xml:space="preserve"> tarpuskaitos namai,</w:t>
      </w:r>
      <w:r w:rsidRPr="00A91E83">
        <w:rPr>
          <w:rFonts w:ascii="Times New Roman" w:hAnsi="Times New Roman" w:cs="Times New Roman"/>
          <w:sz w:val="24"/>
          <w:szCs w:val="24"/>
        </w:rPr>
        <w:t xml:space="preserve"> plėtros </w:t>
      </w:r>
      <w:r w:rsidR="0014498A" w:rsidRPr="00A91E83">
        <w:rPr>
          <w:rFonts w:ascii="Times New Roman" w:hAnsi="Times New Roman" w:cs="Times New Roman"/>
          <w:sz w:val="24"/>
          <w:szCs w:val="24"/>
        </w:rPr>
        <w:t xml:space="preserve">ir investicijų </w:t>
      </w:r>
      <w:r w:rsidRPr="00A91E83">
        <w:rPr>
          <w:rFonts w:ascii="Times New Roman" w:hAnsi="Times New Roman" w:cs="Times New Roman"/>
          <w:sz w:val="24"/>
          <w:szCs w:val="24"/>
        </w:rPr>
        <w:t xml:space="preserve">bankai bei </w:t>
      </w:r>
      <w:r w:rsidR="0014498A" w:rsidRPr="00A91E83">
        <w:rPr>
          <w:rFonts w:ascii="Times New Roman" w:hAnsi="Times New Roman" w:cs="Times New Roman"/>
          <w:sz w:val="24"/>
          <w:szCs w:val="24"/>
        </w:rPr>
        <w:t>kitos</w:t>
      </w:r>
      <w:r w:rsidRPr="00A91E83">
        <w:rPr>
          <w:rFonts w:ascii="Times New Roman" w:hAnsi="Times New Roman" w:cs="Times New Roman"/>
          <w:sz w:val="24"/>
          <w:szCs w:val="24"/>
        </w:rPr>
        <w:t xml:space="preserve"> finansinės institucijos, kurių veikla </w:t>
      </w:r>
      <w:r w:rsidR="0014498A" w:rsidRPr="00A91E83">
        <w:rPr>
          <w:rFonts w:ascii="Times New Roman" w:hAnsi="Times New Roman" w:cs="Times New Roman"/>
          <w:sz w:val="24"/>
          <w:szCs w:val="24"/>
        </w:rPr>
        <w:t xml:space="preserve">licencijuojama, detaliai reglamentuota </w:t>
      </w:r>
      <w:r w:rsidR="00185B80" w:rsidRPr="00A91E83">
        <w:rPr>
          <w:rFonts w:ascii="Times New Roman" w:hAnsi="Times New Roman" w:cs="Times New Roman"/>
          <w:sz w:val="24"/>
          <w:szCs w:val="24"/>
        </w:rPr>
        <w:t xml:space="preserve">atskirais </w:t>
      </w:r>
      <w:r w:rsidR="0014498A" w:rsidRPr="00A91E83">
        <w:rPr>
          <w:rFonts w:ascii="Times New Roman" w:hAnsi="Times New Roman" w:cs="Times New Roman"/>
          <w:sz w:val="24"/>
          <w:szCs w:val="24"/>
        </w:rPr>
        <w:t xml:space="preserve">įstatymais ir </w:t>
      </w:r>
      <w:r w:rsidRPr="00A91E83">
        <w:rPr>
          <w:rFonts w:ascii="Times New Roman" w:hAnsi="Times New Roman" w:cs="Times New Roman"/>
          <w:sz w:val="24"/>
          <w:szCs w:val="24"/>
        </w:rPr>
        <w:t xml:space="preserve">prižiūrima </w:t>
      </w:r>
      <w:r w:rsidR="0014498A" w:rsidRPr="00A91E83">
        <w:rPr>
          <w:rFonts w:ascii="Times New Roman" w:hAnsi="Times New Roman" w:cs="Times New Roman"/>
          <w:sz w:val="24"/>
          <w:szCs w:val="24"/>
        </w:rPr>
        <w:t xml:space="preserve">specialių institucijų, </w:t>
      </w:r>
      <w:proofErr w:type="spellStart"/>
      <w:r w:rsidR="0014498A" w:rsidRPr="00A91E83">
        <w:rPr>
          <w:rFonts w:ascii="Times New Roman" w:hAnsi="Times New Roman" w:cs="Times New Roman"/>
          <w:sz w:val="24"/>
          <w:szCs w:val="24"/>
        </w:rPr>
        <w:t>pvz</w:t>
      </w:r>
      <w:proofErr w:type="spellEnd"/>
      <w:r w:rsidR="0014498A" w:rsidRPr="00A91E83">
        <w:rPr>
          <w:rFonts w:ascii="Times New Roman" w:hAnsi="Times New Roman" w:cs="Times New Roman"/>
          <w:sz w:val="24"/>
          <w:szCs w:val="24"/>
        </w:rPr>
        <w:t>.: kredito įstaigos, finansų maklerio įmonės i</w:t>
      </w:r>
      <w:r w:rsidR="00B12ED6" w:rsidRPr="00A91E83">
        <w:rPr>
          <w:rFonts w:ascii="Times New Roman" w:hAnsi="Times New Roman" w:cs="Times New Roman"/>
          <w:sz w:val="24"/>
          <w:szCs w:val="24"/>
        </w:rPr>
        <w:t xml:space="preserve">r </w:t>
      </w:r>
      <w:proofErr w:type="spellStart"/>
      <w:r w:rsidR="00B12ED6" w:rsidRPr="00A91E83">
        <w:rPr>
          <w:rFonts w:ascii="Times New Roman" w:hAnsi="Times New Roman" w:cs="Times New Roman"/>
          <w:sz w:val="24"/>
          <w:szCs w:val="24"/>
        </w:rPr>
        <w:t>kt</w:t>
      </w:r>
      <w:proofErr w:type="spellEnd"/>
      <w:r w:rsidR="00B12ED6" w:rsidRPr="00A91E83">
        <w:rPr>
          <w:rFonts w:ascii="Times New Roman" w:hAnsi="Times New Roman" w:cs="Times New Roman"/>
          <w:sz w:val="24"/>
          <w:szCs w:val="24"/>
        </w:rPr>
        <w:t>.</w:t>
      </w:r>
      <w:r w:rsidR="0004004D" w:rsidRPr="00A91E83">
        <w:rPr>
          <w:rFonts w:ascii="Times New Roman" w:hAnsi="Times New Roman" w:cs="Times New Roman"/>
          <w:sz w:val="24"/>
          <w:szCs w:val="24"/>
        </w:rPr>
        <w:t xml:space="preserve">; antroji kategorija apima visus kitus </w:t>
      </w:r>
      <w:r w:rsidR="00185B80" w:rsidRPr="00A91E83">
        <w:rPr>
          <w:rFonts w:ascii="Times New Roman" w:hAnsi="Times New Roman" w:cs="Times New Roman"/>
          <w:sz w:val="24"/>
          <w:szCs w:val="24"/>
        </w:rPr>
        <w:t>juridinius asmenis (visus subjektus</w:t>
      </w:r>
      <w:r w:rsidR="0004004D" w:rsidRPr="00A91E83">
        <w:rPr>
          <w:rFonts w:ascii="Times New Roman" w:hAnsi="Times New Roman" w:cs="Times New Roman"/>
          <w:sz w:val="24"/>
          <w:szCs w:val="24"/>
        </w:rPr>
        <w:t>, išskyrus fizinius asmenis</w:t>
      </w:r>
      <w:r w:rsidR="00185B80" w:rsidRPr="00A91E83">
        <w:rPr>
          <w:rFonts w:ascii="Times New Roman" w:hAnsi="Times New Roman" w:cs="Times New Roman"/>
          <w:sz w:val="24"/>
          <w:szCs w:val="24"/>
        </w:rPr>
        <w:t>).</w:t>
      </w:r>
      <w:r w:rsidR="005B53C0" w:rsidRPr="00A91E83">
        <w:rPr>
          <w:rStyle w:val="Puslapioinaosnuoroda"/>
          <w:rFonts w:ascii="Times New Roman" w:hAnsi="Times New Roman" w:cs="Times New Roman"/>
          <w:sz w:val="24"/>
          <w:szCs w:val="24"/>
        </w:rPr>
        <w:footnoteReference w:id="188"/>
      </w:r>
      <w:r w:rsidR="005B53C0" w:rsidRPr="00A91E83">
        <w:rPr>
          <w:rFonts w:ascii="Times New Roman" w:hAnsi="Times New Roman" w:cs="Times New Roman"/>
          <w:sz w:val="24"/>
          <w:szCs w:val="24"/>
        </w:rPr>
        <w:t xml:space="preserve"> </w:t>
      </w:r>
      <w:r w:rsidR="00FB1965" w:rsidRPr="00A91E83">
        <w:rPr>
          <w:rFonts w:ascii="Times New Roman" w:hAnsi="Times New Roman" w:cs="Times New Roman"/>
          <w:sz w:val="24"/>
          <w:szCs w:val="24"/>
        </w:rPr>
        <w:t>FUSĮ reikalauja, kad bent viena iš šalių priklausytų pirmajai kategorijai.</w:t>
      </w:r>
      <w:r w:rsidR="005B53C0" w:rsidRPr="00A91E83">
        <w:rPr>
          <w:rStyle w:val="Puslapioinaosnuoroda"/>
          <w:rFonts w:ascii="Times New Roman" w:hAnsi="Times New Roman" w:cs="Times New Roman"/>
          <w:sz w:val="24"/>
          <w:szCs w:val="24"/>
        </w:rPr>
        <w:footnoteReference w:id="189"/>
      </w:r>
      <w:r w:rsidR="00FB1965" w:rsidRPr="00A91E83">
        <w:rPr>
          <w:rFonts w:ascii="Times New Roman" w:hAnsi="Times New Roman" w:cs="Times New Roman"/>
          <w:sz w:val="24"/>
          <w:szCs w:val="24"/>
        </w:rPr>
        <w:t xml:space="preserve"> Taigi </w:t>
      </w:r>
      <w:r w:rsidR="008E22D2" w:rsidRPr="00A91E83">
        <w:rPr>
          <w:rFonts w:ascii="Times New Roman" w:hAnsi="Times New Roman" w:cs="Times New Roman"/>
          <w:sz w:val="24"/>
          <w:szCs w:val="24"/>
        </w:rPr>
        <w:t xml:space="preserve">FUSĮ gali būti taikomas tik tarp šalių, kurių </w:t>
      </w:r>
      <w:r w:rsidR="0045710C" w:rsidRPr="00A91E83">
        <w:rPr>
          <w:rFonts w:ascii="Times New Roman" w:hAnsi="Times New Roman" w:cs="Times New Roman"/>
          <w:sz w:val="24"/>
          <w:szCs w:val="24"/>
        </w:rPr>
        <w:t xml:space="preserve">bent vienos </w:t>
      </w:r>
      <w:r w:rsidR="008E22D2" w:rsidRPr="00A91E83">
        <w:rPr>
          <w:rFonts w:ascii="Times New Roman" w:hAnsi="Times New Roman" w:cs="Times New Roman"/>
          <w:sz w:val="24"/>
          <w:szCs w:val="24"/>
        </w:rPr>
        <w:t>veikla pr</w:t>
      </w:r>
      <w:r w:rsidR="00185B80" w:rsidRPr="00A91E83">
        <w:rPr>
          <w:rFonts w:ascii="Times New Roman" w:hAnsi="Times New Roman" w:cs="Times New Roman"/>
          <w:sz w:val="24"/>
          <w:szCs w:val="24"/>
        </w:rPr>
        <w:t>ižiūrima specialių institucijų, o kontrahentas gali būti ir smulki ar individuali įmonė.</w:t>
      </w:r>
      <w:r w:rsidR="003353F7" w:rsidRPr="00A91E83">
        <w:rPr>
          <w:rFonts w:ascii="Times New Roman" w:hAnsi="Times New Roman" w:cs="Times New Roman"/>
          <w:sz w:val="24"/>
          <w:szCs w:val="24"/>
        </w:rPr>
        <w:t xml:space="preserve"> Paminėtina, jog vienintelė Austrija iš Europos Sąjungos valstybės įgyvendindama </w:t>
      </w:r>
      <w:r w:rsidR="00F2262D" w:rsidRPr="00A91E83">
        <w:rPr>
          <w:rFonts w:ascii="Times New Roman" w:hAnsi="Times New Roman" w:cs="Times New Roman"/>
          <w:sz w:val="24"/>
          <w:szCs w:val="24"/>
        </w:rPr>
        <w:t>Įkaito direktyvą</w:t>
      </w:r>
      <w:r w:rsidR="003353F7" w:rsidRPr="00A91E83">
        <w:rPr>
          <w:rFonts w:ascii="Times New Roman" w:hAnsi="Times New Roman" w:cs="Times New Roman"/>
          <w:sz w:val="24"/>
          <w:szCs w:val="24"/>
        </w:rPr>
        <w:t xml:space="preserve"> atsisakė galimybės taikyti specialų režimą dėl finansinio užstato susitarimų </w:t>
      </w:r>
      <w:r w:rsidR="007372DD" w:rsidRPr="00A91E83">
        <w:rPr>
          <w:rFonts w:ascii="Times New Roman" w:hAnsi="Times New Roman" w:cs="Times New Roman"/>
          <w:sz w:val="24"/>
          <w:szCs w:val="24"/>
        </w:rPr>
        <w:t>juridinių asmenų</w:t>
      </w:r>
      <w:r w:rsidR="00F22FC6" w:rsidRPr="00A91E83">
        <w:rPr>
          <w:rFonts w:ascii="Times New Roman" w:hAnsi="Times New Roman" w:cs="Times New Roman"/>
          <w:sz w:val="24"/>
          <w:szCs w:val="24"/>
        </w:rPr>
        <w:t xml:space="preserve"> atžvilgiu</w:t>
      </w:r>
      <w:r w:rsidR="007372DD" w:rsidRPr="00A91E83">
        <w:rPr>
          <w:rFonts w:ascii="Times New Roman" w:hAnsi="Times New Roman" w:cs="Times New Roman"/>
          <w:sz w:val="24"/>
          <w:szCs w:val="24"/>
        </w:rPr>
        <w:t>, kurie nepriklauso nei</w:t>
      </w:r>
      <w:r w:rsidR="00C538FE" w:rsidRPr="00A91E83">
        <w:rPr>
          <w:rFonts w:ascii="Times New Roman" w:hAnsi="Times New Roman" w:cs="Times New Roman"/>
          <w:sz w:val="24"/>
          <w:szCs w:val="24"/>
        </w:rPr>
        <w:t xml:space="preserve"> finansin</w:t>
      </w:r>
      <w:r w:rsidR="007372DD" w:rsidRPr="00A91E83">
        <w:rPr>
          <w:rFonts w:ascii="Times New Roman" w:hAnsi="Times New Roman" w:cs="Times New Roman"/>
          <w:sz w:val="24"/>
          <w:szCs w:val="24"/>
        </w:rPr>
        <w:t>iam sektoriui, nei</w:t>
      </w:r>
      <w:r w:rsidR="00C538FE" w:rsidRPr="00A91E83">
        <w:rPr>
          <w:rFonts w:ascii="Times New Roman" w:hAnsi="Times New Roman" w:cs="Times New Roman"/>
          <w:sz w:val="24"/>
          <w:szCs w:val="24"/>
        </w:rPr>
        <w:t xml:space="preserve"> valdžios institucijoms.</w:t>
      </w:r>
      <w:r w:rsidR="00F46B11" w:rsidRPr="00A91E83">
        <w:rPr>
          <w:rStyle w:val="Puslapioinaosnuoroda"/>
          <w:rFonts w:ascii="Times New Roman" w:hAnsi="Times New Roman" w:cs="Times New Roman"/>
          <w:sz w:val="24"/>
          <w:szCs w:val="24"/>
        </w:rPr>
        <w:footnoteReference w:id="190"/>
      </w:r>
      <w:r w:rsidR="00006BAB" w:rsidRPr="00A91E83">
        <w:rPr>
          <w:rFonts w:ascii="Times New Roman" w:hAnsi="Times New Roman" w:cs="Times New Roman"/>
          <w:sz w:val="24"/>
          <w:szCs w:val="24"/>
        </w:rPr>
        <w:t xml:space="preserve"> Vis dėlto, autoriaus manymu, tai</w:t>
      </w:r>
      <w:r w:rsidR="00B8500D" w:rsidRPr="00A91E83">
        <w:rPr>
          <w:rFonts w:ascii="Times New Roman" w:hAnsi="Times New Roman" w:cs="Times New Roman"/>
          <w:sz w:val="24"/>
          <w:szCs w:val="24"/>
        </w:rPr>
        <w:t xml:space="preserve">, turbūt, </w:t>
      </w:r>
      <w:r w:rsidR="00006BAB" w:rsidRPr="00A91E83">
        <w:rPr>
          <w:rFonts w:ascii="Times New Roman" w:hAnsi="Times New Roman" w:cs="Times New Roman"/>
          <w:sz w:val="24"/>
          <w:szCs w:val="24"/>
        </w:rPr>
        <w:t xml:space="preserve"> nėra paskutinė valstybė. </w:t>
      </w:r>
    </w:p>
    <w:p w:rsidR="00006BAB" w:rsidRPr="00A91E83" w:rsidRDefault="00006BAB" w:rsidP="00C45B6F">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Gali susidaryti situacijų, kad dėl </w:t>
      </w:r>
      <w:r w:rsidRPr="00A91E83">
        <w:rPr>
          <w:rFonts w:ascii="Times New Roman" w:hAnsi="Times New Roman" w:cs="Times New Roman"/>
          <w:i/>
          <w:sz w:val="24"/>
          <w:szCs w:val="24"/>
        </w:rPr>
        <w:t xml:space="preserve">a </w:t>
      </w:r>
      <w:proofErr w:type="spellStart"/>
      <w:r w:rsidRPr="00A91E83">
        <w:rPr>
          <w:rFonts w:ascii="Times New Roman" w:hAnsi="Times New Roman" w:cs="Times New Roman"/>
          <w:i/>
          <w:sz w:val="24"/>
          <w:szCs w:val="24"/>
        </w:rPr>
        <w:t>posteriori</w:t>
      </w:r>
      <w:proofErr w:type="spellEnd"/>
      <w:r w:rsidRPr="00A91E83">
        <w:rPr>
          <w:rFonts w:ascii="Times New Roman" w:hAnsi="Times New Roman" w:cs="Times New Roman"/>
          <w:sz w:val="24"/>
          <w:szCs w:val="24"/>
        </w:rPr>
        <w:t xml:space="preserve"> konstitucinės kontrolės</w:t>
      </w:r>
      <w:r w:rsidR="00B8500D" w:rsidRPr="00A91E83">
        <w:rPr>
          <w:rFonts w:ascii="Times New Roman" w:hAnsi="Times New Roman" w:cs="Times New Roman"/>
          <w:sz w:val="24"/>
          <w:szCs w:val="24"/>
        </w:rPr>
        <w:t>,</w:t>
      </w:r>
      <w:r w:rsidRPr="00A91E83">
        <w:rPr>
          <w:rFonts w:ascii="Times New Roman" w:hAnsi="Times New Roman" w:cs="Times New Roman"/>
          <w:sz w:val="24"/>
          <w:szCs w:val="24"/>
        </w:rPr>
        <w:t xml:space="preserve"> tokia norma</w:t>
      </w:r>
      <w:r w:rsidR="00C45B6F" w:rsidRPr="00A91E83">
        <w:rPr>
          <w:rFonts w:ascii="Times New Roman" w:hAnsi="Times New Roman" w:cs="Times New Roman"/>
          <w:sz w:val="24"/>
          <w:szCs w:val="24"/>
        </w:rPr>
        <w:t>, kuri leidžia taikyti FUSĮ eiliniams juridiniams asmenimis</w:t>
      </w:r>
      <w:r w:rsidR="003B3CD2" w:rsidRPr="00A91E83">
        <w:rPr>
          <w:rFonts w:ascii="Times New Roman" w:hAnsi="Times New Roman" w:cs="Times New Roman"/>
          <w:sz w:val="24"/>
          <w:szCs w:val="24"/>
        </w:rPr>
        <w:t>,</w:t>
      </w:r>
      <w:r w:rsidR="00C45B6F" w:rsidRPr="00A91E83">
        <w:rPr>
          <w:rFonts w:ascii="Times New Roman" w:hAnsi="Times New Roman" w:cs="Times New Roman"/>
          <w:sz w:val="24"/>
          <w:szCs w:val="24"/>
        </w:rPr>
        <w:t xml:space="preserve"> nieko bendro neturintiems su finansiniu sektoriumi</w:t>
      </w:r>
      <w:r w:rsidR="003B3CD2" w:rsidRPr="00A91E83">
        <w:rPr>
          <w:rFonts w:ascii="Times New Roman" w:hAnsi="Times New Roman" w:cs="Times New Roman"/>
          <w:sz w:val="24"/>
          <w:szCs w:val="24"/>
        </w:rPr>
        <w:t>,</w:t>
      </w:r>
      <w:r w:rsidRPr="00A91E83">
        <w:rPr>
          <w:rFonts w:ascii="Times New Roman" w:hAnsi="Times New Roman" w:cs="Times New Roman"/>
          <w:sz w:val="24"/>
          <w:szCs w:val="24"/>
        </w:rPr>
        <w:t xml:space="preserve"> gali </w:t>
      </w:r>
      <w:r w:rsidR="00B8500D" w:rsidRPr="00A91E83">
        <w:rPr>
          <w:rFonts w:ascii="Times New Roman" w:hAnsi="Times New Roman" w:cs="Times New Roman"/>
          <w:sz w:val="24"/>
          <w:szCs w:val="24"/>
        </w:rPr>
        <w:t>būti pripažinta antikonstitucine</w:t>
      </w:r>
      <w:r w:rsidRPr="00A91E83">
        <w:rPr>
          <w:rFonts w:ascii="Times New Roman" w:hAnsi="Times New Roman" w:cs="Times New Roman"/>
          <w:sz w:val="24"/>
          <w:szCs w:val="24"/>
        </w:rPr>
        <w:t xml:space="preserve"> ir tolimesnis jos taikymas sustabdytas. Tokia grėsmė yra ir dėl Lietuvos dabartinio teisinio režimo</w:t>
      </w:r>
      <w:r w:rsidR="003B3CD2" w:rsidRPr="00A91E83">
        <w:rPr>
          <w:rFonts w:ascii="Times New Roman" w:hAnsi="Times New Roman" w:cs="Times New Roman"/>
          <w:sz w:val="24"/>
          <w:szCs w:val="24"/>
        </w:rPr>
        <w:t>, kuris nenustato jokių ribojimų juridiniams asmenims</w:t>
      </w:r>
      <w:r w:rsidR="00B8500D" w:rsidRPr="00A91E83">
        <w:rPr>
          <w:rFonts w:ascii="Times New Roman" w:hAnsi="Times New Roman" w:cs="Times New Roman"/>
          <w:sz w:val="24"/>
          <w:szCs w:val="24"/>
        </w:rPr>
        <w:t>, kurie gali patekti į FUSĮ subjektų ratą</w:t>
      </w:r>
      <w:r w:rsidRPr="00A91E83">
        <w:rPr>
          <w:rFonts w:ascii="Times New Roman" w:hAnsi="Times New Roman" w:cs="Times New Roman"/>
          <w:sz w:val="24"/>
          <w:szCs w:val="24"/>
        </w:rPr>
        <w:t>.</w:t>
      </w:r>
      <w:r w:rsidR="003B3CD2" w:rsidRPr="00A91E83">
        <w:rPr>
          <w:rFonts w:ascii="Times New Roman" w:hAnsi="Times New Roman" w:cs="Times New Roman"/>
          <w:sz w:val="24"/>
          <w:szCs w:val="24"/>
        </w:rPr>
        <w:t xml:space="preserve"> Nors Europos sąjungos teisės nuostatos yra privalomos Lietuvai, tačiau įgyvendinant šią normą, kaip ir buvo minėta, valstybės turėjo pasirinkimą dėl šalių subjektų rato</w:t>
      </w:r>
      <w:r w:rsidR="00E032C3" w:rsidRPr="00A91E83">
        <w:rPr>
          <w:rFonts w:ascii="Times New Roman" w:hAnsi="Times New Roman" w:cs="Times New Roman"/>
          <w:sz w:val="24"/>
          <w:szCs w:val="24"/>
        </w:rPr>
        <w:t xml:space="preserve">, </w:t>
      </w:r>
      <w:proofErr w:type="spellStart"/>
      <w:r w:rsidR="00E032C3" w:rsidRPr="00A91E83">
        <w:rPr>
          <w:rFonts w:ascii="Times New Roman" w:hAnsi="Times New Roman" w:cs="Times New Roman"/>
          <w:sz w:val="24"/>
          <w:szCs w:val="24"/>
        </w:rPr>
        <w:t>t.y</w:t>
      </w:r>
      <w:proofErr w:type="spellEnd"/>
      <w:r w:rsidR="00E032C3" w:rsidRPr="00A91E83">
        <w:rPr>
          <w:rFonts w:ascii="Times New Roman" w:hAnsi="Times New Roman" w:cs="Times New Roman"/>
          <w:sz w:val="24"/>
          <w:szCs w:val="24"/>
        </w:rPr>
        <w:t>. neįtraukti visų juridinių asmenų</w:t>
      </w:r>
      <w:r w:rsidR="003B3CD2" w:rsidRPr="00A91E83">
        <w:rPr>
          <w:rFonts w:ascii="Times New Roman" w:hAnsi="Times New Roman" w:cs="Times New Roman"/>
          <w:sz w:val="24"/>
          <w:szCs w:val="24"/>
        </w:rPr>
        <w:t xml:space="preserve">. </w:t>
      </w:r>
      <w:r w:rsidR="008D57BB" w:rsidRPr="00A91E83">
        <w:rPr>
          <w:rFonts w:ascii="Times New Roman" w:hAnsi="Times New Roman" w:cs="Times New Roman"/>
          <w:sz w:val="24"/>
          <w:szCs w:val="24"/>
        </w:rPr>
        <w:t>Taigi FUSĮ režimas į nacionalinį teisinį reguliavimą perkelta</w:t>
      </w:r>
      <w:r w:rsidR="00E032C3" w:rsidRPr="00A91E83">
        <w:rPr>
          <w:rFonts w:ascii="Times New Roman" w:hAnsi="Times New Roman" w:cs="Times New Roman"/>
          <w:sz w:val="24"/>
          <w:szCs w:val="24"/>
        </w:rPr>
        <w:t>s</w:t>
      </w:r>
      <w:r w:rsidR="008D57BB" w:rsidRPr="00A91E83">
        <w:rPr>
          <w:rFonts w:ascii="Times New Roman" w:hAnsi="Times New Roman" w:cs="Times New Roman"/>
          <w:sz w:val="24"/>
          <w:szCs w:val="24"/>
        </w:rPr>
        <w:t xml:space="preserve"> ne Lietuvos valstybei vykdant privalomąsias Europos Sąjungos teisės nuostatas, o </w:t>
      </w:r>
      <w:r w:rsidR="00E032C3" w:rsidRPr="00A91E83">
        <w:rPr>
          <w:rFonts w:ascii="Times New Roman" w:hAnsi="Times New Roman" w:cs="Times New Roman"/>
          <w:sz w:val="24"/>
          <w:szCs w:val="24"/>
        </w:rPr>
        <w:t>valstybės įstatymo leidėjo valią</w:t>
      </w:r>
      <w:r w:rsidR="008D57BB" w:rsidRPr="00A91E83">
        <w:rPr>
          <w:rFonts w:ascii="Times New Roman" w:hAnsi="Times New Roman" w:cs="Times New Roman"/>
          <w:sz w:val="24"/>
          <w:szCs w:val="24"/>
        </w:rPr>
        <w:t xml:space="preserve">. Tai </w:t>
      </w:r>
      <w:proofErr w:type="spellStart"/>
      <w:r w:rsidR="008D57BB" w:rsidRPr="00A91E83">
        <w:rPr>
          <w:rFonts w:ascii="Times New Roman" w:hAnsi="Times New Roman" w:cs="Times New Roman"/>
          <w:i/>
          <w:sz w:val="24"/>
          <w:szCs w:val="24"/>
        </w:rPr>
        <w:t>inter</w:t>
      </w:r>
      <w:proofErr w:type="spellEnd"/>
      <w:r w:rsidR="008D57BB" w:rsidRPr="00A91E83">
        <w:rPr>
          <w:rFonts w:ascii="Times New Roman" w:hAnsi="Times New Roman" w:cs="Times New Roman"/>
          <w:i/>
          <w:sz w:val="24"/>
          <w:szCs w:val="24"/>
        </w:rPr>
        <w:t xml:space="preserve"> </w:t>
      </w:r>
      <w:proofErr w:type="spellStart"/>
      <w:r w:rsidR="008D57BB" w:rsidRPr="00A91E83">
        <w:rPr>
          <w:rFonts w:ascii="Times New Roman" w:hAnsi="Times New Roman" w:cs="Times New Roman"/>
          <w:i/>
          <w:sz w:val="24"/>
          <w:szCs w:val="24"/>
        </w:rPr>
        <w:t>alia</w:t>
      </w:r>
      <w:proofErr w:type="spellEnd"/>
      <w:r w:rsidR="008D57BB" w:rsidRPr="00A91E83">
        <w:rPr>
          <w:rFonts w:ascii="Times New Roman" w:hAnsi="Times New Roman" w:cs="Times New Roman"/>
          <w:sz w:val="24"/>
          <w:szCs w:val="24"/>
        </w:rPr>
        <w:t xml:space="preserve"> reiškia, kad, aptariamą teisės normą perkeliant į nacionalinius įstatymus, turėjo būti užtikrinta nustatomo teisinio reglamentavimo atitiktis Lietuvos Respublikos Konstitucijai. </w:t>
      </w:r>
      <w:r w:rsidR="00621590" w:rsidRPr="00A91E83">
        <w:rPr>
          <w:rFonts w:ascii="Times New Roman" w:hAnsi="Times New Roman" w:cs="Times New Roman"/>
          <w:sz w:val="24"/>
          <w:szCs w:val="24"/>
        </w:rPr>
        <w:t xml:space="preserve">LAT manymu, kad FUSĮ nėra nustatyto teisinio mechanizmo, pagal kurį finansinio užtikrinimo susitarimo </w:t>
      </w:r>
      <w:r w:rsidR="00B8500D" w:rsidRPr="00A91E83">
        <w:rPr>
          <w:rFonts w:ascii="Times New Roman" w:hAnsi="Times New Roman" w:cs="Times New Roman"/>
          <w:sz w:val="24"/>
          <w:szCs w:val="24"/>
        </w:rPr>
        <w:t>faktas turėtų būtų išviešinamas. P</w:t>
      </w:r>
      <w:r w:rsidR="00621590" w:rsidRPr="00A91E83">
        <w:rPr>
          <w:rFonts w:ascii="Times New Roman" w:hAnsi="Times New Roman" w:cs="Times New Roman"/>
          <w:sz w:val="24"/>
          <w:szCs w:val="24"/>
        </w:rPr>
        <w:t xml:space="preserve">otencialūs kreditoriai neturi galimybės įvertinti galimos ūkio subjekto sudaryto finansinio užtikrinimo susitarimo įtakos savo interesams </w:t>
      </w:r>
      <w:proofErr w:type="spellStart"/>
      <w:r w:rsidR="00621590" w:rsidRPr="00A91E83">
        <w:rPr>
          <w:rFonts w:ascii="Times New Roman" w:hAnsi="Times New Roman" w:cs="Times New Roman"/>
          <w:i/>
          <w:sz w:val="24"/>
          <w:szCs w:val="24"/>
        </w:rPr>
        <w:t>inter</w:t>
      </w:r>
      <w:proofErr w:type="spellEnd"/>
      <w:r w:rsidR="00621590" w:rsidRPr="00A91E83">
        <w:rPr>
          <w:rFonts w:ascii="Times New Roman" w:hAnsi="Times New Roman" w:cs="Times New Roman"/>
          <w:i/>
          <w:sz w:val="24"/>
          <w:szCs w:val="24"/>
        </w:rPr>
        <w:t xml:space="preserve"> </w:t>
      </w:r>
      <w:proofErr w:type="spellStart"/>
      <w:r w:rsidR="00621590" w:rsidRPr="00A91E83">
        <w:rPr>
          <w:rFonts w:ascii="Times New Roman" w:hAnsi="Times New Roman" w:cs="Times New Roman"/>
          <w:i/>
          <w:sz w:val="24"/>
          <w:szCs w:val="24"/>
        </w:rPr>
        <w:t>alia</w:t>
      </w:r>
      <w:proofErr w:type="spellEnd"/>
      <w:r w:rsidR="00621590" w:rsidRPr="00A91E83">
        <w:rPr>
          <w:rFonts w:ascii="Times New Roman" w:hAnsi="Times New Roman" w:cs="Times New Roman"/>
          <w:sz w:val="24"/>
          <w:szCs w:val="24"/>
        </w:rPr>
        <w:t xml:space="preserve"> jo bankroto ar restruktūrizavimo atveju. Toks teisinis reguliavimas neatitinka</w:t>
      </w:r>
      <w:r w:rsidR="00502916" w:rsidRPr="00A91E83">
        <w:rPr>
          <w:rFonts w:ascii="Times New Roman" w:hAnsi="Times New Roman" w:cs="Times New Roman"/>
          <w:sz w:val="24"/>
          <w:szCs w:val="24"/>
        </w:rPr>
        <w:t xml:space="preserve"> nemokios bendrovės kitų kreditorių </w:t>
      </w:r>
      <w:r w:rsidR="00621590" w:rsidRPr="00A91E83">
        <w:rPr>
          <w:rFonts w:ascii="Times New Roman" w:hAnsi="Times New Roman" w:cs="Times New Roman"/>
          <w:sz w:val="24"/>
          <w:szCs w:val="24"/>
        </w:rPr>
        <w:t>konstitucinių teisėtų lūkesčių apsaugos, teisinio aiškumo, tikrumo ir saugumo principų</w:t>
      </w:r>
      <w:r w:rsidR="00B8500D" w:rsidRPr="00A91E83">
        <w:rPr>
          <w:rFonts w:ascii="Times New Roman" w:hAnsi="Times New Roman" w:cs="Times New Roman"/>
          <w:sz w:val="24"/>
          <w:szCs w:val="24"/>
        </w:rPr>
        <w:t>, kurie yra privalomi kitiems juridiniams asmenims</w:t>
      </w:r>
      <w:r w:rsidR="00621590" w:rsidRPr="00A91E83">
        <w:rPr>
          <w:rFonts w:ascii="Times New Roman" w:hAnsi="Times New Roman" w:cs="Times New Roman"/>
          <w:sz w:val="24"/>
          <w:szCs w:val="24"/>
        </w:rPr>
        <w:t>. Dėl nurodytų argumentų, LAT kreipėsi į Lietuvos Respublikos Konstitucinį Teismą, kad būtų išspręstas FUSĮ atitikmuo Lietuvos Resp</w:t>
      </w:r>
      <w:r w:rsidR="00B8500D" w:rsidRPr="00A91E83">
        <w:rPr>
          <w:rFonts w:ascii="Times New Roman" w:hAnsi="Times New Roman" w:cs="Times New Roman"/>
          <w:sz w:val="24"/>
          <w:szCs w:val="24"/>
        </w:rPr>
        <w:t>ublikos Konstitucijai klausimas,</w:t>
      </w:r>
      <w:r w:rsidR="00621590" w:rsidRPr="00A91E83">
        <w:rPr>
          <w:rStyle w:val="Puslapioinaosnuoroda"/>
          <w:rFonts w:ascii="Times New Roman" w:hAnsi="Times New Roman" w:cs="Times New Roman"/>
          <w:sz w:val="24"/>
          <w:szCs w:val="24"/>
        </w:rPr>
        <w:footnoteReference w:id="191"/>
      </w:r>
      <w:r w:rsidR="00B8500D" w:rsidRPr="00A91E83">
        <w:rPr>
          <w:rFonts w:ascii="Times New Roman" w:hAnsi="Times New Roman" w:cs="Times New Roman"/>
          <w:sz w:val="24"/>
          <w:szCs w:val="24"/>
        </w:rPr>
        <w:t xml:space="preserve"> konkrečiai, ar toks perteklinis ES teisinio </w:t>
      </w:r>
      <w:r w:rsidR="00B8500D" w:rsidRPr="00A91E83">
        <w:rPr>
          <w:rFonts w:ascii="Times New Roman" w:hAnsi="Times New Roman" w:cs="Times New Roman"/>
          <w:sz w:val="24"/>
          <w:szCs w:val="24"/>
        </w:rPr>
        <w:lastRenderedPageBreak/>
        <w:t>reguliavimo perkėlimas nepažeidžia kitų juridinių asmenų visų kreditorių teisėtų interesų lūkesčių.</w:t>
      </w:r>
    </w:p>
    <w:p w:rsidR="00121CE0" w:rsidRPr="00A91E83" w:rsidRDefault="00006BAB"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Taip pat t</w:t>
      </w:r>
      <w:r w:rsidR="00121CE0" w:rsidRPr="00A91E83">
        <w:rPr>
          <w:rFonts w:ascii="Times New Roman" w:hAnsi="Times New Roman" w:cs="Times New Roman"/>
          <w:sz w:val="24"/>
          <w:szCs w:val="24"/>
        </w:rPr>
        <w:t xml:space="preserve">eisinėje literatūroje atsiranda </w:t>
      </w:r>
      <w:r w:rsidR="009921F4" w:rsidRPr="00A91E83">
        <w:rPr>
          <w:rFonts w:ascii="Times New Roman" w:hAnsi="Times New Roman" w:cs="Times New Roman"/>
          <w:sz w:val="24"/>
          <w:szCs w:val="24"/>
        </w:rPr>
        <w:t>kritikos</w:t>
      </w:r>
      <w:r w:rsidR="00121CE0" w:rsidRPr="00A91E83">
        <w:rPr>
          <w:rFonts w:ascii="Times New Roman" w:hAnsi="Times New Roman" w:cs="Times New Roman"/>
          <w:sz w:val="24"/>
          <w:szCs w:val="24"/>
        </w:rPr>
        <w:t xml:space="preserve">, jog į </w:t>
      </w:r>
      <w:r w:rsidR="00003804" w:rsidRPr="00A91E83">
        <w:rPr>
          <w:rFonts w:ascii="Times New Roman" w:hAnsi="Times New Roman" w:cs="Times New Roman"/>
          <w:sz w:val="24"/>
          <w:szCs w:val="24"/>
        </w:rPr>
        <w:t xml:space="preserve">subjektų </w:t>
      </w:r>
      <w:r w:rsidR="00121CE0" w:rsidRPr="00A91E83">
        <w:rPr>
          <w:rFonts w:ascii="Times New Roman" w:hAnsi="Times New Roman" w:cs="Times New Roman"/>
          <w:sz w:val="24"/>
          <w:szCs w:val="24"/>
        </w:rPr>
        <w:t>sąrašą nėra įtraukti didieji pensijų fondai, nors akivaizdu, kad jie yra priži</w:t>
      </w:r>
      <w:r w:rsidR="009921F4" w:rsidRPr="00A91E83">
        <w:rPr>
          <w:rFonts w:ascii="Times New Roman" w:hAnsi="Times New Roman" w:cs="Times New Roman"/>
          <w:sz w:val="24"/>
          <w:szCs w:val="24"/>
        </w:rPr>
        <w:t>ūrimi finansinės priežiūros ins</w:t>
      </w:r>
      <w:r w:rsidR="00121CE0" w:rsidRPr="00A91E83">
        <w:rPr>
          <w:rFonts w:ascii="Times New Roman" w:hAnsi="Times New Roman" w:cs="Times New Roman"/>
          <w:sz w:val="24"/>
          <w:szCs w:val="24"/>
        </w:rPr>
        <w:t>t</w:t>
      </w:r>
      <w:r w:rsidR="009921F4" w:rsidRPr="00A91E83">
        <w:rPr>
          <w:rFonts w:ascii="Times New Roman" w:hAnsi="Times New Roman" w:cs="Times New Roman"/>
          <w:sz w:val="24"/>
          <w:szCs w:val="24"/>
        </w:rPr>
        <w:t>itu</w:t>
      </w:r>
      <w:r w:rsidR="00121CE0" w:rsidRPr="00A91E83">
        <w:rPr>
          <w:rFonts w:ascii="Times New Roman" w:hAnsi="Times New Roman" w:cs="Times New Roman"/>
          <w:sz w:val="24"/>
          <w:szCs w:val="24"/>
        </w:rPr>
        <w:t>cijų ir yra profesionalūs finansinių rinkų dalyviai, taigi iš esmės savo teisiniu statusu nesiskiria nuo kitų FUSĮ įvardytų subjektų.</w:t>
      </w:r>
      <w:r w:rsidR="00121CE0" w:rsidRPr="00A91E83">
        <w:rPr>
          <w:rStyle w:val="Puslapioinaosnuoroda"/>
          <w:rFonts w:ascii="Times New Roman" w:hAnsi="Times New Roman" w:cs="Times New Roman"/>
          <w:sz w:val="24"/>
          <w:szCs w:val="24"/>
        </w:rPr>
        <w:footnoteReference w:id="192"/>
      </w:r>
      <w:r w:rsidR="009921F4" w:rsidRPr="00A91E83">
        <w:rPr>
          <w:rFonts w:ascii="Times New Roman" w:hAnsi="Times New Roman" w:cs="Times New Roman"/>
          <w:sz w:val="24"/>
          <w:szCs w:val="24"/>
        </w:rPr>
        <w:t xml:space="preserve"> Mūsų manymu, FUSĮ </w:t>
      </w:r>
      <w:r w:rsidR="00030E9B" w:rsidRPr="00A91E83">
        <w:rPr>
          <w:rFonts w:ascii="Times New Roman" w:hAnsi="Times New Roman" w:cs="Times New Roman"/>
          <w:sz w:val="24"/>
          <w:szCs w:val="24"/>
        </w:rPr>
        <w:t>sukurdamas palankesnį režimą kreditoriams bankroto procese i</w:t>
      </w:r>
      <w:r w:rsidR="009921F4" w:rsidRPr="00A91E83">
        <w:rPr>
          <w:rFonts w:ascii="Times New Roman" w:hAnsi="Times New Roman" w:cs="Times New Roman"/>
          <w:sz w:val="24"/>
          <w:szCs w:val="24"/>
        </w:rPr>
        <w:t xml:space="preserve">š esmės skatina </w:t>
      </w:r>
      <w:r w:rsidR="00030E9B" w:rsidRPr="00A91E83">
        <w:rPr>
          <w:rFonts w:ascii="Times New Roman" w:hAnsi="Times New Roman" w:cs="Times New Roman"/>
          <w:sz w:val="24"/>
          <w:szCs w:val="24"/>
        </w:rPr>
        <w:t xml:space="preserve">sudaryti daugiau </w:t>
      </w:r>
      <w:proofErr w:type="spellStart"/>
      <w:r w:rsidR="00030E9B" w:rsidRPr="00A91E83">
        <w:rPr>
          <w:rFonts w:ascii="Times New Roman" w:hAnsi="Times New Roman" w:cs="Times New Roman"/>
          <w:sz w:val="24"/>
          <w:szCs w:val="24"/>
        </w:rPr>
        <w:t>užbiržinių</w:t>
      </w:r>
      <w:proofErr w:type="spellEnd"/>
      <w:r w:rsidR="009921F4" w:rsidRPr="00A91E83">
        <w:rPr>
          <w:rFonts w:ascii="Times New Roman" w:hAnsi="Times New Roman" w:cs="Times New Roman"/>
          <w:sz w:val="24"/>
          <w:szCs w:val="24"/>
        </w:rPr>
        <w:t xml:space="preserve"> s</w:t>
      </w:r>
      <w:r w:rsidR="00030E9B" w:rsidRPr="00A91E83">
        <w:rPr>
          <w:rFonts w:ascii="Times New Roman" w:hAnsi="Times New Roman" w:cs="Times New Roman"/>
          <w:sz w:val="24"/>
          <w:szCs w:val="24"/>
        </w:rPr>
        <w:t>andorių</w:t>
      </w:r>
      <w:r w:rsidR="009921F4" w:rsidRPr="00A91E83">
        <w:rPr>
          <w:rFonts w:ascii="Times New Roman" w:hAnsi="Times New Roman" w:cs="Times New Roman"/>
          <w:sz w:val="24"/>
          <w:szCs w:val="24"/>
        </w:rPr>
        <w:t xml:space="preserve"> dėl išvestinių finansinių priemonių, o pensijų fondams daugelyje valstybių</w:t>
      </w:r>
      <w:r w:rsidR="006634AA" w:rsidRPr="00A91E83">
        <w:rPr>
          <w:rFonts w:ascii="Times New Roman" w:hAnsi="Times New Roman" w:cs="Times New Roman"/>
          <w:sz w:val="24"/>
          <w:szCs w:val="24"/>
        </w:rPr>
        <w:t>,</w:t>
      </w:r>
      <w:r w:rsidR="009921F4" w:rsidRPr="00A91E83">
        <w:rPr>
          <w:rFonts w:ascii="Times New Roman" w:hAnsi="Times New Roman" w:cs="Times New Roman"/>
          <w:sz w:val="24"/>
          <w:szCs w:val="24"/>
        </w:rPr>
        <w:t xml:space="preserve"> apskritai</w:t>
      </w:r>
      <w:r w:rsidR="006634AA" w:rsidRPr="00A91E83">
        <w:rPr>
          <w:rFonts w:ascii="Times New Roman" w:hAnsi="Times New Roman" w:cs="Times New Roman"/>
          <w:sz w:val="24"/>
          <w:szCs w:val="24"/>
        </w:rPr>
        <w:t>,</w:t>
      </w:r>
      <w:r w:rsidR="009921F4" w:rsidRPr="00A91E83">
        <w:rPr>
          <w:rFonts w:ascii="Times New Roman" w:hAnsi="Times New Roman" w:cs="Times New Roman"/>
          <w:sz w:val="24"/>
          <w:szCs w:val="24"/>
        </w:rPr>
        <w:t xml:space="preserve"> </w:t>
      </w:r>
      <w:r w:rsidR="009A4EF2" w:rsidRPr="00A91E83">
        <w:rPr>
          <w:rFonts w:ascii="Times New Roman" w:hAnsi="Times New Roman" w:cs="Times New Roman"/>
          <w:sz w:val="24"/>
          <w:szCs w:val="24"/>
        </w:rPr>
        <w:t>įstatymais ar dėl vidinės įgyvendinamos politikos</w:t>
      </w:r>
      <w:r w:rsidR="006634AA" w:rsidRPr="00A91E83">
        <w:rPr>
          <w:rFonts w:ascii="Times New Roman" w:hAnsi="Times New Roman" w:cs="Times New Roman"/>
          <w:sz w:val="24"/>
          <w:szCs w:val="24"/>
        </w:rPr>
        <w:t>,</w:t>
      </w:r>
      <w:r w:rsidR="009A4EF2" w:rsidRPr="00A91E83">
        <w:rPr>
          <w:rFonts w:ascii="Times New Roman" w:hAnsi="Times New Roman" w:cs="Times New Roman"/>
          <w:sz w:val="24"/>
          <w:szCs w:val="24"/>
        </w:rPr>
        <w:t xml:space="preserve"> </w:t>
      </w:r>
      <w:r w:rsidR="009921F4" w:rsidRPr="00A91E83">
        <w:rPr>
          <w:rFonts w:ascii="Times New Roman" w:hAnsi="Times New Roman" w:cs="Times New Roman"/>
          <w:sz w:val="24"/>
          <w:szCs w:val="24"/>
        </w:rPr>
        <w:t xml:space="preserve">uždrausta </w:t>
      </w:r>
      <w:r w:rsidR="00030E9B" w:rsidRPr="00A91E83">
        <w:rPr>
          <w:rFonts w:ascii="Times New Roman" w:hAnsi="Times New Roman" w:cs="Times New Roman"/>
          <w:sz w:val="24"/>
          <w:szCs w:val="24"/>
        </w:rPr>
        <w:t>prekiauti „gatvės rinkoje“</w:t>
      </w:r>
      <w:r w:rsidR="009921F4" w:rsidRPr="00A91E83">
        <w:rPr>
          <w:rFonts w:ascii="Times New Roman" w:hAnsi="Times New Roman" w:cs="Times New Roman"/>
          <w:sz w:val="24"/>
          <w:szCs w:val="24"/>
        </w:rPr>
        <w:t xml:space="preserve">, </w:t>
      </w:r>
      <w:r w:rsidR="008C26F1" w:rsidRPr="00A91E83">
        <w:rPr>
          <w:rFonts w:ascii="Times New Roman" w:hAnsi="Times New Roman" w:cs="Times New Roman"/>
          <w:sz w:val="24"/>
          <w:szCs w:val="24"/>
        </w:rPr>
        <w:t>t. y.</w:t>
      </w:r>
      <w:r w:rsidR="009921F4" w:rsidRPr="00A91E83">
        <w:rPr>
          <w:rFonts w:ascii="Times New Roman" w:hAnsi="Times New Roman" w:cs="Times New Roman"/>
          <w:sz w:val="24"/>
          <w:szCs w:val="24"/>
        </w:rPr>
        <w:t xml:space="preserve"> </w:t>
      </w:r>
      <w:r w:rsidR="00B12ED6" w:rsidRPr="00A91E83">
        <w:rPr>
          <w:rFonts w:ascii="Times New Roman" w:hAnsi="Times New Roman" w:cs="Times New Roman"/>
          <w:sz w:val="24"/>
          <w:szCs w:val="24"/>
        </w:rPr>
        <w:t xml:space="preserve">sudaryti sandorius dėl išvestinių finansinių priemonių, kurių </w:t>
      </w:r>
      <w:r w:rsidR="00C5624D" w:rsidRPr="00A91E83">
        <w:rPr>
          <w:rFonts w:ascii="Times New Roman" w:hAnsi="Times New Roman" w:cs="Times New Roman"/>
          <w:sz w:val="24"/>
          <w:szCs w:val="24"/>
        </w:rPr>
        <w:t>bazinis turtas</w:t>
      </w:r>
      <w:r w:rsidR="00B12ED6" w:rsidRPr="00A91E83">
        <w:rPr>
          <w:rFonts w:ascii="Times New Roman" w:hAnsi="Times New Roman" w:cs="Times New Roman"/>
          <w:sz w:val="24"/>
          <w:szCs w:val="24"/>
        </w:rPr>
        <w:t xml:space="preserve">, </w:t>
      </w:r>
      <w:proofErr w:type="spellStart"/>
      <w:r w:rsidR="00B12ED6" w:rsidRPr="00A91E83">
        <w:rPr>
          <w:rFonts w:ascii="Times New Roman" w:hAnsi="Times New Roman" w:cs="Times New Roman"/>
          <w:sz w:val="24"/>
          <w:szCs w:val="24"/>
        </w:rPr>
        <w:t>pvz</w:t>
      </w:r>
      <w:proofErr w:type="spellEnd"/>
      <w:r w:rsidR="00B12ED6" w:rsidRPr="00A91E83">
        <w:rPr>
          <w:rFonts w:ascii="Times New Roman" w:hAnsi="Times New Roman" w:cs="Times New Roman"/>
          <w:sz w:val="24"/>
          <w:szCs w:val="24"/>
        </w:rPr>
        <w:t xml:space="preserve">.: vertybiniai popieriai nėra </w:t>
      </w:r>
      <w:proofErr w:type="spellStart"/>
      <w:r w:rsidR="00C5624D" w:rsidRPr="00A91E83">
        <w:rPr>
          <w:rFonts w:ascii="Times New Roman" w:hAnsi="Times New Roman" w:cs="Times New Roman"/>
          <w:sz w:val="24"/>
          <w:szCs w:val="24"/>
        </w:rPr>
        <w:t>listinguojami</w:t>
      </w:r>
      <w:proofErr w:type="spellEnd"/>
      <w:r w:rsidR="00C5624D" w:rsidRPr="00A91E83">
        <w:rPr>
          <w:rFonts w:ascii="Times New Roman" w:hAnsi="Times New Roman" w:cs="Times New Roman"/>
          <w:sz w:val="24"/>
          <w:szCs w:val="24"/>
        </w:rPr>
        <w:t xml:space="preserve"> </w:t>
      </w:r>
      <w:r w:rsidR="009921F4" w:rsidRPr="00A91E83">
        <w:rPr>
          <w:rFonts w:ascii="Times New Roman" w:hAnsi="Times New Roman" w:cs="Times New Roman"/>
          <w:sz w:val="24"/>
          <w:szCs w:val="24"/>
        </w:rPr>
        <w:t>biržoje</w:t>
      </w:r>
      <w:r w:rsidR="00C5624D" w:rsidRPr="00A91E83">
        <w:rPr>
          <w:rFonts w:ascii="Times New Roman" w:hAnsi="Times New Roman" w:cs="Times New Roman"/>
          <w:sz w:val="24"/>
          <w:szCs w:val="24"/>
        </w:rPr>
        <w:t>.</w:t>
      </w:r>
      <w:r w:rsidR="00B923CC" w:rsidRPr="00A91E83">
        <w:rPr>
          <w:rFonts w:ascii="Times New Roman" w:hAnsi="Times New Roman" w:cs="Times New Roman"/>
          <w:sz w:val="24"/>
          <w:szCs w:val="24"/>
        </w:rPr>
        <w:t xml:space="preserve"> Tokiu investavimo objektų apribojimu siekiama</w:t>
      </w:r>
      <w:r w:rsidR="009921F4" w:rsidRPr="00A91E83">
        <w:rPr>
          <w:rFonts w:ascii="Times New Roman" w:hAnsi="Times New Roman" w:cs="Times New Roman"/>
          <w:sz w:val="24"/>
          <w:szCs w:val="24"/>
        </w:rPr>
        <w:t xml:space="preserve"> užtikrinti stabilumą </w:t>
      </w:r>
      <w:r w:rsidR="00F80B74" w:rsidRPr="00A91E83">
        <w:rPr>
          <w:rFonts w:ascii="Times New Roman" w:hAnsi="Times New Roman" w:cs="Times New Roman"/>
          <w:sz w:val="24"/>
          <w:szCs w:val="24"/>
        </w:rPr>
        <w:t xml:space="preserve">ir skaidrumą </w:t>
      </w:r>
      <w:r w:rsidR="009921F4" w:rsidRPr="00A91E83">
        <w:rPr>
          <w:rFonts w:ascii="Times New Roman" w:hAnsi="Times New Roman" w:cs="Times New Roman"/>
          <w:sz w:val="24"/>
          <w:szCs w:val="24"/>
        </w:rPr>
        <w:t>pensijų fondų veikloje</w:t>
      </w:r>
      <w:r w:rsidR="00B923CC" w:rsidRPr="00A91E83">
        <w:rPr>
          <w:rFonts w:ascii="Times New Roman" w:hAnsi="Times New Roman" w:cs="Times New Roman"/>
          <w:sz w:val="24"/>
          <w:szCs w:val="24"/>
        </w:rPr>
        <w:t xml:space="preserve">. Todėl </w:t>
      </w:r>
      <w:r w:rsidR="009921F4" w:rsidRPr="00A91E83">
        <w:rPr>
          <w:rFonts w:ascii="Times New Roman" w:hAnsi="Times New Roman" w:cs="Times New Roman"/>
          <w:sz w:val="24"/>
          <w:szCs w:val="24"/>
        </w:rPr>
        <w:t xml:space="preserve">skatinimas investuoti į </w:t>
      </w:r>
      <w:proofErr w:type="spellStart"/>
      <w:r w:rsidR="00C024E7" w:rsidRPr="00A91E83">
        <w:rPr>
          <w:rFonts w:ascii="Times New Roman" w:hAnsi="Times New Roman" w:cs="Times New Roman"/>
          <w:sz w:val="24"/>
          <w:szCs w:val="24"/>
        </w:rPr>
        <w:t>užbiržinius</w:t>
      </w:r>
      <w:proofErr w:type="spellEnd"/>
      <w:r w:rsidR="00C024E7" w:rsidRPr="00A91E83">
        <w:rPr>
          <w:rFonts w:ascii="Times New Roman" w:hAnsi="Times New Roman" w:cs="Times New Roman"/>
          <w:sz w:val="24"/>
          <w:szCs w:val="24"/>
        </w:rPr>
        <w:t xml:space="preserve"> sandorius dėl išvestinių finansinių priemonių, kurie dėl kontrahento nemokumo laikomi turintys didesnę riziką, būtų nesuderinamas.</w:t>
      </w:r>
      <w:r w:rsidR="00F1266F" w:rsidRPr="00A91E83">
        <w:rPr>
          <w:rFonts w:ascii="Times New Roman" w:hAnsi="Times New Roman" w:cs="Times New Roman"/>
          <w:sz w:val="24"/>
          <w:szCs w:val="24"/>
        </w:rPr>
        <w:t xml:space="preserve"> </w:t>
      </w:r>
      <w:r w:rsidR="006634AA" w:rsidRPr="00A91E83">
        <w:rPr>
          <w:rFonts w:ascii="Times New Roman" w:hAnsi="Times New Roman" w:cs="Times New Roman"/>
          <w:sz w:val="24"/>
          <w:szCs w:val="24"/>
        </w:rPr>
        <w:t xml:space="preserve">Taigi, kadangi pensijų fondai sudarinėja sandorius daugiausiai per biržas, tai užskaitos mechanizmo taikymas jiems </w:t>
      </w:r>
      <w:r w:rsidR="00326460" w:rsidRPr="00A91E83">
        <w:rPr>
          <w:rFonts w:ascii="Times New Roman" w:hAnsi="Times New Roman" w:cs="Times New Roman"/>
          <w:sz w:val="24"/>
          <w:szCs w:val="24"/>
        </w:rPr>
        <w:t xml:space="preserve">nėra itin </w:t>
      </w:r>
      <w:r w:rsidR="006634AA" w:rsidRPr="00A91E83">
        <w:rPr>
          <w:rFonts w:ascii="Times New Roman" w:hAnsi="Times New Roman" w:cs="Times New Roman"/>
          <w:sz w:val="24"/>
          <w:szCs w:val="24"/>
        </w:rPr>
        <w:t>aktualus.</w:t>
      </w:r>
    </w:p>
    <w:p w:rsidR="00C17D8A" w:rsidRPr="00A91E83" w:rsidRDefault="00C17D8A" w:rsidP="00B46A53">
      <w:pPr>
        <w:tabs>
          <w:tab w:val="left" w:pos="851"/>
        </w:tabs>
        <w:spacing w:after="0" w:line="360" w:lineRule="auto"/>
        <w:ind w:firstLine="851"/>
        <w:jc w:val="both"/>
        <w:rPr>
          <w:rFonts w:ascii="Times New Roman" w:hAnsi="Times New Roman" w:cs="Times New Roman"/>
          <w:sz w:val="24"/>
          <w:szCs w:val="24"/>
        </w:rPr>
      </w:pPr>
    </w:p>
    <w:p w:rsidR="00B91D4C" w:rsidRPr="00A91E83" w:rsidRDefault="00B91D4C" w:rsidP="00256B0B">
      <w:pPr>
        <w:pStyle w:val="Sraopastraipa"/>
        <w:numPr>
          <w:ilvl w:val="2"/>
          <w:numId w:val="4"/>
        </w:numPr>
        <w:tabs>
          <w:tab w:val="left" w:pos="851"/>
        </w:tabs>
        <w:spacing w:after="0" w:line="360" w:lineRule="auto"/>
        <w:ind w:left="0" w:firstLine="0"/>
        <w:jc w:val="both"/>
        <w:outlineLvl w:val="2"/>
        <w:rPr>
          <w:rFonts w:ascii="Times New Roman" w:hAnsi="Times New Roman" w:cs="Times New Roman"/>
          <w:b/>
          <w:sz w:val="24"/>
          <w:szCs w:val="24"/>
        </w:rPr>
      </w:pPr>
      <w:bookmarkStart w:id="32" w:name="_Toc280546465"/>
      <w:r w:rsidRPr="00A91E83">
        <w:rPr>
          <w:rFonts w:ascii="Times New Roman" w:hAnsi="Times New Roman" w:cs="Times New Roman"/>
          <w:b/>
          <w:sz w:val="24"/>
          <w:szCs w:val="24"/>
        </w:rPr>
        <w:t>Finansinio užtikrinimo susitarimas</w:t>
      </w:r>
      <w:bookmarkEnd w:id="32"/>
    </w:p>
    <w:p w:rsidR="00793F84" w:rsidRPr="00A91E83" w:rsidRDefault="00793F84" w:rsidP="00B46A53">
      <w:pPr>
        <w:tabs>
          <w:tab w:val="left" w:pos="851"/>
        </w:tabs>
        <w:spacing w:after="0" w:line="360" w:lineRule="auto"/>
        <w:ind w:firstLine="851"/>
        <w:jc w:val="both"/>
        <w:rPr>
          <w:rFonts w:ascii="Times New Roman" w:hAnsi="Times New Roman" w:cs="Times New Roman"/>
          <w:sz w:val="24"/>
          <w:szCs w:val="24"/>
        </w:rPr>
      </w:pPr>
    </w:p>
    <w:p w:rsidR="00F11E52" w:rsidRPr="00A91E83" w:rsidRDefault="00C17D8A"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Finansinio užtikrinimo susitarimas – tai </w:t>
      </w:r>
      <w:r w:rsidR="000A4DB0" w:rsidRPr="00A91E83">
        <w:rPr>
          <w:rFonts w:ascii="Times New Roman" w:hAnsi="Times New Roman" w:cs="Times New Roman"/>
          <w:sz w:val="24"/>
          <w:szCs w:val="24"/>
        </w:rPr>
        <w:t>bendra sąvoka, apimanti visus sandorius, kurie savo esme yra prievolių įvykdymo užtikrinimo sandoriai ir kurių objektas yra finansinės priemonės bei negrynieji pinigai.</w:t>
      </w:r>
      <w:r w:rsidR="000A4DB0" w:rsidRPr="00A91E83">
        <w:rPr>
          <w:rStyle w:val="Puslapioinaosnuoroda"/>
          <w:rFonts w:ascii="Times New Roman" w:hAnsi="Times New Roman" w:cs="Times New Roman"/>
          <w:sz w:val="24"/>
          <w:szCs w:val="24"/>
        </w:rPr>
        <w:footnoteReference w:id="193"/>
      </w:r>
      <w:r w:rsidR="00145F4D" w:rsidRPr="00A91E83">
        <w:rPr>
          <w:rFonts w:ascii="Times New Roman" w:hAnsi="Times New Roman" w:cs="Times New Roman"/>
          <w:sz w:val="24"/>
          <w:szCs w:val="24"/>
        </w:rPr>
        <w:t xml:space="preserve"> FUSĮ specialiai išskiria finansinio užtikrinimo susitarimu</w:t>
      </w:r>
      <w:r w:rsidR="00CB2CAD" w:rsidRPr="00A91E83">
        <w:rPr>
          <w:rFonts w:ascii="Times New Roman" w:hAnsi="Times New Roman" w:cs="Times New Roman"/>
          <w:sz w:val="24"/>
          <w:szCs w:val="24"/>
        </w:rPr>
        <w:t>s, kada</w:t>
      </w:r>
      <w:r w:rsidR="00145F4D" w:rsidRPr="00A91E83">
        <w:rPr>
          <w:rFonts w:ascii="Times New Roman" w:hAnsi="Times New Roman" w:cs="Times New Roman"/>
          <w:sz w:val="24"/>
          <w:szCs w:val="24"/>
        </w:rPr>
        <w:t xml:space="preserve"> perduodamas finansinis užstatas lieka </w:t>
      </w:r>
      <w:r w:rsidR="00CB2CAD" w:rsidRPr="00A91E83">
        <w:rPr>
          <w:rFonts w:ascii="Times New Roman" w:hAnsi="Times New Roman" w:cs="Times New Roman"/>
          <w:sz w:val="24"/>
          <w:szCs w:val="24"/>
        </w:rPr>
        <w:t>finansinio davėjo nuosavybėje ir atvejus, kada</w:t>
      </w:r>
      <w:r w:rsidR="006D44D6" w:rsidRPr="00A91E83">
        <w:rPr>
          <w:rFonts w:ascii="Times New Roman" w:hAnsi="Times New Roman" w:cs="Times New Roman"/>
          <w:sz w:val="24"/>
          <w:szCs w:val="24"/>
        </w:rPr>
        <w:t xml:space="preserve"> visa nuosavybės teisė iškart</w:t>
      </w:r>
      <w:r w:rsidR="00145F4D" w:rsidRPr="00A91E83">
        <w:rPr>
          <w:rFonts w:ascii="Times New Roman" w:hAnsi="Times New Roman" w:cs="Times New Roman"/>
          <w:sz w:val="24"/>
          <w:szCs w:val="24"/>
        </w:rPr>
        <w:t xml:space="preserve"> perduodamas užstato turėtojui.</w:t>
      </w:r>
      <w:r w:rsidR="00145F4D" w:rsidRPr="00A91E83">
        <w:rPr>
          <w:rStyle w:val="Puslapioinaosnuoroda"/>
          <w:rFonts w:ascii="Times New Roman" w:hAnsi="Times New Roman" w:cs="Times New Roman"/>
          <w:sz w:val="24"/>
          <w:szCs w:val="24"/>
        </w:rPr>
        <w:footnoteReference w:id="194"/>
      </w:r>
      <w:r w:rsidR="00110EF0" w:rsidRPr="00A91E83">
        <w:rPr>
          <w:rFonts w:ascii="Times New Roman" w:hAnsi="Times New Roman" w:cs="Times New Roman"/>
          <w:sz w:val="24"/>
          <w:szCs w:val="24"/>
        </w:rPr>
        <w:t xml:space="preserve"> </w:t>
      </w:r>
      <w:r w:rsidR="00B93E50" w:rsidRPr="00A91E83">
        <w:rPr>
          <w:rFonts w:ascii="Times New Roman" w:hAnsi="Times New Roman" w:cs="Times New Roman"/>
          <w:sz w:val="24"/>
          <w:szCs w:val="24"/>
        </w:rPr>
        <w:t>Civiliniame kodekse kaip prievolių įvykdymo užt</w:t>
      </w:r>
      <w:r w:rsidR="00F11E52" w:rsidRPr="00A91E83">
        <w:rPr>
          <w:rFonts w:ascii="Times New Roman" w:hAnsi="Times New Roman" w:cs="Times New Roman"/>
          <w:sz w:val="24"/>
          <w:szCs w:val="24"/>
        </w:rPr>
        <w:t>ikrinimo būdas naudojamas įkeitimo</w:t>
      </w:r>
      <w:r w:rsidR="00B93E50" w:rsidRPr="00A91E83">
        <w:rPr>
          <w:rFonts w:ascii="Times New Roman" w:hAnsi="Times New Roman" w:cs="Times New Roman"/>
          <w:sz w:val="24"/>
          <w:szCs w:val="24"/>
        </w:rPr>
        <w:t xml:space="preserve"> terminas,</w:t>
      </w:r>
      <w:r w:rsidR="00B93E50" w:rsidRPr="00A91E83">
        <w:rPr>
          <w:rStyle w:val="Puslapioinaosnuoroda"/>
          <w:rFonts w:ascii="Times New Roman" w:hAnsi="Times New Roman" w:cs="Times New Roman"/>
          <w:sz w:val="24"/>
          <w:szCs w:val="24"/>
        </w:rPr>
        <w:footnoteReference w:id="195"/>
      </w:r>
      <w:r w:rsidR="00B93E50" w:rsidRPr="00A91E83">
        <w:rPr>
          <w:rFonts w:ascii="Times New Roman" w:hAnsi="Times New Roman" w:cs="Times New Roman"/>
          <w:sz w:val="24"/>
          <w:szCs w:val="24"/>
        </w:rPr>
        <w:t xml:space="preserve"> </w:t>
      </w:r>
      <w:r w:rsidR="00CB2CAD" w:rsidRPr="00A91E83">
        <w:rPr>
          <w:rFonts w:ascii="Times New Roman" w:hAnsi="Times New Roman" w:cs="Times New Roman"/>
          <w:sz w:val="24"/>
          <w:szCs w:val="24"/>
        </w:rPr>
        <w:t xml:space="preserve">kuris negali būti tapatinamas </w:t>
      </w:r>
      <w:r w:rsidR="00F11E52" w:rsidRPr="00A91E83">
        <w:rPr>
          <w:rFonts w:ascii="Times New Roman" w:hAnsi="Times New Roman" w:cs="Times New Roman"/>
          <w:sz w:val="24"/>
          <w:szCs w:val="24"/>
        </w:rPr>
        <w:t xml:space="preserve">su </w:t>
      </w:r>
      <w:r w:rsidR="00CB2CAD" w:rsidRPr="00A91E83">
        <w:rPr>
          <w:rFonts w:ascii="Times New Roman" w:hAnsi="Times New Roman" w:cs="Times New Roman"/>
          <w:sz w:val="24"/>
          <w:szCs w:val="24"/>
        </w:rPr>
        <w:t xml:space="preserve">finansinio užstato </w:t>
      </w:r>
      <w:r w:rsidR="00F11E52" w:rsidRPr="00A91E83">
        <w:rPr>
          <w:rFonts w:ascii="Times New Roman" w:hAnsi="Times New Roman" w:cs="Times New Roman"/>
          <w:sz w:val="24"/>
          <w:szCs w:val="24"/>
        </w:rPr>
        <w:t>susitarimu be nuosavybės teisės perdavimo</w:t>
      </w:r>
      <w:r w:rsidR="00CB2CAD" w:rsidRPr="00A91E83">
        <w:rPr>
          <w:rFonts w:ascii="Times New Roman" w:hAnsi="Times New Roman" w:cs="Times New Roman"/>
          <w:sz w:val="24"/>
          <w:szCs w:val="24"/>
        </w:rPr>
        <w:t xml:space="preserve">, </w:t>
      </w:r>
      <w:r w:rsidR="00F11E52" w:rsidRPr="00A91E83">
        <w:rPr>
          <w:rFonts w:ascii="Times New Roman" w:hAnsi="Times New Roman" w:cs="Times New Roman"/>
          <w:sz w:val="24"/>
          <w:szCs w:val="24"/>
        </w:rPr>
        <w:t xml:space="preserve">nes </w:t>
      </w:r>
      <w:r w:rsidR="00441753" w:rsidRPr="00A91E83">
        <w:rPr>
          <w:rFonts w:ascii="Times New Roman" w:hAnsi="Times New Roman" w:cs="Times New Roman"/>
          <w:sz w:val="24"/>
          <w:szCs w:val="24"/>
        </w:rPr>
        <w:t>kiekvienas finansinio užtikrinimo susitarimas be nuosavybės teisės perdavimo savo esme yra įkeitimo sutartis, tačiau ne kiekviena įkeitimo sutartis yra finansinio užtikrinimo susitarimas be nuosavybės teisės perdavimo.</w:t>
      </w:r>
      <w:r w:rsidR="00441753" w:rsidRPr="00A91E83">
        <w:rPr>
          <w:rStyle w:val="Puslapioinaosnuoroda"/>
          <w:rFonts w:ascii="Times New Roman" w:hAnsi="Times New Roman" w:cs="Times New Roman"/>
          <w:sz w:val="24"/>
          <w:szCs w:val="24"/>
        </w:rPr>
        <w:footnoteReference w:id="196"/>
      </w:r>
      <w:r w:rsidR="00F11E52" w:rsidRPr="00A91E83">
        <w:rPr>
          <w:rFonts w:ascii="Times New Roman" w:hAnsi="Times New Roman" w:cs="Times New Roman"/>
          <w:sz w:val="24"/>
          <w:szCs w:val="24"/>
        </w:rPr>
        <w:t xml:space="preserve"> </w:t>
      </w:r>
      <w:r w:rsidR="00441753" w:rsidRPr="00A91E83">
        <w:rPr>
          <w:rFonts w:ascii="Times New Roman" w:hAnsi="Times New Roman" w:cs="Times New Roman"/>
          <w:sz w:val="24"/>
          <w:szCs w:val="24"/>
        </w:rPr>
        <w:t>Pažymėtina, kad nors finansiniam užtikrinimui be nuosavybės teisės perdavimo būdingi aiškiai išreikšti daiktinės teisės požymiai: pirmenybės teisė</w:t>
      </w:r>
      <w:r w:rsidR="00503CB5" w:rsidRPr="00A91E83">
        <w:rPr>
          <w:rFonts w:ascii="Times New Roman" w:hAnsi="Times New Roman" w:cs="Times New Roman"/>
          <w:sz w:val="24"/>
          <w:szCs w:val="24"/>
        </w:rPr>
        <w:t>,</w:t>
      </w:r>
      <w:r w:rsidR="00441753" w:rsidRPr="00A91E83">
        <w:rPr>
          <w:rStyle w:val="Puslapioinaosnuoroda"/>
          <w:rFonts w:ascii="Times New Roman" w:hAnsi="Times New Roman" w:cs="Times New Roman"/>
          <w:sz w:val="24"/>
          <w:szCs w:val="24"/>
        </w:rPr>
        <w:footnoteReference w:id="197"/>
      </w:r>
      <w:r w:rsidR="00441753" w:rsidRPr="00A91E83">
        <w:rPr>
          <w:rFonts w:ascii="Times New Roman" w:hAnsi="Times New Roman" w:cs="Times New Roman"/>
          <w:sz w:val="24"/>
          <w:szCs w:val="24"/>
        </w:rPr>
        <w:t xml:space="preserve"> sekimo teisė</w:t>
      </w:r>
      <w:r w:rsidR="00503CB5" w:rsidRPr="00A91E83">
        <w:rPr>
          <w:rFonts w:ascii="Times New Roman" w:hAnsi="Times New Roman" w:cs="Times New Roman"/>
          <w:sz w:val="24"/>
          <w:szCs w:val="24"/>
        </w:rPr>
        <w:t>,</w:t>
      </w:r>
      <w:r w:rsidR="00441753" w:rsidRPr="00A91E83">
        <w:rPr>
          <w:rStyle w:val="Puslapioinaosnuoroda"/>
          <w:rFonts w:ascii="Times New Roman" w:hAnsi="Times New Roman" w:cs="Times New Roman"/>
          <w:sz w:val="24"/>
          <w:szCs w:val="24"/>
        </w:rPr>
        <w:footnoteReference w:id="198"/>
      </w:r>
      <w:r w:rsidR="00441753" w:rsidRPr="00A91E83">
        <w:rPr>
          <w:rFonts w:ascii="Times New Roman" w:hAnsi="Times New Roman" w:cs="Times New Roman"/>
          <w:sz w:val="24"/>
          <w:szCs w:val="24"/>
        </w:rPr>
        <w:t xml:space="preserve"> tačiau tokie jam būdingi požymiai kaip </w:t>
      </w:r>
      <w:proofErr w:type="spellStart"/>
      <w:r w:rsidR="00441753" w:rsidRPr="00A91E83">
        <w:rPr>
          <w:rFonts w:ascii="Times New Roman" w:hAnsi="Times New Roman" w:cs="Times New Roman"/>
          <w:sz w:val="24"/>
          <w:szCs w:val="24"/>
        </w:rPr>
        <w:t>akcesoriškumas</w:t>
      </w:r>
      <w:proofErr w:type="spellEnd"/>
      <w:r w:rsidR="00441753" w:rsidRPr="00A91E83">
        <w:rPr>
          <w:rFonts w:ascii="Times New Roman" w:hAnsi="Times New Roman" w:cs="Times New Roman"/>
          <w:sz w:val="24"/>
          <w:szCs w:val="24"/>
        </w:rPr>
        <w:t>, galimybė pateikti papildomą</w:t>
      </w:r>
      <w:r w:rsidR="00503CB5" w:rsidRPr="00A91E83">
        <w:rPr>
          <w:rFonts w:ascii="Times New Roman" w:hAnsi="Times New Roman" w:cs="Times New Roman"/>
          <w:sz w:val="24"/>
          <w:szCs w:val="24"/>
        </w:rPr>
        <w:t>,</w:t>
      </w:r>
      <w:r w:rsidR="00441753" w:rsidRPr="00A91E83">
        <w:rPr>
          <w:rFonts w:ascii="Times New Roman" w:hAnsi="Times New Roman" w:cs="Times New Roman"/>
          <w:sz w:val="24"/>
          <w:szCs w:val="24"/>
        </w:rPr>
        <w:t xml:space="preserve"> atsiimti ar </w:t>
      </w:r>
      <w:r w:rsidR="00441753" w:rsidRPr="00A91E83">
        <w:rPr>
          <w:rFonts w:ascii="Times New Roman" w:hAnsi="Times New Roman" w:cs="Times New Roman"/>
          <w:sz w:val="24"/>
          <w:szCs w:val="24"/>
        </w:rPr>
        <w:lastRenderedPageBreak/>
        <w:t>pakeisti finansinį užstatą</w:t>
      </w:r>
      <w:r w:rsidR="00CC53AE" w:rsidRPr="00A91E83">
        <w:rPr>
          <w:rFonts w:ascii="Times New Roman" w:hAnsi="Times New Roman" w:cs="Times New Roman"/>
          <w:sz w:val="24"/>
          <w:szCs w:val="24"/>
        </w:rPr>
        <w:t>,</w:t>
      </w:r>
      <w:r w:rsidR="00441753" w:rsidRPr="00A91E83">
        <w:rPr>
          <w:rStyle w:val="Puslapioinaosnuoroda"/>
          <w:rFonts w:ascii="Times New Roman" w:hAnsi="Times New Roman" w:cs="Times New Roman"/>
          <w:sz w:val="24"/>
          <w:szCs w:val="24"/>
        </w:rPr>
        <w:footnoteReference w:id="199"/>
      </w:r>
      <w:r w:rsidR="00441753" w:rsidRPr="00A91E83">
        <w:rPr>
          <w:rFonts w:ascii="Times New Roman" w:hAnsi="Times New Roman" w:cs="Times New Roman"/>
          <w:sz w:val="24"/>
          <w:szCs w:val="24"/>
        </w:rPr>
        <w:t xml:space="preserve"> užstato turėtojo teisė valdyti, naudoti ir disponuoti finansiniu užstatu</w:t>
      </w:r>
      <w:r w:rsidR="00503CB5" w:rsidRPr="00A91E83">
        <w:rPr>
          <w:rFonts w:ascii="Times New Roman" w:hAnsi="Times New Roman" w:cs="Times New Roman"/>
          <w:sz w:val="24"/>
          <w:szCs w:val="24"/>
        </w:rPr>
        <w:t>,</w:t>
      </w:r>
      <w:r w:rsidR="00441753" w:rsidRPr="00A91E83">
        <w:rPr>
          <w:rStyle w:val="Puslapioinaosnuoroda"/>
          <w:rFonts w:ascii="Times New Roman" w:hAnsi="Times New Roman" w:cs="Times New Roman"/>
          <w:sz w:val="24"/>
          <w:szCs w:val="24"/>
        </w:rPr>
        <w:footnoteReference w:id="200"/>
      </w:r>
      <w:r w:rsidR="00441753" w:rsidRPr="00A91E83">
        <w:rPr>
          <w:rFonts w:ascii="Times New Roman" w:hAnsi="Times New Roman" w:cs="Times New Roman"/>
          <w:sz w:val="24"/>
          <w:szCs w:val="24"/>
        </w:rPr>
        <w:t xml:space="preserve"> leidžia daryti išvadą, kad daiktine teise finansinis užtikrinimas gali būti vadinamas tik sąlygiškai.</w:t>
      </w:r>
      <w:r w:rsidR="00441753" w:rsidRPr="00A91E83">
        <w:rPr>
          <w:rStyle w:val="Puslapioinaosnuoroda"/>
          <w:rFonts w:ascii="Times New Roman" w:hAnsi="Times New Roman" w:cs="Times New Roman"/>
          <w:sz w:val="24"/>
          <w:szCs w:val="24"/>
        </w:rPr>
        <w:footnoteReference w:id="201"/>
      </w:r>
    </w:p>
    <w:p w:rsidR="00B93E50" w:rsidRPr="00A91E83" w:rsidRDefault="009249AF"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P</w:t>
      </w:r>
      <w:r w:rsidR="00B93E50" w:rsidRPr="00A91E83">
        <w:rPr>
          <w:rFonts w:ascii="Times New Roman" w:hAnsi="Times New Roman" w:cs="Times New Roman"/>
          <w:sz w:val="24"/>
          <w:szCs w:val="24"/>
        </w:rPr>
        <w:t xml:space="preserve">rievolių įvykdymo užtikrinimas perleidžiant nuosavybės teisę </w:t>
      </w:r>
      <w:r w:rsidR="00835018" w:rsidRPr="00A91E83">
        <w:rPr>
          <w:rFonts w:ascii="Times New Roman" w:hAnsi="Times New Roman" w:cs="Times New Roman"/>
          <w:sz w:val="24"/>
          <w:szCs w:val="24"/>
        </w:rPr>
        <w:t xml:space="preserve">CK 6.70 </w:t>
      </w:r>
      <w:proofErr w:type="spellStart"/>
      <w:r w:rsidR="00835018" w:rsidRPr="00A91E83">
        <w:rPr>
          <w:rFonts w:ascii="Times New Roman" w:hAnsi="Times New Roman" w:cs="Times New Roman"/>
          <w:sz w:val="24"/>
          <w:szCs w:val="24"/>
        </w:rPr>
        <w:t>str</w:t>
      </w:r>
      <w:proofErr w:type="spellEnd"/>
      <w:r w:rsidR="00835018" w:rsidRPr="00A91E83">
        <w:rPr>
          <w:rFonts w:ascii="Times New Roman" w:hAnsi="Times New Roman" w:cs="Times New Roman"/>
          <w:sz w:val="24"/>
          <w:szCs w:val="24"/>
        </w:rPr>
        <w:t xml:space="preserve">. 1 </w:t>
      </w:r>
      <w:proofErr w:type="spellStart"/>
      <w:r w:rsidR="00835018" w:rsidRPr="00A91E83">
        <w:rPr>
          <w:rFonts w:ascii="Times New Roman" w:hAnsi="Times New Roman" w:cs="Times New Roman"/>
          <w:sz w:val="24"/>
          <w:szCs w:val="24"/>
        </w:rPr>
        <w:t>d</w:t>
      </w:r>
      <w:proofErr w:type="spellEnd"/>
      <w:r w:rsidR="00835018" w:rsidRPr="00A91E83">
        <w:rPr>
          <w:rFonts w:ascii="Times New Roman" w:hAnsi="Times New Roman" w:cs="Times New Roman"/>
          <w:sz w:val="24"/>
          <w:szCs w:val="24"/>
        </w:rPr>
        <w:t xml:space="preserve">. </w:t>
      </w:r>
      <w:r w:rsidR="00B93E50" w:rsidRPr="00A91E83">
        <w:rPr>
          <w:rFonts w:ascii="Times New Roman" w:hAnsi="Times New Roman" w:cs="Times New Roman"/>
          <w:sz w:val="24"/>
          <w:szCs w:val="24"/>
        </w:rPr>
        <w:t>nėra paminėtas.</w:t>
      </w:r>
      <w:r w:rsidR="00F11E52" w:rsidRPr="00A91E83">
        <w:rPr>
          <w:rFonts w:ascii="Times New Roman" w:hAnsi="Times New Roman" w:cs="Times New Roman"/>
          <w:sz w:val="24"/>
          <w:szCs w:val="24"/>
        </w:rPr>
        <w:t xml:space="preserve"> </w:t>
      </w:r>
      <w:r w:rsidR="00835018" w:rsidRPr="00A91E83">
        <w:rPr>
          <w:rFonts w:ascii="Times New Roman" w:hAnsi="Times New Roman" w:cs="Times New Roman"/>
          <w:sz w:val="24"/>
          <w:szCs w:val="24"/>
        </w:rPr>
        <w:t xml:space="preserve">Atkreiptinas dėmesys, jog </w:t>
      </w:r>
      <w:r w:rsidR="003E36E0" w:rsidRPr="00A91E83">
        <w:rPr>
          <w:rFonts w:ascii="Times New Roman" w:hAnsi="Times New Roman" w:cs="Times New Roman"/>
          <w:sz w:val="24"/>
          <w:szCs w:val="24"/>
        </w:rPr>
        <w:t xml:space="preserve">minėtame </w:t>
      </w:r>
      <w:r w:rsidR="00835018" w:rsidRPr="00A91E83">
        <w:rPr>
          <w:rFonts w:ascii="Times New Roman" w:hAnsi="Times New Roman" w:cs="Times New Roman"/>
          <w:sz w:val="24"/>
          <w:szCs w:val="24"/>
        </w:rPr>
        <w:t>straipsnyje p</w:t>
      </w:r>
      <w:r w:rsidR="00F11E52" w:rsidRPr="00A91E83">
        <w:rPr>
          <w:rFonts w:ascii="Times New Roman" w:hAnsi="Times New Roman" w:cs="Times New Roman"/>
          <w:sz w:val="24"/>
          <w:szCs w:val="24"/>
        </w:rPr>
        <w:t>ateiktas nebaigtinis sąrašas, kur numatyti įkeitimo būdai, todėl toks įkeitimo būdas nors ir nėra tiesiogiai paminėtas, tačiau neprieštarauja įstatymo normoms.</w:t>
      </w:r>
      <w:r w:rsidR="008D63AB" w:rsidRPr="00A91E83">
        <w:rPr>
          <w:rFonts w:ascii="Times New Roman" w:hAnsi="Times New Roman" w:cs="Times New Roman"/>
          <w:sz w:val="24"/>
          <w:szCs w:val="24"/>
        </w:rPr>
        <w:t xml:space="preserve"> </w:t>
      </w:r>
      <w:r w:rsidR="00441753" w:rsidRPr="00A91E83">
        <w:rPr>
          <w:rFonts w:ascii="Times New Roman" w:hAnsi="Times New Roman" w:cs="Times New Roman"/>
          <w:sz w:val="24"/>
          <w:szCs w:val="24"/>
        </w:rPr>
        <w:t>Taigi f</w:t>
      </w:r>
      <w:r w:rsidR="00275009" w:rsidRPr="00A91E83">
        <w:rPr>
          <w:rFonts w:ascii="Times New Roman" w:hAnsi="Times New Roman" w:cs="Times New Roman"/>
          <w:sz w:val="24"/>
          <w:szCs w:val="24"/>
        </w:rPr>
        <w:t>inansinis užtikrinimas yra pagrindinio atitinkamo finansinio įsipareigojimo išvestinis įsipareigojimas. Užstato turėtojo teisės yra išvestinės iš jo, kaip kreditoriaus, teisių ir šių teisių įgyvendinimas priklauso nuo finansinio užtikrinimo susitarimu užtikrintų įsipareigojimų įvykdymo.</w:t>
      </w:r>
      <w:r w:rsidR="00E274D2" w:rsidRPr="00A91E83">
        <w:rPr>
          <w:rStyle w:val="Puslapioinaosnuoroda"/>
          <w:rFonts w:ascii="Times New Roman" w:hAnsi="Times New Roman" w:cs="Times New Roman"/>
          <w:sz w:val="24"/>
          <w:szCs w:val="24"/>
        </w:rPr>
        <w:footnoteReference w:id="202"/>
      </w:r>
    </w:p>
    <w:p w:rsidR="00662C4B" w:rsidRPr="00A91E83" w:rsidRDefault="00B93E50"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Specialus FUSĮ išskirimas užstato susitarimų su nuosavybės ir be nuosavybės perdavimo </w:t>
      </w:r>
      <w:r w:rsidR="005F3662" w:rsidRPr="00A91E83">
        <w:rPr>
          <w:rFonts w:ascii="Times New Roman" w:hAnsi="Times New Roman" w:cs="Times New Roman"/>
          <w:sz w:val="24"/>
          <w:szCs w:val="24"/>
        </w:rPr>
        <w:t xml:space="preserve">turėjo vieną spragą, </w:t>
      </w:r>
      <w:r w:rsidR="008C26F1" w:rsidRPr="00A91E83">
        <w:rPr>
          <w:rFonts w:ascii="Times New Roman" w:hAnsi="Times New Roman" w:cs="Times New Roman"/>
          <w:sz w:val="24"/>
          <w:szCs w:val="24"/>
        </w:rPr>
        <w:t>t. y.</w:t>
      </w:r>
      <w:r w:rsidR="005F3662" w:rsidRPr="00A91E83">
        <w:rPr>
          <w:rFonts w:ascii="Times New Roman" w:hAnsi="Times New Roman" w:cs="Times New Roman"/>
          <w:sz w:val="24"/>
          <w:szCs w:val="24"/>
        </w:rPr>
        <w:t xml:space="preserve"> neapėmė situacijų, kai perduodamos finansinio užstato valdymo ir naudojimo teisės užstato turėtojui. Šis trūkumas buvo identifikuotas Europos komisijos</w:t>
      </w:r>
      <w:r w:rsidR="00C13118" w:rsidRPr="00A91E83">
        <w:rPr>
          <w:rStyle w:val="Puslapioinaosnuoroda"/>
          <w:rFonts w:ascii="Times New Roman" w:hAnsi="Times New Roman" w:cs="Times New Roman"/>
          <w:sz w:val="24"/>
          <w:szCs w:val="24"/>
        </w:rPr>
        <w:footnoteReference w:id="203"/>
      </w:r>
      <w:r w:rsidR="005F3662" w:rsidRPr="00A91E83">
        <w:rPr>
          <w:rFonts w:ascii="Times New Roman" w:hAnsi="Times New Roman" w:cs="Times New Roman"/>
          <w:sz w:val="24"/>
          <w:szCs w:val="24"/>
        </w:rPr>
        <w:t xml:space="preserve"> ir priėmus </w:t>
      </w:r>
      <w:r w:rsidR="00F2262D" w:rsidRPr="00A91E83">
        <w:rPr>
          <w:rFonts w:ascii="Times New Roman" w:hAnsi="Times New Roman" w:cs="Times New Roman"/>
          <w:sz w:val="24"/>
          <w:szCs w:val="24"/>
        </w:rPr>
        <w:t>Įkaito direktyvos</w:t>
      </w:r>
      <w:r w:rsidR="00C13118" w:rsidRPr="00A91E83">
        <w:rPr>
          <w:rFonts w:ascii="Times New Roman" w:hAnsi="Times New Roman" w:cs="Times New Roman"/>
          <w:sz w:val="24"/>
          <w:szCs w:val="24"/>
        </w:rPr>
        <w:t xml:space="preserve"> pakeitimus ištaisytas.</w:t>
      </w:r>
      <w:r w:rsidR="00C13118" w:rsidRPr="00A91E83">
        <w:rPr>
          <w:rStyle w:val="Puslapioinaosnuoroda"/>
          <w:rFonts w:ascii="Times New Roman" w:hAnsi="Times New Roman" w:cs="Times New Roman"/>
          <w:sz w:val="24"/>
          <w:szCs w:val="24"/>
        </w:rPr>
        <w:footnoteReference w:id="204"/>
      </w:r>
      <w:r w:rsidR="00021352" w:rsidRPr="00A91E83">
        <w:rPr>
          <w:rFonts w:ascii="Times New Roman" w:hAnsi="Times New Roman" w:cs="Times New Roman"/>
          <w:sz w:val="24"/>
          <w:szCs w:val="24"/>
        </w:rPr>
        <w:t xml:space="preserve"> Atitinkamai FUSĮ </w:t>
      </w:r>
      <w:r w:rsidR="003D3584" w:rsidRPr="00A91E83">
        <w:rPr>
          <w:rFonts w:ascii="Times New Roman" w:hAnsi="Times New Roman" w:cs="Times New Roman"/>
          <w:sz w:val="24"/>
          <w:szCs w:val="24"/>
        </w:rPr>
        <w:t xml:space="preserve">irgi </w:t>
      </w:r>
      <w:r w:rsidR="00021352" w:rsidRPr="00A91E83">
        <w:rPr>
          <w:rFonts w:ascii="Times New Roman" w:hAnsi="Times New Roman" w:cs="Times New Roman"/>
          <w:sz w:val="24"/>
          <w:szCs w:val="24"/>
        </w:rPr>
        <w:t>turės būti ištaisytas atsižvelgiant į minėtus pakeitimus.</w:t>
      </w:r>
      <w:r w:rsidR="00021352" w:rsidRPr="00A91E83">
        <w:rPr>
          <w:rStyle w:val="Puslapioinaosnuoroda"/>
          <w:rFonts w:ascii="Times New Roman" w:hAnsi="Times New Roman" w:cs="Times New Roman"/>
          <w:sz w:val="24"/>
          <w:szCs w:val="24"/>
        </w:rPr>
        <w:footnoteReference w:id="205"/>
      </w:r>
    </w:p>
    <w:p w:rsidR="000A474F" w:rsidRPr="00A91E83" w:rsidRDefault="005D6E19"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LAT viename savo sprendimų atsisakė taikyti FUSĮ šalių santykiams vien dėl to, kad šalys aiškiai neišreiškė valios taikyti būtent FUSĮ</w:t>
      </w:r>
      <w:r w:rsidR="003B42F7" w:rsidRPr="00A91E83">
        <w:rPr>
          <w:rFonts w:ascii="Times New Roman" w:hAnsi="Times New Roman" w:cs="Times New Roman"/>
          <w:sz w:val="24"/>
          <w:szCs w:val="24"/>
        </w:rPr>
        <w:t xml:space="preserve"> finansinio užstato susitarime.</w:t>
      </w:r>
      <w:r w:rsidR="00126A13" w:rsidRPr="00A91E83">
        <w:rPr>
          <w:rStyle w:val="Puslapioinaosnuoroda"/>
          <w:rFonts w:ascii="Times New Roman" w:hAnsi="Times New Roman" w:cs="Times New Roman"/>
          <w:sz w:val="24"/>
          <w:szCs w:val="24"/>
        </w:rPr>
        <w:footnoteReference w:id="206"/>
      </w:r>
      <w:r w:rsidRPr="00A91E83">
        <w:rPr>
          <w:rFonts w:ascii="Times New Roman" w:hAnsi="Times New Roman" w:cs="Times New Roman"/>
          <w:sz w:val="24"/>
          <w:szCs w:val="24"/>
        </w:rPr>
        <w:t xml:space="preserve"> Todėl atsižvelgiant į minėtą sprendimą</w:t>
      </w:r>
      <w:r w:rsidR="00C828EB" w:rsidRPr="00A91E83">
        <w:rPr>
          <w:rFonts w:ascii="Times New Roman" w:hAnsi="Times New Roman" w:cs="Times New Roman"/>
          <w:sz w:val="24"/>
          <w:szCs w:val="24"/>
        </w:rPr>
        <w:t>,</w:t>
      </w:r>
      <w:r w:rsidRPr="00A91E83">
        <w:rPr>
          <w:rFonts w:ascii="Times New Roman" w:hAnsi="Times New Roman" w:cs="Times New Roman"/>
          <w:sz w:val="24"/>
          <w:szCs w:val="24"/>
        </w:rPr>
        <w:t xml:space="preserve"> patariama šalims finansiniame susitarime pabrėžti, jog šalys </w:t>
      </w:r>
      <w:r w:rsidR="00275009" w:rsidRPr="00A91E83">
        <w:rPr>
          <w:rFonts w:ascii="Times New Roman" w:hAnsi="Times New Roman" w:cs="Times New Roman"/>
          <w:sz w:val="24"/>
          <w:szCs w:val="24"/>
        </w:rPr>
        <w:t xml:space="preserve">aiškiai ir nedviprasmiškai </w:t>
      </w:r>
      <w:r w:rsidRPr="00A91E83">
        <w:rPr>
          <w:rFonts w:ascii="Times New Roman" w:hAnsi="Times New Roman" w:cs="Times New Roman"/>
          <w:sz w:val="24"/>
          <w:szCs w:val="24"/>
        </w:rPr>
        <w:t>sus</w:t>
      </w:r>
      <w:r w:rsidR="00275009" w:rsidRPr="00A91E83">
        <w:rPr>
          <w:rFonts w:ascii="Times New Roman" w:hAnsi="Times New Roman" w:cs="Times New Roman"/>
          <w:sz w:val="24"/>
          <w:szCs w:val="24"/>
        </w:rPr>
        <w:t xml:space="preserve">itaria dėl FUSĮ režimo taikymo. Priešingu atveju, </w:t>
      </w:r>
      <w:r w:rsidR="00EF125D" w:rsidRPr="00A91E83">
        <w:rPr>
          <w:rFonts w:ascii="Times New Roman" w:hAnsi="Times New Roman" w:cs="Times New Roman"/>
          <w:sz w:val="24"/>
          <w:szCs w:val="24"/>
        </w:rPr>
        <w:t>toks susitarimas galėtų būti pripažintas eiline įkeitimo sutartimi. Dar didesnių keblumų tarp šalių iškiltų, jeigu teismas atsisakytų taikyti FUSĮ režimą ir pripažintų finansinio užstato susitarimą paprasta įkeitimo sutartimi, kuri</w:t>
      </w:r>
      <w:r w:rsidR="00C828EB" w:rsidRPr="00A91E83">
        <w:rPr>
          <w:rFonts w:ascii="Times New Roman" w:hAnsi="Times New Roman" w:cs="Times New Roman"/>
          <w:sz w:val="24"/>
          <w:szCs w:val="24"/>
        </w:rPr>
        <w:t xml:space="preserve"> </w:t>
      </w:r>
      <w:r w:rsidR="00D27490" w:rsidRPr="00A91E83">
        <w:rPr>
          <w:rFonts w:ascii="Times New Roman" w:hAnsi="Times New Roman" w:cs="Times New Roman"/>
          <w:sz w:val="24"/>
          <w:szCs w:val="24"/>
        </w:rPr>
        <w:t>neatitinka įstatymo reikalavimų</w:t>
      </w:r>
      <w:r w:rsidR="00C828EB" w:rsidRPr="00A91E83">
        <w:rPr>
          <w:rFonts w:ascii="Times New Roman" w:hAnsi="Times New Roman" w:cs="Times New Roman"/>
          <w:sz w:val="24"/>
          <w:szCs w:val="24"/>
        </w:rPr>
        <w:t>,</w:t>
      </w:r>
      <w:r w:rsidR="00EF125D" w:rsidRPr="00A91E83">
        <w:rPr>
          <w:rFonts w:ascii="Times New Roman" w:hAnsi="Times New Roman" w:cs="Times New Roman"/>
          <w:sz w:val="24"/>
          <w:szCs w:val="24"/>
        </w:rPr>
        <w:t xml:space="preserve"> </w:t>
      </w:r>
      <w:proofErr w:type="spellStart"/>
      <w:r w:rsidR="00C828EB" w:rsidRPr="00A91E83">
        <w:rPr>
          <w:rFonts w:ascii="Times New Roman" w:hAnsi="Times New Roman" w:cs="Times New Roman"/>
          <w:sz w:val="24"/>
          <w:szCs w:val="24"/>
        </w:rPr>
        <w:t>pvz</w:t>
      </w:r>
      <w:proofErr w:type="spellEnd"/>
      <w:r w:rsidR="00C828EB" w:rsidRPr="00A91E83">
        <w:rPr>
          <w:rFonts w:ascii="Times New Roman" w:hAnsi="Times New Roman" w:cs="Times New Roman"/>
          <w:sz w:val="24"/>
          <w:szCs w:val="24"/>
        </w:rPr>
        <w:t xml:space="preserve">.: </w:t>
      </w:r>
      <w:r w:rsidR="00EF125D" w:rsidRPr="00A91E83">
        <w:rPr>
          <w:rFonts w:ascii="Times New Roman" w:hAnsi="Times New Roman" w:cs="Times New Roman"/>
          <w:sz w:val="24"/>
          <w:szCs w:val="24"/>
        </w:rPr>
        <w:t>nebūtų tinkamai įregistruota hipotekos registre</w:t>
      </w:r>
      <w:r w:rsidR="00D51FC1" w:rsidRPr="00A91E83">
        <w:rPr>
          <w:rFonts w:ascii="Times New Roman" w:hAnsi="Times New Roman" w:cs="Times New Roman"/>
          <w:sz w:val="24"/>
          <w:szCs w:val="24"/>
        </w:rPr>
        <w:t xml:space="preserve"> (kai įkeistas turtas paliekamas įkaito davėjui atveju)</w:t>
      </w:r>
      <w:r w:rsidR="000144E1" w:rsidRPr="00A91E83">
        <w:rPr>
          <w:rFonts w:ascii="Times New Roman" w:hAnsi="Times New Roman" w:cs="Times New Roman"/>
          <w:sz w:val="24"/>
          <w:szCs w:val="24"/>
        </w:rPr>
        <w:t>,</w:t>
      </w:r>
      <w:r w:rsidR="003D3723" w:rsidRPr="00A91E83">
        <w:rPr>
          <w:rStyle w:val="Puslapioinaosnuoroda"/>
          <w:rFonts w:ascii="Times New Roman" w:hAnsi="Times New Roman" w:cs="Times New Roman"/>
          <w:sz w:val="24"/>
          <w:szCs w:val="24"/>
        </w:rPr>
        <w:footnoteReference w:id="207"/>
      </w:r>
      <w:r w:rsidR="000144E1" w:rsidRPr="00A91E83">
        <w:rPr>
          <w:rFonts w:ascii="Times New Roman" w:hAnsi="Times New Roman" w:cs="Times New Roman"/>
          <w:sz w:val="24"/>
          <w:szCs w:val="24"/>
        </w:rPr>
        <w:t xml:space="preserve"> arba jeigu pripažinta negaliojančia, nes pagal Lietuvos teisę piniginės lėšos negali būti įkeitimo objektu</w:t>
      </w:r>
      <w:r w:rsidR="003E7FCD" w:rsidRPr="00A91E83">
        <w:rPr>
          <w:rFonts w:ascii="Times New Roman" w:hAnsi="Times New Roman" w:cs="Times New Roman"/>
          <w:sz w:val="24"/>
          <w:szCs w:val="24"/>
        </w:rPr>
        <w:t>. T</w:t>
      </w:r>
      <w:r w:rsidR="00EF125D" w:rsidRPr="00A91E83">
        <w:rPr>
          <w:rFonts w:ascii="Times New Roman" w:hAnsi="Times New Roman" w:cs="Times New Roman"/>
          <w:sz w:val="24"/>
          <w:szCs w:val="24"/>
        </w:rPr>
        <w:t xml:space="preserve">aigi </w:t>
      </w:r>
      <w:r w:rsidR="000A474F" w:rsidRPr="00A91E83">
        <w:rPr>
          <w:rFonts w:ascii="Times New Roman" w:hAnsi="Times New Roman" w:cs="Times New Roman"/>
          <w:sz w:val="24"/>
          <w:szCs w:val="24"/>
        </w:rPr>
        <w:t xml:space="preserve">kreditorius susiduria su rizika, kad bankroto atveju jis ne tik negalės pasinaudoti privilegijuota finansinio užstato turėtojo padėtimi, bet apskritai gali būti pripažintas jokios prievolių įvykdymo </w:t>
      </w:r>
      <w:r w:rsidR="000A474F" w:rsidRPr="00A91E83">
        <w:rPr>
          <w:rFonts w:ascii="Times New Roman" w:hAnsi="Times New Roman" w:cs="Times New Roman"/>
          <w:sz w:val="24"/>
          <w:szCs w:val="24"/>
        </w:rPr>
        <w:lastRenderedPageBreak/>
        <w:t>užtikrinimo teisės neturinčiu kreditoriumi</w:t>
      </w:r>
      <w:r w:rsidR="00B254A0" w:rsidRPr="00A91E83">
        <w:rPr>
          <w:rFonts w:ascii="Times New Roman" w:hAnsi="Times New Roman" w:cs="Times New Roman"/>
          <w:sz w:val="24"/>
          <w:szCs w:val="24"/>
        </w:rPr>
        <w:t>,</w:t>
      </w:r>
      <w:r w:rsidR="008F2DA2" w:rsidRPr="00A91E83">
        <w:rPr>
          <w:rStyle w:val="Puslapioinaosnuoroda"/>
          <w:rFonts w:ascii="Times New Roman" w:hAnsi="Times New Roman" w:cs="Times New Roman"/>
          <w:sz w:val="24"/>
          <w:szCs w:val="24"/>
        </w:rPr>
        <w:footnoteReference w:id="208"/>
      </w:r>
      <w:r w:rsidR="000A474F" w:rsidRPr="00A91E83">
        <w:rPr>
          <w:rFonts w:ascii="Times New Roman" w:hAnsi="Times New Roman" w:cs="Times New Roman"/>
          <w:sz w:val="24"/>
          <w:szCs w:val="24"/>
        </w:rPr>
        <w:t xml:space="preserve"> o tokio</w:t>
      </w:r>
      <w:r w:rsidR="00B254A0" w:rsidRPr="00A91E83">
        <w:rPr>
          <w:rFonts w:ascii="Times New Roman" w:hAnsi="Times New Roman" w:cs="Times New Roman"/>
          <w:sz w:val="24"/>
          <w:szCs w:val="24"/>
        </w:rPr>
        <w:t xml:space="preserve"> ketinimo tikrai neturėjo šalys sudarydamos finansinio užtikrinimo susitarimą.</w:t>
      </w:r>
    </w:p>
    <w:p w:rsidR="000A474F" w:rsidRPr="00A91E83" w:rsidRDefault="000A474F" w:rsidP="00B46A53">
      <w:pPr>
        <w:tabs>
          <w:tab w:val="left" w:pos="851"/>
        </w:tabs>
        <w:spacing w:after="0" w:line="360" w:lineRule="auto"/>
        <w:ind w:firstLine="851"/>
        <w:jc w:val="both"/>
        <w:rPr>
          <w:rFonts w:ascii="Times New Roman" w:hAnsi="Times New Roman" w:cs="Times New Roman"/>
          <w:sz w:val="24"/>
          <w:szCs w:val="24"/>
        </w:rPr>
      </w:pPr>
    </w:p>
    <w:p w:rsidR="00110EF0" w:rsidRPr="00A91E83" w:rsidRDefault="00B93E50" w:rsidP="00256B0B">
      <w:pPr>
        <w:pStyle w:val="Sraopastraipa"/>
        <w:numPr>
          <w:ilvl w:val="2"/>
          <w:numId w:val="4"/>
        </w:numPr>
        <w:tabs>
          <w:tab w:val="left" w:pos="851"/>
        </w:tabs>
        <w:spacing w:after="0" w:line="360" w:lineRule="auto"/>
        <w:ind w:left="0" w:firstLine="0"/>
        <w:jc w:val="both"/>
        <w:outlineLvl w:val="2"/>
        <w:rPr>
          <w:rFonts w:ascii="Times New Roman" w:hAnsi="Times New Roman" w:cs="Times New Roman"/>
          <w:b/>
          <w:sz w:val="24"/>
          <w:szCs w:val="24"/>
        </w:rPr>
      </w:pPr>
      <w:bookmarkStart w:id="33" w:name="_Toc280546466"/>
      <w:r w:rsidRPr="00A91E83">
        <w:rPr>
          <w:rFonts w:ascii="Times New Roman" w:hAnsi="Times New Roman" w:cs="Times New Roman"/>
          <w:b/>
          <w:sz w:val="24"/>
          <w:szCs w:val="24"/>
        </w:rPr>
        <w:t>Turtas, kuris gali būti laikomas finansiniu užstatu</w:t>
      </w:r>
      <w:bookmarkEnd w:id="33"/>
    </w:p>
    <w:p w:rsidR="00110EF0" w:rsidRPr="00A91E83" w:rsidRDefault="00110EF0" w:rsidP="00B46A53">
      <w:pPr>
        <w:tabs>
          <w:tab w:val="left" w:pos="851"/>
        </w:tabs>
        <w:spacing w:after="0" w:line="360" w:lineRule="auto"/>
        <w:ind w:firstLine="851"/>
        <w:jc w:val="both"/>
        <w:rPr>
          <w:rFonts w:ascii="Times New Roman" w:hAnsi="Times New Roman" w:cs="Times New Roman"/>
          <w:sz w:val="24"/>
          <w:szCs w:val="24"/>
        </w:rPr>
      </w:pPr>
    </w:p>
    <w:p w:rsidR="00B93E50" w:rsidRPr="00A91E83" w:rsidRDefault="00441838"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Finansinis užstatas – pinigai ir finansinės priemonės, pagal finansinio užtikrinimo susitarimą</w:t>
      </w:r>
      <w:r w:rsidR="00FE6368" w:rsidRPr="00A91E83">
        <w:rPr>
          <w:rFonts w:ascii="Times New Roman" w:hAnsi="Times New Roman" w:cs="Times New Roman"/>
          <w:sz w:val="24"/>
          <w:szCs w:val="24"/>
        </w:rPr>
        <w:t>,</w:t>
      </w:r>
      <w:r w:rsidRPr="00A91E83">
        <w:rPr>
          <w:rFonts w:ascii="Times New Roman" w:hAnsi="Times New Roman" w:cs="Times New Roman"/>
          <w:sz w:val="24"/>
          <w:szCs w:val="24"/>
        </w:rPr>
        <w:t xml:space="preserve"> užtikrinančios atitinkamų finansinių įsipareigojimų įvykdymą.</w:t>
      </w:r>
      <w:r w:rsidRPr="00A91E83">
        <w:rPr>
          <w:rStyle w:val="Puslapioinaosnuoroda"/>
          <w:rFonts w:ascii="Times New Roman" w:hAnsi="Times New Roman" w:cs="Times New Roman"/>
          <w:sz w:val="24"/>
          <w:szCs w:val="24"/>
        </w:rPr>
        <w:footnoteReference w:id="209"/>
      </w:r>
      <w:r w:rsidRPr="00A91E83">
        <w:rPr>
          <w:rFonts w:ascii="Times New Roman" w:hAnsi="Times New Roman" w:cs="Times New Roman"/>
          <w:sz w:val="24"/>
          <w:szCs w:val="24"/>
        </w:rPr>
        <w:t xml:space="preserve"> Pinigų</w:t>
      </w:r>
      <w:r w:rsidR="00335D54" w:rsidRPr="00A91E83">
        <w:rPr>
          <w:rStyle w:val="Puslapioinaosnuoroda"/>
          <w:rFonts w:ascii="Times New Roman" w:hAnsi="Times New Roman" w:cs="Times New Roman"/>
          <w:sz w:val="24"/>
          <w:szCs w:val="24"/>
        </w:rPr>
        <w:footnoteReference w:id="210"/>
      </w:r>
      <w:r w:rsidRPr="00A91E83">
        <w:rPr>
          <w:rFonts w:ascii="Times New Roman" w:hAnsi="Times New Roman" w:cs="Times New Roman"/>
          <w:sz w:val="24"/>
          <w:szCs w:val="24"/>
        </w:rPr>
        <w:t xml:space="preserve"> ir finansinių priemonių</w:t>
      </w:r>
      <w:r w:rsidR="00335D54" w:rsidRPr="00A91E83">
        <w:rPr>
          <w:rStyle w:val="Puslapioinaosnuoroda"/>
          <w:rFonts w:ascii="Times New Roman" w:hAnsi="Times New Roman" w:cs="Times New Roman"/>
          <w:sz w:val="24"/>
          <w:szCs w:val="24"/>
        </w:rPr>
        <w:footnoteReference w:id="211"/>
      </w:r>
      <w:r w:rsidRPr="00A91E83">
        <w:rPr>
          <w:rFonts w:ascii="Times New Roman" w:hAnsi="Times New Roman" w:cs="Times New Roman"/>
          <w:sz w:val="24"/>
          <w:szCs w:val="24"/>
        </w:rPr>
        <w:t xml:space="preserve"> sąvokos suprantamos specifiškai ir jų apibrėžimai pateikti FUSĮ.</w:t>
      </w:r>
      <w:r w:rsidR="003F1404" w:rsidRPr="00A91E83">
        <w:rPr>
          <w:rFonts w:ascii="Times New Roman" w:hAnsi="Times New Roman" w:cs="Times New Roman"/>
          <w:sz w:val="24"/>
          <w:szCs w:val="24"/>
        </w:rPr>
        <w:t xml:space="preserve"> Doktrinoje galima sutikti nuomonių, kad „pagal įstatyminę finansinių priemonių definiciją finansiniu užstatu gali būti tik tokie vertybiniai popieriai, kuriais galima prekiauti vertybinių popierių rinkose.“</w:t>
      </w:r>
      <w:r w:rsidR="003F1404" w:rsidRPr="00A91E83">
        <w:rPr>
          <w:rStyle w:val="Puslapioinaosnuoroda"/>
          <w:rFonts w:ascii="Times New Roman" w:hAnsi="Times New Roman" w:cs="Times New Roman"/>
          <w:sz w:val="24"/>
          <w:szCs w:val="24"/>
        </w:rPr>
        <w:footnoteReference w:id="212"/>
      </w:r>
      <w:r w:rsidR="007F61AA" w:rsidRPr="00A91E83">
        <w:rPr>
          <w:rFonts w:ascii="Times New Roman" w:hAnsi="Times New Roman" w:cs="Times New Roman"/>
          <w:sz w:val="24"/>
          <w:szCs w:val="24"/>
        </w:rPr>
        <w:t xml:space="preserve"> Detaliau panagrinėjus finansinių priemonių sąvoką</w:t>
      </w:r>
      <w:r w:rsidR="00CF0E77" w:rsidRPr="00A91E83">
        <w:rPr>
          <w:rFonts w:ascii="Times New Roman" w:hAnsi="Times New Roman" w:cs="Times New Roman"/>
          <w:sz w:val="24"/>
          <w:szCs w:val="24"/>
        </w:rPr>
        <w:t>,</w:t>
      </w:r>
      <w:r w:rsidR="007F61AA" w:rsidRPr="00A91E83">
        <w:rPr>
          <w:rFonts w:ascii="Times New Roman" w:hAnsi="Times New Roman" w:cs="Times New Roman"/>
          <w:sz w:val="24"/>
          <w:szCs w:val="24"/>
        </w:rPr>
        <w:t xml:space="preserve"> pateiktą FUSĮ, mūsų manymu</w:t>
      </w:r>
      <w:r w:rsidR="009045DD" w:rsidRPr="00A91E83">
        <w:rPr>
          <w:rFonts w:ascii="Times New Roman" w:hAnsi="Times New Roman" w:cs="Times New Roman"/>
          <w:sz w:val="24"/>
          <w:szCs w:val="24"/>
        </w:rPr>
        <w:t>,</w:t>
      </w:r>
      <w:r w:rsidR="007F61AA" w:rsidRPr="00A91E83">
        <w:rPr>
          <w:rFonts w:ascii="Times New Roman" w:hAnsi="Times New Roman" w:cs="Times New Roman"/>
          <w:sz w:val="24"/>
          <w:szCs w:val="24"/>
        </w:rPr>
        <w:t xml:space="preserve"> negalima </w:t>
      </w:r>
      <w:r w:rsidR="00B46A53" w:rsidRPr="00A91E83">
        <w:rPr>
          <w:rFonts w:ascii="Times New Roman" w:hAnsi="Times New Roman" w:cs="Times New Roman"/>
          <w:sz w:val="24"/>
          <w:szCs w:val="24"/>
        </w:rPr>
        <w:t xml:space="preserve">visiškai </w:t>
      </w:r>
      <w:r w:rsidR="007F61AA" w:rsidRPr="00A91E83">
        <w:rPr>
          <w:rFonts w:ascii="Times New Roman" w:hAnsi="Times New Roman" w:cs="Times New Roman"/>
          <w:sz w:val="24"/>
          <w:szCs w:val="24"/>
        </w:rPr>
        <w:t>sutikti su tokia pozicij</w:t>
      </w:r>
      <w:r w:rsidR="00A137BB" w:rsidRPr="00A91E83">
        <w:rPr>
          <w:rFonts w:ascii="Times New Roman" w:hAnsi="Times New Roman" w:cs="Times New Roman"/>
          <w:sz w:val="24"/>
          <w:szCs w:val="24"/>
        </w:rPr>
        <w:t xml:space="preserve">a, nes </w:t>
      </w:r>
      <w:r w:rsidR="00E03F20" w:rsidRPr="00A91E83">
        <w:rPr>
          <w:rFonts w:ascii="Times New Roman" w:hAnsi="Times New Roman" w:cs="Times New Roman"/>
          <w:sz w:val="24"/>
          <w:szCs w:val="24"/>
        </w:rPr>
        <w:t>sandoriai dėl išvestinių finansinių priemonių</w:t>
      </w:r>
      <w:r w:rsidR="009572C4" w:rsidRPr="00A91E83">
        <w:rPr>
          <w:rFonts w:ascii="Times New Roman" w:hAnsi="Times New Roman" w:cs="Times New Roman"/>
          <w:sz w:val="24"/>
          <w:szCs w:val="24"/>
        </w:rPr>
        <w:t xml:space="preserve"> sudaryti už biržos ribų</w:t>
      </w:r>
      <w:r w:rsidR="00E03F20" w:rsidRPr="00A91E83">
        <w:rPr>
          <w:rFonts w:ascii="Times New Roman" w:hAnsi="Times New Roman" w:cs="Times New Roman"/>
          <w:sz w:val="24"/>
          <w:szCs w:val="24"/>
        </w:rPr>
        <w:t xml:space="preserve"> </w:t>
      </w:r>
      <w:r w:rsidR="00FA799D" w:rsidRPr="00A91E83">
        <w:rPr>
          <w:rFonts w:ascii="Times New Roman" w:hAnsi="Times New Roman" w:cs="Times New Roman"/>
          <w:sz w:val="24"/>
          <w:szCs w:val="24"/>
        </w:rPr>
        <w:t>nėra laikomi vertybiniais popieriais, tačiau p</w:t>
      </w:r>
      <w:r w:rsidR="009572C4" w:rsidRPr="00A91E83">
        <w:rPr>
          <w:rFonts w:ascii="Times New Roman" w:hAnsi="Times New Roman" w:cs="Times New Roman"/>
          <w:sz w:val="24"/>
          <w:szCs w:val="24"/>
        </w:rPr>
        <w:t>atenka po FUSĮ finansinių priemo</w:t>
      </w:r>
      <w:r w:rsidR="00FA799D" w:rsidRPr="00A91E83">
        <w:rPr>
          <w:rFonts w:ascii="Times New Roman" w:hAnsi="Times New Roman" w:cs="Times New Roman"/>
          <w:sz w:val="24"/>
          <w:szCs w:val="24"/>
        </w:rPr>
        <w:t>nių apibrėžimu.</w:t>
      </w:r>
    </w:p>
    <w:p w:rsidR="000F68A0" w:rsidRPr="00A91E83" w:rsidRDefault="000F68A0" w:rsidP="00A137BB">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FUSĮ pateikiamas apibrėžimas, jog finansinės priemonės – akcinių bendrovių akcijos ir kiti tokioms akcijoms prilyginami vertybiniai popieriai, skolos vertybiniai popieriai, kuriais galima prekiauti vertybinių popierių rinkose, taip pat kiti vertybiniai popieriai, suteikiantys teisę įsigyti </w:t>
      </w:r>
      <w:r w:rsidRPr="007159CA">
        <w:rPr>
          <w:rFonts w:ascii="Times New Roman" w:hAnsi="Times New Roman" w:cs="Times New Roman"/>
          <w:sz w:val="24"/>
          <w:szCs w:val="24"/>
        </w:rPr>
        <w:t>tokių akcijų skolos ar kitokių vertybinių popierių pasirašymo, pirkimo ar keitimo būdu arba suteikiantys teisę gauti pinigus (išskyrus mokėjimo priemones), tarp</w:t>
      </w:r>
      <w:r w:rsidRPr="00A91E83">
        <w:rPr>
          <w:rFonts w:ascii="Times New Roman" w:hAnsi="Times New Roman" w:cs="Times New Roman"/>
          <w:sz w:val="24"/>
          <w:szCs w:val="24"/>
        </w:rPr>
        <w:t xml:space="preserve"> jų kolektyvinio investavimo subjektų investicinius vienetus, pinigų rinkos priemones b</w:t>
      </w:r>
      <w:r w:rsidRPr="00200B9E">
        <w:rPr>
          <w:rFonts w:ascii="Times New Roman" w:hAnsi="Times New Roman" w:cs="Times New Roman"/>
          <w:sz w:val="24"/>
          <w:szCs w:val="24"/>
        </w:rPr>
        <w:t>ei reikalavimus ir teises į bet kurią iš šių paminėtų priemonių. Gra</w:t>
      </w:r>
      <w:r w:rsidRPr="00A91E83">
        <w:rPr>
          <w:rFonts w:ascii="Times New Roman" w:hAnsi="Times New Roman" w:cs="Times New Roman"/>
          <w:sz w:val="24"/>
          <w:szCs w:val="24"/>
        </w:rPr>
        <w:t xml:space="preserve">matiškai nagrinėjant pateiktą sąvoką, išskiriama, </w:t>
      </w:r>
      <w:r w:rsidR="00A137BB" w:rsidRPr="00A91E83">
        <w:rPr>
          <w:rFonts w:ascii="Times New Roman" w:hAnsi="Times New Roman" w:cs="Times New Roman"/>
          <w:sz w:val="24"/>
          <w:szCs w:val="24"/>
        </w:rPr>
        <w:t xml:space="preserve">jog </w:t>
      </w:r>
      <w:r w:rsidR="00B9621A" w:rsidRPr="00A91E83">
        <w:rPr>
          <w:rFonts w:ascii="Times New Roman" w:hAnsi="Times New Roman" w:cs="Times New Roman"/>
          <w:sz w:val="24"/>
          <w:szCs w:val="24"/>
        </w:rPr>
        <w:t xml:space="preserve">sąvoka pabaigiama žodžiais </w:t>
      </w:r>
      <w:r w:rsidR="00B9621A" w:rsidRPr="00FD1F28">
        <w:rPr>
          <w:rFonts w:ascii="Times New Roman" w:hAnsi="Times New Roman" w:cs="Times New Roman"/>
          <w:i/>
          <w:sz w:val="24"/>
          <w:szCs w:val="24"/>
        </w:rPr>
        <w:t>„</w:t>
      </w:r>
      <w:r w:rsidR="00FD1F28" w:rsidRPr="00FD1F28">
        <w:rPr>
          <w:rFonts w:ascii="Times New Roman" w:hAnsi="Times New Roman" w:cs="Times New Roman"/>
          <w:i/>
          <w:sz w:val="24"/>
          <w:szCs w:val="24"/>
        </w:rPr>
        <w:t>reikalavimus ir teise</w:t>
      </w:r>
      <w:r w:rsidR="00861914" w:rsidRPr="00FD1F28">
        <w:rPr>
          <w:rFonts w:ascii="Times New Roman" w:hAnsi="Times New Roman" w:cs="Times New Roman"/>
          <w:i/>
          <w:sz w:val="24"/>
          <w:szCs w:val="24"/>
        </w:rPr>
        <w:t>s į bet kurią iš šių paminėtų priemonių“</w:t>
      </w:r>
      <w:r w:rsidR="00861914" w:rsidRPr="00A91E83">
        <w:rPr>
          <w:rFonts w:ascii="Times New Roman" w:hAnsi="Times New Roman" w:cs="Times New Roman"/>
          <w:sz w:val="24"/>
          <w:szCs w:val="24"/>
        </w:rPr>
        <w:t>. Jeigu laikysime, kad išvestinės finansinės priemonės nepatenka į šį apibrėžimą, tai paskutinė sąvokos dalis taptų neturinti reikšmės.</w:t>
      </w:r>
      <w:r w:rsidR="00434B7B" w:rsidRPr="00A91E83">
        <w:rPr>
          <w:rFonts w:ascii="Times New Roman" w:hAnsi="Times New Roman" w:cs="Times New Roman"/>
          <w:sz w:val="24"/>
          <w:szCs w:val="24"/>
        </w:rPr>
        <w:t xml:space="preserve"> Todėl</w:t>
      </w:r>
      <w:r w:rsidR="00783A0B" w:rsidRPr="00A91E83">
        <w:rPr>
          <w:rFonts w:ascii="Times New Roman" w:hAnsi="Times New Roman" w:cs="Times New Roman"/>
          <w:sz w:val="24"/>
          <w:szCs w:val="24"/>
        </w:rPr>
        <w:t>,</w:t>
      </w:r>
      <w:r w:rsidR="00434B7B" w:rsidRPr="00A91E83">
        <w:rPr>
          <w:rFonts w:ascii="Times New Roman" w:hAnsi="Times New Roman" w:cs="Times New Roman"/>
          <w:sz w:val="24"/>
          <w:szCs w:val="24"/>
        </w:rPr>
        <w:t xml:space="preserve"> autoriaus nuomone</w:t>
      </w:r>
      <w:r w:rsidR="00783A0B" w:rsidRPr="00A91E83">
        <w:rPr>
          <w:rFonts w:ascii="Times New Roman" w:hAnsi="Times New Roman" w:cs="Times New Roman"/>
          <w:sz w:val="24"/>
          <w:szCs w:val="24"/>
        </w:rPr>
        <w:t>,</w:t>
      </w:r>
      <w:r w:rsidR="00434B7B" w:rsidRPr="00A91E83">
        <w:rPr>
          <w:rFonts w:ascii="Times New Roman" w:hAnsi="Times New Roman" w:cs="Times New Roman"/>
          <w:sz w:val="24"/>
          <w:szCs w:val="24"/>
        </w:rPr>
        <w:t xml:space="preserve"> sandoriai dėl išvestinių finansinių priemonių sudarytų už biržos ribų</w:t>
      </w:r>
      <w:r w:rsidR="00783A0B" w:rsidRPr="00A91E83">
        <w:rPr>
          <w:rFonts w:ascii="Times New Roman" w:hAnsi="Times New Roman" w:cs="Times New Roman"/>
          <w:sz w:val="24"/>
          <w:szCs w:val="24"/>
        </w:rPr>
        <w:t>, kurie nėra laikomi vertybiniais popieriais, o sutartimis,</w:t>
      </w:r>
      <w:r w:rsidR="00434B7B" w:rsidRPr="00A91E83">
        <w:rPr>
          <w:rFonts w:ascii="Times New Roman" w:hAnsi="Times New Roman" w:cs="Times New Roman"/>
          <w:sz w:val="24"/>
          <w:szCs w:val="24"/>
        </w:rPr>
        <w:t xml:space="preserve"> patenka į </w:t>
      </w:r>
      <w:r w:rsidR="00521EF1" w:rsidRPr="00A91E83">
        <w:rPr>
          <w:rFonts w:ascii="Times New Roman" w:hAnsi="Times New Roman" w:cs="Times New Roman"/>
          <w:sz w:val="24"/>
          <w:szCs w:val="24"/>
        </w:rPr>
        <w:t xml:space="preserve">finansinio užstato </w:t>
      </w:r>
      <w:r w:rsidR="00434B7B" w:rsidRPr="00A91E83">
        <w:rPr>
          <w:rFonts w:ascii="Times New Roman" w:hAnsi="Times New Roman" w:cs="Times New Roman"/>
          <w:sz w:val="24"/>
          <w:szCs w:val="24"/>
        </w:rPr>
        <w:t>sąvokos apibrėžimą.</w:t>
      </w:r>
      <w:r w:rsidR="00274C03" w:rsidRPr="00A91E83">
        <w:rPr>
          <w:rFonts w:ascii="Times New Roman" w:hAnsi="Times New Roman" w:cs="Times New Roman"/>
          <w:sz w:val="24"/>
          <w:szCs w:val="24"/>
        </w:rPr>
        <w:t xml:space="preserve"> Pažymėtina, kad kai kurios</w:t>
      </w:r>
      <w:r w:rsidR="009839B3" w:rsidRPr="00A91E83">
        <w:rPr>
          <w:rFonts w:ascii="Times New Roman" w:hAnsi="Times New Roman" w:cs="Times New Roman"/>
          <w:sz w:val="24"/>
          <w:szCs w:val="24"/>
        </w:rPr>
        <w:t xml:space="preserve"> valstybės aiškiai nurodžiusios, kad sandoriai dėl išvestinių finansinių priemonių patenka į finansinės priemonės sąvoką FUSĮ. Tarp jų paminėtinos Čekija, Suomija, Malta</w:t>
      </w:r>
      <w:r w:rsidR="00437194">
        <w:rPr>
          <w:rFonts w:ascii="Times New Roman" w:hAnsi="Times New Roman" w:cs="Times New Roman"/>
          <w:sz w:val="24"/>
          <w:szCs w:val="24"/>
        </w:rPr>
        <w:t>,</w:t>
      </w:r>
      <w:r w:rsidR="00437194" w:rsidRPr="00A91E83">
        <w:rPr>
          <w:rStyle w:val="Puslapioinaosnuoroda"/>
          <w:rFonts w:ascii="Times New Roman" w:hAnsi="Times New Roman" w:cs="Times New Roman"/>
          <w:sz w:val="24"/>
          <w:szCs w:val="24"/>
        </w:rPr>
        <w:footnoteReference w:id="213"/>
      </w:r>
      <w:r w:rsidR="00437194">
        <w:rPr>
          <w:rFonts w:ascii="Times New Roman" w:hAnsi="Times New Roman" w:cs="Times New Roman"/>
          <w:sz w:val="24"/>
          <w:szCs w:val="24"/>
        </w:rPr>
        <w:t xml:space="preserve"> Norvegija, Belgija</w:t>
      </w:r>
      <w:r w:rsidR="008C26F1" w:rsidRPr="00A91E83">
        <w:rPr>
          <w:rFonts w:ascii="Times New Roman" w:hAnsi="Times New Roman" w:cs="Times New Roman"/>
          <w:sz w:val="24"/>
          <w:szCs w:val="24"/>
        </w:rPr>
        <w:t>.</w:t>
      </w:r>
      <w:r w:rsidR="00437194">
        <w:rPr>
          <w:rStyle w:val="Puslapioinaosnuoroda"/>
          <w:rFonts w:ascii="Times New Roman" w:hAnsi="Times New Roman" w:cs="Times New Roman"/>
          <w:sz w:val="24"/>
          <w:szCs w:val="24"/>
        </w:rPr>
        <w:footnoteReference w:id="214"/>
      </w:r>
      <w:r w:rsidR="00CC3DA2" w:rsidRPr="00A91E83">
        <w:rPr>
          <w:rFonts w:ascii="Times New Roman" w:hAnsi="Times New Roman" w:cs="Times New Roman"/>
          <w:sz w:val="24"/>
          <w:szCs w:val="24"/>
        </w:rPr>
        <w:t xml:space="preserve"> </w:t>
      </w:r>
      <w:r w:rsidR="009203A5" w:rsidRPr="00A91E83">
        <w:rPr>
          <w:rFonts w:ascii="Times New Roman" w:hAnsi="Times New Roman" w:cs="Times New Roman"/>
          <w:sz w:val="24"/>
          <w:szCs w:val="24"/>
        </w:rPr>
        <w:t xml:space="preserve">Vis dėlto, </w:t>
      </w:r>
      <w:r w:rsidR="009203A5" w:rsidRPr="00A91E83">
        <w:rPr>
          <w:rFonts w:ascii="Times New Roman" w:hAnsi="Times New Roman" w:cs="Times New Roman"/>
          <w:sz w:val="24"/>
          <w:szCs w:val="24"/>
        </w:rPr>
        <w:lastRenderedPageBreak/>
        <w:t xml:space="preserve">minėta sąvoka apima tik sandorius dėl išvestinių finansinių priemonių, kurių bazinis turtas yra vertybiniai popieriai. </w:t>
      </w:r>
      <w:r w:rsidR="00CC3DA2" w:rsidRPr="00A91E83">
        <w:rPr>
          <w:rFonts w:ascii="Times New Roman" w:hAnsi="Times New Roman" w:cs="Times New Roman"/>
          <w:sz w:val="24"/>
          <w:szCs w:val="24"/>
        </w:rPr>
        <w:t xml:space="preserve">Kadangi išvestinės finansinės priemonės </w:t>
      </w:r>
      <w:r w:rsidR="009203A5" w:rsidRPr="00A91E83">
        <w:rPr>
          <w:rFonts w:ascii="Times New Roman" w:hAnsi="Times New Roman" w:cs="Times New Roman"/>
          <w:sz w:val="24"/>
          <w:szCs w:val="24"/>
        </w:rPr>
        <w:t>bazinis turtas</w:t>
      </w:r>
      <w:r w:rsidR="00CC3DA2" w:rsidRPr="00A91E83">
        <w:rPr>
          <w:rFonts w:ascii="Times New Roman" w:hAnsi="Times New Roman" w:cs="Times New Roman"/>
          <w:sz w:val="24"/>
          <w:szCs w:val="24"/>
        </w:rPr>
        <w:t xml:space="preserve"> gali būti ne tik vertybiniai popieriai, kuriais yra ar nėra prekiaujama biržose, siūl</w:t>
      </w:r>
      <w:r w:rsidR="00AF3E93" w:rsidRPr="00A91E83">
        <w:rPr>
          <w:rFonts w:ascii="Times New Roman" w:hAnsi="Times New Roman" w:cs="Times New Roman"/>
          <w:sz w:val="24"/>
          <w:szCs w:val="24"/>
        </w:rPr>
        <w:t xml:space="preserve">ytina išplėsti vartojamą sąvoką, kuri apimtų ir kitų rūšių objektus. Toks sąvokos patikslinimas būtų artimesnis finansų pasaulio praktikai ir artimesnis </w:t>
      </w:r>
      <w:r w:rsidR="00720964">
        <w:rPr>
          <w:rFonts w:ascii="Times New Roman" w:hAnsi="Times New Roman" w:cs="Times New Roman"/>
          <w:sz w:val="24"/>
          <w:szCs w:val="24"/>
        </w:rPr>
        <w:t>F</w:t>
      </w:r>
      <w:r w:rsidR="00AF3E93" w:rsidRPr="00A91E83">
        <w:rPr>
          <w:rFonts w:ascii="Times New Roman" w:hAnsi="Times New Roman" w:cs="Times New Roman"/>
          <w:sz w:val="24"/>
          <w:szCs w:val="24"/>
        </w:rPr>
        <w:t>inansinių priemonių rinkos įstatymo pateiktai</w:t>
      </w:r>
      <w:r w:rsidR="00720964">
        <w:rPr>
          <w:rFonts w:ascii="Times New Roman" w:hAnsi="Times New Roman" w:cs="Times New Roman"/>
          <w:sz w:val="24"/>
          <w:szCs w:val="24"/>
        </w:rPr>
        <w:t xml:space="preserve"> „finansinės priemonės“ sąvokai, nes būtent šis teisės aktas ir yra s</w:t>
      </w:r>
      <w:r w:rsidR="00FB6A80">
        <w:rPr>
          <w:rFonts w:ascii="Times New Roman" w:hAnsi="Times New Roman" w:cs="Times New Roman"/>
          <w:sz w:val="24"/>
          <w:szCs w:val="24"/>
        </w:rPr>
        <w:t>kirtas reglamentuoti finansinėm</w:t>
      </w:r>
      <w:r w:rsidR="00720964">
        <w:rPr>
          <w:rFonts w:ascii="Times New Roman" w:hAnsi="Times New Roman" w:cs="Times New Roman"/>
          <w:sz w:val="24"/>
          <w:szCs w:val="24"/>
        </w:rPr>
        <w:t>s priemo</w:t>
      </w:r>
      <w:r w:rsidR="00FB6A80">
        <w:rPr>
          <w:rFonts w:ascii="Times New Roman" w:hAnsi="Times New Roman" w:cs="Times New Roman"/>
          <w:sz w:val="24"/>
          <w:szCs w:val="24"/>
        </w:rPr>
        <w:t>nėm</w:t>
      </w:r>
      <w:r w:rsidR="00720964">
        <w:rPr>
          <w:rFonts w:ascii="Times New Roman" w:hAnsi="Times New Roman" w:cs="Times New Roman"/>
          <w:sz w:val="24"/>
          <w:szCs w:val="24"/>
        </w:rPr>
        <w:t>s.</w:t>
      </w:r>
      <w:r w:rsidR="00AF3E93" w:rsidRPr="00A91E83">
        <w:rPr>
          <w:rFonts w:ascii="Times New Roman" w:hAnsi="Times New Roman" w:cs="Times New Roman"/>
          <w:sz w:val="24"/>
          <w:szCs w:val="24"/>
        </w:rPr>
        <w:t xml:space="preserve"> Nėra jokio pagrįsto pagrindo</w:t>
      </w:r>
      <w:r w:rsidR="00FF560D" w:rsidRPr="00A91E83">
        <w:rPr>
          <w:rFonts w:ascii="Times New Roman" w:hAnsi="Times New Roman" w:cs="Times New Roman"/>
          <w:sz w:val="24"/>
          <w:szCs w:val="24"/>
        </w:rPr>
        <w:t xml:space="preserve"> diskriminuoti kitokio pobūdžio sandorius dėl išvestinių finansinių priemonių</w:t>
      </w:r>
      <w:r w:rsidR="00AF3E93" w:rsidRPr="00A91E83">
        <w:rPr>
          <w:rFonts w:ascii="Times New Roman" w:hAnsi="Times New Roman" w:cs="Times New Roman"/>
          <w:sz w:val="24"/>
          <w:szCs w:val="24"/>
        </w:rPr>
        <w:t>, ar iš kitos pusės pavojaus dėl piktnaudžiavimo p</w:t>
      </w:r>
      <w:r w:rsidR="00C279D0" w:rsidRPr="00A91E83">
        <w:rPr>
          <w:rFonts w:ascii="Times New Roman" w:hAnsi="Times New Roman" w:cs="Times New Roman"/>
          <w:sz w:val="24"/>
          <w:szCs w:val="24"/>
        </w:rPr>
        <w:t>raplėtus</w:t>
      </w:r>
      <w:r w:rsidR="00720964">
        <w:rPr>
          <w:rFonts w:ascii="Times New Roman" w:hAnsi="Times New Roman" w:cs="Times New Roman"/>
          <w:sz w:val="24"/>
          <w:szCs w:val="24"/>
        </w:rPr>
        <w:t xml:space="preserve"> šios sąvokos ribas, todėl pateiktas savarankiškas apibrėžimas, autoriaus nuomone, kritikuotinas ir keistinas.</w:t>
      </w:r>
    </w:p>
    <w:p w:rsidR="00C03063" w:rsidRPr="00A91E83" w:rsidRDefault="009203A5" w:rsidP="00F96AAF">
      <w:pPr>
        <w:tabs>
          <w:tab w:val="left" w:pos="851"/>
        </w:tabs>
        <w:autoSpaceDE w:val="0"/>
        <w:autoSpaceDN w:val="0"/>
        <w:adjustRightInd w:val="0"/>
        <w:spacing w:after="0" w:line="360" w:lineRule="auto"/>
        <w:ind w:firstLine="851"/>
        <w:jc w:val="both"/>
        <w:rPr>
          <w:rFonts w:ascii="Times New Roman" w:hAnsi="Times New Roman" w:cs="Times New Roman"/>
          <w:bCs/>
          <w:sz w:val="24"/>
          <w:szCs w:val="24"/>
        </w:rPr>
      </w:pPr>
      <w:r w:rsidRPr="00A91E83">
        <w:rPr>
          <w:rFonts w:ascii="Times New Roman" w:hAnsi="Times New Roman" w:cs="Times New Roman"/>
          <w:sz w:val="24"/>
          <w:szCs w:val="24"/>
        </w:rPr>
        <w:t xml:space="preserve">Paminėtina, jog </w:t>
      </w:r>
      <w:r w:rsidR="00C03063" w:rsidRPr="00A91E83">
        <w:rPr>
          <w:rFonts w:ascii="Times New Roman" w:hAnsi="Times New Roman" w:cs="Times New Roman"/>
          <w:sz w:val="24"/>
          <w:szCs w:val="24"/>
        </w:rPr>
        <w:t xml:space="preserve">Europos centrinio banko Valdančioji taryba nutarė nuo 2007 </w:t>
      </w:r>
      <w:proofErr w:type="spellStart"/>
      <w:r w:rsidR="00C03063" w:rsidRPr="00A91E83">
        <w:rPr>
          <w:rFonts w:ascii="Times New Roman" w:hAnsi="Times New Roman" w:cs="Times New Roman"/>
          <w:sz w:val="24"/>
          <w:szCs w:val="24"/>
        </w:rPr>
        <w:t>m</w:t>
      </w:r>
      <w:proofErr w:type="spellEnd"/>
      <w:r w:rsidR="00C03063" w:rsidRPr="00A91E83">
        <w:rPr>
          <w:rFonts w:ascii="Times New Roman" w:hAnsi="Times New Roman" w:cs="Times New Roman"/>
          <w:sz w:val="24"/>
          <w:szCs w:val="24"/>
        </w:rPr>
        <w:t xml:space="preserve">. sausio 1 </w:t>
      </w:r>
      <w:proofErr w:type="spellStart"/>
      <w:r w:rsidR="00C03063" w:rsidRPr="00A91E83">
        <w:rPr>
          <w:rFonts w:ascii="Times New Roman" w:hAnsi="Times New Roman" w:cs="Times New Roman"/>
          <w:sz w:val="24"/>
          <w:szCs w:val="24"/>
        </w:rPr>
        <w:t>d</w:t>
      </w:r>
      <w:proofErr w:type="spellEnd"/>
      <w:r w:rsidR="00C03063" w:rsidRPr="00A91E83">
        <w:rPr>
          <w:rFonts w:ascii="Times New Roman" w:hAnsi="Times New Roman" w:cs="Times New Roman"/>
          <w:sz w:val="24"/>
          <w:szCs w:val="24"/>
        </w:rPr>
        <w:t xml:space="preserve">. įtraukti kredito reikalavimus kaip tinkamą įkaito rūšį Eurosistemos kredito operacijose, ir Europos centrinis bankas, siekdamas kuo labiau padidinti jų ekonominį poveikį, rekomendavo išplėsti </w:t>
      </w:r>
      <w:r w:rsidR="00F2262D" w:rsidRPr="00A91E83">
        <w:rPr>
          <w:rFonts w:ascii="Times New Roman" w:hAnsi="Times New Roman" w:cs="Times New Roman"/>
          <w:sz w:val="24"/>
          <w:szCs w:val="24"/>
        </w:rPr>
        <w:t>Įkaito direktyvos</w:t>
      </w:r>
      <w:r w:rsidR="00C03063" w:rsidRPr="00A91E83">
        <w:rPr>
          <w:rFonts w:ascii="Times New Roman" w:hAnsi="Times New Roman" w:cs="Times New Roman"/>
          <w:sz w:val="24"/>
          <w:szCs w:val="24"/>
        </w:rPr>
        <w:t xml:space="preserve"> taikymo sritį. Dėl to, kad šiuo metu kredito reikalavimų negalima naudoti kaip įkaitų, Europos kredito įstaigos nenaudoja didelės kapitalo dalies, kuri jų balanso ataskaitose pateikiama kaip kredito reikalavimai. Pagal ECB vertinimą ši suma sudaro daugiau kaip 50 % euro zonos kredito įstaigų balanso.</w:t>
      </w:r>
      <w:r w:rsidR="00C03063" w:rsidRPr="00A91E83">
        <w:rPr>
          <w:rStyle w:val="Puslapioinaosnuoroda"/>
          <w:rFonts w:ascii="Times New Roman" w:hAnsi="Times New Roman" w:cs="Times New Roman"/>
          <w:sz w:val="24"/>
          <w:szCs w:val="24"/>
        </w:rPr>
        <w:footnoteReference w:id="215"/>
      </w:r>
      <w:r w:rsidR="00F96AAF" w:rsidRPr="00A91E83">
        <w:rPr>
          <w:rFonts w:ascii="Times New Roman" w:hAnsi="Times New Roman" w:cs="Times New Roman"/>
          <w:sz w:val="24"/>
          <w:szCs w:val="24"/>
        </w:rPr>
        <w:t xml:space="preserve"> </w:t>
      </w:r>
      <w:r w:rsidR="00C03063" w:rsidRPr="00A91E83">
        <w:rPr>
          <w:rFonts w:ascii="Times New Roman" w:hAnsi="Times New Roman" w:cs="Times New Roman"/>
          <w:sz w:val="24"/>
          <w:szCs w:val="24"/>
        </w:rPr>
        <w:t xml:space="preserve">Atsižvelgiant į minėtą vertinimo ataskaitą, Komisiją </w:t>
      </w:r>
      <w:r w:rsidR="00C03063" w:rsidRPr="00A91E83">
        <w:rPr>
          <w:rFonts w:ascii="Times New Roman" w:hAnsi="Times New Roman" w:cs="Times New Roman"/>
          <w:bCs/>
          <w:sz w:val="24"/>
          <w:szCs w:val="24"/>
        </w:rPr>
        <w:t xml:space="preserve">2009 </w:t>
      </w:r>
      <w:proofErr w:type="spellStart"/>
      <w:r w:rsidR="000F68A0" w:rsidRPr="00A91E83">
        <w:rPr>
          <w:rFonts w:ascii="Times New Roman" w:hAnsi="Times New Roman" w:cs="Times New Roman"/>
          <w:bCs/>
          <w:sz w:val="24"/>
          <w:szCs w:val="24"/>
        </w:rPr>
        <w:t>m</w:t>
      </w:r>
      <w:proofErr w:type="spellEnd"/>
      <w:r w:rsidR="000F68A0" w:rsidRPr="00A91E83">
        <w:rPr>
          <w:rFonts w:ascii="Times New Roman" w:hAnsi="Times New Roman" w:cs="Times New Roman"/>
          <w:bCs/>
          <w:sz w:val="24"/>
          <w:szCs w:val="24"/>
        </w:rPr>
        <w:t xml:space="preserve">. </w:t>
      </w:r>
      <w:r w:rsidR="00C03063" w:rsidRPr="00A91E83">
        <w:rPr>
          <w:rFonts w:ascii="Times New Roman" w:hAnsi="Times New Roman" w:cs="Times New Roman"/>
          <w:bCs/>
          <w:sz w:val="24"/>
          <w:szCs w:val="24"/>
        </w:rPr>
        <w:t xml:space="preserve">gegužės 6 </w:t>
      </w:r>
      <w:proofErr w:type="spellStart"/>
      <w:r w:rsidR="00C03063" w:rsidRPr="00A91E83">
        <w:rPr>
          <w:rFonts w:ascii="Times New Roman" w:hAnsi="Times New Roman" w:cs="Times New Roman"/>
          <w:bCs/>
          <w:sz w:val="24"/>
          <w:szCs w:val="24"/>
        </w:rPr>
        <w:t>d</w:t>
      </w:r>
      <w:proofErr w:type="spellEnd"/>
      <w:r w:rsidR="00C03063" w:rsidRPr="00A91E83">
        <w:rPr>
          <w:rFonts w:ascii="Times New Roman" w:hAnsi="Times New Roman" w:cs="Times New Roman"/>
          <w:bCs/>
          <w:sz w:val="24"/>
          <w:szCs w:val="24"/>
        </w:rPr>
        <w:t xml:space="preserve">. priėmė 2009/44/EB Direktyvą, kuri nuo 2009 </w:t>
      </w:r>
      <w:proofErr w:type="spellStart"/>
      <w:r w:rsidR="000F68A0" w:rsidRPr="00A91E83">
        <w:rPr>
          <w:rFonts w:ascii="Times New Roman" w:hAnsi="Times New Roman" w:cs="Times New Roman"/>
          <w:bCs/>
          <w:sz w:val="24"/>
          <w:szCs w:val="24"/>
        </w:rPr>
        <w:t>m</w:t>
      </w:r>
      <w:proofErr w:type="spellEnd"/>
      <w:r w:rsidR="000F68A0" w:rsidRPr="00A91E83">
        <w:rPr>
          <w:rFonts w:ascii="Times New Roman" w:hAnsi="Times New Roman" w:cs="Times New Roman"/>
          <w:bCs/>
          <w:sz w:val="24"/>
          <w:szCs w:val="24"/>
        </w:rPr>
        <w:t xml:space="preserve">. </w:t>
      </w:r>
      <w:r w:rsidR="00C03063" w:rsidRPr="00A91E83">
        <w:rPr>
          <w:rFonts w:ascii="Times New Roman" w:hAnsi="Times New Roman" w:cs="Times New Roman"/>
          <w:bCs/>
          <w:sz w:val="24"/>
          <w:szCs w:val="24"/>
        </w:rPr>
        <w:t xml:space="preserve">birželio 10 </w:t>
      </w:r>
      <w:proofErr w:type="spellStart"/>
      <w:r w:rsidR="00C03063" w:rsidRPr="00A91E83">
        <w:rPr>
          <w:rFonts w:ascii="Times New Roman" w:hAnsi="Times New Roman" w:cs="Times New Roman"/>
          <w:bCs/>
          <w:sz w:val="24"/>
          <w:szCs w:val="24"/>
        </w:rPr>
        <w:t>d</w:t>
      </w:r>
      <w:proofErr w:type="spellEnd"/>
      <w:r w:rsidR="00C03063" w:rsidRPr="00A91E83">
        <w:rPr>
          <w:rFonts w:ascii="Times New Roman" w:hAnsi="Times New Roman" w:cs="Times New Roman"/>
          <w:bCs/>
          <w:sz w:val="24"/>
          <w:szCs w:val="24"/>
        </w:rPr>
        <w:t xml:space="preserve">. iš dalies pakeitė </w:t>
      </w:r>
      <w:r w:rsidR="00EE271A" w:rsidRPr="00A91E83">
        <w:rPr>
          <w:rFonts w:ascii="Times New Roman" w:hAnsi="Times New Roman" w:cs="Times New Roman"/>
          <w:bCs/>
          <w:sz w:val="24"/>
          <w:szCs w:val="24"/>
        </w:rPr>
        <w:t>Įkaito direktyvą</w:t>
      </w:r>
      <w:r w:rsidR="00C03063" w:rsidRPr="00A91E83">
        <w:rPr>
          <w:rFonts w:ascii="Times New Roman" w:hAnsi="Times New Roman" w:cs="Times New Roman"/>
          <w:bCs/>
          <w:sz w:val="24"/>
          <w:szCs w:val="24"/>
        </w:rPr>
        <w:t xml:space="preserve">. Įgyvendinant šį pakeitimą Lietuvoje 2010 </w:t>
      </w:r>
      <w:proofErr w:type="spellStart"/>
      <w:r w:rsidR="000F68A0" w:rsidRPr="00A91E83">
        <w:rPr>
          <w:rFonts w:ascii="Times New Roman" w:hAnsi="Times New Roman" w:cs="Times New Roman"/>
          <w:bCs/>
          <w:sz w:val="24"/>
          <w:szCs w:val="24"/>
        </w:rPr>
        <w:t>m</w:t>
      </w:r>
      <w:proofErr w:type="spellEnd"/>
      <w:r w:rsidR="000F68A0" w:rsidRPr="00A91E83">
        <w:rPr>
          <w:rFonts w:ascii="Times New Roman" w:hAnsi="Times New Roman" w:cs="Times New Roman"/>
          <w:bCs/>
          <w:sz w:val="24"/>
          <w:szCs w:val="24"/>
        </w:rPr>
        <w:t xml:space="preserve">. </w:t>
      </w:r>
      <w:r w:rsidR="00C03063" w:rsidRPr="00A91E83">
        <w:rPr>
          <w:rFonts w:ascii="Times New Roman" w:hAnsi="Times New Roman" w:cs="Times New Roman"/>
          <w:bCs/>
          <w:sz w:val="24"/>
          <w:szCs w:val="24"/>
        </w:rPr>
        <w:t xml:space="preserve">liepos 28 </w:t>
      </w:r>
      <w:proofErr w:type="spellStart"/>
      <w:r w:rsidR="00C03063" w:rsidRPr="00A91E83">
        <w:rPr>
          <w:rFonts w:ascii="Times New Roman" w:hAnsi="Times New Roman" w:cs="Times New Roman"/>
          <w:bCs/>
          <w:sz w:val="24"/>
          <w:szCs w:val="24"/>
        </w:rPr>
        <w:t>d</w:t>
      </w:r>
      <w:proofErr w:type="spellEnd"/>
      <w:r w:rsidR="00C03063" w:rsidRPr="00A91E83">
        <w:rPr>
          <w:rFonts w:ascii="Times New Roman" w:hAnsi="Times New Roman" w:cs="Times New Roman"/>
          <w:bCs/>
          <w:sz w:val="24"/>
          <w:szCs w:val="24"/>
        </w:rPr>
        <w:t>. įregistruotas FUSĮ projektas. Esminis pakeitimas, jog išplečiant finansinio užtikrinimo objekto sąvoką yra įtraukt</w:t>
      </w:r>
      <w:r w:rsidR="00EE271A" w:rsidRPr="00A91E83">
        <w:rPr>
          <w:rFonts w:ascii="Times New Roman" w:hAnsi="Times New Roman" w:cs="Times New Roman"/>
          <w:bCs/>
          <w:sz w:val="24"/>
          <w:szCs w:val="24"/>
        </w:rPr>
        <w:t>i kredito reikalavimai. FUSĮ kre</w:t>
      </w:r>
      <w:r w:rsidR="00E44823" w:rsidRPr="00A91E83">
        <w:rPr>
          <w:rFonts w:ascii="Times New Roman" w:hAnsi="Times New Roman" w:cs="Times New Roman"/>
          <w:bCs/>
          <w:sz w:val="24"/>
          <w:szCs w:val="24"/>
        </w:rPr>
        <w:t xml:space="preserve">dito reikalavimas apibrėžiamas </w:t>
      </w:r>
      <w:r w:rsidR="00EE271A" w:rsidRPr="00A91E83">
        <w:rPr>
          <w:rFonts w:ascii="Times New Roman" w:hAnsi="Times New Roman" w:cs="Times New Roman"/>
          <w:bCs/>
          <w:sz w:val="24"/>
          <w:szCs w:val="24"/>
        </w:rPr>
        <w:t>kaip „p</w:t>
      </w:r>
      <w:r w:rsidR="00C03063" w:rsidRPr="00A91E83">
        <w:rPr>
          <w:rFonts w:ascii="Times New Roman" w:hAnsi="Times New Roman" w:cs="Times New Roman"/>
          <w:bCs/>
          <w:sz w:val="24"/>
          <w:szCs w:val="24"/>
        </w:rPr>
        <w:t xml:space="preserve">iniginis reikalavimas, </w:t>
      </w:r>
      <w:r w:rsidR="00615EA7" w:rsidRPr="00A91E83">
        <w:rPr>
          <w:rFonts w:ascii="Times New Roman" w:hAnsi="Times New Roman" w:cs="Times New Roman"/>
          <w:bCs/>
          <w:sz w:val="24"/>
          <w:szCs w:val="24"/>
        </w:rPr>
        <w:t>kylantis iš susitarimo, pagal kurį kredito įstaiga suteikia kreditą kaip paskolą</w:t>
      </w:r>
      <w:r w:rsidR="00EE271A" w:rsidRPr="00A91E83">
        <w:rPr>
          <w:rFonts w:ascii="Times New Roman" w:hAnsi="Times New Roman" w:cs="Times New Roman"/>
          <w:bCs/>
          <w:sz w:val="24"/>
          <w:szCs w:val="24"/>
        </w:rPr>
        <w:t>“</w:t>
      </w:r>
      <w:r w:rsidR="00615EA7" w:rsidRPr="00A91E83">
        <w:rPr>
          <w:rFonts w:ascii="Times New Roman" w:hAnsi="Times New Roman" w:cs="Times New Roman"/>
          <w:bCs/>
          <w:sz w:val="24"/>
          <w:szCs w:val="24"/>
        </w:rPr>
        <w:t>.</w:t>
      </w:r>
      <w:r w:rsidR="00EE271A" w:rsidRPr="00A91E83">
        <w:rPr>
          <w:rStyle w:val="Puslapioinaosnuoroda"/>
          <w:rFonts w:ascii="Times New Roman" w:hAnsi="Times New Roman" w:cs="Times New Roman"/>
          <w:bCs/>
          <w:sz w:val="24"/>
          <w:szCs w:val="24"/>
        </w:rPr>
        <w:footnoteReference w:id="216"/>
      </w:r>
      <w:r w:rsidR="00C03063" w:rsidRPr="00A91E83">
        <w:rPr>
          <w:rFonts w:ascii="Times New Roman" w:hAnsi="Times New Roman" w:cs="Times New Roman"/>
          <w:bCs/>
          <w:sz w:val="24"/>
          <w:szCs w:val="24"/>
        </w:rPr>
        <w:t xml:space="preserve"> Trys valstybės narės – Čekija, Prancūzija ir Švedija jau nuo </w:t>
      </w:r>
      <w:r w:rsidR="00E133D7" w:rsidRPr="00A91E83">
        <w:rPr>
          <w:rFonts w:ascii="Times New Roman" w:hAnsi="Times New Roman" w:cs="Times New Roman"/>
          <w:bCs/>
          <w:sz w:val="24"/>
          <w:szCs w:val="24"/>
        </w:rPr>
        <w:t>Įkaito direktyvos</w:t>
      </w:r>
      <w:r w:rsidR="00C03063" w:rsidRPr="00A91E83">
        <w:rPr>
          <w:rFonts w:ascii="Times New Roman" w:hAnsi="Times New Roman" w:cs="Times New Roman"/>
          <w:bCs/>
          <w:sz w:val="24"/>
          <w:szCs w:val="24"/>
        </w:rPr>
        <w:t xml:space="preserve"> įgyvendinimo pradžios (2004 </w:t>
      </w:r>
      <w:proofErr w:type="spellStart"/>
      <w:r w:rsidR="00C03063" w:rsidRPr="00A91E83">
        <w:rPr>
          <w:rFonts w:ascii="Times New Roman" w:hAnsi="Times New Roman" w:cs="Times New Roman"/>
          <w:bCs/>
          <w:sz w:val="24"/>
          <w:szCs w:val="24"/>
        </w:rPr>
        <w:t>m</w:t>
      </w:r>
      <w:proofErr w:type="spellEnd"/>
      <w:r w:rsidR="00C03063" w:rsidRPr="00A91E83">
        <w:rPr>
          <w:rFonts w:ascii="Times New Roman" w:hAnsi="Times New Roman" w:cs="Times New Roman"/>
          <w:bCs/>
          <w:sz w:val="24"/>
          <w:szCs w:val="24"/>
        </w:rPr>
        <w:t>.)</w:t>
      </w:r>
      <w:r w:rsidR="00CC3C69" w:rsidRPr="00A91E83">
        <w:rPr>
          <w:rFonts w:ascii="Times New Roman" w:hAnsi="Times New Roman" w:cs="Times New Roman"/>
          <w:bCs/>
          <w:sz w:val="24"/>
          <w:szCs w:val="24"/>
        </w:rPr>
        <w:t xml:space="preserve"> savo jurisdikcijose taiko tokį</w:t>
      </w:r>
      <w:r w:rsidR="00C03063" w:rsidRPr="00A91E83">
        <w:rPr>
          <w:rFonts w:ascii="Times New Roman" w:hAnsi="Times New Roman" w:cs="Times New Roman"/>
          <w:bCs/>
          <w:sz w:val="24"/>
          <w:szCs w:val="24"/>
        </w:rPr>
        <w:t xml:space="preserve"> išplėstą </w:t>
      </w:r>
      <w:r w:rsidR="00CC3C69" w:rsidRPr="00A91E83">
        <w:rPr>
          <w:rFonts w:ascii="Times New Roman" w:hAnsi="Times New Roman" w:cs="Times New Roman"/>
          <w:bCs/>
          <w:sz w:val="24"/>
          <w:szCs w:val="24"/>
        </w:rPr>
        <w:t>režimą</w:t>
      </w:r>
      <w:r w:rsidR="00B537A9" w:rsidRPr="00A91E83">
        <w:rPr>
          <w:rFonts w:ascii="Times New Roman" w:hAnsi="Times New Roman" w:cs="Times New Roman"/>
          <w:bCs/>
          <w:sz w:val="24"/>
          <w:szCs w:val="24"/>
        </w:rPr>
        <w:t>, t. y</w:t>
      </w:r>
      <w:r w:rsidR="00C03063" w:rsidRPr="00A91E83">
        <w:rPr>
          <w:rFonts w:ascii="Times New Roman" w:hAnsi="Times New Roman" w:cs="Times New Roman"/>
          <w:bCs/>
          <w:sz w:val="24"/>
          <w:szCs w:val="24"/>
        </w:rPr>
        <w:t>.</w:t>
      </w:r>
      <w:r w:rsidR="00B537A9" w:rsidRPr="00A91E83">
        <w:rPr>
          <w:rFonts w:ascii="Times New Roman" w:hAnsi="Times New Roman" w:cs="Times New Roman"/>
          <w:bCs/>
          <w:sz w:val="24"/>
          <w:szCs w:val="24"/>
        </w:rPr>
        <w:t xml:space="preserve"> </w:t>
      </w:r>
      <w:r w:rsidR="003A04DF" w:rsidRPr="00A91E83">
        <w:rPr>
          <w:rFonts w:ascii="Times New Roman" w:hAnsi="Times New Roman" w:cs="Times New Roman"/>
          <w:bCs/>
          <w:sz w:val="24"/>
          <w:szCs w:val="24"/>
        </w:rPr>
        <w:t xml:space="preserve">laiko kredito reikalavimus </w:t>
      </w:r>
      <w:r w:rsidR="00B537A9" w:rsidRPr="00A91E83">
        <w:rPr>
          <w:rFonts w:ascii="Times New Roman" w:hAnsi="Times New Roman" w:cs="Times New Roman"/>
          <w:bCs/>
          <w:sz w:val="24"/>
          <w:szCs w:val="24"/>
        </w:rPr>
        <w:t>kaip tinkamą turtą, kuris gali būti finansiniu užstatu.</w:t>
      </w:r>
      <w:r w:rsidR="00C03063" w:rsidRPr="00A91E83">
        <w:rPr>
          <w:rStyle w:val="Puslapioinaosnuoroda"/>
          <w:rFonts w:ascii="Times New Roman" w:hAnsi="Times New Roman" w:cs="Times New Roman"/>
          <w:bCs/>
          <w:sz w:val="24"/>
          <w:szCs w:val="24"/>
        </w:rPr>
        <w:footnoteReference w:id="217"/>
      </w:r>
    </w:p>
    <w:p w:rsidR="009203A5" w:rsidRPr="00A91E83" w:rsidRDefault="009203A5" w:rsidP="00F96AAF">
      <w:pPr>
        <w:tabs>
          <w:tab w:val="left" w:pos="851"/>
        </w:tabs>
        <w:autoSpaceDE w:val="0"/>
        <w:autoSpaceDN w:val="0"/>
        <w:adjustRightInd w:val="0"/>
        <w:spacing w:after="0" w:line="360" w:lineRule="auto"/>
        <w:ind w:firstLine="851"/>
        <w:jc w:val="both"/>
        <w:rPr>
          <w:rFonts w:ascii="Times New Roman" w:hAnsi="Times New Roman" w:cs="Times New Roman"/>
          <w:bCs/>
          <w:sz w:val="24"/>
          <w:szCs w:val="24"/>
        </w:rPr>
      </w:pPr>
    </w:p>
    <w:p w:rsidR="00B91D4C" w:rsidRPr="00A91E83" w:rsidRDefault="00D703BF" w:rsidP="00256B0B">
      <w:pPr>
        <w:pStyle w:val="Sraopastraipa"/>
        <w:numPr>
          <w:ilvl w:val="2"/>
          <w:numId w:val="4"/>
        </w:numPr>
        <w:tabs>
          <w:tab w:val="left" w:pos="851"/>
        </w:tabs>
        <w:spacing w:after="0" w:line="360" w:lineRule="auto"/>
        <w:ind w:left="0" w:firstLine="0"/>
        <w:jc w:val="both"/>
        <w:outlineLvl w:val="2"/>
        <w:rPr>
          <w:rFonts w:ascii="Times New Roman" w:hAnsi="Times New Roman" w:cs="Times New Roman"/>
          <w:b/>
          <w:sz w:val="24"/>
          <w:szCs w:val="24"/>
        </w:rPr>
      </w:pPr>
      <w:bookmarkStart w:id="34" w:name="_Toc280546467"/>
      <w:r w:rsidRPr="00A91E83">
        <w:rPr>
          <w:rFonts w:ascii="Times New Roman" w:hAnsi="Times New Roman" w:cs="Times New Roman"/>
          <w:b/>
          <w:sz w:val="24"/>
          <w:szCs w:val="24"/>
        </w:rPr>
        <w:t xml:space="preserve">Finansiniai įsipareigojimai, kurių </w:t>
      </w:r>
      <w:r w:rsidR="0003453B" w:rsidRPr="00A91E83">
        <w:rPr>
          <w:rFonts w:ascii="Times New Roman" w:hAnsi="Times New Roman" w:cs="Times New Roman"/>
          <w:b/>
          <w:sz w:val="24"/>
          <w:szCs w:val="24"/>
        </w:rPr>
        <w:t>įvykdymui užtikrinti pateiktas</w:t>
      </w:r>
      <w:r w:rsidRPr="00A91E83">
        <w:rPr>
          <w:rFonts w:ascii="Times New Roman" w:hAnsi="Times New Roman" w:cs="Times New Roman"/>
          <w:b/>
          <w:sz w:val="24"/>
          <w:szCs w:val="24"/>
        </w:rPr>
        <w:t xml:space="preserve"> užstatas</w:t>
      </w:r>
      <w:bookmarkEnd w:id="34"/>
    </w:p>
    <w:p w:rsidR="00D703BF" w:rsidRPr="00A91E83" w:rsidRDefault="00D703BF" w:rsidP="00B46A53">
      <w:pPr>
        <w:tabs>
          <w:tab w:val="left" w:pos="851"/>
        </w:tabs>
        <w:spacing w:after="0" w:line="360" w:lineRule="auto"/>
        <w:ind w:firstLine="851"/>
        <w:jc w:val="both"/>
        <w:rPr>
          <w:rFonts w:ascii="Times New Roman" w:hAnsi="Times New Roman" w:cs="Times New Roman"/>
          <w:sz w:val="24"/>
          <w:szCs w:val="24"/>
        </w:rPr>
      </w:pPr>
    </w:p>
    <w:p w:rsidR="00D05A99" w:rsidRPr="00A91E83" w:rsidRDefault="003917B4"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FUSĮ įtvirtina pla</w:t>
      </w:r>
      <w:r w:rsidR="007D20B2" w:rsidRPr="00A91E83">
        <w:rPr>
          <w:rFonts w:ascii="Times New Roman" w:hAnsi="Times New Roman" w:cs="Times New Roman"/>
          <w:sz w:val="24"/>
          <w:szCs w:val="24"/>
        </w:rPr>
        <w:t>tų sandorių ratą, kurių pagrindu</w:t>
      </w:r>
      <w:r w:rsidRPr="00A91E83">
        <w:rPr>
          <w:rFonts w:ascii="Times New Roman" w:hAnsi="Times New Roman" w:cs="Times New Roman"/>
          <w:sz w:val="24"/>
          <w:szCs w:val="24"/>
        </w:rPr>
        <w:t xml:space="preserve"> kyla finansiniai įsipareigojimai. </w:t>
      </w:r>
      <w:r w:rsidR="00570FFA" w:rsidRPr="00A91E83">
        <w:rPr>
          <w:rFonts w:ascii="Times New Roman" w:hAnsi="Times New Roman" w:cs="Times New Roman"/>
          <w:sz w:val="24"/>
          <w:szCs w:val="24"/>
        </w:rPr>
        <w:t>Finansinių įsipareigojimų apibrėžimas nustato</w:t>
      </w:r>
      <w:r w:rsidRPr="00A91E83">
        <w:rPr>
          <w:rFonts w:ascii="Times New Roman" w:hAnsi="Times New Roman" w:cs="Times New Roman"/>
          <w:sz w:val="24"/>
          <w:szCs w:val="24"/>
        </w:rPr>
        <w:t xml:space="preserve">, </w:t>
      </w:r>
      <w:r w:rsidR="007D20B2" w:rsidRPr="00A91E83">
        <w:rPr>
          <w:rFonts w:ascii="Times New Roman" w:hAnsi="Times New Roman" w:cs="Times New Roman"/>
          <w:sz w:val="24"/>
          <w:szCs w:val="24"/>
        </w:rPr>
        <w:t>jog fi</w:t>
      </w:r>
      <w:r w:rsidR="00CD3D8E">
        <w:rPr>
          <w:rFonts w:ascii="Times New Roman" w:hAnsi="Times New Roman" w:cs="Times New Roman"/>
          <w:sz w:val="24"/>
          <w:szCs w:val="24"/>
        </w:rPr>
        <w:t xml:space="preserve">nansiniai įsipareigojimai būtų </w:t>
      </w:r>
      <w:r w:rsidR="007D20B2" w:rsidRPr="00A91E83">
        <w:rPr>
          <w:rFonts w:ascii="Times New Roman" w:hAnsi="Times New Roman" w:cs="Times New Roman"/>
          <w:sz w:val="24"/>
          <w:szCs w:val="24"/>
        </w:rPr>
        <w:t>vykdomi pinigais ir (</w:t>
      </w:r>
      <w:r w:rsidR="00570FFA" w:rsidRPr="00A91E83">
        <w:rPr>
          <w:rFonts w:ascii="Times New Roman" w:hAnsi="Times New Roman" w:cs="Times New Roman"/>
          <w:sz w:val="24"/>
          <w:szCs w:val="24"/>
        </w:rPr>
        <w:t>arba) finansinėmis priemonėmis bei jų įvykdymas užtikrintas finansinio užtikrinimo susitarimu.</w:t>
      </w:r>
      <w:r w:rsidR="008C57FF" w:rsidRPr="00A91E83">
        <w:rPr>
          <w:rStyle w:val="Puslapioinaosnuoroda"/>
          <w:rFonts w:ascii="Times New Roman" w:hAnsi="Times New Roman" w:cs="Times New Roman"/>
          <w:sz w:val="24"/>
          <w:szCs w:val="24"/>
        </w:rPr>
        <w:footnoteReference w:id="218"/>
      </w:r>
      <w:r w:rsidR="008C57FF" w:rsidRPr="00A91E83">
        <w:rPr>
          <w:rFonts w:ascii="Times New Roman" w:hAnsi="Times New Roman" w:cs="Times New Roman"/>
          <w:sz w:val="24"/>
          <w:szCs w:val="24"/>
        </w:rPr>
        <w:t xml:space="preserve"> </w:t>
      </w:r>
      <w:r w:rsidR="006F3B74">
        <w:rPr>
          <w:rFonts w:ascii="Times New Roman" w:hAnsi="Times New Roman" w:cs="Times New Roman"/>
          <w:sz w:val="24"/>
          <w:szCs w:val="24"/>
        </w:rPr>
        <w:t xml:space="preserve">Pritartina doktrinoje vyraujančiai išvadai, jog finansiniu užtikrinimo susitarimu </w:t>
      </w:r>
      <w:r w:rsidR="006F3B74">
        <w:rPr>
          <w:rFonts w:ascii="Times New Roman" w:hAnsi="Times New Roman" w:cs="Times New Roman"/>
          <w:sz w:val="24"/>
          <w:szCs w:val="24"/>
        </w:rPr>
        <w:lastRenderedPageBreak/>
        <w:t>gali būti užtikrinami ir išvestiniai finansiniai sandoriai.</w:t>
      </w:r>
      <w:r w:rsidR="006F3B74">
        <w:rPr>
          <w:rStyle w:val="Puslapioinaosnuoroda"/>
          <w:rFonts w:ascii="Times New Roman" w:hAnsi="Times New Roman" w:cs="Times New Roman"/>
          <w:sz w:val="24"/>
          <w:szCs w:val="24"/>
        </w:rPr>
        <w:footnoteReference w:id="219"/>
      </w:r>
      <w:r w:rsidR="006F3B74">
        <w:rPr>
          <w:rFonts w:ascii="Times New Roman" w:hAnsi="Times New Roman" w:cs="Times New Roman"/>
          <w:sz w:val="24"/>
          <w:szCs w:val="24"/>
        </w:rPr>
        <w:t xml:space="preserve"> </w:t>
      </w:r>
      <w:r w:rsidR="00D104E8" w:rsidRPr="00A91E83">
        <w:rPr>
          <w:rFonts w:ascii="Times New Roman" w:hAnsi="Times New Roman" w:cs="Times New Roman"/>
          <w:sz w:val="24"/>
          <w:szCs w:val="24"/>
        </w:rPr>
        <w:t xml:space="preserve">Taip pat FUSĮ leidžia išvestines finansines priemones sudaryti remiantis ir aptarta ISDA forma, nes FUSĮ numatyta, </w:t>
      </w:r>
      <w:r w:rsidRPr="00A91E83">
        <w:rPr>
          <w:rFonts w:ascii="Times New Roman" w:hAnsi="Times New Roman" w:cs="Times New Roman"/>
          <w:sz w:val="24"/>
          <w:szCs w:val="24"/>
        </w:rPr>
        <w:t xml:space="preserve">jog užtikrinami esami, būsimi ir numatomi </w:t>
      </w:r>
      <w:r w:rsidR="00C31B21" w:rsidRPr="00A91E83">
        <w:rPr>
          <w:rFonts w:ascii="Times New Roman" w:hAnsi="Times New Roman" w:cs="Times New Roman"/>
          <w:sz w:val="24"/>
          <w:szCs w:val="24"/>
        </w:rPr>
        <w:t xml:space="preserve">finansiniai </w:t>
      </w:r>
      <w:r w:rsidRPr="00A91E83">
        <w:rPr>
          <w:rFonts w:ascii="Times New Roman" w:hAnsi="Times New Roman" w:cs="Times New Roman"/>
          <w:sz w:val="24"/>
          <w:szCs w:val="24"/>
        </w:rPr>
        <w:t xml:space="preserve">įsipareigojimai, kurie atsiranda pagal pagrindinę </w:t>
      </w:r>
      <w:r w:rsidR="00D104E8" w:rsidRPr="00A91E83">
        <w:rPr>
          <w:rFonts w:ascii="Times New Roman" w:hAnsi="Times New Roman" w:cs="Times New Roman"/>
          <w:sz w:val="24"/>
          <w:szCs w:val="24"/>
        </w:rPr>
        <w:t>(</w:t>
      </w:r>
      <w:proofErr w:type="spellStart"/>
      <w:r w:rsidRPr="00A91E83">
        <w:rPr>
          <w:rFonts w:ascii="Times New Roman" w:hAnsi="Times New Roman" w:cs="Times New Roman"/>
          <w:sz w:val="24"/>
          <w:szCs w:val="24"/>
        </w:rPr>
        <w:t>pvz</w:t>
      </w:r>
      <w:proofErr w:type="spellEnd"/>
      <w:r w:rsidRPr="00A91E83">
        <w:rPr>
          <w:rFonts w:ascii="Times New Roman" w:hAnsi="Times New Roman" w:cs="Times New Roman"/>
          <w:sz w:val="24"/>
          <w:szCs w:val="24"/>
        </w:rPr>
        <w:t xml:space="preserve">.: </w:t>
      </w:r>
      <w:r w:rsidR="00D104E8" w:rsidRPr="00A91E83">
        <w:rPr>
          <w:rFonts w:ascii="Times New Roman" w:hAnsi="Times New Roman" w:cs="Times New Roman"/>
          <w:sz w:val="24"/>
          <w:szCs w:val="24"/>
        </w:rPr>
        <w:t>ISDA pagrindinį susitarimą), ar kitą panašią sutartį.</w:t>
      </w:r>
      <w:r w:rsidR="007F61AA" w:rsidRPr="00A91E83">
        <w:rPr>
          <w:rFonts w:ascii="Times New Roman" w:hAnsi="Times New Roman" w:cs="Times New Roman"/>
          <w:sz w:val="24"/>
          <w:szCs w:val="24"/>
        </w:rPr>
        <w:t xml:space="preserve"> </w:t>
      </w:r>
    </w:p>
    <w:p w:rsidR="00921BFD" w:rsidRPr="00A91E83" w:rsidRDefault="00921BFD" w:rsidP="00921BFD">
      <w:pPr>
        <w:tabs>
          <w:tab w:val="left" w:pos="851"/>
        </w:tabs>
        <w:spacing w:after="0" w:line="360" w:lineRule="auto"/>
        <w:ind w:firstLine="851"/>
        <w:jc w:val="both"/>
        <w:rPr>
          <w:rFonts w:ascii="Times New Roman" w:hAnsi="Times New Roman" w:cs="Times New Roman"/>
          <w:sz w:val="24"/>
          <w:szCs w:val="24"/>
        </w:rPr>
      </w:pPr>
    </w:p>
    <w:p w:rsidR="00295E9D" w:rsidRPr="00A91E83" w:rsidRDefault="00295E9D" w:rsidP="00256B0B">
      <w:pPr>
        <w:pStyle w:val="Sraopastraipa"/>
        <w:numPr>
          <w:ilvl w:val="2"/>
          <w:numId w:val="4"/>
        </w:numPr>
        <w:tabs>
          <w:tab w:val="left" w:pos="851"/>
        </w:tabs>
        <w:spacing w:after="0" w:line="360" w:lineRule="auto"/>
        <w:ind w:left="0" w:firstLine="0"/>
        <w:jc w:val="both"/>
        <w:outlineLvl w:val="2"/>
        <w:rPr>
          <w:rFonts w:ascii="Times New Roman" w:hAnsi="Times New Roman" w:cs="Times New Roman"/>
          <w:b/>
          <w:sz w:val="24"/>
          <w:szCs w:val="24"/>
        </w:rPr>
      </w:pPr>
      <w:bookmarkStart w:id="35" w:name="_Toc280546468"/>
      <w:r w:rsidRPr="00A91E83">
        <w:rPr>
          <w:rFonts w:ascii="Times New Roman" w:hAnsi="Times New Roman" w:cs="Times New Roman"/>
          <w:b/>
          <w:sz w:val="24"/>
          <w:szCs w:val="24"/>
        </w:rPr>
        <w:t xml:space="preserve">ISDA </w:t>
      </w:r>
      <w:r w:rsidR="002B3096" w:rsidRPr="00A91E83">
        <w:rPr>
          <w:rFonts w:ascii="Times New Roman" w:hAnsi="Times New Roman" w:cs="Times New Roman"/>
          <w:b/>
          <w:sz w:val="24"/>
          <w:szCs w:val="24"/>
        </w:rPr>
        <w:t>prievolių užtikrinimo įvykdymo dokumentacijos įtaka</w:t>
      </w:r>
      <w:r w:rsidRPr="00A91E83">
        <w:rPr>
          <w:rFonts w:ascii="Times New Roman" w:hAnsi="Times New Roman" w:cs="Times New Roman"/>
          <w:b/>
          <w:sz w:val="24"/>
          <w:szCs w:val="24"/>
        </w:rPr>
        <w:t xml:space="preserve"> FUSĮ</w:t>
      </w:r>
      <w:r w:rsidR="002B3096" w:rsidRPr="00A91E83">
        <w:rPr>
          <w:rFonts w:ascii="Times New Roman" w:hAnsi="Times New Roman" w:cs="Times New Roman"/>
          <w:b/>
          <w:sz w:val="24"/>
          <w:szCs w:val="24"/>
        </w:rPr>
        <w:t xml:space="preserve"> taikymo riboms</w:t>
      </w:r>
      <w:bookmarkEnd w:id="35"/>
    </w:p>
    <w:p w:rsidR="00295E9D" w:rsidRPr="00A91E83" w:rsidRDefault="00295E9D" w:rsidP="00B46A53">
      <w:pPr>
        <w:tabs>
          <w:tab w:val="left" w:pos="851"/>
        </w:tabs>
        <w:spacing w:after="0" w:line="360" w:lineRule="auto"/>
        <w:ind w:firstLine="851"/>
        <w:jc w:val="both"/>
        <w:rPr>
          <w:rFonts w:ascii="Times New Roman" w:hAnsi="Times New Roman" w:cs="Times New Roman"/>
          <w:sz w:val="24"/>
          <w:szCs w:val="24"/>
        </w:rPr>
      </w:pPr>
    </w:p>
    <w:p w:rsidR="00B13DBF" w:rsidRPr="00A91E83" w:rsidRDefault="00295E9D"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Kaip aptarta anksčiau</w:t>
      </w:r>
      <w:r w:rsidR="00D2110C" w:rsidRPr="00A91E83">
        <w:rPr>
          <w:rFonts w:ascii="Times New Roman" w:hAnsi="Times New Roman" w:cs="Times New Roman"/>
          <w:sz w:val="24"/>
          <w:szCs w:val="24"/>
        </w:rPr>
        <w:t>,</w:t>
      </w:r>
      <w:r w:rsidRPr="00A91E83">
        <w:rPr>
          <w:rFonts w:ascii="Times New Roman" w:hAnsi="Times New Roman" w:cs="Times New Roman"/>
          <w:sz w:val="24"/>
          <w:szCs w:val="24"/>
        </w:rPr>
        <w:t xml:space="preserve"> naudojant ISDA formas yra sudaromi sandoriai dėl išvestinių finansinių priemonių. Visi sudaryti sandoriai patenka po vienu tarp šalių sudarytų </w:t>
      </w:r>
      <w:r w:rsidR="00700C7E" w:rsidRPr="00A91E83">
        <w:rPr>
          <w:rFonts w:ascii="Times New Roman" w:hAnsi="Times New Roman" w:cs="Times New Roman"/>
          <w:sz w:val="24"/>
          <w:szCs w:val="24"/>
        </w:rPr>
        <w:t>P</w:t>
      </w:r>
      <w:r w:rsidRPr="00A91E83">
        <w:rPr>
          <w:rFonts w:ascii="Times New Roman" w:hAnsi="Times New Roman" w:cs="Times New Roman"/>
          <w:sz w:val="24"/>
          <w:szCs w:val="24"/>
        </w:rPr>
        <w:t xml:space="preserve">agrindiniu susitarimu, jeigu šalys taip susitarė, </w:t>
      </w:r>
      <w:r w:rsidR="008C26F1" w:rsidRPr="00A91E83">
        <w:rPr>
          <w:rFonts w:ascii="Times New Roman" w:hAnsi="Times New Roman" w:cs="Times New Roman"/>
          <w:sz w:val="24"/>
          <w:szCs w:val="24"/>
        </w:rPr>
        <w:t>t. y.</w:t>
      </w:r>
      <w:r w:rsidRPr="00A91E83">
        <w:rPr>
          <w:rFonts w:ascii="Times New Roman" w:hAnsi="Times New Roman" w:cs="Times New Roman"/>
          <w:sz w:val="24"/>
          <w:szCs w:val="24"/>
        </w:rPr>
        <w:t xml:space="preserve"> numatė </w:t>
      </w:r>
      <w:r w:rsidR="00700C7E" w:rsidRPr="00A91E83">
        <w:rPr>
          <w:rFonts w:ascii="Times New Roman" w:hAnsi="Times New Roman" w:cs="Times New Roman"/>
          <w:sz w:val="24"/>
          <w:szCs w:val="24"/>
        </w:rPr>
        <w:t>P</w:t>
      </w:r>
      <w:r w:rsidRPr="00A91E83">
        <w:rPr>
          <w:rFonts w:ascii="Times New Roman" w:hAnsi="Times New Roman" w:cs="Times New Roman"/>
          <w:sz w:val="24"/>
          <w:szCs w:val="24"/>
        </w:rPr>
        <w:t xml:space="preserve">atvirtinimuose, jog sandoriams taikomas </w:t>
      </w:r>
      <w:r w:rsidR="00700C7E" w:rsidRPr="00A91E83">
        <w:rPr>
          <w:rFonts w:ascii="Times New Roman" w:hAnsi="Times New Roman" w:cs="Times New Roman"/>
          <w:sz w:val="24"/>
          <w:szCs w:val="24"/>
        </w:rPr>
        <w:t xml:space="preserve">bendras </w:t>
      </w:r>
      <w:r w:rsidRPr="00A91E83">
        <w:rPr>
          <w:rFonts w:ascii="Times New Roman" w:hAnsi="Times New Roman" w:cs="Times New Roman"/>
          <w:sz w:val="24"/>
          <w:szCs w:val="24"/>
        </w:rPr>
        <w:t xml:space="preserve">režimas. </w:t>
      </w:r>
      <w:r w:rsidR="00F61185" w:rsidRPr="00A91E83">
        <w:rPr>
          <w:rFonts w:ascii="Times New Roman" w:hAnsi="Times New Roman" w:cs="Times New Roman"/>
          <w:sz w:val="24"/>
          <w:szCs w:val="24"/>
        </w:rPr>
        <w:t>Taip pat s</w:t>
      </w:r>
      <w:r w:rsidR="00700C7E" w:rsidRPr="00A91E83">
        <w:rPr>
          <w:rFonts w:ascii="Times New Roman" w:hAnsi="Times New Roman" w:cs="Times New Roman"/>
          <w:sz w:val="24"/>
          <w:szCs w:val="24"/>
        </w:rPr>
        <w:t xml:space="preserve">udarant sandorius dėl išvestinių finansinių priemonių </w:t>
      </w:r>
      <w:r w:rsidRPr="00A91E83">
        <w:rPr>
          <w:rFonts w:ascii="Times New Roman" w:hAnsi="Times New Roman" w:cs="Times New Roman"/>
          <w:sz w:val="24"/>
          <w:szCs w:val="24"/>
        </w:rPr>
        <w:t xml:space="preserve">bus naudojamos ir </w:t>
      </w:r>
      <w:r w:rsidR="00F61185" w:rsidRPr="00A91E83">
        <w:rPr>
          <w:rFonts w:ascii="Times New Roman" w:hAnsi="Times New Roman" w:cs="Times New Roman"/>
          <w:sz w:val="24"/>
          <w:szCs w:val="24"/>
        </w:rPr>
        <w:t>ISDA prievolių įvykdymo užtikinimo</w:t>
      </w:r>
      <w:r w:rsidRPr="00A91E83">
        <w:rPr>
          <w:rFonts w:ascii="Times New Roman" w:hAnsi="Times New Roman" w:cs="Times New Roman"/>
          <w:sz w:val="24"/>
          <w:szCs w:val="24"/>
        </w:rPr>
        <w:t xml:space="preserve"> formos,</w:t>
      </w:r>
      <w:r w:rsidR="00F61185" w:rsidRPr="00A91E83">
        <w:rPr>
          <w:rFonts w:ascii="Times New Roman" w:hAnsi="Times New Roman" w:cs="Times New Roman"/>
          <w:sz w:val="24"/>
          <w:szCs w:val="24"/>
        </w:rPr>
        <w:t xml:space="preserve"> kurių pagrindu </w:t>
      </w:r>
      <w:r w:rsidR="004A4F2F" w:rsidRPr="00A91E83">
        <w:rPr>
          <w:rFonts w:ascii="Times New Roman" w:hAnsi="Times New Roman" w:cs="Times New Roman"/>
          <w:sz w:val="24"/>
          <w:szCs w:val="24"/>
        </w:rPr>
        <w:t xml:space="preserve">bus perduotas finansinis turtas, ir kurių statusas prilyginimas Patvirtinimui. </w:t>
      </w:r>
      <w:r w:rsidRPr="00A91E83">
        <w:rPr>
          <w:rFonts w:ascii="Times New Roman" w:hAnsi="Times New Roman" w:cs="Times New Roman"/>
          <w:sz w:val="24"/>
          <w:szCs w:val="24"/>
        </w:rPr>
        <w:t xml:space="preserve">Taigi gali susidaryti situacija, kad </w:t>
      </w:r>
      <w:r w:rsidR="00F61185" w:rsidRPr="00A91E83">
        <w:rPr>
          <w:rFonts w:ascii="Times New Roman" w:hAnsi="Times New Roman" w:cs="Times New Roman"/>
          <w:sz w:val="24"/>
          <w:szCs w:val="24"/>
        </w:rPr>
        <w:t>yra sudaroma</w:t>
      </w:r>
      <w:r w:rsidRPr="00A91E83">
        <w:rPr>
          <w:rFonts w:ascii="Times New Roman" w:hAnsi="Times New Roman" w:cs="Times New Roman"/>
          <w:sz w:val="24"/>
          <w:szCs w:val="24"/>
        </w:rPr>
        <w:t xml:space="preserve"> eilė sandorių ir tik vienas </w:t>
      </w:r>
      <w:r w:rsidR="00F61185" w:rsidRPr="00A91E83">
        <w:rPr>
          <w:rFonts w:ascii="Times New Roman" w:hAnsi="Times New Roman" w:cs="Times New Roman"/>
          <w:sz w:val="24"/>
          <w:szCs w:val="24"/>
        </w:rPr>
        <w:t>ISDA prievolių įvykdymo užtikrinimo susitarimas</w:t>
      </w:r>
      <w:r w:rsidRPr="00A91E83">
        <w:rPr>
          <w:rFonts w:ascii="Times New Roman" w:hAnsi="Times New Roman" w:cs="Times New Roman"/>
          <w:sz w:val="24"/>
          <w:szCs w:val="24"/>
        </w:rPr>
        <w:t xml:space="preserve">, kuris atitinka finansinio užstato susitarimą pagal FUSĮ. Taigi remiantis ISDA koncepcija, jog šalims pageidaujant visi sandoriai sudaryti tarpusavyje privalo būti laikomi viena sutartimi, tai ir FUSĮ režimas turėtų būti taikomas </w:t>
      </w:r>
      <w:r w:rsidR="00D6457C" w:rsidRPr="00A91E83">
        <w:rPr>
          <w:rFonts w:ascii="Times New Roman" w:hAnsi="Times New Roman" w:cs="Times New Roman"/>
          <w:sz w:val="24"/>
          <w:szCs w:val="24"/>
        </w:rPr>
        <w:t>visiems tarp šalių sudarytiems sandoriams dėl išvestinių finansinių pr</w:t>
      </w:r>
      <w:r w:rsidR="00F61185" w:rsidRPr="00A91E83">
        <w:rPr>
          <w:rFonts w:ascii="Times New Roman" w:hAnsi="Times New Roman" w:cs="Times New Roman"/>
          <w:sz w:val="24"/>
          <w:szCs w:val="24"/>
        </w:rPr>
        <w:t xml:space="preserve">iemonių, kurie patenka </w:t>
      </w:r>
      <w:r w:rsidR="007F2176" w:rsidRPr="00A91E83">
        <w:rPr>
          <w:rFonts w:ascii="Times New Roman" w:hAnsi="Times New Roman" w:cs="Times New Roman"/>
          <w:sz w:val="24"/>
          <w:szCs w:val="24"/>
        </w:rPr>
        <w:t xml:space="preserve">po </w:t>
      </w:r>
      <w:r w:rsidR="00F61185" w:rsidRPr="00A91E83">
        <w:rPr>
          <w:rFonts w:ascii="Times New Roman" w:hAnsi="Times New Roman" w:cs="Times New Roman"/>
          <w:sz w:val="24"/>
          <w:szCs w:val="24"/>
        </w:rPr>
        <w:t>P</w:t>
      </w:r>
      <w:r w:rsidR="00D6457C" w:rsidRPr="00A91E83">
        <w:rPr>
          <w:rFonts w:ascii="Times New Roman" w:hAnsi="Times New Roman" w:cs="Times New Roman"/>
          <w:sz w:val="24"/>
          <w:szCs w:val="24"/>
        </w:rPr>
        <w:t>agrindinio susitarimo skėtiniu reguliavimu.</w:t>
      </w:r>
      <w:r w:rsidR="00EC3136" w:rsidRPr="00A91E83">
        <w:rPr>
          <w:rFonts w:ascii="Times New Roman" w:hAnsi="Times New Roman" w:cs="Times New Roman"/>
          <w:sz w:val="24"/>
          <w:szCs w:val="24"/>
        </w:rPr>
        <w:t xml:space="preserve"> Kitaip sakant</w:t>
      </w:r>
      <w:r w:rsidR="00D2110C" w:rsidRPr="00A91E83">
        <w:rPr>
          <w:rFonts w:ascii="Times New Roman" w:hAnsi="Times New Roman" w:cs="Times New Roman"/>
          <w:sz w:val="24"/>
          <w:szCs w:val="24"/>
        </w:rPr>
        <w:t>,</w:t>
      </w:r>
      <w:r w:rsidR="00EC3136" w:rsidRPr="00A91E83">
        <w:rPr>
          <w:rFonts w:ascii="Times New Roman" w:hAnsi="Times New Roman" w:cs="Times New Roman"/>
          <w:sz w:val="24"/>
          <w:szCs w:val="24"/>
        </w:rPr>
        <w:t xml:space="preserve"> FUSĮ tarpusavio užskaitos režimas gali būti taikomas ir tiems sandoriams dėl kurių įvykdymo </w:t>
      </w:r>
      <w:r w:rsidR="00F61185" w:rsidRPr="00A91E83">
        <w:rPr>
          <w:rFonts w:ascii="Times New Roman" w:hAnsi="Times New Roman" w:cs="Times New Roman"/>
          <w:sz w:val="24"/>
          <w:szCs w:val="24"/>
        </w:rPr>
        <w:t xml:space="preserve">nebuvo konkrečiai </w:t>
      </w:r>
      <w:r w:rsidR="00EC3136" w:rsidRPr="00A91E83">
        <w:rPr>
          <w:rFonts w:ascii="Times New Roman" w:hAnsi="Times New Roman" w:cs="Times New Roman"/>
          <w:sz w:val="24"/>
          <w:szCs w:val="24"/>
        </w:rPr>
        <w:t xml:space="preserve">perduotas joks finansinis užstatas, tačiau </w:t>
      </w:r>
      <w:r w:rsidR="00F61185" w:rsidRPr="00A91E83">
        <w:rPr>
          <w:rFonts w:ascii="Times New Roman" w:hAnsi="Times New Roman" w:cs="Times New Roman"/>
          <w:sz w:val="24"/>
          <w:szCs w:val="24"/>
        </w:rPr>
        <w:t>vėliau sudarius prievolių įvykdymo užtikrinimo priedą, šis</w:t>
      </w:r>
      <w:r w:rsidR="00EC3136" w:rsidRPr="00A91E83">
        <w:rPr>
          <w:rFonts w:ascii="Times New Roman" w:hAnsi="Times New Roman" w:cs="Times New Roman"/>
          <w:sz w:val="24"/>
          <w:szCs w:val="24"/>
        </w:rPr>
        <w:t xml:space="preserve"> kartu su kitais yra laikomas viena ISDA sutartimi.</w:t>
      </w:r>
    </w:p>
    <w:p w:rsidR="00C93887" w:rsidRDefault="00B837ED" w:rsidP="0046749C">
      <w:pPr>
        <w:tabs>
          <w:tab w:val="left" w:pos="851"/>
        </w:tabs>
        <w:autoSpaceDE w:val="0"/>
        <w:autoSpaceDN w:val="0"/>
        <w:adjustRightInd w:val="0"/>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Toks aiškinimas sutampa su</w:t>
      </w:r>
      <w:r w:rsidR="007E04E4" w:rsidRPr="00A91E83">
        <w:rPr>
          <w:rFonts w:ascii="Times New Roman" w:hAnsi="Times New Roman" w:cs="Times New Roman"/>
          <w:sz w:val="24"/>
          <w:szCs w:val="24"/>
        </w:rPr>
        <w:t xml:space="preserve"> lingvistine </w:t>
      </w:r>
      <w:r w:rsidR="00985118" w:rsidRPr="00A91E83">
        <w:rPr>
          <w:rFonts w:ascii="Times New Roman" w:hAnsi="Times New Roman" w:cs="Times New Roman"/>
          <w:sz w:val="24"/>
          <w:szCs w:val="24"/>
        </w:rPr>
        <w:t xml:space="preserve">FUSĮ </w:t>
      </w:r>
      <w:r w:rsidR="007E04E4" w:rsidRPr="00A91E83">
        <w:rPr>
          <w:rFonts w:ascii="Times New Roman" w:hAnsi="Times New Roman" w:cs="Times New Roman"/>
          <w:sz w:val="24"/>
          <w:szCs w:val="24"/>
        </w:rPr>
        <w:t>analize</w:t>
      </w:r>
      <w:r w:rsidR="00215B68" w:rsidRPr="00A91E83">
        <w:rPr>
          <w:rFonts w:ascii="Times New Roman" w:hAnsi="Times New Roman" w:cs="Times New Roman"/>
          <w:sz w:val="24"/>
          <w:szCs w:val="24"/>
        </w:rPr>
        <w:t>,</w:t>
      </w:r>
      <w:r w:rsidR="00215B68" w:rsidRPr="00A91E83">
        <w:rPr>
          <w:rStyle w:val="Puslapioinaosnuoroda"/>
          <w:rFonts w:ascii="Times New Roman" w:hAnsi="Times New Roman" w:cs="Times New Roman"/>
          <w:sz w:val="24"/>
          <w:szCs w:val="24"/>
        </w:rPr>
        <w:footnoteReference w:id="220"/>
      </w:r>
      <w:r w:rsidRPr="00A91E83">
        <w:rPr>
          <w:rFonts w:ascii="Times New Roman" w:hAnsi="Times New Roman" w:cs="Times New Roman"/>
          <w:sz w:val="24"/>
          <w:szCs w:val="24"/>
        </w:rPr>
        <w:t xml:space="preserve"> kur teigiama, jog b</w:t>
      </w:r>
      <w:r w:rsidR="00985118" w:rsidRPr="00A91E83">
        <w:rPr>
          <w:rFonts w:ascii="Times New Roman" w:hAnsi="Times New Roman" w:cs="Times New Roman"/>
          <w:sz w:val="24"/>
          <w:szCs w:val="24"/>
        </w:rPr>
        <w:t>aigiamosios</w:t>
      </w:r>
      <w:r w:rsidRPr="00A91E83">
        <w:rPr>
          <w:rFonts w:ascii="Times New Roman" w:hAnsi="Times New Roman" w:cs="Times New Roman"/>
          <w:sz w:val="24"/>
          <w:szCs w:val="24"/>
        </w:rPr>
        <w:t xml:space="preserve"> </w:t>
      </w:r>
      <w:r w:rsidR="00985118" w:rsidRPr="00A91E83">
        <w:rPr>
          <w:rFonts w:ascii="Times New Roman" w:hAnsi="Times New Roman" w:cs="Times New Roman"/>
          <w:sz w:val="24"/>
          <w:szCs w:val="24"/>
        </w:rPr>
        <w:t>užskaitos</w:t>
      </w:r>
      <w:r w:rsidRPr="00A91E83">
        <w:rPr>
          <w:rFonts w:ascii="Times New Roman" w:hAnsi="Times New Roman" w:cs="Times New Roman"/>
          <w:sz w:val="24"/>
          <w:szCs w:val="24"/>
        </w:rPr>
        <w:t xml:space="preserve"> sąlyga nebūtinai turi būti atskiras susitarimas, bet gali būti ir kito susitarimo (</w:t>
      </w:r>
      <w:proofErr w:type="spellStart"/>
      <w:r w:rsidR="00AA1D49" w:rsidRPr="00A91E83">
        <w:rPr>
          <w:rFonts w:ascii="Times New Roman" w:hAnsi="Times New Roman" w:cs="Times New Roman"/>
          <w:sz w:val="24"/>
          <w:szCs w:val="24"/>
        </w:rPr>
        <w:t>pvz</w:t>
      </w:r>
      <w:proofErr w:type="spellEnd"/>
      <w:r w:rsidR="00AA1D49" w:rsidRPr="00A91E83">
        <w:rPr>
          <w:rFonts w:ascii="Times New Roman" w:hAnsi="Times New Roman" w:cs="Times New Roman"/>
          <w:sz w:val="24"/>
          <w:szCs w:val="24"/>
        </w:rPr>
        <w:t>.:</w:t>
      </w:r>
      <w:r w:rsidR="006571C0" w:rsidRPr="00A91E83">
        <w:rPr>
          <w:rFonts w:ascii="Times New Roman" w:hAnsi="Times New Roman" w:cs="Times New Roman"/>
          <w:sz w:val="24"/>
          <w:szCs w:val="24"/>
        </w:rPr>
        <w:t> </w:t>
      </w:r>
      <w:r w:rsidRPr="00A91E83">
        <w:rPr>
          <w:rFonts w:ascii="Times New Roman" w:hAnsi="Times New Roman" w:cs="Times New Roman"/>
          <w:sz w:val="24"/>
          <w:szCs w:val="24"/>
        </w:rPr>
        <w:t>ISDA Sutarties), kurio dalis (</w:t>
      </w:r>
      <w:proofErr w:type="spellStart"/>
      <w:r w:rsidR="00AA1D49" w:rsidRPr="00A91E83">
        <w:rPr>
          <w:rFonts w:ascii="Times New Roman" w:hAnsi="Times New Roman" w:cs="Times New Roman"/>
          <w:sz w:val="24"/>
          <w:szCs w:val="24"/>
        </w:rPr>
        <w:t>pvz</w:t>
      </w:r>
      <w:proofErr w:type="spellEnd"/>
      <w:r w:rsidR="00AA1D49" w:rsidRPr="00A91E83">
        <w:rPr>
          <w:rFonts w:ascii="Times New Roman" w:hAnsi="Times New Roman" w:cs="Times New Roman"/>
          <w:sz w:val="24"/>
          <w:szCs w:val="24"/>
        </w:rPr>
        <w:t xml:space="preserve">.: </w:t>
      </w:r>
      <w:r w:rsidRPr="00A91E83">
        <w:rPr>
          <w:rFonts w:ascii="Times New Roman" w:hAnsi="Times New Roman" w:cs="Times New Roman"/>
          <w:sz w:val="24"/>
          <w:szCs w:val="24"/>
        </w:rPr>
        <w:t>v</w:t>
      </w:r>
      <w:r w:rsidR="00985118" w:rsidRPr="00A91E83">
        <w:rPr>
          <w:rFonts w:ascii="Times New Roman" w:hAnsi="Times New Roman" w:cs="Times New Roman"/>
          <w:sz w:val="24"/>
          <w:szCs w:val="24"/>
        </w:rPr>
        <w:t>ieno iš eilės sandorių ilgasis P</w:t>
      </w:r>
      <w:r w:rsidRPr="00A91E83">
        <w:rPr>
          <w:rFonts w:ascii="Times New Roman" w:hAnsi="Times New Roman" w:cs="Times New Roman"/>
          <w:sz w:val="24"/>
          <w:szCs w:val="24"/>
        </w:rPr>
        <w:t xml:space="preserve">atvirtinimas, ar </w:t>
      </w:r>
      <w:r w:rsidR="00AA1D49" w:rsidRPr="00A91E83">
        <w:rPr>
          <w:rFonts w:ascii="Times New Roman" w:hAnsi="Times New Roman" w:cs="Times New Roman"/>
          <w:sz w:val="24"/>
          <w:szCs w:val="24"/>
        </w:rPr>
        <w:t>p</w:t>
      </w:r>
      <w:r w:rsidR="00985118" w:rsidRPr="00A91E83">
        <w:rPr>
          <w:rFonts w:ascii="Times New Roman" w:hAnsi="Times New Roman" w:cs="Times New Roman"/>
          <w:sz w:val="24"/>
          <w:szCs w:val="24"/>
        </w:rPr>
        <w:t xml:space="preserve">rievolių įvykdymo </w:t>
      </w:r>
      <w:r w:rsidR="00AA1D49" w:rsidRPr="00A91E83">
        <w:rPr>
          <w:rFonts w:ascii="Times New Roman" w:hAnsi="Times New Roman" w:cs="Times New Roman"/>
          <w:sz w:val="24"/>
          <w:szCs w:val="24"/>
        </w:rPr>
        <w:t xml:space="preserve">užtikrinimo </w:t>
      </w:r>
      <w:r w:rsidR="00465D57" w:rsidRPr="00A91E83">
        <w:rPr>
          <w:rFonts w:ascii="Times New Roman" w:hAnsi="Times New Roman" w:cs="Times New Roman"/>
          <w:sz w:val="24"/>
          <w:szCs w:val="24"/>
        </w:rPr>
        <w:t>priedas</w:t>
      </w:r>
      <w:r w:rsidRPr="00A91E83">
        <w:rPr>
          <w:rFonts w:ascii="Times New Roman" w:hAnsi="Times New Roman" w:cs="Times New Roman"/>
          <w:sz w:val="24"/>
          <w:szCs w:val="24"/>
        </w:rPr>
        <w:t xml:space="preserve">) yra finansinio užtikrinimo susitarimas. </w:t>
      </w:r>
      <w:r w:rsidR="00BF7C38" w:rsidRPr="00A91E83">
        <w:rPr>
          <w:rFonts w:ascii="Times New Roman" w:hAnsi="Times New Roman" w:cs="Times New Roman"/>
          <w:sz w:val="24"/>
          <w:szCs w:val="24"/>
        </w:rPr>
        <w:t xml:space="preserve">Taigi visiškai toleruotina ir situacija, kai tarpusavio užskaitos mechanizmas galėtų būti taikomas tarp šalių ir tiems sandoriams, </w:t>
      </w:r>
      <w:r w:rsidR="002B3096" w:rsidRPr="00A91E83">
        <w:rPr>
          <w:rFonts w:ascii="Times New Roman" w:hAnsi="Times New Roman" w:cs="Times New Roman"/>
          <w:sz w:val="24"/>
          <w:szCs w:val="24"/>
        </w:rPr>
        <w:t>kurie yra sudėtinė ISDA s</w:t>
      </w:r>
      <w:r w:rsidR="00C13333" w:rsidRPr="00A91E83">
        <w:rPr>
          <w:rFonts w:ascii="Times New Roman" w:hAnsi="Times New Roman" w:cs="Times New Roman"/>
          <w:sz w:val="24"/>
          <w:szCs w:val="24"/>
        </w:rPr>
        <w:t xml:space="preserve">utarties dalis, tačiau </w:t>
      </w:r>
      <w:r w:rsidR="00BF7C38" w:rsidRPr="00A91E83">
        <w:rPr>
          <w:rFonts w:ascii="Times New Roman" w:hAnsi="Times New Roman" w:cs="Times New Roman"/>
          <w:sz w:val="24"/>
          <w:szCs w:val="24"/>
        </w:rPr>
        <w:t xml:space="preserve">dėl kurių įvykdymo užtikrinimo </w:t>
      </w:r>
      <w:r w:rsidR="00C13333" w:rsidRPr="00A91E83">
        <w:rPr>
          <w:rFonts w:ascii="Times New Roman" w:hAnsi="Times New Roman" w:cs="Times New Roman"/>
          <w:sz w:val="24"/>
          <w:szCs w:val="24"/>
        </w:rPr>
        <w:t xml:space="preserve">anksčiau nebuvo </w:t>
      </w:r>
      <w:r w:rsidR="00BF7C38" w:rsidRPr="00A91E83">
        <w:rPr>
          <w:rFonts w:ascii="Times New Roman" w:hAnsi="Times New Roman" w:cs="Times New Roman"/>
          <w:sz w:val="24"/>
          <w:szCs w:val="24"/>
        </w:rPr>
        <w:t>per</w:t>
      </w:r>
      <w:r w:rsidR="00465D57" w:rsidRPr="00A91E83">
        <w:rPr>
          <w:rFonts w:ascii="Times New Roman" w:hAnsi="Times New Roman" w:cs="Times New Roman"/>
          <w:sz w:val="24"/>
          <w:szCs w:val="24"/>
        </w:rPr>
        <w:t>duotas joks finansinis užstatas.</w:t>
      </w:r>
      <w:r w:rsidR="00BF7C38" w:rsidRPr="00A91E83">
        <w:rPr>
          <w:rStyle w:val="Puslapioinaosnuoroda"/>
          <w:rFonts w:ascii="Times New Roman" w:hAnsi="Times New Roman" w:cs="Times New Roman"/>
          <w:sz w:val="24"/>
          <w:szCs w:val="24"/>
        </w:rPr>
        <w:footnoteReference w:id="221"/>
      </w:r>
    </w:p>
    <w:p w:rsidR="00E915AD" w:rsidRPr="00A91E83" w:rsidRDefault="00E915AD" w:rsidP="00B46A53">
      <w:pPr>
        <w:tabs>
          <w:tab w:val="left" w:pos="851"/>
        </w:tabs>
        <w:autoSpaceDE w:val="0"/>
        <w:autoSpaceDN w:val="0"/>
        <w:adjustRightInd w:val="0"/>
        <w:spacing w:after="0" w:line="360" w:lineRule="auto"/>
        <w:ind w:firstLine="851"/>
        <w:jc w:val="both"/>
        <w:rPr>
          <w:rFonts w:ascii="Times New Roman" w:hAnsi="Times New Roman" w:cs="Times New Roman"/>
          <w:sz w:val="24"/>
          <w:szCs w:val="24"/>
        </w:rPr>
      </w:pPr>
    </w:p>
    <w:p w:rsidR="00965577" w:rsidRPr="00A91E83" w:rsidRDefault="008434BD" w:rsidP="00256B0B">
      <w:pPr>
        <w:pStyle w:val="Sraopastraipa"/>
        <w:numPr>
          <w:ilvl w:val="1"/>
          <w:numId w:val="4"/>
        </w:numPr>
        <w:tabs>
          <w:tab w:val="left" w:pos="851"/>
        </w:tabs>
        <w:spacing w:after="0" w:line="360" w:lineRule="auto"/>
        <w:ind w:left="0" w:firstLine="0"/>
        <w:jc w:val="both"/>
        <w:outlineLvl w:val="1"/>
        <w:rPr>
          <w:rFonts w:ascii="Times New Roman" w:hAnsi="Times New Roman" w:cs="Times New Roman"/>
          <w:b/>
          <w:sz w:val="24"/>
          <w:szCs w:val="24"/>
        </w:rPr>
      </w:pPr>
      <w:bookmarkStart w:id="36" w:name="_Toc280546469"/>
      <w:r w:rsidRPr="00A91E83">
        <w:rPr>
          <w:rFonts w:ascii="Times New Roman" w:hAnsi="Times New Roman" w:cs="Times New Roman"/>
          <w:b/>
          <w:sz w:val="24"/>
          <w:szCs w:val="24"/>
        </w:rPr>
        <w:t xml:space="preserve">Baigiamosios užskaitos sąlygos galiojimas </w:t>
      </w:r>
      <w:r w:rsidR="00256B0B" w:rsidRPr="00A91E83">
        <w:rPr>
          <w:rFonts w:ascii="Times New Roman" w:hAnsi="Times New Roman" w:cs="Times New Roman"/>
          <w:b/>
          <w:sz w:val="24"/>
          <w:szCs w:val="24"/>
        </w:rPr>
        <w:t xml:space="preserve">ĮBĮ </w:t>
      </w:r>
      <w:r w:rsidRPr="00A91E83">
        <w:rPr>
          <w:rFonts w:ascii="Times New Roman" w:hAnsi="Times New Roman" w:cs="Times New Roman"/>
          <w:b/>
          <w:sz w:val="24"/>
          <w:szCs w:val="24"/>
        </w:rPr>
        <w:t>kontekste</w:t>
      </w:r>
      <w:bookmarkEnd w:id="36"/>
    </w:p>
    <w:p w:rsidR="006D3073" w:rsidRPr="00A91E83" w:rsidRDefault="006D3073" w:rsidP="006D3073">
      <w:pPr>
        <w:pStyle w:val="Sraopastraipa"/>
        <w:tabs>
          <w:tab w:val="left" w:pos="851"/>
        </w:tabs>
        <w:spacing w:after="0" w:line="360" w:lineRule="auto"/>
        <w:ind w:left="851"/>
        <w:jc w:val="both"/>
        <w:rPr>
          <w:rFonts w:ascii="Times New Roman" w:hAnsi="Times New Roman" w:cs="Times New Roman"/>
          <w:b/>
          <w:sz w:val="24"/>
          <w:szCs w:val="24"/>
        </w:rPr>
      </w:pPr>
    </w:p>
    <w:p w:rsidR="00056E5B" w:rsidRPr="00A91E83" w:rsidRDefault="006E7C23" w:rsidP="009A6789">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lastRenderedPageBreak/>
        <w:t xml:space="preserve">Aukščiau atliktos analizės pagrindu galima padaryti išvadą, jog </w:t>
      </w:r>
      <w:r w:rsidR="00071AF9" w:rsidRPr="00A91E83">
        <w:rPr>
          <w:rFonts w:ascii="Times New Roman" w:hAnsi="Times New Roman" w:cs="Times New Roman"/>
          <w:sz w:val="24"/>
          <w:szCs w:val="24"/>
        </w:rPr>
        <w:t>baigiamosios</w:t>
      </w:r>
      <w:r w:rsidR="009A6789" w:rsidRPr="00A91E83">
        <w:rPr>
          <w:rFonts w:ascii="Times New Roman" w:hAnsi="Times New Roman" w:cs="Times New Roman"/>
          <w:sz w:val="24"/>
          <w:szCs w:val="24"/>
        </w:rPr>
        <w:t xml:space="preserve"> užskaitos mechanizmas gali būti taikomas, kai</w:t>
      </w:r>
      <w:r w:rsidR="00712A6F" w:rsidRPr="00A91E83">
        <w:rPr>
          <w:rFonts w:ascii="Times New Roman" w:hAnsi="Times New Roman" w:cs="Times New Roman"/>
          <w:sz w:val="24"/>
          <w:szCs w:val="24"/>
        </w:rPr>
        <w:t xml:space="preserve"> šalių santykiai kvalifikuojami pagal FUSĮ taikymo sąlygas. </w:t>
      </w:r>
      <w:r w:rsidR="00056E5B" w:rsidRPr="00A91E83">
        <w:rPr>
          <w:rFonts w:ascii="Times New Roman" w:hAnsi="Times New Roman" w:cs="Times New Roman"/>
          <w:sz w:val="24"/>
          <w:szCs w:val="24"/>
        </w:rPr>
        <w:t>Vis dėlto p</w:t>
      </w:r>
      <w:r w:rsidRPr="00A91E83">
        <w:rPr>
          <w:rFonts w:ascii="Times New Roman" w:hAnsi="Times New Roman" w:cs="Times New Roman"/>
          <w:sz w:val="24"/>
          <w:szCs w:val="24"/>
        </w:rPr>
        <w:t>robleminė situacija susidaro, kad n</w:t>
      </w:r>
      <w:r w:rsidR="009A6789" w:rsidRPr="00A91E83">
        <w:rPr>
          <w:rFonts w:ascii="Times New Roman" w:hAnsi="Times New Roman" w:cs="Times New Roman"/>
          <w:sz w:val="24"/>
          <w:szCs w:val="24"/>
        </w:rPr>
        <w:t xml:space="preserve">ors ir daugeliu atveju šalys naudoja finansinio užtikrinimo susitarimus </w:t>
      </w:r>
      <w:proofErr w:type="spellStart"/>
      <w:r w:rsidR="009A6789" w:rsidRPr="00A91E83">
        <w:rPr>
          <w:rFonts w:ascii="Times New Roman" w:hAnsi="Times New Roman" w:cs="Times New Roman"/>
          <w:sz w:val="24"/>
          <w:szCs w:val="24"/>
        </w:rPr>
        <w:t>užbiržinių</w:t>
      </w:r>
      <w:proofErr w:type="spellEnd"/>
      <w:r w:rsidR="009A6789" w:rsidRPr="00A91E83">
        <w:rPr>
          <w:rFonts w:ascii="Times New Roman" w:hAnsi="Times New Roman" w:cs="Times New Roman"/>
          <w:sz w:val="24"/>
          <w:szCs w:val="24"/>
        </w:rPr>
        <w:t xml:space="preserve"> sandorių dėl išvestinių finansinių priemonių vykdymui užtikrinti, tačiau kartais finansinis užstatas nėra perduodamas</w:t>
      </w:r>
      <w:r w:rsidRPr="00A91E83">
        <w:rPr>
          <w:rFonts w:ascii="Times New Roman" w:hAnsi="Times New Roman" w:cs="Times New Roman"/>
          <w:sz w:val="24"/>
          <w:szCs w:val="24"/>
        </w:rPr>
        <w:t xml:space="preserve">, arba, kaip minėta yra perduodamas, bet </w:t>
      </w:r>
      <w:r w:rsidR="00056E5B" w:rsidRPr="00A91E83">
        <w:rPr>
          <w:rFonts w:ascii="Times New Roman" w:hAnsi="Times New Roman" w:cs="Times New Roman"/>
          <w:sz w:val="24"/>
          <w:szCs w:val="24"/>
        </w:rPr>
        <w:t xml:space="preserve">finansinio užtikrinimo susitarimas </w:t>
      </w:r>
      <w:r w:rsidRPr="00A91E83">
        <w:rPr>
          <w:rFonts w:ascii="Times New Roman" w:hAnsi="Times New Roman" w:cs="Times New Roman"/>
          <w:sz w:val="24"/>
          <w:szCs w:val="24"/>
        </w:rPr>
        <w:t>neatitinka FUSĮ taikymo sąlygų.</w:t>
      </w:r>
      <w:r w:rsidR="009A6789" w:rsidRPr="00A91E83">
        <w:rPr>
          <w:rFonts w:ascii="Times New Roman" w:hAnsi="Times New Roman" w:cs="Times New Roman"/>
          <w:sz w:val="24"/>
          <w:szCs w:val="24"/>
        </w:rPr>
        <w:t xml:space="preserve"> Kartais gelbsti situacija, jog finansinis užstatas perduodamas tik </w:t>
      </w:r>
      <w:r w:rsidRPr="00A91E83">
        <w:rPr>
          <w:rFonts w:ascii="Times New Roman" w:hAnsi="Times New Roman" w:cs="Times New Roman"/>
          <w:sz w:val="24"/>
          <w:szCs w:val="24"/>
        </w:rPr>
        <w:t>sudarant kai kuriuos sandorius P</w:t>
      </w:r>
      <w:r w:rsidR="009A6789" w:rsidRPr="00A91E83">
        <w:rPr>
          <w:rFonts w:ascii="Times New Roman" w:hAnsi="Times New Roman" w:cs="Times New Roman"/>
          <w:sz w:val="24"/>
          <w:szCs w:val="24"/>
        </w:rPr>
        <w:t xml:space="preserve">agrindinio susitarimo atžvilgiu, tai visiems sandoriams šis režimas </w:t>
      </w:r>
      <w:r w:rsidRPr="00A91E83">
        <w:rPr>
          <w:rFonts w:ascii="Times New Roman" w:hAnsi="Times New Roman" w:cs="Times New Roman"/>
          <w:sz w:val="24"/>
          <w:szCs w:val="24"/>
        </w:rPr>
        <w:t>įsigalioja taip pat</w:t>
      </w:r>
      <w:r w:rsidR="009A6789" w:rsidRPr="00A91E83">
        <w:rPr>
          <w:rFonts w:ascii="Times New Roman" w:hAnsi="Times New Roman" w:cs="Times New Roman"/>
          <w:sz w:val="24"/>
          <w:szCs w:val="24"/>
        </w:rPr>
        <w:t xml:space="preserve">. </w:t>
      </w:r>
    </w:p>
    <w:p w:rsidR="00056E5B" w:rsidRPr="00A91E83" w:rsidRDefault="00056E5B" w:rsidP="00056E5B">
      <w:pPr>
        <w:tabs>
          <w:tab w:val="left" w:pos="85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t>Tolimesnė analizė bus skiriama ISDA užskaitos sąlygos galiojimo problematikai bendrųjų bankroto normų kontekste</w:t>
      </w:r>
      <w:r w:rsidR="00B53132" w:rsidRPr="00A91E83">
        <w:rPr>
          <w:rFonts w:ascii="Times New Roman" w:hAnsi="Times New Roman" w:cs="Times New Roman"/>
          <w:sz w:val="24"/>
          <w:szCs w:val="24"/>
        </w:rPr>
        <w:t>,</w:t>
      </w:r>
      <w:r w:rsidRPr="00A91E83">
        <w:rPr>
          <w:rFonts w:ascii="Times New Roman" w:hAnsi="Times New Roman" w:cs="Times New Roman"/>
          <w:sz w:val="24"/>
          <w:szCs w:val="24"/>
        </w:rPr>
        <w:t xml:space="preserve"> </w:t>
      </w:r>
      <w:r w:rsidR="00B53132" w:rsidRPr="00A91E83">
        <w:rPr>
          <w:rFonts w:ascii="Times New Roman" w:hAnsi="Times New Roman" w:cs="Times New Roman"/>
          <w:sz w:val="24"/>
          <w:szCs w:val="24"/>
        </w:rPr>
        <w:t>turint omenyje LAT suformuotą praktiką, kuri draudžia įskaitymą nuo bankroto bylos iškėlimo įsiteisėjimo momento.</w:t>
      </w:r>
      <w:r w:rsidR="00B53132" w:rsidRPr="00A91E83">
        <w:rPr>
          <w:rStyle w:val="Puslapioinaosnuoroda"/>
          <w:rFonts w:ascii="Times New Roman" w:hAnsi="Times New Roman" w:cs="Times New Roman"/>
          <w:sz w:val="24"/>
          <w:szCs w:val="24"/>
        </w:rPr>
        <w:t xml:space="preserve"> </w:t>
      </w:r>
      <w:r w:rsidR="00B53132" w:rsidRPr="00A91E83">
        <w:rPr>
          <w:rStyle w:val="Puslapioinaosnuoroda"/>
          <w:rFonts w:ascii="Times New Roman" w:hAnsi="Times New Roman" w:cs="Times New Roman"/>
          <w:sz w:val="24"/>
          <w:szCs w:val="24"/>
        </w:rPr>
        <w:footnoteReference w:id="222"/>
      </w:r>
      <w:r w:rsidR="005834B9" w:rsidRPr="00A91E83">
        <w:rPr>
          <w:rFonts w:ascii="Times New Roman" w:hAnsi="Times New Roman" w:cs="Times New Roman"/>
          <w:sz w:val="24"/>
          <w:szCs w:val="24"/>
        </w:rPr>
        <w:t xml:space="preserve"> Taigi visi sandoriai sudaryti po bankroto bylos įsiteisėjimo mome</w:t>
      </w:r>
      <w:r w:rsidR="001B1D76" w:rsidRPr="00A91E83">
        <w:rPr>
          <w:rFonts w:ascii="Times New Roman" w:hAnsi="Times New Roman" w:cs="Times New Roman"/>
          <w:sz w:val="24"/>
          <w:szCs w:val="24"/>
        </w:rPr>
        <w:t>nto bus l</w:t>
      </w:r>
      <w:r w:rsidR="006636F5" w:rsidRPr="00A91E83">
        <w:rPr>
          <w:rFonts w:ascii="Times New Roman" w:hAnsi="Times New Roman" w:cs="Times New Roman"/>
          <w:sz w:val="24"/>
          <w:szCs w:val="24"/>
        </w:rPr>
        <w:t>aikomi negaliojančiais</w:t>
      </w:r>
      <w:r w:rsidR="001F4C23" w:rsidRPr="00A91E83">
        <w:rPr>
          <w:rFonts w:ascii="Times New Roman" w:hAnsi="Times New Roman" w:cs="Times New Roman"/>
          <w:sz w:val="24"/>
          <w:szCs w:val="24"/>
        </w:rPr>
        <w:t xml:space="preserve"> remiantis CK 1.80 pagrindu.</w:t>
      </w:r>
    </w:p>
    <w:p w:rsidR="00DE541C" w:rsidRPr="00A91E83" w:rsidRDefault="009A6789" w:rsidP="00D91372">
      <w:pPr>
        <w:pStyle w:val="Sraopastraipa"/>
        <w:tabs>
          <w:tab w:val="left" w:pos="0"/>
          <w:tab w:val="left" w:pos="851"/>
        </w:tabs>
        <w:spacing w:after="0" w:line="360" w:lineRule="auto"/>
        <w:ind w:left="0"/>
        <w:jc w:val="both"/>
        <w:rPr>
          <w:rFonts w:ascii="Times New Roman" w:hAnsi="Times New Roman" w:cs="Times New Roman"/>
          <w:sz w:val="24"/>
          <w:szCs w:val="24"/>
        </w:rPr>
      </w:pPr>
      <w:r w:rsidRPr="00A91E83">
        <w:rPr>
          <w:rFonts w:ascii="Times New Roman" w:hAnsi="Times New Roman" w:cs="Times New Roman"/>
          <w:sz w:val="24"/>
          <w:szCs w:val="24"/>
        </w:rPr>
        <w:tab/>
      </w:r>
      <w:r w:rsidR="00DE541C" w:rsidRPr="00A91E83">
        <w:rPr>
          <w:rFonts w:ascii="Times New Roman" w:hAnsi="Times New Roman" w:cs="Times New Roman"/>
          <w:sz w:val="24"/>
          <w:szCs w:val="24"/>
        </w:rPr>
        <w:t xml:space="preserve">Kaip minėjome, baigiamosios užskaitos sąlygos taikymą galima ir tikslinga suskirstyti į tris etapus: (1) sandorių </w:t>
      </w:r>
      <w:r w:rsidR="00292975" w:rsidRPr="00A91E83">
        <w:rPr>
          <w:rFonts w:ascii="Times New Roman" w:hAnsi="Times New Roman" w:cs="Times New Roman"/>
          <w:sz w:val="24"/>
          <w:szCs w:val="24"/>
        </w:rPr>
        <w:t>nutraukimas</w:t>
      </w:r>
      <w:r w:rsidR="00DE541C" w:rsidRPr="00A91E83">
        <w:rPr>
          <w:rFonts w:ascii="Times New Roman" w:hAnsi="Times New Roman" w:cs="Times New Roman"/>
          <w:sz w:val="24"/>
          <w:szCs w:val="24"/>
        </w:rPr>
        <w:t xml:space="preserve">; (2) </w:t>
      </w:r>
      <w:r w:rsidR="00056E5B" w:rsidRPr="00A91E83">
        <w:rPr>
          <w:rFonts w:ascii="Times New Roman" w:hAnsi="Times New Roman" w:cs="Times New Roman"/>
          <w:sz w:val="24"/>
          <w:szCs w:val="24"/>
        </w:rPr>
        <w:t>nuostolių / pelno įvertinimas; ir (3) reikalavimų sujungimas į vieną mokėtiną sumą</w:t>
      </w:r>
      <w:r w:rsidR="00DE541C" w:rsidRPr="00A91E83">
        <w:rPr>
          <w:rFonts w:ascii="Times New Roman" w:hAnsi="Times New Roman" w:cs="Times New Roman"/>
          <w:sz w:val="24"/>
          <w:szCs w:val="24"/>
        </w:rPr>
        <w:t xml:space="preserve">. Todėl norint, kad visiškai pasitvirtintų hipotezė, </w:t>
      </w:r>
      <w:r w:rsidR="008C26F1" w:rsidRPr="00A91E83">
        <w:rPr>
          <w:rFonts w:ascii="Times New Roman" w:hAnsi="Times New Roman" w:cs="Times New Roman"/>
          <w:sz w:val="24"/>
          <w:szCs w:val="24"/>
        </w:rPr>
        <w:t>t.</w:t>
      </w:r>
      <w:r w:rsidR="00415B6C" w:rsidRPr="00A91E83">
        <w:rPr>
          <w:rFonts w:ascii="Times New Roman" w:hAnsi="Times New Roman" w:cs="Times New Roman"/>
          <w:sz w:val="24"/>
          <w:szCs w:val="24"/>
        </w:rPr>
        <w:t> </w:t>
      </w:r>
      <w:r w:rsidR="008C26F1" w:rsidRPr="00A91E83">
        <w:rPr>
          <w:rFonts w:ascii="Times New Roman" w:hAnsi="Times New Roman" w:cs="Times New Roman"/>
          <w:sz w:val="24"/>
          <w:szCs w:val="24"/>
        </w:rPr>
        <w:t>y.</w:t>
      </w:r>
      <w:r w:rsidR="00DE541C" w:rsidRPr="00A91E83">
        <w:rPr>
          <w:rFonts w:ascii="Times New Roman" w:hAnsi="Times New Roman" w:cs="Times New Roman"/>
          <w:sz w:val="24"/>
          <w:szCs w:val="24"/>
        </w:rPr>
        <w:t xml:space="preserve"> baigiamosios užskaitos sąlyga nekliudomai galėtų būti taikoma net ir esant vienai iš šalių nemokiai visos trys są</w:t>
      </w:r>
      <w:r w:rsidR="001F4C23" w:rsidRPr="00A91E83">
        <w:rPr>
          <w:rFonts w:ascii="Times New Roman" w:hAnsi="Times New Roman" w:cs="Times New Roman"/>
          <w:sz w:val="24"/>
          <w:szCs w:val="24"/>
        </w:rPr>
        <w:t>lygos neturėtų būti draudžiamos.</w:t>
      </w:r>
    </w:p>
    <w:p w:rsidR="00DE541C" w:rsidRPr="00A91E83" w:rsidRDefault="00DE541C" w:rsidP="006D3073">
      <w:pPr>
        <w:pStyle w:val="Sraopastraipa"/>
        <w:tabs>
          <w:tab w:val="left" w:pos="851"/>
        </w:tabs>
        <w:spacing w:after="0" w:line="360" w:lineRule="auto"/>
        <w:ind w:left="851"/>
        <w:jc w:val="both"/>
        <w:rPr>
          <w:rFonts w:ascii="Times New Roman" w:hAnsi="Times New Roman" w:cs="Times New Roman"/>
          <w:b/>
          <w:sz w:val="24"/>
          <w:szCs w:val="24"/>
        </w:rPr>
      </w:pPr>
    </w:p>
    <w:p w:rsidR="006D3073" w:rsidRPr="00A91E83" w:rsidRDefault="003B1648" w:rsidP="00256B0B">
      <w:pPr>
        <w:pStyle w:val="Sraopastraipa"/>
        <w:numPr>
          <w:ilvl w:val="2"/>
          <w:numId w:val="4"/>
        </w:numPr>
        <w:tabs>
          <w:tab w:val="left" w:pos="851"/>
        </w:tabs>
        <w:spacing w:after="0" w:line="360" w:lineRule="auto"/>
        <w:ind w:left="0" w:firstLine="0"/>
        <w:jc w:val="both"/>
        <w:outlineLvl w:val="2"/>
        <w:rPr>
          <w:rFonts w:ascii="Times New Roman" w:hAnsi="Times New Roman" w:cs="Times New Roman"/>
          <w:b/>
          <w:sz w:val="24"/>
          <w:szCs w:val="24"/>
        </w:rPr>
      </w:pPr>
      <w:bookmarkStart w:id="37" w:name="_Toc280546470"/>
      <w:r w:rsidRPr="00A91E83">
        <w:rPr>
          <w:rFonts w:ascii="Times New Roman" w:hAnsi="Times New Roman" w:cs="Times New Roman"/>
          <w:b/>
          <w:sz w:val="24"/>
          <w:szCs w:val="24"/>
        </w:rPr>
        <w:t>Sandorių nutraukimas</w:t>
      </w:r>
      <w:bookmarkEnd w:id="37"/>
    </w:p>
    <w:p w:rsidR="006D3073" w:rsidRPr="00A91E83" w:rsidRDefault="006D3073" w:rsidP="006D3073">
      <w:pPr>
        <w:pStyle w:val="Sraopastraipa"/>
        <w:tabs>
          <w:tab w:val="left" w:pos="851"/>
        </w:tabs>
        <w:spacing w:after="0" w:line="360" w:lineRule="auto"/>
        <w:ind w:left="997"/>
        <w:jc w:val="both"/>
        <w:rPr>
          <w:rFonts w:ascii="Times New Roman" w:hAnsi="Times New Roman" w:cs="Times New Roman"/>
          <w:sz w:val="24"/>
          <w:szCs w:val="24"/>
        </w:rPr>
      </w:pPr>
    </w:p>
    <w:p w:rsidR="004F77EE" w:rsidRPr="00A91E83" w:rsidRDefault="001056F5" w:rsidP="00C34516">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Apskritai ĮBĮ nesuteikia </w:t>
      </w:r>
      <w:r w:rsidR="00415B6C" w:rsidRPr="00A91E83">
        <w:rPr>
          <w:rFonts w:ascii="Times New Roman" w:hAnsi="Times New Roman" w:cs="Times New Roman"/>
          <w:sz w:val="24"/>
          <w:szCs w:val="24"/>
        </w:rPr>
        <w:t xml:space="preserve">teisės </w:t>
      </w:r>
      <w:r w:rsidRPr="00A91E83">
        <w:rPr>
          <w:rFonts w:ascii="Times New Roman" w:hAnsi="Times New Roman" w:cs="Times New Roman"/>
          <w:sz w:val="24"/>
          <w:szCs w:val="24"/>
        </w:rPr>
        <w:t>kitai sutarties šaliai vienašališkai nutraukti sandorius, kai ji sužino, kad įmonei iškelta bankroto byla, dėl ko ji gali patirti neplanuotų nuostolių.</w:t>
      </w:r>
      <w:r w:rsidRPr="00A91E83">
        <w:rPr>
          <w:rStyle w:val="Puslapioinaosnuoroda"/>
          <w:rFonts w:ascii="Times New Roman" w:hAnsi="Times New Roman" w:cs="Times New Roman"/>
          <w:sz w:val="24"/>
          <w:szCs w:val="24"/>
        </w:rPr>
        <w:footnoteReference w:id="223"/>
      </w:r>
      <w:r w:rsidRPr="00A91E83">
        <w:rPr>
          <w:rFonts w:ascii="Times New Roman" w:hAnsi="Times New Roman" w:cs="Times New Roman"/>
          <w:sz w:val="24"/>
          <w:szCs w:val="24"/>
        </w:rPr>
        <w:t xml:space="preserve"> Nebent šalys būtų iš anksto susitarusios dėl vienašališko nutraukimo galimybės.</w:t>
      </w:r>
      <w:r w:rsidRPr="00A91E83">
        <w:rPr>
          <w:rStyle w:val="Puslapioinaosnuoroda"/>
          <w:rFonts w:ascii="Times New Roman" w:hAnsi="Times New Roman" w:cs="Times New Roman"/>
          <w:sz w:val="24"/>
          <w:szCs w:val="24"/>
        </w:rPr>
        <w:footnoteReference w:id="224"/>
      </w:r>
      <w:r w:rsidRPr="00A91E83">
        <w:rPr>
          <w:rFonts w:ascii="Times New Roman" w:hAnsi="Times New Roman" w:cs="Times New Roman"/>
          <w:sz w:val="24"/>
          <w:szCs w:val="24"/>
        </w:rPr>
        <w:t xml:space="preserve"> </w:t>
      </w:r>
      <w:r w:rsidR="00A66F62" w:rsidRPr="00A91E83">
        <w:rPr>
          <w:rFonts w:ascii="Times New Roman" w:hAnsi="Times New Roman" w:cs="Times New Roman"/>
          <w:sz w:val="24"/>
          <w:szCs w:val="24"/>
        </w:rPr>
        <w:t xml:space="preserve">Kaip minėta ISDA struktūros apžvalgoje, konkrečiai aptariant </w:t>
      </w:r>
      <w:r w:rsidR="003D4FE9" w:rsidRPr="00A91E83">
        <w:rPr>
          <w:rFonts w:ascii="Times New Roman" w:hAnsi="Times New Roman" w:cs="Times New Roman"/>
          <w:sz w:val="24"/>
          <w:szCs w:val="24"/>
        </w:rPr>
        <w:t>įtvirtintą</w:t>
      </w:r>
      <w:r w:rsidR="00C34516" w:rsidRPr="00A91E83">
        <w:rPr>
          <w:rFonts w:ascii="Times New Roman" w:hAnsi="Times New Roman" w:cs="Times New Roman"/>
          <w:sz w:val="24"/>
          <w:szCs w:val="24"/>
        </w:rPr>
        <w:t xml:space="preserve"> </w:t>
      </w:r>
      <w:r w:rsidR="003D4FE9" w:rsidRPr="00A91E83">
        <w:rPr>
          <w:rFonts w:ascii="Times New Roman" w:hAnsi="Times New Roman" w:cs="Times New Roman"/>
          <w:sz w:val="24"/>
          <w:szCs w:val="24"/>
        </w:rPr>
        <w:t>baigiamosios užskaitos sąlygą</w:t>
      </w:r>
      <w:r w:rsidR="00A66F62" w:rsidRPr="00A91E83">
        <w:rPr>
          <w:rFonts w:ascii="Times New Roman" w:hAnsi="Times New Roman" w:cs="Times New Roman"/>
          <w:sz w:val="24"/>
          <w:szCs w:val="24"/>
        </w:rPr>
        <w:t xml:space="preserve">, </w:t>
      </w:r>
      <w:r w:rsidR="00415B6C" w:rsidRPr="00A91E83">
        <w:rPr>
          <w:rFonts w:ascii="Times New Roman" w:hAnsi="Times New Roman" w:cs="Times New Roman"/>
          <w:sz w:val="24"/>
          <w:szCs w:val="24"/>
        </w:rPr>
        <w:t>ji</w:t>
      </w:r>
      <w:r w:rsidR="00A66F62" w:rsidRPr="00A91E83">
        <w:rPr>
          <w:rFonts w:ascii="Times New Roman" w:hAnsi="Times New Roman" w:cs="Times New Roman"/>
          <w:sz w:val="24"/>
          <w:szCs w:val="24"/>
        </w:rPr>
        <w:t xml:space="preserve"> yra </w:t>
      </w:r>
      <w:r w:rsidR="00115D32" w:rsidRPr="00A91E83">
        <w:rPr>
          <w:rFonts w:ascii="Times New Roman" w:hAnsi="Times New Roman" w:cs="Times New Roman"/>
          <w:sz w:val="24"/>
          <w:szCs w:val="24"/>
        </w:rPr>
        <w:t xml:space="preserve">aktyvuojama numatytu ISDA formoje keliu. Pirmiausia </w:t>
      </w:r>
      <w:r w:rsidR="00415B6C" w:rsidRPr="00A91E83">
        <w:rPr>
          <w:rFonts w:ascii="Times New Roman" w:hAnsi="Times New Roman" w:cs="Times New Roman"/>
          <w:sz w:val="24"/>
          <w:szCs w:val="24"/>
        </w:rPr>
        <w:t>įvyksta</w:t>
      </w:r>
      <w:r w:rsidR="00115D32" w:rsidRPr="00A91E83">
        <w:rPr>
          <w:rFonts w:ascii="Times New Roman" w:hAnsi="Times New Roman" w:cs="Times New Roman"/>
          <w:sz w:val="24"/>
          <w:szCs w:val="24"/>
        </w:rPr>
        <w:t xml:space="preserve"> tam tikras įvykis (tyrimo atveju</w:t>
      </w:r>
      <w:r w:rsidR="00890313" w:rsidRPr="00A91E83">
        <w:rPr>
          <w:rFonts w:ascii="Times New Roman" w:hAnsi="Times New Roman" w:cs="Times New Roman"/>
          <w:sz w:val="24"/>
          <w:szCs w:val="24"/>
        </w:rPr>
        <w:t>,</w:t>
      </w:r>
      <w:r w:rsidR="00115D32" w:rsidRPr="00A91E83">
        <w:rPr>
          <w:rFonts w:ascii="Times New Roman" w:hAnsi="Times New Roman" w:cs="Times New Roman"/>
          <w:sz w:val="24"/>
          <w:szCs w:val="24"/>
        </w:rPr>
        <w:t xml:space="preserve"> susijęs su bankrotu</w:t>
      </w:r>
      <w:r w:rsidR="00A926BB" w:rsidRPr="00A91E83">
        <w:rPr>
          <w:rFonts w:ascii="Times New Roman" w:hAnsi="Times New Roman" w:cs="Times New Roman"/>
          <w:sz w:val="24"/>
          <w:szCs w:val="24"/>
        </w:rPr>
        <w:t xml:space="preserve"> ir vadinamas bankroto sąlyga</w:t>
      </w:r>
      <w:r w:rsidR="00115D32" w:rsidRPr="00A91E83">
        <w:rPr>
          <w:rFonts w:ascii="Times New Roman" w:hAnsi="Times New Roman" w:cs="Times New Roman"/>
          <w:sz w:val="24"/>
          <w:szCs w:val="24"/>
        </w:rPr>
        <w:t xml:space="preserve">), kuris </w:t>
      </w:r>
      <w:r w:rsidR="00101125" w:rsidRPr="00A91E83">
        <w:rPr>
          <w:rFonts w:ascii="Times New Roman" w:hAnsi="Times New Roman" w:cs="Times New Roman"/>
          <w:sz w:val="24"/>
          <w:szCs w:val="24"/>
        </w:rPr>
        <w:t>automatiškai nutraukia visas</w:t>
      </w:r>
      <w:r w:rsidR="00115D32" w:rsidRPr="00A91E83">
        <w:rPr>
          <w:rFonts w:ascii="Times New Roman" w:hAnsi="Times New Roman" w:cs="Times New Roman"/>
          <w:sz w:val="24"/>
          <w:szCs w:val="24"/>
        </w:rPr>
        <w:t xml:space="preserve"> sutartis</w:t>
      </w:r>
      <w:r w:rsidR="00A926BB" w:rsidRPr="00A91E83">
        <w:rPr>
          <w:rFonts w:ascii="Times New Roman" w:hAnsi="Times New Roman" w:cs="Times New Roman"/>
          <w:sz w:val="24"/>
          <w:szCs w:val="24"/>
        </w:rPr>
        <w:t xml:space="preserve"> (aktyvuoja vadinamąją automatinio išankstinio nutraukimo sąlygą)</w:t>
      </w:r>
      <w:r w:rsidR="00115D32" w:rsidRPr="00A91E83">
        <w:rPr>
          <w:rFonts w:ascii="Times New Roman" w:hAnsi="Times New Roman" w:cs="Times New Roman"/>
          <w:sz w:val="24"/>
          <w:szCs w:val="24"/>
        </w:rPr>
        <w:t xml:space="preserve">, arba </w:t>
      </w:r>
      <w:r w:rsidR="003B1648" w:rsidRPr="00A91E83">
        <w:rPr>
          <w:rFonts w:ascii="Times New Roman" w:hAnsi="Times New Roman" w:cs="Times New Roman"/>
          <w:sz w:val="24"/>
          <w:szCs w:val="24"/>
        </w:rPr>
        <w:t>mokiai šaliai</w:t>
      </w:r>
      <w:r w:rsidR="00101125" w:rsidRPr="00A91E83">
        <w:rPr>
          <w:rFonts w:ascii="Times New Roman" w:hAnsi="Times New Roman" w:cs="Times New Roman"/>
          <w:sz w:val="24"/>
          <w:szCs w:val="24"/>
        </w:rPr>
        <w:t xml:space="preserve"> suteikia teisę </w:t>
      </w:r>
      <w:r w:rsidR="003B1648" w:rsidRPr="00A91E83">
        <w:rPr>
          <w:rFonts w:ascii="Times New Roman" w:hAnsi="Times New Roman" w:cs="Times New Roman"/>
          <w:sz w:val="24"/>
          <w:szCs w:val="24"/>
        </w:rPr>
        <w:t>per 20 d. nuo bankroto bylos iškėlimo momento</w:t>
      </w:r>
      <w:r w:rsidR="003D4FE9" w:rsidRPr="00A91E83">
        <w:rPr>
          <w:rFonts w:ascii="Times New Roman" w:hAnsi="Times New Roman" w:cs="Times New Roman"/>
          <w:sz w:val="24"/>
          <w:szCs w:val="24"/>
        </w:rPr>
        <w:t>,</w:t>
      </w:r>
      <w:r w:rsidR="003B1648" w:rsidRPr="00A91E83">
        <w:rPr>
          <w:rFonts w:ascii="Times New Roman" w:hAnsi="Times New Roman" w:cs="Times New Roman"/>
          <w:sz w:val="24"/>
          <w:szCs w:val="24"/>
        </w:rPr>
        <w:t xml:space="preserve"> infor</w:t>
      </w:r>
      <w:r w:rsidR="00890313" w:rsidRPr="00A91E83">
        <w:rPr>
          <w:rFonts w:ascii="Times New Roman" w:hAnsi="Times New Roman" w:cs="Times New Roman"/>
          <w:sz w:val="24"/>
          <w:szCs w:val="24"/>
        </w:rPr>
        <w:t>muoti kontrahentą apie konkrečią</w:t>
      </w:r>
      <w:r w:rsidR="003B1648" w:rsidRPr="00A91E83">
        <w:rPr>
          <w:rFonts w:ascii="Times New Roman" w:hAnsi="Times New Roman" w:cs="Times New Roman"/>
          <w:sz w:val="24"/>
          <w:szCs w:val="24"/>
        </w:rPr>
        <w:t xml:space="preserve"> nutraukimo dieną</w:t>
      </w:r>
      <w:r w:rsidR="00A926BB" w:rsidRPr="00A91E83">
        <w:rPr>
          <w:rFonts w:ascii="Times New Roman" w:hAnsi="Times New Roman" w:cs="Times New Roman"/>
          <w:sz w:val="24"/>
          <w:szCs w:val="24"/>
        </w:rPr>
        <w:t xml:space="preserve"> (išankstinę nutraukimo dieną).</w:t>
      </w:r>
    </w:p>
    <w:p w:rsidR="00FE1B80" w:rsidRPr="00A91E83" w:rsidRDefault="008B3560" w:rsidP="00FE1B80">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Atkreiptinas dėmesys, kad nuo </w:t>
      </w:r>
      <w:r w:rsidR="003D4FE9" w:rsidRPr="00A91E83">
        <w:rPr>
          <w:rFonts w:ascii="Times New Roman" w:hAnsi="Times New Roman" w:cs="Times New Roman"/>
          <w:sz w:val="24"/>
          <w:szCs w:val="24"/>
        </w:rPr>
        <w:t xml:space="preserve">nutarties iškelti </w:t>
      </w:r>
      <w:r w:rsidRPr="00A91E83">
        <w:rPr>
          <w:rFonts w:ascii="Times New Roman" w:hAnsi="Times New Roman" w:cs="Times New Roman"/>
          <w:sz w:val="24"/>
          <w:szCs w:val="24"/>
        </w:rPr>
        <w:t>bankroto byl</w:t>
      </w:r>
      <w:r w:rsidR="003D4FE9" w:rsidRPr="00A91E83">
        <w:rPr>
          <w:rFonts w:ascii="Times New Roman" w:hAnsi="Times New Roman" w:cs="Times New Roman"/>
          <w:sz w:val="24"/>
          <w:szCs w:val="24"/>
        </w:rPr>
        <w:t>ą įsiteisėjimo</w:t>
      </w:r>
      <w:r w:rsidR="00890313" w:rsidRPr="00A91E83">
        <w:rPr>
          <w:rFonts w:ascii="Times New Roman" w:hAnsi="Times New Roman" w:cs="Times New Roman"/>
          <w:sz w:val="24"/>
          <w:szCs w:val="24"/>
        </w:rPr>
        <w:t>, įsigalioja bankroto režimas ir visą tolimesnį</w:t>
      </w:r>
      <w:r w:rsidRPr="00A91E83">
        <w:rPr>
          <w:rFonts w:ascii="Times New Roman" w:hAnsi="Times New Roman" w:cs="Times New Roman"/>
          <w:sz w:val="24"/>
          <w:szCs w:val="24"/>
        </w:rPr>
        <w:t xml:space="preserve"> bankrutuojančios bendrovės valdymą perima</w:t>
      </w:r>
      <w:r w:rsidR="003D4FE9" w:rsidRPr="00A91E83">
        <w:rPr>
          <w:rFonts w:ascii="Times New Roman" w:hAnsi="Times New Roman" w:cs="Times New Roman"/>
          <w:sz w:val="24"/>
          <w:szCs w:val="24"/>
        </w:rPr>
        <w:t xml:space="preserve"> bankroto administratorius. B</w:t>
      </w:r>
      <w:r w:rsidRPr="00A91E83">
        <w:rPr>
          <w:rFonts w:ascii="Times New Roman" w:hAnsi="Times New Roman" w:cs="Times New Roman"/>
          <w:sz w:val="24"/>
          <w:szCs w:val="24"/>
        </w:rPr>
        <w:t xml:space="preserve">ankroto administratorius sprendžia dėl tolimesnių nemokios bendrovės </w:t>
      </w:r>
      <w:r w:rsidRPr="00A91E83">
        <w:rPr>
          <w:rFonts w:ascii="Times New Roman" w:hAnsi="Times New Roman" w:cs="Times New Roman"/>
          <w:sz w:val="24"/>
          <w:szCs w:val="24"/>
        </w:rPr>
        <w:lastRenderedPageBreak/>
        <w:t>prievolių vykdymo</w:t>
      </w:r>
      <w:r w:rsidR="00C361FF" w:rsidRPr="00A91E83">
        <w:rPr>
          <w:rFonts w:ascii="Times New Roman" w:hAnsi="Times New Roman" w:cs="Times New Roman"/>
          <w:sz w:val="24"/>
          <w:szCs w:val="24"/>
        </w:rPr>
        <w:t xml:space="preserve"> ir nutraukimo</w:t>
      </w:r>
      <w:r w:rsidRPr="00A91E83">
        <w:rPr>
          <w:rFonts w:ascii="Times New Roman" w:hAnsi="Times New Roman" w:cs="Times New Roman"/>
          <w:sz w:val="24"/>
          <w:szCs w:val="24"/>
        </w:rPr>
        <w:t xml:space="preserve">. </w:t>
      </w:r>
      <w:r w:rsidR="00FD19D4" w:rsidRPr="00A91E83">
        <w:rPr>
          <w:rFonts w:ascii="Times New Roman" w:hAnsi="Times New Roman" w:cs="Times New Roman"/>
          <w:sz w:val="24"/>
          <w:szCs w:val="24"/>
        </w:rPr>
        <w:t>L</w:t>
      </w:r>
      <w:r w:rsidR="00240E53" w:rsidRPr="00A91E83">
        <w:rPr>
          <w:rFonts w:ascii="Times New Roman" w:hAnsi="Times New Roman" w:cs="Times New Roman"/>
          <w:sz w:val="24"/>
          <w:szCs w:val="24"/>
        </w:rPr>
        <w:t>A</w:t>
      </w:r>
      <w:r w:rsidR="00FD19D4" w:rsidRPr="00A91E83">
        <w:rPr>
          <w:rFonts w:ascii="Times New Roman" w:hAnsi="Times New Roman" w:cs="Times New Roman"/>
          <w:sz w:val="24"/>
          <w:szCs w:val="24"/>
        </w:rPr>
        <w:t xml:space="preserve">T draudžia sandorių vykdymą, ar naujų sandorių sudarymą, tačiau nieko neužsimena apie nutraukimą. Todėl, autoriaus nuomone, bankroto normos nedraudžia pasinaudoti sutartyje numatyta sandorių nutraukimo galimybe, net ir įsiteisėjus </w:t>
      </w:r>
      <w:r w:rsidR="003D4FE9" w:rsidRPr="00A91E83">
        <w:rPr>
          <w:rFonts w:ascii="Times New Roman" w:hAnsi="Times New Roman" w:cs="Times New Roman"/>
          <w:sz w:val="24"/>
          <w:szCs w:val="24"/>
        </w:rPr>
        <w:t>nutarčiai iškelti bankroto bylą, jeigu šalys buvo numačiusios tokią galimybę sutartyje.</w:t>
      </w:r>
      <w:r w:rsidR="00FD19D4" w:rsidRPr="00A91E83">
        <w:rPr>
          <w:rFonts w:ascii="Times New Roman" w:hAnsi="Times New Roman" w:cs="Times New Roman"/>
          <w:sz w:val="24"/>
          <w:szCs w:val="24"/>
        </w:rPr>
        <w:t xml:space="preserve"> </w:t>
      </w:r>
      <w:r w:rsidR="00590E04" w:rsidRPr="00A91E83">
        <w:rPr>
          <w:rFonts w:ascii="Times New Roman" w:hAnsi="Times New Roman" w:cs="Times New Roman"/>
          <w:sz w:val="24"/>
          <w:szCs w:val="24"/>
        </w:rPr>
        <w:t xml:space="preserve">Minėta išankstinio nutraukimo sąlyga </w:t>
      </w:r>
      <w:r w:rsidR="000578B0" w:rsidRPr="00A91E83">
        <w:rPr>
          <w:rFonts w:ascii="Times New Roman" w:hAnsi="Times New Roman" w:cs="Times New Roman"/>
          <w:sz w:val="24"/>
          <w:szCs w:val="24"/>
        </w:rPr>
        <w:t xml:space="preserve">prasidėjus bankroto procesui </w:t>
      </w:r>
      <w:r w:rsidR="00590E04" w:rsidRPr="00A91E83">
        <w:rPr>
          <w:rFonts w:ascii="Times New Roman" w:hAnsi="Times New Roman" w:cs="Times New Roman"/>
          <w:sz w:val="24"/>
          <w:szCs w:val="24"/>
        </w:rPr>
        <w:t>yra lei</w:t>
      </w:r>
      <w:r w:rsidR="00F206A4" w:rsidRPr="00A91E83">
        <w:rPr>
          <w:rFonts w:ascii="Times New Roman" w:hAnsi="Times New Roman" w:cs="Times New Roman"/>
          <w:sz w:val="24"/>
          <w:szCs w:val="24"/>
        </w:rPr>
        <w:t xml:space="preserve">džiama ne visose jurisdikcijose, </w:t>
      </w:r>
      <w:proofErr w:type="spellStart"/>
      <w:r w:rsidR="00F206A4" w:rsidRPr="00A91E83">
        <w:rPr>
          <w:rFonts w:ascii="Times New Roman" w:hAnsi="Times New Roman" w:cs="Times New Roman"/>
          <w:sz w:val="24"/>
          <w:szCs w:val="24"/>
        </w:rPr>
        <w:t>pvz</w:t>
      </w:r>
      <w:proofErr w:type="spellEnd"/>
      <w:r w:rsidR="00F206A4" w:rsidRPr="00A91E83">
        <w:rPr>
          <w:rFonts w:ascii="Times New Roman" w:hAnsi="Times New Roman" w:cs="Times New Roman"/>
          <w:sz w:val="24"/>
          <w:szCs w:val="24"/>
        </w:rPr>
        <w:t>.:</w:t>
      </w:r>
      <w:r w:rsidR="00590E04" w:rsidRPr="00A91E83">
        <w:rPr>
          <w:rFonts w:ascii="Times New Roman" w:hAnsi="Times New Roman" w:cs="Times New Roman"/>
          <w:sz w:val="24"/>
          <w:szCs w:val="24"/>
        </w:rPr>
        <w:t xml:space="preserve"> JAV Bankroto Kodeksas pagal bendrą taisyklę (jeigu netaikomos išimtys)</w:t>
      </w:r>
      <w:r w:rsidR="00590E04" w:rsidRPr="00A91E83">
        <w:rPr>
          <w:rStyle w:val="Puslapioinaosnuoroda"/>
          <w:rFonts w:ascii="Times New Roman" w:hAnsi="Times New Roman" w:cs="Times New Roman"/>
          <w:sz w:val="24"/>
          <w:szCs w:val="24"/>
        </w:rPr>
        <w:footnoteReference w:id="225"/>
      </w:r>
      <w:r w:rsidR="00590E04" w:rsidRPr="00A91E83">
        <w:rPr>
          <w:rFonts w:ascii="Times New Roman" w:hAnsi="Times New Roman" w:cs="Times New Roman"/>
          <w:sz w:val="24"/>
          <w:szCs w:val="24"/>
        </w:rPr>
        <w:t xml:space="preserve"> draudžia </w:t>
      </w:r>
      <w:r w:rsidR="00930140" w:rsidRPr="00A91E83">
        <w:rPr>
          <w:rFonts w:ascii="Times New Roman" w:hAnsi="Times New Roman" w:cs="Times New Roman"/>
          <w:sz w:val="24"/>
          <w:szCs w:val="24"/>
        </w:rPr>
        <w:t>automatinio išankstinio nutraukimo</w:t>
      </w:r>
      <w:r w:rsidR="00590E04" w:rsidRPr="00A91E83">
        <w:rPr>
          <w:rFonts w:ascii="Times New Roman" w:hAnsi="Times New Roman" w:cs="Times New Roman"/>
          <w:sz w:val="24"/>
          <w:szCs w:val="24"/>
        </w:rPr>
        <w:t xml:space="preserve"> susitarimą.</w:t>
      </w:r>
      <w:r w:rsidR="00590E04" w:rsidRPr="00A91E83">
        <w:rPr>
          <w:rStyle w:val="Puslapioinaosnuoroda"/>
          <w:rFonts w:ascii="Times New Roman" w:hAnsi="Times New Roman" w:cs="Times New Roman"/>
          <w:sz w:val="24"/>
          <w:szCs w:val="24"/>
        </w:rPr>
        <w:footnoteReference w:id="226"/>
      </w:r>
      <w:r w:rsidR="00590E04" w:rsidRPr="00A91E83">
        <w:rPr>
          <w:rFonts w:ascii="Times New Roman" w:hAnsi="Times New Roman" w:cs="Times New Roman"/>
          <w:sz w:val="24"/>
          <w:szCs w:val="24"/>
        </w:rPr>
        <w:t xml:space="preserve"> Lietuvos teisės aktuose, ar teismų praktikoje tokio draudimo nėra įtvirtinta. </w:t>
      </w:r>
      <w:r w:rsidR="00DC31C5" w:rsidRPr="00A91E83">
        <w:rPr>
          <w:rFonts w:ascii="Times New Roman" w:hAnsi="Times New Roman" w:cs="Times New Roman"/>
          <w:sz w:val="24"/>
          <w:szCs w:val="24"/>
        </w:rPr>
        <w:t>ISDA s</w:t>
      </w:r>
      <w:r w:rsidR="00590E04" w:rsidRPr="00A91E83">
        <w:rPr>
          <w:rFonts w:ascii="Times New Roman" w:hAnsi="Times New Roman" w:cs="Times New Roman"/>
          <w:sz w:val="24"/>
          <w:szCs w:val="24"/>
        </w:rPr>
        <w:t>utarties sąlyga</w:t>
      </w:r>
      <w:r w:rsidR="000578B0" w:rsidRPr="00A91E83">
        <w:rPr>
          <w:rFonts w:ascii="Times New Roman" w:hAnsi="Times New Roman" w:cs="Times New Roman"/>
          <w:sz w:val="24"/>
          <w:szCs w:val="24"/>
        </w:rPr>
        <w:t>,</w:t>
      </w:r>
      <w:r w:rsidR="00590E04" w:rsidRPr="00A91E83">
        <w:rPr>
          <w:rFonts w:ascii="Times New Roman" w:hAnsi="Times New Roman" w:cs="Times New Roman"/>
          <w:sz w:val="24"/>
          <w:szCs w:val="24"/>
        </w:rPr>
        <w:t xml:space="preserve"> numatanti i</w:t>
      </w:r>
      <w:r w:rsidRPr="00A91E83">
        <w:rPr>
          <w:rFonts w:ascii="Times New Roman" w:hAnsi="Times New Roman" w:cs="Times New Roman"/>
          <w:sz w:val="24"/>
          <w:szCs w:val="24"/>
        </w:rPr>
        <w:t>šankstinio nutraukimo sąlyga</w:t>
      </w:r>
      <w:r w:rsidR="000578B0" w:rsidRPr="00A91E83">
        <w:rPr>
          <w:rFonts w:ascii="Times New Roman" w:hAnsi="Times New Roman" w:cs="Times New Roman"/>
          <w:sz w:val="24"/>
          <w:szCs w:val="24"/>
        </w:rPr>
        <w:t>,</w:t>
      </w:r>
      <w:r w:rsidR="00590E04" w:rsidRPr="00A91E83">
        <w:rPr>
          <w:rFonts w:ascii="Times New Roman" w:hAnsi="Times New Roman" w:cs="Times New Roman"/>
          <w:sz w:val="24"/>
          <w:szCs w:val="24"/>
        </w:rPr>
        <w:t xml:space="preserve"> turi būti pripažinta galiojanti ir bankroto kontekste. Tačiau</w:t>
      </w:r>
      <w:r w:rsidRPr="00A91E83">
        <w:rPr>
          <w:rFonts w:ascii="Times New Roman" w:hAnsi="Times New Roman" w:cs="Times New Roman"/>
          <w:sz w:val="24"/>
          <w:szCs w:val="24"/>
        </w:rPr>
        <w:t xml:space="preserve"> </w:t>
      </w:r>
      <w:r w:rsidR="00590E04" w:rsidRPr="00A91E83">
        <w:rPr>
          <w:rFonts w:ascii="Times New Roman" w:hAnsi="Times New Roman" w:cs="Times New Roman"/>
          <w:sz w:val="24"/>
          <w:szCs w:val="24"/>
        </w:rPr>
        <w:t xml:space="preserve">laiku </w:t>
      </w:r>
      <w:r w:rsidRPr="00A91E83">
        <w:rPr>
          <w:rFonts w:ascii="Times New Roman" w:hAnsi="Times New Roman" w:cs="Times New Roman"/>
          <w:sz w:val="24"/>
          <w:szCs w:val="24"/>
        </w:rPr>
        <w:t xml:space="preserve">nepasinaudojus </w:t>
      </w:r>
      <w:r w:rsidR="00590E04" w:rsidRPr="00A91E83">
        <w:rPr>
          <w:rFonts w:ascii="Times New Roman" w:hAnsi="Times New Roman" w:cs="Times New Roman"/>
          <w:sz w:val="24"/>
          <w:szCs w:val="24"/>
        </w:rPr>
        <w:t>šia nuostata</w:t>
      </w:r>
      <w:r w:rsidRPr="00A91E83">
        <w:rPr>
          <w:rFonts w:ascii="Times New Roman" w:hAnsi="Times New Roman" w:cs="Times New Roman"/>
          <w:sz w:val="24"/>
          <w:szCs w:val="24"/>
        </w:rPr>
        <w:t xml:space="preserve">, tolimesnis jos vykdymas gali būti užkirstas įsiterpusiais bankroto administratoriaus veiksmais. Lietuvoje </w:t>
      </w:r>
      <w:r w:rsidR="00F206A4" w:rsidRPr="00A91E83">
        <w:rPr>
          <w:rFonts w:ascii="Times New Roman" w:hAnsi="Times New Roman" w:cs="Times New Roman"/>
          <w:sz w:val="24"/>
          <w:szCs w:val="24"/>
        </w:rPr>
        <w:t xml:space="preserve">nutartis </w:t>
      </w:r>
      <w:r w:rsidRPr="00A91E83">
        <w:rPr>
          <w:rFonts w:ascii="Times New Roman" w:hAnsi="Times New Roman" w:cs="Times New Roman"/>
          <w:sz w:val="24"/>
          <w:szCs w:val="24"/>
        </w:rPr>
        <w:t xml:space="preserve">iškelti bankroto bylą įsiteisėja per 10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nuo jos priėmimo.</w:t>
      </w:r>
      <w:r w:rsidRPr="00A91E83">
        <w:rPr>
          <w:rStyle w:val="Puslapioinaosnuoroda"/>
          <w:rFonts w:ascii="Times New Roman" w:hAnsi="Times New Roman" w:cs="Times New Roman"/>
          <w:sz w:val="24"/>
          <w:szCs w:val="24"/>
        </w:rPr>
        <w:footnoteReference w:id="227"/>
      </w:r>
      <w:r w:rsidRPr="00A91E83">
        <w:rPr>
          <w:rFonts w:ascii="Times New Roman" w:hAnsi="Times New Roman" w:cs="Times New Roman"/>
          <w:sz w:val="24"/>
          <w:szCs w:val="24"/>
        </w:rPr>
        <w:t xml:space="preserve"> Taigi per 10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mok</w:t>
      </w:r>
      <w:r w:rsidR="00F206A4" w:rsidRPr="00A91E83">
        <w:rPr>
          <w:rFonts w:ascii="Times New Roman" w:hAnsi="Times New Roman" w:cs="Times New Roman"/>
          <w:sz w:val="24"/>
          <w:szCs w:val="24"/>
        </w:rPr>
        <w:t>iai šaliai nepasinaudojus ISDA s</w:t>
      </w:r>
      <w:r w:rsidRPr="00A91E83">
        <w:rPr>
          <w:rFonts w:ascii="Times New Roman" w:hAnsi="Times New Roman" w:cs="Times New Roman"/>
          <w:sz w:val="24"/>
          <w:szCs w:val="24"/>
        </w:rPr>
        <w:t>utartyje numatytu leidimu vienašališkai nutraukti sandorius, bankroto administratorius gali pirmesnis pasinaudoti savo įstatymine teise nutraukti nemokiai bendrovei nenaudingus sandorius.</w:t>
      </w:r>
      <w:r w:rsidRPr="00A91E83">
        <w:rPr>
          <w:rStyle w:val="Puslapioinaosnuoroda"/>
          <w:rFonts w:ascii="Times New Roman" w:hAnsi="Times New Roman" w:cs="Times New Roman"/>
          <w:sz w:val="24"/>
          <w:szCs w:val="24"/>
        </w:rPr>
        <w:footnoteReference w:id="228"/>
      </w:r>
      <w:r w:rsidR="00FE1B80" w:rsidRPr="00A91E83">
        <w:rPr>
          <w:rFonts w:ascii="Times New Roman" w:hAnsi="Times New Roman" w:cs="Times New Roman"/>
          <w:sz w:val="24"/>
          <w:szCs w:val="24"/>
        </w:rPr>
        <w:t xml:space="preserve"> Siekiant užtikrinti, kad užska</w:t>
      </w:r>
      <w:r w:rsidR="00F206A4" w:rsidRPr="00A91E83">
        <w:rPr>
          <w:rFonts w:ascii="Times New Roman" w:hAnsi="Times New Roman" w:cs="Times New Roman"/>
          <w:sz w:val="24"/>
          <w:szCs w:val="24"/>
        </w:rPr>
        <w:t>itos p</w:t>
      </w:r>
      <w:r w:rsidR="00FE1B80" w:rsidRPr="00A91E83">
        <w:rPr>
          <w:rFonts w:ascii="Times New Roman" w:hAnsi="Times New Roman" w:cs="Times New Roman"/>
          <w:sz w:val="24"/>
          <w:szCs w:val="24"/>
        </w:rPr>
        <w:t>i</w:t>
      </w:r>
      <w:r w:rsidR="00F206A4" w:rsidRPr="00A91E83">
        <w:rPr>
          <w:rFonts w:ascii="Times New Roman" w:hAnsi="Times New Roman" w:cs="Times New Roman"/>
          <w:sz w:val="24"/>
          <w:szCs w:val="24"/>
        </w:rPr>
        <w:t>r</w:t>
      </w:r>
      <w:r w:rsidR="00FE1B80" w:rsidRPr="00A91E83">
        <w:rPr>
          <w:rFonts w:ascii="Times New Roman" w:hAnsi="Times New Roman" w:cs="Times New Roman"/>
          <w:sz w:val="24"/>
          <w:szCs w:val="24"/>
        </w:rPr>
        <w:t>moji sąlyga gal</w:t>
      </w:r>
      <w:r w:rsidR="00043509" w:rsidRPr="00A91E83">
        <w:rPr>
          <w:rFonts w:ascii="Times New Roman" w:hAnsi="Times New Roman" w:cs="Times New Roman"/>
          <w:sz w:val="24"/>
          <w:szCs w:val="24"/>
        </w:rPr>
        <w:t xml:space="preserve">ėtų būti taikoma visa apimtimi, </w:t>
      </w:r>
      <w:r w:rsidR="00FE1B80" w:rsidRPr="00A91E83">
        <w:rPr>
          <w:rFonts w:ascii="Times New Roman" w:hAnsi="Times New Roman" w:cs="Times New Roman"/>
          <w:sz w:val="24"/>
          <w:szCs w:val="24"/>
        </w:rPr>
        <w:t xml:space="preserve">reikėtų papildyti ĮBĮ nuostatas, kurios leistų </w:t>
      </w:r>
      <w:r w:rsidR="00F206A4" w:rsidRPr="00A91E83">
        <w:rPr>
          <w:rFonts w:ascii="Times New Roman" w:hAnsi="Times New Roman" w:cs="Times New Roman"/>
          <w:sz w:val="24"/>
          <w:szCs w:val="24"/>
        </w:rPr>
        <w:t xml:space="preserve">šalims pasirinkti </w:t>
      </w:r>
      <w:r w:rsidR="00FE1B80" w:rsidRPr="00A91E83">
        <w:rPr>
          <w:rFonts w:ascii="Times New Roman" w:hAnsi="Times New Roman" w:cs="Times New Roman"/>
          <w:sz w:val="24"/>
          <w:szCs w:val="24"/>
        </w:rPr>
        <w:t xml:space="preserve">išankstinio nutraukimo </w:t>
      </w:r>
      <w:r w:rsidR="000578B0" w:rsidRPr="00A91E83">
        <w:rPr>
          <w:rFonts w:ascii="Times New Roman" w:hAnsi="Times New Roman" w:cs="Times New Roman"/>
          <w:sz w:val="24"/>
          <w:szCs w:val="24"/>
        </w:rPr>
        <w:t xml:space="preserve">dieną pagal savo </w:t>
      </w:r>
      <w:proofErr w:type="spellStart"/>
      <w:r w:rsidR="000578B0" w:rsidRPr="00A91E83">
        <w:rPr>
          <w:rFonts w:ascii="Times New Roman" w:hAnsi="Times New Roman" w:cs="Times New Roman"/>
          <w:sz w:val="24"/>
          <w:szCs w:val="24"/>
        </w:rPr>
        <w:t>diskreciją</w:t>
      </w:r>
      <w:proofErr w:type="spellEnd"/>
      <w:r w:rsidR="000578B0" w:rsidRPr="00A91E83">
        <w:rPr>
          <w:rFonts w:ascii="Times New Roman" w:hAnsi="Times New Roman" w:cs="Times New Roman"/>
          <w:sz w:val="24"/>
          <w:szCs w:val="24"/>
        </w:rPr>
        <w:t>.</w:t>
      </w:r>
    </w:p>
    <w:p w:rsidR="008B3560" w:rsidRPr="00A91E83" w:rsidRDefault="008B3560" w:rsidP="008B3560">
      <w:pPr>
        <w:tabs>
          <w:tab w:val="left" w:pos="851"/>
        </w:tabs>
        <w:spacing w:after="0" w:line="360" w:lineRule="auto"/>
        <w:ind w:firstLine="851"/>
        <w:jc w:val="both"/>
        <w:rPr>
          <w:rFonts w:ascii="Times New Roman" w:hAnsi="Times New Roman" w:cs="Times New Roman"/>
          <w:sz w:val="24"/>
          <w:szCs w:val="24"/>
        </w:rPr>
      </w:pPr>
    </w:p>
    <w:p w:rsidR="008B3560" w:rsidRPr="00A91E83" w:rsidRDefault="008B3560" w:rsidP="00E05A24">
      <w:pPr>
        <w:pStyle w:val="Sraopastraipa"/>
        <w:numPr>
          <w:ilvl w:val="2"/>
          <w:numId w:val="4"/>
        </w:numPr>
        <w:tabs>
          <w:tab w:val="left" w:pos="851"/>
        </w:tabs>
        <w:spacing w:after="0" w:line="360" w:lineRule="auto"/>
        <w:ind w:left="0" w:firstLine="0"/>
        <w:jc w:val="both"/>
        <w:outlineLvl w:val="2"/>
        <w:rPr>
          <w:rFonts w:ascii="Times New Roman" w:hAnsi="Times New Roman" w:cs="Times New Roman"/>
          <w:sz w:val="24"/>
          <w:szCs w:val="24"/>
        </w:rPr>
      </w:pPr>
      <w:bookmarkStart w:id="38" w:name="_Toc280546471"/>
      <w:r w:rsidRPr="00A91E83">
        <w:rPr>
          <w:rFonts w:ascii="Times New Roman" w:hAnsi="Times New Roman" w:cs="Times New Roman"/>
          <w:b/>
          <w:sz w:val="24"/>
          <w:szCs w:val="24"/>
        </w:rPr>
        <w:t>Sandorių nuostolių / pelno apskaičiavimas</w:t>
      </w:r>
      <w:bookmarkEnd w:id="38"/>
    </w:p>
    <w:p w:rsidR="008B3560" w:rsidRPr="00A91E83" w:rsidRDefault="008B3560" w:rsidP="008B3560">
      <w:pPr>
        <w:tabs>
          <w:tab w:val="left" w:pos="851"/>
        </w:tabs>
        <w:spacing w:after="0" w:line="360" w:lineRule="auto"/>
        <w:ind w:firstLine="851"/>
        <w:jc w:val="both"/>
        <w:rPr>
          <w:rFonts w:ascii="Times New Roman" w:hAnsi="Times New Roman" w:cs="Times New Roman"/>
          <w:sz w:val="24"/>
          <w:szCs w:val="24"/>
        </w:rPr>
      </w:pPr>
    </w:p>
    <w:p w:rsidR="001626CE" w:rsidRPr="00A91E83" w:rsidRDefault="001626CE" w:rsidP="00C34516">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Aptarta automatinio išankstinio nutraukimo sąlyga gali sukelti nepatogumų, susijusių su sandorių nuostolių / pelno įve</w:t>
      </w:r>
      <w:r w:rsidR="00977F66" w:rsidRPr="00A91E83">
        <w:rPr>
          <w:rFonts w:ascii="Times New Roman" w:hAnsi="Times New Roman" w:cs="Times New Roman"/>
          <w:sz w:val="24"/>
          <w:szCs w:val="24"/>
        </w:rPr>
        <w:t xml:space="preserve">rtinimu. Manoma, kad sudėtinga </w:t>
      </w:r>
      <w:r w:rsidR="00EB5E99" w:rsidRPr="00A91E83">
        <w:rPr>
          <w:rFonts w:ascii="Times New Roman" w:hAnsi="Times New Roman" w:cs="Times New Roman"/>
          <w:sz w:val="24"/>
          <w:szCs w:val="24"/>
        </w:rPr>
        <w:t>numatyti tinkamai veikiantį</w:t>
      </w:r>
      <w:r w:rsidRPr="00A91E83">
        <w:rPr>
          <w:rFonts w:ascii="Times New Roman" w:hAnsi="Times New Roman" w:cs="Times New Roman"/>
          <w:sz w:val="24"/>
          <w:szCs w:val="24"/>
        </w:rPr>
        <w:t xml:space="preserve"> sandorių įvertinimo mechanizmą automatinio išankstinio nutraukimo dienai,</w:t>
      </w:r>
      <w:r w:rsidRPr="00A91E83">
        <w:rPr>
          <w:rStyle w:val="Puslapioinaosnuoroda"/>
          <w:rFonts w:ascii="Times New Roman" w:hAnsi="Times New Roman" w:cs="Times New Roman"/>
          <w:sz w:val="24"/>
          <w:szCs w:val="24"/>
        </w:rPr>
        <w:footnoteReference w:id="229"/>
      </w:r>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pvz</w:t>
      </w:r>
      <w:proofErr w:type="spellEnd"/>
      <w:r w:rsidRPr="00A91E83">
        <w:rPr>
          <w:rFonts w:ascii="Times New Roman" w:hAnsi="Times New Roman" w:cs="Times New Roman"/>
          <w:sz w:val="24"/>
          <w:szCs w:val="24"/>
        </w:rPr>
        <w:t xml:space="preserve">.: kada reikia sudaryti daug pakeičiamųjų sandorių sudarytų dėl išvestinių finansinių priemonių, t. y. kada siekiama įvertinti didelius </w:t>
      </w:r>
      <w:r w:rsidR="00DC49C3" w:rsidRPr="00A91E83">
        <w:rPr>
          <w:rFonts w:ascii="Times New Roman" w:hAnsi="Times New Roman" w:cs="Times New Roman"/>
          <w:sz w:val="24"/>
          <w:szCs w:val="24"/>
        </w:rPr>
        <w:t xml:space="preserve">sandorių dėl išvestinių finansinių priemonių </w:t>
      </w:r>
      <w:r w:rsidRPr="00A91E83">
        <w:rPr>
          <w:rFonts w:ascii="Times New Roman" w:hAnsi="Times New Roman" w:cs="Times New Roman"/>
          <w:sz w:val="24"/>
          <w:szCs w:val="24"/>
        </w:rPr>
        <w:t>portfelius.</w:t>
      </w:r>
      <w:r w:rsidRPr="00A91E83">
        <w:rPr>
          <w:rStyle w:val="Puslapioinaosnuoroda"/>
          <w:rFonts w:ascii="Times New Roman" w:hAnsi="Times New Roman" w:cs="Times New Roman"/>
          <w:sz w:val="24"/>
          <w:szCs w:val="24"/>
        </w:rPr>
        <w:footnoteReference w:id="230"/>
      </w:r>
      <w:r w:rsidRPr="00A91E83">
        <w:rPr>
          <w:rFonts w:ascii="Times New Roman" w:hAnsi="Times New Roman" w:cs="Times New Roman"/>
          <w:sz w:val="24"/>
          <w:szCs w:val="24"/>
        </w:rPr>
        <w:t xml:space="preserve"> </w:t>
      </w:r>
    </w:p>
    <w:p w:rsidR="00FD5145" w:rsidRPr="00A91E83" w:rsidRDefault="000B5EA9" w:rsidP="00C34516">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Kitas</w:t>
      </w:r>
      <w:r w:rsidR="00C34516" w:rsidRPr="00A91E83">
        <w:rPr>
          <w:rFonts w:ascii="Times New Roman" w:hAnsi="Times New Roman" w:cs="Times New Roman"/>
          <w:sz w:val="24"/>
          <w:szCs w:val="24"/>
        </w:rPr>
        <w:t xml:space="preserve"> </w:t>
      </w:r>
      <w:r w:rsidR="00300950" w:rsidRPr="00A91E83">
        <w:rPr>
          <w:rFonts w:ascii="Times New Roman" w:hAnsi="Times New Roman" w:cs="Times New Roman"/>
          <w:sz w:val="24"/>
          <w:szCs w:val="24"/>
        </w:rPr>
        <w:t xml:space="preserve">20 </w:t>
      </w:r>
      <w:proofErr w:type="spellStart"/>
      <w:r w:rsidR="00300950" w:rsidRPr="00A91E83">
        <w:rPr>
          <w:rFonts w:ascii="Times New Roman" w:hAnsi="Times New Roman" w:cs="Times New Roman"/>
          <w:sz w:val="24"/>
          <w:szCs w:val="24"/>
        </w:rPr>
        <w:t>d</w:t>
      </w:r>
      <w:proofErr w:type="spellEnd"/>
      <w:r w:rsidR="00300950" w:rsidRPr="00A91E83">
        <w:rPr>
          <w:rFonts w:ascii="Times New Roman" w:hAnsi="Times New Roman" w:cs="Times New Roman"/>
          <w:sz w:val="24"/>
          <w:szCs w:val="24"/>
        </w:rPr>
        <w:t xml:space="preserve">. išankstinio nutraukimo sąlygos </w:t>
      </w:r>
      <w:r w:rsidR="00C34516" w:rsidRPr="00A91E83">
        <w:rPr>
          <w:rFonts w:ascii="Times New Roman" w:hAnsi="Times New Roman" w:cs="Times New Roman"/>
          <w:sz w:val="24"/>
          <w:szCs w:val="24"/>
        </w:rPr>
        <w:t>privalumas, jog kartais rinkoje susidaro situacija, kad finansiškai neapsimoka sudaryti pakeičiamąjį sandorį būtent tą d</w:t>
      </w:r>
      <w:r w:rsidRPr="00A91E83">
        <w:rPr>
          <w:rFonts w:ascii="Times New Roman" w:hAnsi="Times New Roman" w:cs="Times New Roman"/>
          <w:sz w:val="24"/>
          <w:szCs w:val="24"/>
        </w:rPr>
        <w:t xml:space="preserve">ieną, kai atsitinka </w:t>
      </w:r>
      <w:r w:rsidR="00C34516" w:rsidRPr="00A91E83">
        <w:rPr>
          <w:rFonts w:ascii="Times New Roman" w:hAnsi="Times New Roman" w:cs="Times New Roman"/>
          <w:sz w:val="24"/>
          <w:szCs w:val="24"/>
        </w:rPr>
        <w:t>nutraukimo įvykis</w:t>
      </w:r>
      <w:r w:rsidR="00D60169" w:rsidRPr="00A91E83">
        <w:rPr>
          <w:rFonts w:ascii="Times New Roman" w:hAnsi="Times New Roman" w:cs="Times New Roman"/>
          <w:sz w:val="24"/>
          <w:szCs w:val="24"/>
        </w:rPr>
        <w:t>.</w:t>
      </w:r>
      <w:r w:rsidR="00C34516" w:rsidRPr="00A91E83">
        <w:rPr>
          <w:rFonts w:ascii="Times New Roman" w:hAnsi="Times New Roman" w:cs="Times New Roman"/>
          <w:sz w:val="24"/>
          <w:szCs w:val="24"/>
        </w:rPr>
        <w:t xml:space="preserve"> </w:t>
      </w:r>
      <w:r w:rsidRPr="00A91E83">
        <w:rPr>
          <w:rFonts w:ascii="Times New Roman" w:hAnsi="Times New Roman" w:cs="Times New Roman"/>
          <w:sz w:val="24"/>
          <w:szCs w:val="24"/>
        </w:rPr>
        <w:t>Kartais kelių</w:t>
      </w:r>
      <w:r w:rsidR="004860DE" w:rsidRPr="00A91E83">
        <w:rPr>
          <w:rFonts w:ascii="Times New Roman" w:hAnsi="Times New Roman" w:cs="Times New Roman"/>
          <w:sz w:val="24"/>
          <w:szCs w:val="24"/>
        </w:rPr>
        <w:t xml:space="preserve"> dienų terminas</w:t>
      </w:r>
      <w:r w:rsidR="00EB5E99" w:rsidRPr="00A91E83">
        <w:rPr>
          <w:rFonts w:ascii="Times New Roman" w:hAnsi="Times New Roman" w:cs="Times New Roman"/>
          <w:sz w:val="24"/>
          <w:szCs w:val="24"/>
        </w:rPr>
        <w:t>,</w:t>
      </w:r>
      <w:r w:rsidR="004860DE" w:rsidRPr="00A91E83">
        <w:rPr>
          <w:rFonts w:ascii="Times New Roman" w:hAnsi="Times New Roman" w:cs="Times New Roman"/>
          <w:sz w:val="24"/>
          <w:szCs w:val="24"/>
        </w:rPr>
        <w:t xml:space="preserve"> kalbant apie sandorius dėl išvestinių finansinių priemonių</w:t>
      </w:r>
      <w:r w:rsidR="00EB5E99" w:rsidRPr="00A91E83">
        <w:rPr>
          <w:rFonts w:ascii="Times New Roman" w:hAnsi="Times New Roman" w:cs="Times New Roman"/>
          <w:sz w:val="24"/>
          <w:szCs w:val="24"/>
        </w:rPr>
        <w:t>,</w:t>
      </w:r>
      <w:r w:rsidR="004860DE" w:rsidRPr="00A91E83">
        <w:rPr>
          <w:rFonts w:ascii="Times New Roman" w:hAnsi="Times New Roman" w:cs="Times New Roman"/>
          <w:sz w:val="24"/>
          <w:szCs w:val="24"/>
        </w:rPr>
        <w:t xml:space="preserve"> gali sukelti žymius įvertinimo skirtumus. </w:t>
      </w:r>
      <w:proofErr w:type="spellStart"/>
      <w:r w:rsidR="00D60169" w:rsidRPr="00A91E83">
        <w:rPr>
          <w:rFonts w:ascii="Times New Roman" w:hAnsi="Times New Roman" w:cs="Times New Roman"/>
          <w:sz w:val="24"/>
          <w:szCs w:val="24"/>
        </w:rPr>
        <w:t>Pvz</w:t>
      </w:r>
      <w:proofErr w:type="spellEnd"/>
      <w:r w:rsidR="00D60169" w:rsidRPr="00A91E83">
        <w:rPr>
          <w:rFonts w:ascii="Times New Roman" w:hAnsi="Times New Roman" w:cs="Times New Roman"/>
          <w:sz w:val="24"/>
          <w:szCs w:val="24"/>
        </w:rPr>
        <w:t>.: 2008 metų lapkritį, kada 10 metų USD apsikeitimo sandorio palūkanos nukrito nuo 4.07% iki 3.14% per 5 dienas, tai kredito rizikos imtis nuo 1 milijardo USD išaugo iki 77.3 milijardų USD.</w:t>
      </w:r>
      <w:r w:rsidR="00D60169" w:rsidRPr="00A91E83">
        <w:rPr>
          <w:rStyle w:val="Puslapioinaosnuoroda"/>
          <w:rFonts w:ascii="Times New Roman" w:hAnsi="Times New Roman" w:cs="Times New Roman"/>
          <w:sz w:val="24"/>
          <w:szCs w:val="24"/>
        </w:rPr>
        <w:footnoteReference w:id="231"/>
      </w:r>
      <w:r w:rsidR="00D60169" w:rsidRPr="00A91E83">
        <w:rPr>
          <w:rFonts w:ascii="Times New Roman" w:hAnsi="Times New Roman" w:cs="Times New Roman"/>
          <w:sz w:val="24"/>
          <w:szCs w:val="24"/>
        </w:rPr>
        <w:t xml:space="preserve"> </w:t>
      </w:r>
      <w:r w:rsidR="00FD5145" w:rsidRPr="00A91E83">
        <w:rPr>
          <w:rFonts w:ascii="Times New Roman" w:hAnsi="Times New Roman" w:cs="Times New Roman"/>
          <w:sz w:val="24"/>
          <w:szCs w:val="24"/>
        </w:rPr>
        <w:t>Taigi</w:t>
      </w:r>
      <w:r w:rsidR="00D60169" w:rsidRPr="00A91E83">
        <w:rPr>
          <w:rFonts w:ascii="Times New Roman" w:hAnsi="Times New Roman" w:cs="Times New Roman"/>
          <w:sz w:val="24"/>
          <w:szCs w:val="24"/>
        </w:rPr>
        <w:t xml:space="preserve"> kelių dienų skirtumas </w:t>
      </w:r>
      <w:r w:rsidR="00D60169" w:rsidRPr="00A91E83">
        <w:rPr>
          <w:rFonts w:ascii="Times New Roman" w:hAnsi="Times New Roman" w:cs="Times New Roman"/>
          <w:sz w:val="24"/>
          <w:szCs w:val="24"/>
        </w:rPr>
        <w:lastRenderedPageBreak/>
        <w:t>galėtų nulemti žymius šalies nuostolių</w:t>
      </w:r>
      <w:r w:rsidR="008B3560" w:rsidRPr="00A91E83">
        <w:rPr>
          <w:rFonts w:ascii="Times New Roman" w:hAnsi="Times New Roman" w:cs="Times New Roman"/>
          <w:sz w:val="24"/>
          <w:szCs w:val="24"/>
        </w:rPr>
        <w:t xml:space="preserve"> / pelno įvertinimo rezultatus.</w:t>
      </w:r>
      <w:r w:rsidR="009C5087" w:rsidRPr="00A91E83">
        <w:rPr>
          <w:rFonts w:ascii="Times New Roman" w:hAnsi="Times New Roman" w:cs="Times New Roman"/>
          <w:sz w:val="24"/>
          <w:szCs w:val="24"/>
        </w:rPr>
        <w:t xml:space="preserve"> Todėl tikslinga numatyti lankstų terminą, kad atitinkamai profesionalūs išvestinių priemonių prekeiviai galėtų tiksliai įvertinti ir nuspręsti </w:t>
      </w:r>
      <w:r w:rsidR="00F635FA" w:rsidRPr="00A91E83">
        <w:rPr>
          <w:rFonts w:ascii="Times New Roman" w:hAnsi="Times New Roman" w:cs="Times New Roman"/>
          <w:sz w:val="24"/>
          <w:szCs w:val="24"/>
        </w:rPr>
        <w:t xml:space="preserve">dėl nutraukimo dienos, kuri, kaip aptarta aukščiau, </w:t>
      </w:r>
      <w:r w:rsidR="009C5087" w:rsidRPr="00A91E83">
        <w:rPr>
          <w:rFonts w:ascii="Times New Roman" w:hAnsi="Times New Roman" w:cs="Times New Roman"/>
          <w:sz w:val="24"/>
          <w:szCs w:val="24"/>
        </w:rPr>
        <w:t>sutampa su įvertinimo diena.</w:t>
      </w:r>
    </w:p>
    <w:p w:rsidR="00EF00A3" w:rsidRPr="00A91E83" w:rsidRDefault="00D83568" w:rsidP="00C34516">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Pabrėžtina, jog</w:t>
      </w:r>
      <w:r w:rsidR="000D7469" w:rsidRPr="00A91E83">
        <w:rPr>
          <w:rFonts w:ascii="Times New Roman" w:hAnsi="Times New Roman" w:cs="Times New Roman"/>
          <w:sz w:val="24"/>
          <w:szCs w:val="24"/>
        </w:rPr>
        <w:t xml:space="preserve"> apskaičiuojant / įvertinant </w:t>
      </w:r>
      <w:r w:rsidR="00F76D92" w:rsidRPr="00A91E83">
        <w:rPr>
          <w:rFonts w:ascii="Times New Roman" w:hAnsi="Times New Roman" w:cs="Times New Roman"/>
          <w:sz w:val="24"/>
          <w:szCs w:val="24"/>
        </w:rPr>
        <w:t>sandorius</w:t>
      </w:r>
      <w:r w:rsidR="00CC036B" w:rsidRPr="00A91E83">
        <w:rPr>
          <w:rFonts w:ascii="Times New Roman" w:hAnsi="Times New Roman" w:cs="Times New Roman"/>
          <w:sz w:val="24"/>
          <w:szCs w:val="24"/>
        </w:rPr>
        <w:t>,</w:t>
      </w:r>
      <w:r w:rsidR="00F76D92" w:rsidRPr="00A91E83">
        <w:rPr>
          <w:rFonts w:ascii="Times New Roman" w:hAnsi="Times New Roman" w:cs="Times New Roman"/>
          <w:sz w:val="24"/>
          <w:szCs w:val="24"/>
        </w:rPr>
        <w:t xml:space="preserve"> jie </w:t>
      </w:r>
      <w:r w:rsidR="000D7469" w:rsidRPr="00A91E83">
        <w:rPr>
          <w:rFonts w:ascii="Times New Roman" w:hAnsi="Times New Roman" w:cs="Times New Roman"/>
          <w:sz w:val="24"/>
          <w:szCs w:val="24"/>
        </w:rPr>
        <w:t xml:space="preserve">nėra vykdomi tarp mokios </w:t>
      </w:r>
      <w:r w:rsidRPr="00A91E83">
        <w:rPr>
          <w:rFonts w:ascii="Times New Roman" w:hAnsi="Times New Roman" w:cs="Times New Roman"/>
          <w:sz w:val="24"/>
          <w:szCs w:val="24"/>
        </w:rPr>
        <w:t xml:space="preserve">šalies ir nemokaus kontrahento. Įvertinami priešpriešiniai reikalavimai, atsirandantys iš vieno sandorio, ar apskaičiuojami nuostoliai / pelnas pasitelkiant rinkos kainas. </w:t>
      </w:r>
      <w:r w:rsidR="000D7469" w:rsidRPr="00A91E83">
        <w:rPr>
          <w:rFonts w:ascii="Times New Roman" w:hAnsi="Times New Roman" w:cs="Times New Roman"/>
          <w:sz w:val="24"/>
          <w:szCs w:val="24"/>
        </w:rPr>
        <w:t>Pakeičiamieji sandoriai yra sudaromi mokios šalies su trečiosiomis šalimis rinkoje. Apie šių sandorių sudarymo kainą yra tik informuojama</w:t>
      </w:r>
      <w:r w:rsidR="00413205" w:rsidRPr="00A91E83">
        <w:rPr>
          <w:rFonts w:ascii="Times New Roman" w:hAnsi="Times New Roman" w:cs="Times New Roman"/>
          <w:sz w:val="24"/>
          <w:szCs w:val="24"/>
        </w:rPr>
        <w:t xml:space="preserve"> nemoki </w:t>
      </w:r>
      <w:r w:rsidR="000D7469" w:rsidRPr="00A91E83">
        <w:rPr>
          <w:rFonts w:ascii="Times New Roman" w:hAnsi="Times New Roman" w:cs="Times New Roman"/>
          <w:sz w:val="24"/>
          <w:szCs w:val="24"/>
        </w:rPr>
        <w:t xml:space="preserve">šalis, </w:t>
      </w:r>
      <w:r w:rsidR="00AD6CE3" w:rsidRPr="00A91E83">
        <w:rPr>
          <w:rFonts w:ascii="Times New Roman" w:hAnsi="Times New Roman" w:cs="Times New Roman"/>
          <w:sz w:val="24"/>
          <w:szCs w:val="24"/>
        </w:rPr>
        <w:t xml:space="preserve">t. y. </w:t>
      </w:r>
      <w:r w:rsidRPr="00A91E83">
        <w:rPr>
          <w:rFonts w:ascii="Times New Roman" w:hAnsi="Times New Roman" w:cs="Times New Roman"/>
          <w:sz w:val="24"/>
          <w:szCs w:val="24"/>
        </w:rPr>
        <w:t>dėl patirtų nuostolių</w:t>
      </w:r>
      <w:r w:rsidR="00AD6CE3" w:rsidRPr="00A91E83">
        <w:rPr>
          <w:rFonts w:ascii="Times New Roman" w:hAnsi="Times New Roman" w:cs="Times New Roman"/>
          <w:sz w:val="24"/>
          <w:szCs w:val="24"/>
        </w:rPr>
        <w:t xml:space="preserve"> / pelno</w:t>
      </w:r>
      <w:r w:rsidR="00202657" w:rsidRPr="00A91E83">
        <w:rPr>
          <w:rFonts w:ascii="Times New Roman" w:hAnsi="Times New Roman" w:cs="Times New Roman"/>
          <w:sz w:val="24"/>
          <w:szCs w:val="24"/>
        </w:rPr>
        <w:t>,</w:t>
      </w:r>
      <w:r w:rsidRPr="00A91E83">
        <w:rPr>
          <w:rFonts w:ascii="Times New Roman" w:hAnsi="Times New Roman" w:cs="Times New Roman"/>
          <w:sz w:val="24"/>
          <w:szCs w:val="24"/>
        </w:rPr>
        <w:t xml:space="preserve"> susida</w:t>
      </w:r>
      <w:r w:rsidR="00AD6CE3" w:rsidRPr="00A91E83">
        <w:rPr>
          <w:rFonts w:ascii="Times New Roman" w:hAnsi="Times New Roman" w:cs="Times New Roman"/>
          <w:sz w:val="24"/>
          <w:szCs w:val="24"/>
        </w:rPr>
        <w:t>riusio</w:t>
      </w:r>
      <w:r w:rsidR="00EF00A3" w:rsidRPr="00A91E83">
        <w:rPr>
          <w:rFonts w:ascii="Times New Roman" w:hAnsi="Times New Roman" w:cs="Times New Roman"/>
          <w:sz w:val="24"/>
          <w:szCs w:val="24"/>
        </w:rPr>
        <w:t xml:space="preserve"> dėl sandorių nutraukimo. Tarkime, kad tarp šalių sudaryti dveji pirmoje tyrimo dalyje aptarti: palūkanų normų ir užsienio valiutos apsikeitimo</w:t>
      </w:r>
      <w:r w:rsidR="00CC036B" w:rsidRPr="00A91E83">
        <w:rPr>
          <w:rFonts w:ascii="Times New Roman" w:hAnsi="Times New Roman" w:cs="Times New Roman"/>
          <w:sz w:val="24"/>
          <w:szCs w:val="24"/>
        </w:rPr>
        <w:t xml:space="preserve"> sandoriai</w:t>
      </w:r>
      <w:r w:rsidR="00EF00A3" w:rsidRPr="00A91E83">
        <w:rPr>
          <w:rFonts w:ascii="Times New Roman" w:hAnsi="Times New Roman" w:cs="Times New Roman"/>
          <w:sz w:val="24"/>
          <w:szCs w:val="24"/>
        </w:rPr>
        <w:t xml:space="preserve">. Nutraukimo atveju šioje stadijoje bus apskaičiuoti kokie priešpriešiniai reikalavimai </w:t>
      </w:r>
      <w:r w:rsidR="00F44536" w:rsidRPr="00A91E83">
        <w:rPr>
          <w:rFonts w:ascii="Times New Roman" w:hAnsi="Times New Roman" w:cs="Times New Roman"/>
          <w:sz w:val="24"/>
          <w:szCs w:val="24"/>
        </w:rPr>
        <w:t>kyla iš minėtų sutarčių</w:t>
      </w:r>
      <w:r w:rsidR="00EF00A3" w:rsidRPr="00A91E83">
        <w:rPr>
          <w:rFonts w:ascii="Times New Roman" w:hAnsi="Times New Roman" w:cs="Times New Roman"/>
          <w:sz w:val="24"/>
          <w:szCs w:val="24"/>
        </w:rPr>
        <w:t xml:space="preserve">. </w:t>
      </w:r>
      <w:proofErr w:type="spellStart"/>
      <w:r w:rsidR="00EF00A3" w:rsidRPr="00A91E83">
        <w:rPr>
          <w:rFonts w:ascii="Times New Roman" w:hAnsi="Times New Roman" w:cs="Times New Roman"/>
          <w:sz w:val="24"/>
          <w:szCs w:val="24"/>
        </w:rPr>
        <w:t>Pvz</w:t>
      </w:r>
      <w:proofErr w:type="spellEnd"/>
      <w:r w:rsidR="00EF00A3" w:rsidRPr="00A91E83">
        <w:rPr>
          <w:rFonts w:ascii="Times New Roman" w:hAnsi="Times New Roman" w:cs="Times New Roman"/>
          <w:sz w:val="24"/>
          <w:szCs w:val="24"/>
        </w:rPr>
        <w:t xml:space="preserve">.: pagal palūkanų normų </w:t>
      </w:r>
      <w:r w:rsidR="005A282D" w:rsidRPr="00A91E83">
        <w:rPr>
          <w:rFonts w:ascii="Times New Roman" w:hAnsi="Times New Roman" w:cs="Times New Roman"/>
          <w:sz w:val="24"/>
          <w:szCs w:val="24"/>
        </w:rPr>
        <w:t xml:space="preserve">apsikeitimo </w:t>
      </w:r>
      <w:r w:rsidR="00EF00A3" w:rsidRPr="00A91E83">
        <w:rPr>
          <w:rFonts w:ascii="Times New Roman" w:hAnsi="Times New Roman" w:cs="Times New Roman"/>
          <w:sz w:val="24"/>
          <w:szCs w:val="24"/>
        </w:rPr>
        <w:t xml:space="preserve">sandorį </w:t>
      </w:r>
      <w:r w:rsidR="005A282D" w:rsidRPr="00A91E83">
        <w:rPr>
          <w:rFonts w:ascii="Times New Roman" w:hAnsi="Times New Roman" w:cs="Times New Roman"/>
          <w:sz w:val="24"/>
          <w:szCs w:val="24"/>
        </w:rPr>
        <w:t>apskaičiuoti priešpriešiniai įsipareigojimai</w:t>
      </w:r>
      <w:r w:rsidR="00EF00A3" w:rsidRPr="00A91E83">
        <w:rPr>
          <w:rFonts w:ascii="Times New Roman" w:hAnsi="Times New Roman" w:cs="Times New Roman"/>
          <w:sz w:val="24"/>
          <w:szCs w:val="24"/>
        </w:rPr>
        <w:t>, jog moki šalis turi sumokėti 80$, o kontrahento įsipareigojimai yra lygūs 100$, atitinkamai pagal užsienio valiutų sandorį moki šalis turi sumokėti 20$ pakeitimo kainos</w:t>
      </w:r>
      <w:r w:rsidR="00B81C04" w:rsidRPr="00A91E83">
        <w:rPr>
          <w:rFonts w:ascii="Times New Roman" w:hAnsi="Times New Roman" w:cs="Times New Roman"/>
          <w:sz w:val="24"/>
          <w:szCs w:val="24"/>
        </w:rPr>
        <w:t>.</w:t>
      </w:r>
      <w:r w:rsidR="00EF00A3" w:rsidRPr="00A91E83">
        <w:rPr>
          <w:rStyle w:val="Puslapioinaosnuoroda"/>
          <w:rFonts w:ascii="Times New Roman" w:hAnsi="Times New Roman" w:cs="Times New Roman"/>
          <w:sz w:val="24"/>
          <w:szCs w:val="24"/>
        </w:rPr>
        <w:footnoteReference w:id="232"/>
      </w:r>
      <w:r w:rsidR="002477E0" w:rsidRPr="00A91E83">
        <w:rPr>
          <w:rFonts w:ascii="Times New Roman" w:hAnsi="Times New Roman" w:cs="Times New Roman"/>
          <w:sz w:val="24"/>
          <w:szCs w:val="24"/>
        </w:rPr>
        <w:t xml:space="preserve"> </w:t>
      </w:r>
      <w:r w:rsidR="0098725D" w:rsidRPr="00A91E83">
        <w:rPr>
          <w:rFonts w:ascii="Times New Roman" w:hAnsi="Times New Roman" w:cs="Times New Roman"/>
          <w:sz w:val="24"/>
          <w:szCs w:val="24"/>
        </w:rPr>
        <w:t>T</w:t>
      </w:r>
      <w:r w:rsidR="002477E0" w:rsidRPr="00A91E83">
        <w:rPr>
          <w:rFonts w:ascii="Times New Roman" w:hAnsi="Times New Roman" w:cs="Times New Roman"/>
          <w:sz w:val="24"/>
          <w:szCs w:val="24"/>
        </w:rPr>
        <w:t>arp šalių buvo naudota ISDA forma, tai dėl novacijos sąlygos</w:t>
      </w:r>
      <w:r w:rsidR="00C82EB3" w:rsidRPr="00A91E83">
        <w:rPr>
          <w:rFonts w:ascii="Times New Roman" w:hAnsi="Times New Roman" w:cs="Times New Roman"/>
          <w:sz w:val="24"/>
          <w:szCs w:val="24"/>
        </w:rPr>
        <w:t>,</w:t>
      </w:r>
      <w:r w:rsidR="00C82EB3" w:rsidRPr="00A91E83">
        <w:rPr>
          <w:rStyle w:val="Puslapioinaosnuoroda"/>
          <w:rFonts w:ascii="Times New Roman" w:hAnsi="Times New Roman" w:cs="Times New Roman"/>
          <w:sz w:val="24"/>
          <w:szCs w:val="24"/>
        </w:rPr>
        <w:footnoteReference w:id="233"/>
      </w:r>
      <w:r w:rsidR="00C82EB3" w:rsidRPr="00A91E83">
        <w:rPr>
          <w:rFonts w:ascii="Times New Roman" w:hAnsi="Times New Roman" w:cs="Times New Roman"/>
          <w:sz w:val="24"/>
          <w:szCs w:val="24"/>
        </w:rPr>
        <w:t xml:space="preserve"> šalių visi sudaryti sa</w:t>
      </w:r>
      <w:r w:rsidR="00465B40" w:rsidRPr="00A91E83">
        <w:rPr>
          <w:rFonts w:ascii="Times New Roman" w:hAnsi="Times New Roman" w:cs="Times New Roman"/>
          <w:sz w:val="24"/>
          <w:szCs w:val="24"/>
        </w:rPr>
        <w:t>ndoriai laikomi viena sutartimi, t. y. palūkanų normų ir užsienio valiutos apsikeitimo sandoriai „</w:t>
      </w:r>
      <w:proofErr w:type="spellStart"/>
      <w:r w:rsidR="00465B40" w:rsidRPr="00A91E83">
        <w:rPr>
          <w:rFonts w:ascii="Times New Roman" w:hAnsi="Times New Roman" w:cs="Times New Roman"/>
          <w:sz w:val="24"/>
          <w:szCs w:val="24"/>
        </w:rPr>
        <w:t>novuojami</w:t>
      </w:r>
      <w:proofErr w:type="spellEnd"/>
      <w:r w:rsidR="00465B40" w:rsidRPr="00A91E83">
        <w:rPr>
          <w:rFonts w:ascii="Times New Roman" w:hAnsi="Times New Roman" w:cs="Times New Roman"/>
          <w:sz w:val="24"/>
          <w:szCs w:val="24"/>
        </w:rPr>
        <w:t>“ į</w:t>
      </w:r>
      <w:r w:rsidR="00C82EB3" w:rsidRPr="00A91E83">
        <w:rPr>
          <w:rFonts w:ascii="Times New Roman" w:hAnsi="Times New Roman" w:cs="Times New Roman"/>
          <w:sz w:val="24"/>
          <w:szCs w:val="24"/>
        </w:rPr>
        <w:t xml:space="preserve"> </w:t>
      </w:r>
      <w:r w:rsidR="00465B40" w:rsidRPr="00A91E83">
        <w:rPr>
          <w:rFonts w:ascii="Times New Roman" w:hAnsi="Times New Roman" w:cs="Times New Roman"/>
          <w:sz w:val="24"/>
          <w:szCs w:val="24"/>
        </w:rPr>
        <w:t xml:space="preserve">vieną sutartį. </w:t>
      </w:r>
      <w:r w:rsidR="00C82EB3" w:rsidRPr="00A91E83">
        <w:rPr>
          <w:rFonts w:ascii="Times New Roman" w:hAnsi="Times New Roman" w:cs="Times New Roman"/>
          <w:sz w:val="24"/>
          <w:szCs w:val="24"/>
        </w:rPr>
        <w:t xml:space="preserve">Todėl atitinkamai visi įsipareigojimai turi būti susumuoti. </w:t>
      </w:r>
      <w:r w:rsidR="00F2605A" w:rsidRPr="00A91E83">
        <w:rPr>
          <w:rFonts w:ascii="Times New Roman" w:hAnsi="Times New Roman" w:cs="Times New Roman"/>
          <w:sz w:val="24"/>
          <w:szCs w:val="24"/>
        </w:rPr>
        <w:t>Rezultatas toks</w:t>
      </w:r>
      <w:r w:rsidR="00C82EB3" w:rsidRPr="00A91E83">
        <w:rPr>
          <w:rFonts w:ascii="Times New Roman" w:hAnsi="Times New Roman" w:cs="Times New Roman"/>
          <w:sz w:val="24"/>
          <w:szCs w:val="24"/>
        </w:rPr>
        <w:t xml:space="preserve">, jog 100$ skolinga moki šalis ir 100$ skolinga nemoki. Kitas klausimas, kuris privalo būti išnagrinėtas, ar </w:t>
      </w:r>
      <w:r w:rsidR="00F2605A" w:rsidRPr="00A91E83">
        <w:rPr>
          <w:rFonts w:ascii="Times New Roman" w:hAnsi="Times New Roman" w:cs="Times New Roman"/>
          <w:sz w:val="24"/>
          <w:szCs w:val="24"/>
        </w:rPr>
        <w:t xml:space="preserve">Lietuvos </w:t>
      </w:r>
      <w:r w:rsidR="00C82EB3" w:rsidRPr="00A91E83">
        <w:rPr>
          <w:rFonts w:ascii="Times New Roman" w:hAnsi="Times New Roman" w:cs="Times New Roman"/>
          <w:sz w:val="24"/>
          <w:szCs w:val="24"/>
        </w:rPr>
        <w:t xml:space="preserve">bankroto teisės normos leis šiuos </w:t>
      </w:r>
      <w:r w:rsidR="00202657" w:rsidRPr="00A91E83">
        <w:rPr>
          <w:rFonts w:ascii="Times New Roman" w:hAnsi="Times New Roman" w:cs="Times New Roman"/>
          <w:sz w:val="24"/>
          <w:szCs w:val="24"/>
        </w:rPr>
        <w:t xml:space="preserve">apskaičiuotus </w:t>
      </w:r>
      <w:r w:rsidR="00C82EB3" w:rsidRPr="00A91E83">
        <w:rPr>
          <w:rFonts w:ascii="Times New Roman" w:hAnsi="Times New Roman" w:cs="Times New Roman"/>
          <w:sz w:val="24"/>
          <w:szCs w:val="24"/>
        </w:rPr>
        <w:t xml:space="preserve">mokėjimus įskaityti, jeigu šalys </w:t>
      </w:r>
      <w:r w:rsidR="00B81C04" w:rsidRPr="00A91E83">
        <w:rPr>
          <w:rFonts w:ascii="Times New Roman" w:hAnsi="Times New Roman" w:cs="Times New Roman"/>
          <w:sz w:val="24"/>
          <w:szCs w:val="24"/>
        </w:rPr>
        <w:t xml:space="preserve">buvo sąžiningos ir </w:t>
      </w:r>
      <w:r w:rsidR="00C82EB3" w:rsidRPr="00A91E83">
        <w:rPr>
          <w:rFonts w:ascii="Times New Roman" w:hAnsi="Times New Roman" w:cs="Times New Roman"/>
          <w:sz w:val="24"/>
          <w:szCs w:val="24"/>
        </w:rPr>
        <w:t>dėl to iš anksto susitarė.</w:t>
      </w:r>
    </w:p>
    <w:p w:rsidR="009A6789" w:rsidRPr="00A91E83" w:rsidRDefault="00B53132" w:rsidP="009A6789">
      <w:pPr>
        <w:tabs>
          <w:tab w:val="left" w:pos="85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r>
    </w:p>
    <w:p w:rsidR="00216109" w:rsidRPr="00A91E83" w:rsidRDefault="008B2A4B" w:rsidP="00E05A24">
      <w:pPr>
        <w:pStyle w:val="Sraopastraipa"/>
        <w:numPr>
          <w:ilvl w:val="2"/>
          <w:numId w:val="4"/>
        </w:numPr>
        <w:tabs>
          <w:tab w:val="left" w:pos="851"/>
        </w:tabs>
        <w:spacing w:after="0" w:line="360" w:lineRule="auto"/>
        <w:ind w:left="0" w:firstLine="0"/>
        <w:jc w:val="both"/>
        <w:outlineLvl w:val="2"/>
        <w:rPr>
          <w:rFonts w:ascii="Times New Roman" w:hAnsi="Times New Roman" w:cs="Times New Roman"/>
          <w:b/>
          <w:sz w:val="24"/>
          <w:szCs w:val="24"/>
        </w:rPr>
      </w:pPr>
      <w:bookmarkStart w:id="39" w:name="_Toc280546472"/>
      <w:r w:rsidRPr="00A91E83">
        <w:rPr>
          <w:rFonts w:ascii="Times New Roman" w:hAnsi="Times New Roman" w:cs="Times New Roman"/>
          <w:b/>
          <w:sz w:val="24"/>
          <w:szCs w:val="24"/>
        </w:rPr>
        <w:t>Įsipareigojimų sujungimas į vieną mokėtiną sumą</w:t>
      </w:r>
      <w:bookmarkEnd w:id="39"/>
    </w:p>
    <w:p w:rsidR="005F6FE6" w:rsidRPr="00A91E83" w:rsidRDefault="005F6FE6" w:rsidP="005F6FE6">
      <w:pPr>
        <w:pStyle w:val="Sraopastraipa"/>
        <w:tabs>
          <w:tab w:val="left" w:pos="851"/>
        </w:tabs>
        <w:spacing w:after="0" w:line="360" w:lineRule="auto"/>
        <w:ind w:left="0"/>
        <w:jc w:val="both"/>
        <w:outlineLvl w:val="2"/>
        <w:rPr>
          <w:rFonts w:ascii="Times New Roman" w:hAnsi="Times New Roman" w:cs="Times New Roman"/>
          <w:b/>
          <w:sz w:val="24"/>
          <w:szCs w:val="24"/>
        </w:rPr>
      </w:pPr>
    </w:p>
    <w:p w:rsidR="00012628" w:rsidRPr="00A91E83" w:rsidRDefault="00414090" w:rsidP="006505CF">
      <w:pPr>
        <w:pStyle w:val="Sraopastraipa"/>
        <w:tabs>
          <w:tab w:val="left" w:pos="851"/>
        </w:tabs>
        <w:spacing w:after="0" w:line="360" w:lineRule="auto"/>
        <w:ind w:left="0"/>
        <w:jc w:val="both"/>
        <w:rPr>
          <w:rFonts w:ascii="Times New Roman" w:hAnsi="Times New Roman" w:cs="Times New Roman"/>
          <w:sz w:val="24"/>
          <w:szCs w:val="24"/>
        </w:rPr>
      </w:pPr>
      <w:r w:rsidRPr="00A91E83">
        <w:rPr>
          <w:rFonts w:ascii="Times New Roman" w:hAnsi="Times New Roman" w:cs="Times New Roman"/>
          <w:sz w:val="24"/>
          <w:szCs w:val="24"/>
        </w:rPr>
        <w:tab/>
      </w:r>
      <w:r w:rsidR="00012628" w:rsidRPr="00A91E83">
        <w:rPr>
          <w:rFonts w:ascii="Times New Roman" w:hAnsi="Times New Roman" w:cs="Times New Roman"/>
          <w:sz w:val="24"/>
          <w:szCs w:val="24"/>
        </w:rPr>
        <w:t>Paskutin</w:t>
      </w:r>
      <w:r w:rsidRPr="00A91E83">
        <w:rPr>
          <w:rFonts w:ascii="Times New Roman" w:hAnsi="Times New Roman" w:cs="Times New Roman"/>
          <w:sz w:val="24"/>
          <w:szCs w:val="24"/>
        </w:rPr>
        <w:t>io</w:t>
      </w:r>
      <w:r w:rsidR="00012628" w:rsidRPr="00A91E83">
        <w:rPr>
          <w:rFonts w:ascii="Times New Roman" w:hAnsi="Times New Roman" w:cs="Times New Roman"/>
          <w:sz w:val="24"/>
          <w:szCs w:val="24"/>
        </w:rPr>
        <w:t xml:space="preserve"> užskaitos elemento – sujungimo į vieną </w:t>
      </w:r>
      <w:r w:rsidRPr="00A91E83">
        <w:rPr>
          <w:rFonts w:ascii="Times New Roman" w:hAnsi="Times New Roman" w:cs="Times New Roman"/>
          <w:sz w:val="24"/>
          <w:szCs w:val="24"/>
        </w:rPr>
        <w:t>mokėjimo sumą, taikymas yra</w:t>
      </w:r>
      <w:r w:rsidR="00012628" w:rsidRPr="00A91E83">
        <w:rPr>
          <w:rFonts w:ascii="Times New Roman" w:hAnsi="Times New Roman" w:cs="Times New Roman"/>
          <w:sz w:val="24"/>
          <w:szCs w:val="24"/>
        </w:rPr>
        <w:t xml:space="preserve"> </w:t>
      </w:r>
      <w:r w:rsidRPr="00A91E83">
        <w:rPr>
          <w:rFonts w:ascii="Times New Roman" w:hAnsi="Times New Roman" w:cs="Times New Roman"/>
          <w:sz w:val="24"/>
          <w:szCs w:val="24"/>
        </w:rPr>
        <w:t>kontraversiškas</w:t>
      </w:r>
      <w:r w:rsidR="00012628" w:rsidRPr="00A91E83">
        <w:rPr>
          <w:rFonts w:ascii="Times New Roman" w:hAnsi="Times New Roman" w:cs="Times New Roman"/>
          <w:sz w:val="24"/>
          <w:szCs w:val="24"/>
        </w:rPr>
        <w:t xml:space="preserve">. Kelios pozicijos gali būti pasirinktos dėl jo vertinimo. Taip pat šis </w:t>
      </w:r>
      <w:r w:rsidRPr="00A91E83">
        <w:rPr>
          <w:rFonts w:ascii="Times New Roman" w:hAnsi="Times New Roman" w:cs="Times New Roman"/>
          <w:sz w:val="24"/>
          <w:szCs w:val="24"/>
        </w:rPr>
        <w:t xml:space="preserve">įsipareigojimų </w:t>
      </w:r>
      <w:r w:rsidR="00012628" w:rsidRPr="00A91E83">
        <w:rPr>
          <w:rFonts w:ascii="Times New Roman" w:hAnsi="Times New Roman" w:cs="Times New Roman"/>
          <w:sz w:val="24"/>
          <w:szCs w:val="24"/>
        </w:rPr>
        <w:t xml:space="preserve">apjungimas apima ir finansinio užstato vertės įtraukimą bei </w:t>
      </w:r>
      <w:r w:rsidRPr="00A91E83">
        <w:rPr>
          <w:rFonts w:ascii="Times New Roman" w:hAnsi="Times New Roman" w:cs="Times New Roman"/>
          <w:sz w:val="24"/>
          <w:szCs w:val="24"/>
        </w:rPr>
        <w:t>reikalavimų valiutos nustaty</w:t>
      </w:r>
      <w:r w:rsidR="00D30F22" w:rsidRPr="00A91E83">
        <w:rPr>
          <w:rFonts w:ascii="Times New Roman" w:hAnsi="Times New Roman" w:cs="Times New Roman"/>
          <w:sz w:val="24"/>
          <w:szCs w:val="24"/>
        </w:rPr>
        <w:t>mą galutiniame mokėjimų balanse, todėl tolimesnėje dalyje visi išvardyti aspektai bus panagrinėti plačiau.</w:t>
      </w:r>
    </w:p>
    <w:p w:rsidR="00012628" w:rsidRDefault="00012628" w:rsidP="005F6FE6">
      <w:pPr>
        <w:pStyle w:val="Sraopastraipa"/>
        <w:tabs>
          <w:tab w:val="left" w:pos="851"/>
        </w:tabs>
        <w:spacing w:after="0" w:line="360" w:lineRule="auto"/>
        <w:ind w:left="0"/>
        <w:jc w:val="both"/>
        <w:outlineLvl w:val="2"/>
        <w:rPr>
          <w:rFonts w:ascii="Times New Roman" w:hAnsi="Times New Roman" w:cs="Times New Roman"/>
          <w:b/>
          <w:sz w:val="24"/>
          <w:szCs w:val="24"/>
        </w:rPr>
      </w:pPr>
    </w:p>
    <w:p w:rsidR="007D2A92" w:rsidRDefault="007D2A92" w:rsidP="005F6FE6">
      <w:pPr>
        <w:pStyle w:val="Sraopastraipa"/>
        <w:tabs>
          <w:tab w:val="left" w:pos="851"/>
        </w:tabs>
        <w:spacing w:after="0" w:line="360" w:lineRule="auto"/>
        <w:ind w:left="0"/>
        <w:jc w:val="both"/>
        <w:outlineLvl w:val="2"/>
        <w:rPr>
          <w:rFonts w:ascii="Times New Roman" w:hAnsi="Times New Roman" w:cs="Times New Roman"/>
          <w:b/>
          <w:sz w:val="24"/>
          <w:szCs w:val="24"/>
        </w:rPr>
      </w:pPr>
    </w:p>
    <w:p w:rsidR="007D2A92" w:rsidRDefault="007D2A92" w:rsidP="005F6FE6">
      <w:pPr>
        <w:pStyle w:val="Sraopastraipa"/>
        <w:tabs>
          <w:tab w:val="left" w:pos="851"/>
        </w:tabs>
        <w:spacing w:after="0" w:line="360" w:lineRule="auto"/>
        <w:ind w:left="0"/>
        <w:jc w:val="both"/>
        <w:outlineLvl w:val="2"/>
        <w:rPr>
          <w:rFonts w:ascii="Times New Roman" w:hAnsi="Times New Roman" w:cs="Times New Roman"/>
          <w:b/>
          <w:sz w:val="24"/>
          <w:szCs w:val="24"/>
        </w:rPr>
      </w:pPr>
    </w:p>
    <w:p w:rsidR="007D2A92" w:rsidRPr="00A91E83" w:rsidRDefault="007D2A92" w:rsidP="005F6FE6">
      <w:pPr>
        <w:pStyle w:val="Sraopastraipa"/>
        <w:tabs>
          <w:tab w:val="left" w:pos="851"/>
        </w:tabs>
        <w:spacing w:after="0" w:line="360" w:lineRule="auto"/>
        <w:ind w:left="0"/>
        <w:jc w:val="both"/>
        <w:outlineLvl w:val="2"/>
        <w:rPr>
          <w:rFonts w:ascii="Times New Roman" w:hAnsi="Times New Roman" w:cs="Times New Roman"/>
          <w:b/>
          <w:sz w:val="24"/>
          <w:szCs w:val="24"/>
        </w:rPr>
      </w:pPr>
    </w:p>
    <w:p w:rsidR="008E5098" w:rsidRPr="00A91E83" w:rsidRDefault="005D4B63" w:rsidP="005F6FE6">
      <w:pPr>
        <w:pStyle w:val="Sraopastraipa"/>
        <w:numPr>
          <w:ilvl w:val="3"/>
          <w:numId w:val="4"/>
        </w:numPr>
        <w:tabs>
          <w:tab w:val="left" w:pos="851"/>
        </w:tabs>
        <w:spacing w:after="0" w:line="360" w:lineRule="auto"/>
        <w:ind w:left="851" w:hanging="851"/>
        <w:jc w:val="both"/>
        <w:outlineLvl w:val="2"/>
        <w:rPr>
          <w:rFonts w:ascii="Times New Roman" w:hAnsi="Times New Roman" w:cs="Times New Roman"/>
          <w:b/>
          <w:sz w:val="24"/>
          <w:szCs w:val="24"/>
        </w:rPr>
      </w:pPr>
      <w:bookmarkStart w:id="40" w:name="_Toc280546473"/>
      <w:r>
        <w:rPr>
          <w:rFonts w:ascii="Times New Roman" w:hAnsi="Times New Roman" w:cs="Times New Roman"/>
          <w:b/>
          <w:sz w:val="24"/>
          <w:szCs w:val="24"/>
        </w:rPr>
        <w:lastRenderedPageBreak/>
        <w:t>Užskaita</w:t>
      </w:r>
      <w:r w:rsidR="005F6FE6" w:rsidRPr="00A91E83">
        <w:rPr>
          <w:rFonts w:ascii="Times New Roman" w:hAnsi="Times New Roman" w:cs="Times New Roman"/>
          <w:b/>
          <w:sz w:val="24"/>
          <w:szCs w:val="24"/>
        </w:rPr>
        <w:t xml:space="preserve"> kaip prievolės dalyko apskaičiavimas</w:t>
      </w:r>
      <w:bookmarkEnd w:id="40"/>
      <w:r w:rsidR="005F6FE6" w:rsidRPr="00A91E83">
        <w:rPr>
          <w:rFonts w:ascii="Times New Roman" w:hAnsi="Times New Roman" w:cs="Times New Roman"/>
          <w:b/>
          <w:sz w:val="24"/>
          <w:szCs w:val="24"/>
        </w:rPr>
        <w:t xml:space="preserve"> </w:t>
      </w:r>
    </w:p>
    <w:p w:rsidR="005F6FE6" w:rsidRPr="00A91E83" w:rsidRDefault="005F6FE6" w:rsidP="005F6FE6">
      <w:pPr>
        <w:tabs>
          <w:tab w:val="left" w:pos="851"/>
        </w:tabs>
        <w:spacing w:after="0" w:line="360" w:lineRule="auto"/>
        <w:jc w:val="both"/>
        <w:outlineLvl w:val="2"/>
        <w:rPr>
          <w:rFonts w:ascii="Times New Roman" w:hAnsi="Times New Roman" w:cs="Times New Roman"/>
          <w:b/>
          <w:sz w:val="24"/>
          <w:szCs w:val="24"/>
        </w:rPr>
      </w:pPr>
    </w:p>
    <w:p w:rsidR="00350CB2" w:rsidRPr="00A91E83" w:rsidRDefault="002C3648" w:rsidP="002C3648">
      <w:pPr>
        <w:tabs>
          <w:tab w:val="left" w:pos="85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r>
      <w:r w:rsidR="0068498D" w:rsidRPr="00A91E83">
        <w:rPr>
          <w:rFonts w:ascii="Times New Roman" w:hAnsi="Times New Roman" w:cs="Times New Roman"/>
          <w:sz w:val="24"/>
          <w:szCs w:val="24"/>
        </w:rPr>
        <w:t>Liberalesnė pozicija remiasi prie</w:t>
      </w:r>
      <w:r w:rsidR="007C4D40" w:rsidRPr="00A91E83">
        <w:rPr>
          <w:rFonts w:ascii="Times New Roman" w:hAnsi="Times New Roman" w:cs="Times New Roman"/>
          <w:sz w:val="24"/>
          <w:szCs w:val="24"/>
        </w:rPr>
        <w:t>laida, kad šalys savo susitarimu</w:t>
      </w:r>
      <w:r w:rsidR="0068498D" w:rsidRPr="00A91E83">
        <w:rPr>
          <w:rFonts w:ascii="Times New Roman" w:hAnsi="Times New Roman" w:cs="Times New Roman"/>
          <w:sz w:val="24"/>
          <w:szCs w:val="24"/>
        </w:rPr>
        <w:t xml:space="preserve"> nustatė, kad minėto pavyzdžio atveju</w:t>
      </w:r>
      <w:r w:rsidR="00330288" w:rsidRPr="00A91E83">
        <w:rPr>
          <w:rFonts w:ascii="Times New Roman" w:hAnsi="Times New Roman" w:cs="Times New Roman"/>
          <w:sz w:val="24"/>
          <w:szCs w:val="24"/>
        </w:rPr>
        <w:t xml:space="preserve">, </w:t>
      </w:r>
      <w:r w:rsidR="0068498D" w:rsidRPr="00A91E83">
        <w:rPr>
          <w:rFonts w:ascii="Times New Roman" w:hAnsi="Times New Roman" w:cs="Times New Roman"/>
          <w:sz w:val="24"/>
          <w:szCs w:val="24"/>
        </w:rPr>
        <w:t>kylantys reikalavimai</w:t>
      </w:r>
      <w:r w:rsidR="007C4D40" w:rsidRPr="00A91E83">
        <w:rPr>
          <w:rFonts w:ascii="Times New Roman" w:hAnsi="Times New Roman" w:cs="Times New Roman"/>
          <w:sz w:val="24"/>
          <w:szCs w:val="24"/>
        </w:rPr>
        <w:t>,</w:t>
      </w:r>
      <w:r w:rsidR="0068498D" w:rsidRPr="00A91E83">
        <w:rPr>
          <w:rFonts w:ascii="Times New Roman" w:hAnsi="Times New Roman" w:cs="Times New Roman"/>
          <w:sz w:val="24"/>
          <w:szCs w:val="24"/>
        </w:rPr>
        <w:t xml:space="preserve"> </w:t>
      </w:r>
      <w:r w:rsidR="00330288" w:rsidRPr="00A91E83">
        <w:rPr>
          <w:rFonts w:ascii="Times New Roman" w:hAnsi="Times New Roman" w:cs="Times New Roman"/>
          <w:sz w:val="24"/>
          <w:szCs w:val="24"/>
        </w:rPr>
        <w:t>lygus po 100$, turi būti įskaitomi. Efektas</w:t>
      </w:r>
      <w:r w:rsidR="009E33A1" w:rsidRPr="00A91E83">
        <w:rPr>
          <w:rFonts w:ascii="Times New Roman" w:hAnsi="Times New Roman" w:cs="Times New Roman"/>
          <w:sz w:val="24"/>
          <w:szCs w:val="24"/>
        </w:rPr>
        <w:t xml:space="preserve"> toks</w:t>
      </w:r>
      <w:r w:rsidR="00330288" w:rsidRPr="00A91E83">
        <w:rPr>
          <w:rFonts w:ascii="Times New Roman" w:hAnsi="Times New Roman" w:cs="Times New Roman"/>
          <w:sz w:val="24"/>
          <w:szCs w:val="24"/>
        </w:rPr>
        <w:t xml:space="preserve">, jog nei moki, nei nemoki bendrovė neturi atlikti jokių įmokų, nes gauti įvertinimo rezultatai buvo sujungti į vieną balansą. Manoma, jog toks susumavimas nėra draudžiamas, nes tai nėra sandorių vykdymas, ar įskaitymas, o tik vienos mokėtinos sumos identifikavimas pagal iš anksto sutartas sąlygas. Identifikavimas naudoja susumavimo techniką, kuri yra panaši į įskaitymą, tačiau tai nėra įskaitymas, nes </w:t>
      </w:r>
      <w:r w:rsidR="007C4D40" w:rsidRPr="00A91E83">
        <w:rPr>
          <w:rFonts w:ascii="Times New Roman" w:hAnsi="Times New Roman" w:cs="Times New Roman"/>
          <w:sz w:val="24"/>
          <w:szCs w:val="24"/>
        </w:rPr>
        <w:t>tokiu keliu buvo nustatytas</w:t>
      </w:r>
      <w:r w:rsidR="00330288" w:rsidRPr="00A91E83">
        <w:rPr>
          <w:rFonts w:ascii="Times New Roman" w:hAnsi="Times New Roman" w:cs="Times New Roman"/>
          <w:sz w:val="24"/>
          <w:szCs w:val="24"/>
        </w:rPr>
        <w:t xml:space="preserve"> prievolės dalykas, dėl kurio šalys susitarė. Neįmanoma kitaip nustat</w:t>
      </w:r>
      <w:r w:rsidR="007C4D40" w:rsidRPr="00A91E83">
        <w:rPr>
          <w:rFonts w:ascii="Times New Roman" w:hAnsi="Times New Roman" w:cs="Times New Roman"/>
          <w:sz w:val="24"/>
          <w:szCs w:val="24"/>
        </w:rPr>
        <w:t>yti prievolės dalyko, jeigu nebūtų</w:t>
      </w:r>
      <w:r w:rsidR="00330288" w:rsidRPr="00A91E83">
        <w:rPr>
          <w:rFonts w:ascii="Times New Roman" w:hAnsi="Times New Roman" w:cs="Times New Roman"/>
          <w:sz w:val="24"/>
          <w:szCs w:val="24"/>
        </w:rPr>
        <w:t xml:space="preserve"> sujungiami reikalavimai. </w:t>
      </w:r>
      <w:r w:rsidR="00451BD6" w:rsidRPr="00A91E83">
        <w:rPr>
          <w:rFonts w:ascii="Times New Roman" w:hAnsi="Times New Roman" w:cs="Times New Roman"/>
          <w:sz w:val="24"/>
          <w:szCs w:val="24"/>
        </w:rPr>
        <w:t>Iš esmės</w:t>
      </w:r>
      <w:r w:rsidR="007C4D40" w:rsidRPr="00A91E83">
        <w:rPr>
          <w:rFonts w:ascii="Times New Roman" w:hAnsi="Times New Roman" w:cs="Times New Roman"/>
          <w:sz w:val="24"/>
          <w:szCs w:val="24"/>
        </w:rPr>
        <w:t>,</w:t>
      </w:r>
      <w:r w:rsidR="0026228B" w:rsidRPr="00A91E83">
        <w:rPr>
          <w:rFonts w:ascii="Times New Roman" w:hAnsi="Times New Roman" w:cs="Times New Roman"/>
          <w:sz w:val="24"/>
          <w:szCs w:val="24"/>
        </w:rPr>
        <w:t xml:space="preserve"> pagal šalių </w:t>
      </w:r>
      <w:r w:rsidR="007C4D40" w:rsidRPr="00A91E83">
        <w:rPr>
          <w:rFonts w:ascii="Times New Roman" w:hAnsi="Times New Roman" w:cs="Times New Roman"/>
          <w:sz w:val="24"/>
          <w:szCs w:val="24"/>
        </w:rPr>
        <w:t>susitarimą</w:t>
      </w:r>
      <w:r w:rsidR="00451BD6" w:rsidRPr="00A91E83">
        <w:rPr>
          <w:rFonts w:ascii="Times New Roman" w:hAnsi="Times New Roman" w:cs="Times New Roman"/>
          <w:sz w:val="24"/>
          <w:szCs w:val="24"/>
        </w:rPr>
        <w:t xml:space="preserve"> ne</w:t>
      </w:r>
      <w:r w:rsidR="00330288" w:rsidRPr="00A91E83">
        <w:rPr>
          <w:rFonts w:ascii="Times New Roman" w:hAnsi="Times New Roman" w:cs="Times New Roman"/>
          <w:sz w:val="24"/>
          <w:szCs w:val="24"/>
        </w:rPr>
        <w:t xml:space="preserve">kyla priešpriešiniai įsipareigojimai, o kyla tik vienos iš šalių pareiga sumokėti vieną sumą. </w:t>
      </w:r>
      <w:r w:rsidR="00F1378C" w:rsidRPr="00A91E83">
        <w:rPr>
          <w:rFonts w:ascii="Times New Roman" w:hAnsi="Times New Roman" w:cs="Times New Roman"/>
          <w:sz w:val="24"/>
          <w:szCs w:val="24"/>
        </w:rPr>
        <w:t>LAT žodžiais tariant „šalys negali susitarti dėl būsimo prievolės įskaitymo, nes įskaitomi gali būti tik galiojantys priešpriešiniai reikalavimai“.</w:t>
      </w:r>
      <w:r w:rsidR="00F1378C" w:rsidRPr="00A91E83">
        <w:rPr>
          <w:rStyle w:val="Puslapioinaosnuoroda"/>
          <w:rFonts w:ascii="Times New Roman" w:hAnsi="Times New Roman" w:cs="Times New Roman"/>
          <w:sz w:val="24"/>
          <w:szCs w:val="24"/>
        </w:rPr>
        <w:footnoteReference w:id="234"/>
      </w:r>
      <w:r w:rsidR="00F1378C" w:rsidRPr="00A91E83">
        <w:rPr>
          <w:rFonts w:ascii="Times New Roman" w:hAnsi="Times New Roman" w:cs="Times New Roman"/>
          <w:sz w:val="24"/>
          <w:szCs w:val="24"/>
        </w:rPr>
        <w:t xml:space="preserve"> Taigi įskaitymas bankroto procese, kurį draudžia LAT išvis nėra atliekamas</w:t>
      </w:r>
      <w:r w:rsidR="008F36A3" w:rsidRPr="00A91E83">
        <w:rPr>
          <w:rFonts w:ascii="Times New Roman" w:hAnsi="Times New Roman" w:cs="Times New Roman"/>
          <w:sz w:val="24"/>
          <w:szCs w:val="24"/>
        </w:rPr>
        <w:t xml:space="preserve"> užskaitos atveju</w:t>
      </w:r>
      <w:r w:rsidR="00F1378C" w:rsidRPr="00A91E83">
        <w:rPr>
          <w:rFonts w:ascii="Times New Roman" w:hAnsi="Times New Roman" w:cs="Times New Roman"/>
          <w:sz w:val="24"/>
          <w:szCs w:val="24"/>
        </w:rPr>
        <w:t xml:space="preserve">, nes realiai priešpriešiniai reikalavimai dėl šalių susitarimo </w:t>
      </w:r>
      <w:r w:rsidR="005040E6" w:rsidRPr="00A91E83">
        <w:rPr>
          <w:rFonts w:ascii="Times New Roman" w:hAnsi="Times New Roman" w:cs="Times New Roman"/>
          <w:sz w:val="24"/>
          <w:szCs w:val="24"/>
        </w:rPr>
        <w:t xml:space="preserve">tapo galiojantys </w:t>
      </w:r>
      <w:r w:rsidR="007C4D40" w:rsidRPr="00A91E83">
        <w:rPr>
          <w:rFonts w:ascii="Times New Roman" w:hAnsi="Times New Roman" w:cs="Times New Roman"/>
          <w:sz w:val="24"/>
          <w:szCs w:val="24"/>
        </w:rPr>
        <w:t xml:space="preserve">tik po to, kai buvo </w:t>
      </w:r>
      <w:r w:rsidR="00F1378C" w:rsidRPr="00A91E83">
        <w:rPr>
          <w:rFonts w:ascii="Times New Roman" w:hAnsi="Times New Roman" w:cs="Times New Roman"/>
          <w:sz w:val="24"/>
          <w:szCs w:val="24"/>
        </w:rPr>
        <w:t>ident</w:t>
      </w:r>
      <w:r w:rsidR="008F36A3" w:rsidRPr="00A91E83">
        <w:rPr>
          <w:rFonts w:ascii="Times New Roman" w:hAnsi="Times New Roman" w:cs="Times New Roman"/>
          <w:sz w:val="24"/>
          <w:szCs w:val="24"/>
        </w:rPr>
        <w:t>ifikuota galutinė mokėtina suma</w:t>
      </w:r>
      <w:r w:rsidR="0031325A" w:rsidRPr="00A91E83">
        <w:rPr>
          <w:rFonts w:ascii="Times New Roman" w:hAnsi="Times New Roman" w:cs="Times New Roman"/>
          <w:sz w:val="24"/>
          <w:szCs w:val="24"/>
        </w:rPr>
        <w:t>.</w:t>
      </w:r>
      <w:r w:rsidR="00451BD6" w:rsidRPr="00A91E83">
        <w:rPr>
          <w:rFonts w:ascii="Times New Roman" w:hAnsi="Times New Roman" w:cs="Times New Roman"/>
          <w:sz w:val="24"/>
          <w:szCs w:val="24"/>
        </w:rPr>
        <w:t xml:space="preserve"> </w:t>
      </w:r>
      <w:r w:rsidR="008F36A3" w:rsidRPr="00A91E83">
        <w:rPr>
          <w:rFonts w:ascii="Times New Roman" w:hAnsi="Times New Roman" w:cs="Times New Roman"/>
          <w:sz w:val="24"/>
          <w:szCs w:val="24"/>
        </w:rPr>
        <w:t>Taigi, jeigu jie nebuvo galiojantys</w:t>
      </w:r>
      <w:r w:rsidR="007C4D40" w:rsidRPr="00A91E83">
        <w:rPr>
          <w:rFonts w:ascii="Times New Roman" w:hAnsi="Times New Roman" w:cs="Times New Roman"/>
          <w:sz w:val="24"/>
          <w:szCs w:val="24"/>
        </w:rPr>
        <w:t xml:space="preserve"> anksčiau</w:t>
      </w:r>
      <w:r w:rsidR="008F36A3" w:rsidRPr="00A91E83">
        <w:rPr>
          <w:rFonts w:ascii="Times New Roman" w:hAnsi="Times New Roman" w:cs="Times New Roman"/>
          <w:sz w:val="24"/>
          <w:szCs w:val="24"/>
        </w:rPr>
        <w:t xml:space="preserve">, tai negalėjo būti įskaitomi pagal CK instituto aptartas sąlygas. </w:t>
      </w:r>
      <w:r w:rsidR="00F56702" w:rsidRPr="00A91E83">
        <w:rPr>
          <w:rFonts w:ascii="Times New Roman" w:hAnsi="Times New Roman" w:cs="Times New Roman"/>
          <w:sz w:val="24"/>
          <w:szCs w:val="24"/>
        </w:rPr>
        <w:t>S</w:t>
      </w:r>
      <w:r w:rsidR="008F36A3" w:rsidRPr="00A91E83">
        <w:rPr>
          <w:rFonts w:ascii="Times New Roman" w:hAnsi="Times New Roman" w:cs="Times New Roman"/>
          <w:sz w:val="24"/>
          <w:szCs w:val="24"/>
        </w:rPr>
        <w:t>utarčių laisvės principas leidžia šalims susitarti dėl prievolių apskaičiavimo. Jeigu ĮBĮ normos gina nuo įskaitymo, kuris nėra atliekamas, tai kitoks šalių susitarimas neprieštarauja ĮBĮ</w:t>
      </w:r>
      <w:r w:rsidR="00350CB2" w:rsidRPr="00A91E83">
        <w:rPr>
          <w:rFonts w:ascii="Times New Roman" w:hAnsi="Times New Roman" w:cs="Times New Roman"/>
          <w:sz w:val="24"/>
          <w:szCs w:val="24"/>
        </w:rPr>
        <w:t xml:space="preserve">. </w:t>
      </w:r>
      <w:r w:rsidR="007C4D40" w:rsidRPr="00A91E83">
        <w:rPr>
          <w:rFonts w:ascii="Times New Roman" w:hAnsi="Times New Roman" w:cs="Times New Roman"/>
          <w:sz w:val="24"/>
          <w:szCs w:val="24"/>
        </w:rPr>
        <w:t>Užskaitos sąlygos modifikuotas</w:t>
      </w:r>
      <w:r w:rsidR="008F36A3" w:rsidRPr="00A91E83">
        <w:rPr>
          <w:rFonts w:ascii="Times New Roman" w:hAnsi="Times New Roman" w:cs="Times New Roman"/>
          <w:sz w:val="24"/>
          <w:szCs w:val="24"/>
        </w:rPr>
        <w:t xml:space="preserve"> prievolė</w:t>
      </w:r>
      <w:r w:rsidR="007C4D40" w:rsidRPr="00A91E83">
        <w:rPr>
          <w:rFonts w:ascii="Times New Roman" w:hAnsi="Times New Roman" w:cs="Times New Roman"/>
          <w:sz w:val="24"/>
          <w:szCs w:val="24"/>
        </w:rPr>
        <w:t>s dalykas</w:t>
      </w:r>
      <w:r w:rsidR="008F36A3" w:rsidRPr="00A91E83">
        <w:rPr>
          <w:rFonts w:ascii="Times New Roman" w:hAnsi="Times New Roman" w:cs="Times New Roman"/>
          <w:sz w:val="24"/>
          <w:szCs w:val="24"/>
        </w:rPr>
        <w:t xml:space="preserve"> privalo būti galiojanti</w:t>
      </w:r>
      <w:r w:rsidR="007C4D40" w:rsidRPr="00A91E83">
        <w:rPr>
          <w:rFonts w:ascii="Times New Roman" w:hAnsi="Times New Roman" w:cs="Times New Roman"/>
          <w:sz w:val="24"/>
          <w:szCs w:val="24"/>
        </w:rPr>
        <w:t>s</w:t>
      </w:r>
      <w:r w:rsidR="008F36A3" w:rsidRPr="00A91E83">
        <w:rPr>
          <w:rFonts w:ascii="Times New Roman" w:hAnsi="Times New Roman" w:cs="Times New Roman"/>
          <w:sz w:val="24"/>
          <w:szCs w:val="24"/>
        </w:rPr>
        <w:t>, nes bankroto administratorius neturi teisės pakeisti šalių valios</w:t>
      </w:r>
      <w:r w:rsidR="00F56702" w:rsidRPr="00A91E83">
        <w:rPr>
          <w:rFonts w:ascii="Times New Roman" w:hAnsi="Times New Roman" w:cs="Times New Roman"/>
          <w:sz w:val="24"/>
          <w:szCs w:val="24"/>
        </w:rPr>
        <w:t>, t.</w:t>
      </w:r>
      <w:r w:rsidR="00015B45" w:rsidRPr="00A91E83">
        <w:rPr>
          <w:rFonts w:ascii="Times New Roman" w:hAnsi="Times New Roman" w:cs="Times New Roman"/>
          <w:sz w:val="24"/>
          <w:szCs w:val="24"/>
        </w:rPr>
        <w:t> </w:t>
      </w:r>
      <w:r w:rsidR="00F56702" w:rsidRPr="00A91E83">
        <w:rPr>
          <w:rFonts w:ascii="Times New Roman" w:hAnsi="Times New Roman" w:cs="Times New Roman"/>
          <w:sz w:val="24"/>
          <w:szCs w:val="24"/>
        </w:rPr>
        <w:t>y. pakeisti šalių nustatytą prievolės dalyką</w:t>
      </w:r>
      <w:r w:rsidR="008F36A3" w:rsidRPr="00A91E83">
        <w:rPr>
          <w:rFonts w:ascii="Times New Roman" w:hAnsi="Times New Roman" w:cs="Times New Roman"/>
          <w:sz w:val="24"/>
          <w:szCs w:val="24"/>
        </w:rPr>
        <w:t>. Pagal dabartinį ĮBĮ reguliavimą bankroto administratorius turi teisę tik nutraukti sandorių vykdymą</w:t>
      </w:r>
      <w:r w:rsidR="00015B45" w:rsidRPr="00A91E83">
        <w:rPr>
          <w:rFonts w:ascii="Times New Roman" w:hAnsi="Times New Roman" w:cs="Times New Roman"/>
          <w:sz w:val="24"/>
          <w:szCs w:val="24"/>
        </w:rPr>
        <w:t>,</w:t>
      </w:r>
      <w:r w:rsidR="00C22742" w:rsidRPr="00A91E83">
        <w:rPr>
          <w:rFonts w:ascii="Times New Roman" w:hAnsi="Times New Roman" w:cs="Times New Roman"/>
          <w:sz w:val="24"/>
          <w:szCs w:val="24"/>
        </w:rPr>
        <w:t xml:space="preserve"> jį pratęsti, </w:t>
      </w:r>
      <w:r w:rsidR="00015B45" w:rsidRPr="00A91E83">
        <w:rPr>
          <w:rFonts w:ascii="Times New Roman" w:hAnsi="Times New Roman" w:cs="Times New Roman"/>
          <w:sz w:val="24"/>
          <w:szCs w:val="24"/>
        </w:rPr>
        <w:t xml:space="preserve">ar sudaryti naujus sandorius, </w:t>
      </w:r>
      <w:r w:rsidR="00C22742" w:rsidRPr="00A91E83">
        <w:rPr>
          <w:rFonts w:ascii="Times New Roman" w:hAnsi="Times New Roman" w:cs="Times New Roman"/>
          <w:sz w:val="24"/>
          <w:szCs w:val="24"/>
        </w:rPr>
        <w:t xml:space="preserve">jeigu </w:t>
      </w:r>
      <w:r w:rsidR="00015B45" w:rsidRPr="00A91E83">
        <w:rPr>
          <w:rFonts w:ascii="Times New Roman" w:hAnsi="Times New Roman" w:cs="Times New Roman"/>
          <w:sz w:val="24"/>
          <w:szCs w:val="24"/>
        </w:rPr>
        <w:t>jie</w:t>
      </w:r>
      <w:r w:rsidR="00C22742" w:rsidRPr="00A91E83">
        <w:rPr>
          <w:rFonts w:ascii="Times New Roman" w:hAnsi="Times New Roman" w:cs="Times New Roman"/>
          <w:sz w:val="24"/>
          <w:szCs w:val="24"/>
        </w:rPr>
        <w:t xml:space="preserve"> </w:t>
      </w:r>
      <w:r w:rsidR="00015B45" w:rsidRPr="00A91E83">
        <w:rPr>
          <w:rFonts w:ascii="Times New Roman" w:hAnsi="Times New Roman" w:cs="Times New Roman"/>
          <w:sz w:val="24"/>
          <w:szCs w:val="24"/>
        </w:rPr>
        <w:t>yr</w:t>
      </w:r>
      <w:r w:rsidR="00C22742" w:rsidRPr="00A91E83">
        <w:rPr>
          <w:rFonts w:ascii="Times New Roman" w:hAnsi="Times New Roman" w:cs="Times New Roman"/>
          <w:sz w:val="24"/>
          <w:szCs w:val="24"/>
        </w:rPr>
        <w:t>a</w:t>
      </w:r>
      <w:r w:rsidR="00015B45" w:rsidRPr="00A91E83">
        <w:rPr>
          <w:rFonts w:ascii="Times New Roman" w:hAnsi="Times New Roman" w:cs="Times New Roman"/>
          <w:sz w:val="24"/>
          <w:szCs w:val="24"/>
        </w:rPr>
        <w:t xml:space="preserve"> naudingi</w:t>
      </w:r>
      <w:r w:rsidR="008F36A3" w:rsidRPr="00A91E83">
        <w:rPr>
          <w:rFonts w:ascii="Times New Roman" w:hAnsi="Times New Roman" w:cs="Times New Roman"/>
          <w:sz w:val="24"/>
          <w:szCs w:val="24"/>
        </w:rPr>
        <w:t xml:space="preserve"> nemokiai bendrovei, tačiau pakeisti </w:t>
      </w:r>
      <w:r w:rsidR="00015B45" w:rsidRPr="00A91E83">
        <w:rPr>
          <w:rFonts w:ascii="Times New Roman" w:hAnsi="Times New Roman" w:cs="Times New Roman"/>
          <w:sz w:val="24"/>
          <w:szCs w:val="24"/>
        </w:rPr>
        <w:t xml:space="preserve">jau sudarytų sutarčių </w:t>
      </w:r>
      <w:r w:rsidR="008F36A3" w:rsidRPr="00A91E83">
        <w:rPr>
          <w:rFonts w:ascii="Times New Roman" w:hAnsi="Times New Roman" w:cs="Times New Roman"/>
          <w:sz w:val="24"/>
          <w:szCs w:val="24"/>
        </w:rPr>
        <w:t>šalių valios jam nėra suteikti įgaliojimai.</w:t>
      </w:r>
      <w:r w:rsidR="00D7316F" w:rsidRPr="00A91E83">
        <w:rPr>
          <w:rFonts w:ascii="Times New Roman" w:hAnsi="Times New Roman" w:cs="Times New Roman"/>
          <w:sz w:val="24"/>
          <w:szCs w:val="24"/>
        </w:rPr>
        <w:t xml:space="preserve"> </w:t>
      </w:r>
      <w:r w:rsidR="007F2848" w:rsidRPr="00A91E83">
        <w:rPr>
          <w:rFonts w:ascii="Times New Roman" w:hAnsi="Times New Roman" w:cs="Times New Roman"/>
          <w:sz w:val="24"/>
          <w:szCs w:val="24"/>
        </w:rPr>
        <w:t xml:space="preserve">Todėl darytina išvada, kad baigiamosios užskaitos mechanizmas nepažeidžia bankroto teisės normų, nes baigiamoji užskaita tik naudoja </w:t>
      </w:r>
      <w:r w:rsidR="007C4D40" w:rsidRPr="00A91E83">
        <w:rPr>
          <w:rFonts w:ascii="Times New Roman" w:hAnsi="Times New Roman" w:cs="Times New Roman"/>
          <w:sz w:val="24"/>
          <w:szCs w:val="24"/>
        </w:rPr>
        <w:t xml:space="preserve">panašią </w:t>
      </w:r>
      <w:r w:rsidR="00350CB2" w:rsidRPr="00A91E83">
        <w:rPr>
          <w:rFonts w:ascii="Times New Roman" w:hAnsi="Times New Roman" w:cs="Times New Roman"/>
          <w:sz w:val="24"/>
          <w:szCs w:val="24"/>
        </w:rPr>
        <w:t xml:space="preserve">į </w:t>
      </w:r>
      <w:r w:rsidR="007C4D40" w:rsidRPr="00A91E83">
        <w:rPr>
          <w:rFonts w:ascii="Times New Roman" w:hAnsi="Times New Roman" w:cs="Times New Roman"/>
          <w:sz w:val="24"/>
          <w:szCs w:val="24"/>
        </w:rPr>
        <w:t>įskaitymą techniką</w:t>
      </w:r>
      <w:r w:rsidR="007F2848" w:rsidRPr="00A91E83">
        <w:rPr>
          <w:rFonts w:ascii="Times New Roman" w:hAnsi="Times New Roman" w:cs="Times New Roman"/>
          <w:sz w:val="24"/>
          <w:szCs w:val="24"/>
        </w:rPr>
        <w:t xml:space="preserve"> nustatant įsipareigojimų dydį, tačiau pats mechanizmas negali būti tapati</w:t>
      </w:r>
      <w:r w:rsidR="007C4D40" w:rsidRPr="00A91E83">
        <w:rPr>
          <w:rFonts w:ascii="Times New Roman" w:hAnsi="Times New Roman" w:cs="Times New Roman"/>
          <w:sz w:val="24"/>
          <w:szCs w:val="24"/>
        </w:rPr>
        <w:t>namas su CK įtvirtintu įskaitymo institutu</w:t>
      </w:r>
      <w:r w:rsidR="007F2848" w:rsidRPr="00A91E83">
        <w:rPr>
          <w:rFonts w:ascii="Times New Roman" w:hAnsi="Times New Roman" w:cs="Times New Roman"/>
          <w:sz w:val="24"/>
          <w:szCs w:val="24"/>
        </w:rPr>
        <w:t>.</w:t>
      </w:r>
      <w:r w:rsidR="00FD35AD" w:rsidRPr="00A91E83">
        <w:rPr>
          <w:rFonts w:ascii="Times New Roman" w:hAnsi="Times New Roman" w:cs="Times New Roman"/>
          <w:sz w:val="24"/>
          <w:szCs w:val="24"/>
        </w:rPr>
        <w:t xml:space="preserve"> </w:t>
      </w:r>
    </w:p>
    <w:p w:rsidR="00330288" w:rsidRDefault="00350CB2" w:rsidP="002C3648">
      <w:pPr>
        <w:tabs>
          <w:tab w:val="left" w:pos="85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t>Taip pat toks apskaičiavimo metodas negali būti laikomas vykdymu</w:t>
      </w:r>
      <w:r w:rsidR="00CD1C86" w:rsidRPr="00A91E83">
        <w:rPr>
          <w:rFonts w:ascii="Times New Roman" w:hAnsi="Times New Roman" w:cs="Times New Roman"/>
          <w:sz w:val="24"/>
          <w:szCs w:val="24"/>
        </w:rPr>
        <w:t xml:space="preserve">. </w:t>
      </w:r>
      <w:r w:rsidR="00FD35AD" w:rsidRPr="00A91E83">
        <w:rPr>
          <w:rFonts w:ascii="Times New Roman" w:hAnsi="Times New Roman" w:cs="Times New Roman"/>
          <w:sz w:val="24"/>
          <w:szCs w:val="24"/>
        </w:rPr>
        <w:t xml:space="preserve">Kitu nei </w:t>
      </w:r>
      <w:r w:rsidR="006B43E1" w:rsidRPr="00A91E83">
        <w:rPr>
          <w:rFonts w:ascii="Times New Roman" w:hAnsi="Times New Roman" w:cs="Times New Roman"/>
          <w:sz w:val="24"/>
          <w:szCs w:val="24"/>
        </w:rPr>
        <w:t>paminėto pavyzdžio atveju,</w:t>
      </w:r>
      <w:r w:rsidR="00FD35AD" w:rsidRPr="00A91E83">
        <w:rPr>
          <w:rFonts w:ascii="Times New Roman" w:hAnsi="Times New Roman" w:cs="Times New Roman"/>
          <w:sz w:val="24"/>
          <w:szCs w:val="24"/>
        </w:rPr>
        <w:t xml:space="preserve"> kai apskaičiavus ir sujungus reikalavimus nemoki bendrovė lieka skolinga, tai dėl </w:t>
      </w:r>
      <w:r w:rsidR="003526B1" w:rsidRPr="00A91E83">
        <w:rPr>
          <w:rFonts w:ascii="Times New Roman" w:hAnsi="Times New Roman" w:cs="Times New Roman"/>
          <w:sz w:val="24"/>
          <w:szCs w:val="24"/>
        </w:rPr>
        <w:t xml:space="preserve">kontrahento </w:t>
      </w:r>
      <w:r w:rsidR="00FD35AD" w:rsidRPr="00A91E83">
        <w:rPr>
          <w:rFonts w:ascii="Times New Roman" w:hAnsi="Times New Roman" w:cs="Times New Roman"/>
          <w:sz w:val="24"/>
          <w:szCs w:val="24"/>
        </w:rPr>
        <w:t>mokėtino li</w:t>
      </w:r>
      <w:r w:rsidR="002353EF" w:rsidRPr="00A91E83">
        <w:rPr>
          <w:rFonts w:ascii="Times New Roman" w:hAnsi="Times New Roman" w:cs="Times New Roman"/>
          <w:sz w:val="24"/>
          <w:szCs w:val="24"/>
        </w:rPr>
        <w:t>kučio moki šalis stos į bendrąją</w:t>
      </w:r>
      <w:r w:rsidR="00FD35AD" w:rsidRPr="00A91E83">
        <w:rPr>
          <w:rFonts w:ascii="Times New Roman" w:hAnsi="Times New Roman" w:cs="Times New Roman"/>
          <w:sz w:val="24"/>
          <w:szCs w:val="24"/>
        </w:rPr>
        <w:t xml:space="preserve"> neapsaugotų kreditorių eilę, kurių reikalavimai bus tenkinami iš bendros turto masės.</w:t>
      </w:r>
      <w:r w:rsidR="00FD35AD" w:rsidRPr="00A91E83">
        <w:rPr>
          <w:rStyle w:val="Puslapioinaosnuoroda"/>
          <w:rFonts w:ascii="Times New Roman" w:eastAsia="Times New Roman" w:hAnsi="Times New Roman" w:cs="Times New Roman"/>
          <w:color w:val="000000"/>
          <w:sz w:val="24"/>
          <w:szCs w:val="24"/>
        </w:rPr>
        <w:footnoteReference w:id="235"/>
      </w:r>
      <w:r w:rsidR="00F0782C" w:rsidRPr="00A91E83">
        <w:rPr>
          <w:rFonts w:ascii="Times New Roman" w:hAnsi="Times New Roman" w:cs="Times New Roman"/>
          <w:sz w:val="24"/>
          <w:szCs w:val="24"/>
        </w:rPr>
        <w:t xml:space="preserve"> Taigi </w:t>
      </w:r>
      <w:r w:rsidR="009857AF" w:rsidRPr="00A91E83">
        <w:rPr>
          <w:rFonts w:ascii="Times New Roman" w:hAnsi="Times New Roman" w:cs="Times New Roman"/>
          <w:sz w:val="24"/>
          <w:szCs w:val="24"/>
        </w:rPr>
        <w:t>nustačius</w:t>
      </w:r>
      <w:r w:rsidR="003526B1" w:rsidRPr="00A91E83">
        <w:rPr>
          <w:rFonts w:ascii="Times New Roman" w:hAnsi="Times New Roman" w:cs="Times New Roman"/>
          <w:sz w:val="24"/>
          <w:szCs w:val="24"/>
        </w:rPr>
        <w:t xml:space="preserve"> prievolės dalyką, </w:t>
      </w:r>
      <w:r w:rsidR="009857AF" w:rsidRPr="00A91E83">
        <w:rPr>
          <w:rFonts w:ascii="Times New Roman" w:hAnsi="Times New Roman" w:cs="Times New Roman"/>
          <w:sz w:val="24"/>
          <w:szCs w:val="24"/>
        </w:rPr>
        <w:t xml:space="preserve">išankstinis </w:t>
      </w:r>
      <w:r w:rsidR="00F0782C" w:rsidRPr="00A91E83">
        <w:rPr>
          <w:rFonts w:ascii="Times New Roman" w:hAnsi="Times New Roman" w:cs="Times New Roman"/>
          <w:sz w:val="24"/>
          <w:szCs w:val="24"/>
        </w:rPr>
        <w:t xml:space="preserve">vykdymas </w:t>
      </w:r>
      <w:r w:rsidR="009857AF" w:rsidRPr="00A91E83">
        <w:rPr>
          <w:rFonts w:ascii="Times New Roman" w:hAnsi="Times New Roman" w:cs="Times New Roman"/>
          <w:sz w:val="24"/>
          <w:szCs w:val="24"/>
        </w:rPr>
        <w:t>nebus atliekamas</w:t>
      </w:r>
      <w:r w:rsidR="00F0782C" w:rsidRPr="00A91E83">
        <w:rPr>
          <w:rFonts w:ascii="Times New Roman" w:hAnsi="Times New Roman" w:cs="Times New Roman"/>
          <w:sz w:val="24"/>
          <w:szCs w:val="24"/>
        </w:rPr>
        <w:t xml:space="preserve">, </w:t>
      </w:r>
      <w:r w:rsidR="003526B1" w:rsidRPr="00A91E83">
        <w:rPr>
          <w:rFonts w:ascii="Times New Roman" w:hAnsi="Times New Roman" w:cs="Times New Roman"/>
          <w:sz w:val="24"/>
          <w:szCs w:val="24"/>
        </w:rPr>
        <w:t>todėl užskaitos mechanizmas nepažeidžia bankroto imperatyvaus režimo.</w:t>
      </w:r>
    </w:p>
    <w:p w:rsidR="005F6FE6" w:rsidRPr="00A91E83" w:rsidRDefault="005F6FE6" w:rsidP="005F6FE6">
      <w:pPr>
        <w:pStyle w:val="Sraopastraipa"/>
        <w:numPr>
          <w:ilvl w:val="3"/>
          <w:numId w:val="4"/>
        </w:numPr>
        <w:tabs>
          <w:tab w:val="left" w:pos="851"/>
        </w:tabs>
        <w:spacing w:after="0" w:line="360" w:lineRule="auto"/>
        <w:ind w:left="851" w:hanging="851"/>
        <w:jc w:val="both"/>
        <w:outlineLvl w:val="2"/>
        <w:rPr>
          <w:rFonts w:ascii="Times New Roman" w:hAnsi="Times New Roman" w:cs="Times New Roman"/>
          <w:b/>
          <w:sz w:val="24"/>
          <w:szCs w:val="24"/>
        </w:rPr>
      </w:pPr>
      <w:bookmarkStart w:id="41" w:name="_Toc280546474"/>
      <w:proofErr w:type="spellStart"/>
      <w:r w:rsidRPr="00A91E83">
        <w:rPr>
          <w:rFonts w:ascii="Times New Roman" w:hAnsi="Times New Roman" w:cs="Times New Roman"/>
          <w:b/>
          <w:sz w:val="24"/>
          <w:szCs w:val="24"/>
        </w:rPr>
        <w:lastRenderedPageBreak/>
        <w:t>Teleologinis</w:t>
      </w:r>
      <w:proofErr w:type="spellEnd"/>
      <w:r w:rsidRPr="00A91E83">
        <w:rPr>
          <w:rFonts w:ascii="Times New Roman" w:hAnsi="Times New Roman" w:cs="Times New Roman"/>
          <w:b/>
          <w:sz w:val="24"/>
          <w:szCs w:val="24"/>
        </w:rPr>
        <w:t xml:space="preserve"> užskaitos mechanizmo aiškinimas</w:t>
      </w:r>
      <w:bookmarkEnd w:id="41"/>
    </w:p>
    <w:p w:rsidR="005F6FE6" w:rsidRPr="00A91E83" w:rsidRDefault="005F6FE6" w:rsidP="005F6FE6">
      <w:pPr>
        <w:tabs>
          <w:tab w:val="left" w:pos="851"/>
        </w:tabs>
        <w:spacing w:after="0" w:line="360" w:lineRule="auto"/>
        <w:jc w:val="both"/>
        <w:outlineLvl w:val="2"/>
        <w:rPr>
          <w:rFonts w:ascii="Times New Roman" w:hAnsi="Times New Roman" w:cs="Times New Roman"/>
          <w:b/>
          <w:sz w:val="24"/>
          <w:szCs w:val="24"/>
        </w:rPr>
      </w:pPr>
    </w:p>
    <w:p w:rsidR="00047E6C" w:rsidRPr="00A91E83" w:rsidRDefault="00392535" w:rsidP="00392535">
      <w:pPr>
        <w:tabs>
          <w:tab w:val="left" w:pos="85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t>Teisinė problema, kuri</w:t>
      </w:r>
      <w:r w:rsidR="00DE2D68" w:rsidRPr="00A91E83">
        <w:rPr>
          <w:rFonts w:ascii="Times New Roman" w:hAnsi="Times New Roman" w:cs="Times New Roman"/>
          <w:sz w:val="24"/>
          <w:szCs w:val="24"/>
        </w:rPr>
        <w:t xml:space="preserve"> turi būti </w:t>
      </w:r>
      <w:r w:rsidRPr="00A91E83">
        <w:rPr>
          <w:rFonts w:ascii="Times New Roman" w:hAnsi="Times New Roman" w:cs="Times New Roman"/>
          <w:sz w:val="24"/>
          <w:szCs w:val="24"/>
        </w:rPr>
        <w:t>išspręsta</w:t>
      </w:r>
      <w:r w:rsidR="00DE2D68" w:rsidRPr="00A91E83">
        <w:rPr>
          <w:rFonts w:ascii="Times New Roman" w:hAnsi="Times New Roman" w:cs="Times New Roman"/>
          <w:sz w:val="24"/>
          <w:szCs w:val="24"/>
        </w:rPr>
        <w:t xml:space="preserve">, tai sutarčių teisės principo galiojimo ribos bankroto kontekste. </w:t>
      </w:r>
      <w:r w:rsidR="0023338C" w:rsidRPr="00A91E83">
        <w:rPr>
          <w:rFonts w:ascii="Times New Roman" w:hAnsi="Times New Roman" w:cs="Times New Roman"/>
          <w:sz w:val="24"/>
          <w:szCs w:val="24"/>
        </w:rPr>
        <w:t xml:space="preserve">Įsiteisėjus </w:t>
      </w:r>
      <w:r w:rsidR="001F3B2F" w:rsidRPr="00A91E83">
        <w:rPr>
          <w:rFonts w:ascii="Times New Roman" w:hAnsi="Times New Roman" w:cs="Times New Roman"/>
          <w:sz w:val="24"/>
          <w:szCs w:val="24"/>
        </w:rPr>
        <w:t>nutarčiai iškelti bankroto bylą</w:t>
      </w:r>
      <w:r w:rsidR="0023338C" w:rsidRPr="00A91E83">
        <w:rPr>
          <w:rFonts w:ascii="Times New Roman" w:hAnsi="Times New Roman" w:cs="Times New Roman"/>
          <w:sz w:val="24"/>
          <w:szCs w:val="24"/>
        </w:rPr>
        <w:t xml:space="preserve"> </w:t>
      </w:r>
      <w:r w:rsidR="001F3B2F" w:rsidRPr="00A91E83">
        <w:rPr>
          <w:rFonts w:ascii="Times New Roman" w:hAnsi="Times New Roman" w:cs="Times New Roman"/>
          <w:sz w:val="24"/>
          <w:szCs w:val="24"/>
        </w:rPr>
        <w:t>p</w:t>
      </w:r>
      <w:r w:rsidR="0023338C" w:rsidRPr="00A91E83">
        <w:rPr>
          <w:rFonts w:ascii="Times New Roman" w:hAnsi="Times New Roman" w:cs="Times New Roman"/>
          <w:sz w:val="24"/>
          <w:szCs w:val="24"/>
        </w:rPr>
        <w:t xml:space="preserve">rasideda imperatyvus bankroto režimas. Kreditorius neturi teisės gauti reikalavimų patenkinimo kitokia tvarka nei numatyta ĮBĮ. </w:t>
      </w:r>
      <w:r w:rsidR="00FB629A" w:rsidRPr="00A91E83">
        <w:rPr>
          <w:rFonts w:ascii="Times New Roman" w:hAnsi="Times New Roman" w:cs="Times New Roman"/>
          <w:sz w:val="24"/>
          <w:szCs w:val="24"/>
        </w:rPr>
        <w:t xml:space="preserve">Todėl </w:t>
      </w:r>
      <w:r w:rsidR="00E510F6" w:rsidRPr="00A91E83">
        <w:rPr>
          <w:rFonts w:ascii="Times New Roman" w:hAnsi="Times New Roman" w:cs="Times New Roman"/>
          <w:sz w:val="24"/>
          <w:szCs w:val="24"/>
        </w:rPr>
        <w:t>i</w:t>
      </w:r>
      <w:r w:rsidR="00F3398E" w:rsidRPr="00A91E83">
        <w:rPr>
          <w:rFonts w:ascii="Times New Roman" w:hAnsi="Times New Roman" w:cs="Times New Roman"/>
          <w:sz w:val="24"/>
          <w:szCs w:val="24"/>
        </w:rPr>
        <w:t xml:space="preserve">mperatyvus ĮBĮ režimas </w:t>
      </w:r>
      <w:r w:rsidR="00FB629A" w:rsidRPr="00A91E83">
        <w:rPr>
          <w:rFonts w:ascii="Times New Roman" w:hAnsi="Times New Roman" w:cs="Times New Roman"/>
          <w:sz w:val="24"/>
          <w:szCs w:val="24"/>
        </w:rPr>
        <w:t>būtų</w:t>
      </w:r>
      <w:r w:rsidR="00DE106C" w:rsidRPr="00A91E83">
        <w:rPr>
          <w:rFonts w:ascii="Times New Roman" w:hAnsi="Times New Roman" w:cs="Times New Roman"/>
          <w:sz w:val="24"/>
          <w:szCs w:val="24"/>
        </w:rPr>
        <w:t xml:space="preserve"> pažeidžiamas, </w:t>
      </w:r>
      <w:r w:rsidR="00F3398E" w:rsidRPr="00A91E83">
        <w:rPr>
          <w:rFonts w:ascii="Times New Roman" w:hAnsi="Times New Roman" w:cs="Times New Roman"/>
          <w:sz w:val="24"/>
          <w:szCs w:val="24"/>
        </w:rPr>
        <w:t>jeigu prievolės būtų vykdomos</w:t>
      </w:r>
      <w:r w:rsidR="00E510F6" w:rsidRPr="00A91E83">
        <w:rPr>
          <w:rFonts w:ascii="Times New Roman" w:hAnsi="Times New Roman" w:cs="Times New Roman"/>
          <w:sz w:val="24"/>
          <w:szCs w:val="24"/>
        </w:rPr>
        <w:t xml:space="preserve"> ar įskaitomos</w:t>
      </w:r>
      <w:r w:rsidR="00F3398E" w:rsidRPr="00A91E83">
        <w:rPr>
          <w:rFonts w:ascii="Times New Roman" w:hAnsi="Times New Roman" w:cs="Times New Roman"/>
          <w:sz w:val="24"/>
          <w:szCs w:val="24"/>
        </w:rPr>
        <w:t>.</w:t>
      </w:r>
      <w:r w:rsidR="00DE2D68" w:rsidRPr="00A91E83">
        <w:rPr>
          <w:rFonts w:ascii="Times New Roman" w:hAnsi="Times New Roman" w:cs="Times New Roman"/>
          <w:sz w:val="24"/>
          <w:szCs w:val="24"/>
        </w:rPr>
        <w:t xml:space="preserve"> </w:t>
      </w:r>
      <w:r w:rsidR="00DE106C" w:rsidRPr="00A91E83">
        <w:rPr>
          <w:rFonts w:ascii="Times New Roman" w:hAnsi="Times New Roman" w:cs="Times New Roman"/>
          <w:sz w:val="24"/>
          <w:szCs w:val="24"/>
        </w:rPr>
        <w:t>Trečiojo baigiamosios užskaitos</w:t>
      </w:r>
      <w:r w:rsidR="001F3B2F" w:rsidRPr="00A91E83">
        <w:rPr>
          <w:rFonts w:ascii="Times New Roman" w:hAnsi="Times New Roman" w:cs="Times New Roman"/>
          <w:sz w:val="24"/>
          <w:szCs w:val="24"/>
        </w:rPr>
        <w:t xml:space="preserve"> elementas</w:t>
      </w:r>
      <w:r w:rsidR="00156394" w:rsidRPr="00A91E83">
        <w:rPr>
          <w:rFonts w:ascii="Times New Roman" w:hAnsi="Times New Roman" w:cs="Times New Roman"/>
          <w:sz w:val="24"/>
          <w:szCs w:val="24"/>
        </w:rPr>
        <w:t xml:space="preserve">, kuris gali </w:t>
      </w:r>
      <w:r w:rsidR="00315DAC" w:rsidRPr="00A91E83">
        <w:rPr>
          <w:rFonts w:ascii="Times New Roman" w:hAnsi="Times New Roman" w:cs="Times New Roman"/>
          <w:sz w:val="24"/>
          <w:szCs w:val="24"/>
        </w:rPr>
        <w:t xml:space="preserve">būti </w:t>
      </w:r>
      <w:r w:rsidR="00156394" w:rsidRPr="00A91E83">
        <w:rPr>
          <w:rFonts w:ascii="Times New Roman" w:hAnsi="Times New Roman" w:cs="Times New Roman"/>
          <w:sz w:val="24"/>
          <w:szCs w:val="24"/>
        </w:rPr>
        <w:t>vadinamas</w:t>
      </w:r>
      <w:r w:rsidR="00315DAC" w:rsidRPr="00A91E83">
        <w:rPr>
          <w:rFonts w:ascii="Times New Roman" w:hAnsi="Times New Roman" w:cs="Times New Roman"/>
          <w:sz w:val="24"/>
          <w:szCs w:val="24"/>
        </w:rPr>
        <w:t>, kaip „</w:t>
      </w:r>
      <w:r w:rsidR="00156394" w:rsidRPr="00A91E83">
        <w:rPr>
          <w:rFonts w:ascii="Times New Roman" w:hAnsi="Times New Roman" w:cs="Times New Roman"/>
          <w:sz w:val="24"/>
          <w:szCs w:val="24"/>
        </w:rPr>
        <w:t>apskaičiavimo metodas</w:t>
      </w:r>
      <w:r w:rsidR="00315DAC" w:rsidRPr="00A91E83">
        <w:rPr>
          <w:rFonts w:ascii="Times New Roman" w:hAnsi="Times New Roman" w:cs="Times New Roman"/>
          <w:sz w:val="24"/>
          <w:szCs w:val="24"/>
        </w:rPr>
        <w:t>“</w:t>
      </w:r>
      <w:r w:rsidR="00226E4B" w:rsidRPr="00A91E83">
        <w:rPr>
          <w:rFonts w:ascii="Times New Roman" w:hAnsi="Times New Roman" w:cs="Times New Roman"/>
          <w:sz w:val="24"/>
          <w:szCs w:val="24"/>
        </w:rPr>
        <w:t>, ar „modifikuotos pr</w:t>
      </w:r>
      <w:r w:rsidR="001F3B2F" w:rsidRPr="00A91E83">
        <w:rPr>
          <w:rFonts w:ascii="Times New Roman" w:hAnsi="Times New Roman" w:cs="Times New Roman"/>
          <w:sz w:val="24"/>
          <w:szCs w:val="24"/>
        </w:rPr>
        <w:t>ievolės dalyko nustatymo būdas“</w:t>
      </w:r>
      <w:r w:rsidR="00315DAC" w:rsidRPr="00A91E83">
        <w:rPr>
          <w:rFonts w:ascii="Times New Roman" w:hAnsi="Times New Roman" w:cs="Times New Roman"/>
          <w:sz w:val="24"/>
          <w:szCs w:val="24"/>
        </w:rPr>
        <w:t xml:space="preserve"> sukelia įskaitymo efektą.</w:t>
      </w:r>
      <w:r w:rsidR="00156394" w:rsidRPr="00A91E83">
        <w:rPr>
          <w:rFonts w:ascii="Times New Roman" w:hAnsi="Times New Roman" w:cs="Times New Roman"/>
          <w:sz w:val="24"/>
          <w:szCs w:val="24"/>
        </w:rPr>
        <w:t xml:space="preserve"> Tai paž</w:t>
      </w:r>
      <w:r w:rsidR="008E5098" w:rsidRPr="00A91E83">
        <w:rPr>
          <w:rFonts w:ascii="Times New Roman" w:hAnsi="Times New Roman" w:cs="Times New Roman"/>
          <w:sz w:val="24"/>
          <w:szCs w:val="24"/>
        </w:rPr>
        <w:t xml:space="preserve">eidžia </w:t>
      </w:r>
      <w:r w:rsidR="001F3B2F" w:rsidRPr="00A91E83">
        <w:rPr>
          <w:rFonts w:ascii="Times New Roman" w:hAnsi="Times New Roman" w:cs="Times New Roman"/>
          <w:sz w:val="24"/>
          <w:szCs w:val="24"/>
        </w:rPr>
        <w:t xml:space="preserve">kitų </w:t>
      </w:r>
      <w:r w:rsidR="008E5098" w:rsidRPr="00A91E83">
        <w:rPr>
          <w:rFonts w:ascii="Times New Roman" w:hAnsi="Times New Roman" w:cs="Times New Roman"/>
          <w:sz w:val="24"/>
          <w:szCs w:val="24"/>
        </w:rPr>
        <w:t xml:space="preserve">kreditorių lygiateisiškumo </w:t>
      </w:r>
      <w:r w:rsidR="001F3B2F" w:rsidRPr="00A91E83">
        <w:rPr>
          <w:rFonts w:ascii="Times New Roman" w:hAnsi="Times New Roman" w:cs="Times New Roman"/>
          <w:sz w:val="24"/>
          <w:szCs w:val="24"/>
        </w:rPr>
        <w:t>ir teisėtų lūkesčių principą. K</w:t>
      </w:r>
      <w:r w:rsidR="008E5098" w:rsidRPr="00A91E83">
        <w:rPr>
          <w:rFonts w:ascii="Times New Roman" w:hAnsi="Times New Roman" w:cs="Times New Roman"/>
          <w:sz w:val="24"/>
          <w:szCs w:val="24"/>
        </w:rPr>
        <w:t>reditoriai</w:t>
      </w:r>
      <w:r w:rsidR="00156394" w:rsidRPr="00A91E83">
        <w:rPr>
          <w:rFonts w:ascii="Times New Roman" w:hAnsi="Times New Roman" w:cs="Times New Roman"/>
          <w:sz w:val="24"/>
          <w:szCs w:val="24"/>
        </w:rPr>
        <w:t>, pasinaudoję savo „apskaičiavimo schema“</w:t>
      </w:r>
      <w:r w:rsidR="008E5098" w:rsidRPr="00A91E83">
        <w:rPr>
          <w:rFonts w:ascii="Times New Roman" w:hAnsi="Times New Roman" w:cs="Times New Roman"/>
          <w:sz w:val="24"/>
          <w:szCs w:val="24"/>
        </w:rPr>
        <w:t xml:space="preserve"> faktiškai patenkina savo reikalavimus išimtine, o ne bendrąją tvarka bankroto procese. </w:t>
      </w:r>
      <w:r w:rsidR="001F3B2F" w:rsidRPr="00A91E83">
        <w:rPr>
          <w:rFonts w:ascii="Times New Roman" w:hAnsi="Times New Roman" w:cs="Times New Roman"/>
          <w:sz w:val="24"/>
          <w:szCs w:val="24"/>
        </w:rPr>
        <w:t>M</w:t>
      </w:r>
      <w:r w:rsidR="00061ECA" w:rsidRPr="00A91E83">
        <w:rPr>
          <w:rFonts w:ascii="Times New Roman" w:hAnsi="Times New Roman" w:cs="Times New Roman"/>
          <w:sz w:val="24"/>
          <w:szCs w:val="24"/>
        </w:rPr>
        <w:t xml:space="preserve">inėto pavyzdžio atveju, jeigu užskaita laikytume tik apskaičiavimo metodu, </w:t>
      </w:r>
      <w:r w:rsidR="001F3B2F" w:rsidRPr="00A91E83">
        <w:rPr>
          <w:rFonts w:ascii="Times New Roman" w:hAnsi="Times New Roman" w:cs="Times New Roman"/>
          <w:sz w:val="24"/>
          <w:szCs w:val="24"/>
        </w:rPr>
        <w:t xml:space="preserve">kai šalys viena kitai skolingos po 100$, </w:t>
      </w:r>
      <w:r w:rsidR="00061ECA" w:rsidRPr="00A91E83">
        <w:rPr>
          <w:rFonts w:ascii="Times New Roman" w:hAnsi="Times New Roman" w:cs="Times New Roman"/>
          <w:sz w:val="24"/>
          <w:szCs w:val="24"/>
        </w:rPr>
        <w:t>tai šalys neturėtų atli</w:t>
      </w:r>
      <w:r w:rsidR="00DE4CB5" w:rsidRPr="00A91E83">
        <w:rPr>
          <w:rFonts w:ascii="Times New Roman" w:hAnsi="Times New Roman" w:cs="Times New Roman"/>
          <w:sz w:val="24"/>
          <w:szCs w:val="24"/>
        </w:rPr>
        <w:t xml:space="preserve">kti jokių mokėjimų. </w:t>
      </w:r>
      <w:r w:rsidR="001F3B2F" w:rsidRPr="00A91E83">
        <w:rPr>
          <w:rFonts w:ascii="Times New Roman" w:hAnsi="Times New Roman" w:cs="Times New Roman"/>
          <w:sz w:val="24"/>
          <w:szCs w:val="24"/>
        </w:rPr>
        <w:t>Kitaip susiklostytų situacija, jeigu tokia sąlyga būtų pripažinta</w:t>
      </w:r>
      <w:r w:rsidR="000E1896" w:rsidRPr="00A91E83">
        <w:rPr>
          <w:rFonts w:ascii="Times New Roman" w:hAnsi="Times New Roman" w:cs="Times New Roman"/>
          <w:sz w:val="24"/>
          <w:szCs w:val="24"/>
        </w:rPr>
        <w:t>,</w:t>
      </w:r>
      <w:r w:rsidR="001F3B2F" w:rsidRPr="00A91E83">
        <w:rPr>
          <w:rFonts w:ascii="Times New Roman" w:hAnsi="Times New Roman" w:cs="Times New Roman"/>
          <w:sz w:val="24"/>
          <w:szCs w:val="24"/>
        </w:rPr>
        <w:t xml:space="preserve"> </w:t>
      </w:r>
      <w:r w:rsidR="000E1896" w:rsidRPr="00A91E83">
        <w:rPr>
          <w:rFonts w:ascii="Times New Roman" w:hAnsi="Times New Roman" w:cs="Times New Roman"/>
          <w:sz w:val="24"/>
          <w:szCs w:val="24"/>
        </w:rPr>
        <w:t>pažeidžianti</w:t>
      </w:r>
      <w:r w:rsidR="001F3B2F" w:rsidRPr="00A91E83">
        <w:rPr>
          <w:rFonts w:ascii="Times New Roman" w:hAnsi="Times New Roman" w:cs="Times New Roman"/>
          <w:sz w:val="24"/>
          <w:szCs w:val="24"/>
        </w:rPr>
        <w:t xml:space="preserve"> bankroto teisės normas. Tokiu atveju </w:t>
      </w:r>
      <w:r w:rsidR="008E5098" w:rsidRPr="00A91E83">
        <w:rPr>
          <w:rFonts w:ascii="Times New Roman" w:hAnsi="Times New Roman" w:cs="Times New Roman"/>
          <w:sz w:val="24"/>
          <w:szCs w:val="24"/>
        </w:rPr>
        <w:t xml:space="preserve">nemokios bendrovės administratorius reikalautų iš </w:t>
      </w:r>
      <w:r w:rsidR="00156394" w:rsidRPr="00A91E83">
        <w:rPr>
          <w:rFonts w:ascii="Times New Roman" w:hAnsi="Times New Roman" w:cs="Times New Roman"/>
          <w:sz w:val="24"/>
          <w:szCs w:val="24"/>
        </w:rPr>
        <w:t xml:space="preserve">mokios </w:t>
      </w:r>
      <w:r w:rsidR="00061ECA" w:rsidRPr="00A91E83">
        <w:rPr>
          <w:rFonts w:ascii="Times New Roman" w:hAnsi="Times New Roman" w:cs="Times New Roman"/>
          <w:sz w:val="24"/>
          <w:szCs w:val="24"/>
        </w:rPr>
        <w:t xml:space="preserve">šalies </w:t>
      </w:r>
      <w:r w:rsidR="00156394" w:rsidRPr="00A91E83">
        <w:rPr>
          <w:rFonts w:ascii="Times New Roman" w:hAnsi="Times New Roman" w:cs="Times New Roman"/>
          <w:sz w:val="24"/>
          <w:szCs w:val="24"/>
        </w:rPr>
        <w:t>100$, o pats nemokėtų</w:t>
      </w:r>
      <w:r w:rsidR="008E5098" w:rsidRPr="00A91E83">
        <w:rPr>
          <w:rFonts w:ascii="Times New Roman" w:hAnsi="Times New Roman" w:cs="Times New Roman"/>
          <w:sz w:val="24"/>
          <w:szCs w:val="24"/>
        </w:rPr>
        <w:t xml:space="preserve"> nieko, nes visų </w:t>
      </w:r>
      <w:r w:rsidR="00DE4CB5" w:rsidRPr="00A91E83">
        <w:rPr>
          <w:rFonts w:ascii="Times New Roman" w:hAnsi="Times New Roman" w:cs="Times New Roman"/>
          <w:sz w:val="24"/>
          <w:szCs w:val="24"/>
        </w:rPr>
        <w:t xml:space="preserve">nemokios bendrovės </w:t>
      </w:r>
      <w:r w:rsidR="008E5098" w:rsidRPr="00A91E83">
        <w:rPr>
          <w:rFonts w:ascii="Times New Roman" w:hAnsi="Times New Roman" w:cs="Times New Roman"/>
          <w:sz w:val="24"/>
          <w:szCs w:val="24"/>
        </w:rPr>
        <w:t>prievolių vykdymas sustabdomas nuo nutarties iške</w:t>
      </w:r>
      <w:r w:rsidR="00061ECA" w:rsidRPr="00A91E83">
        <w:rPr>
          <w:rFonts w:ascii="Times New Roman" w:hAnsi="Times New Roman" w:cs="Times New Roman"/>
          <w:sz w:val="24"/>
          <w:szCs w:val="24"/>
        </w:rPr>
        <w:t xml:space="preserve">lti bankroto bylą įsiteisėjimo. Taigi </w:t>
      </w:r>
      <w:r w:rsidR="00E7295C" w:rsidRPr="00A91E83">
        <w:rPr>
          <w:rFonts w:ascii="Times New Roman" w:hAnsi="Times New Roman" w:cs="Times New Roman"/>
          <w:sz w:val="24"/>
          <w:szCs w:val="24"/>
        </w:rPr>
        <w:t>kiti</w:t>
      </w:r>
      <w:r w:rsidR="00061ECA" w:rsidRPr="00A91E83">
        <w:rPr>
          <w:rFonts w:ascii="Times New Roman" w:hAnsi="Times New Roman" w:cs="Times New Roman"/>
          <w:sz w:val="24"/>
          <w:szCs w:val="24"/>
        </w:rPr>
        <w:t xml:space="preserve"> kreditoriai</w:t>
      </w:r>
      <w:r w:rsidR="00DE4CB5" w:rsidRPr="00A91E83">
        <w:rPr>
          <w:rFonts w:ascii="Times New Roman" w:hAnsi="Times New Roman" w:cs="Times New Roman"/>
          <w:sz w:val="24"/>
          <w:szCs w:val="24"/>
        </w:rPr>
        <w:t>, kuriems priklauso dalis bendrosios turto masės,</w:t>
      </w:r>
      <w:r w:rsidR="00061ECA" w:rsidRPr="00A91E83">
        <w:rPr>
          <w:rFonts w:ascii="Times New Roman" w:hAnsi="Times New Roman" w:cs="Times New Roman"/>
          <w:sz w:val="24"/>
          <w:szCs w:val="24"/>
        </w:rPr>
        <w:t xml:space="preserve"> </w:t>
      </w:r>
      <w:r w:rsidR="008E5098" w:rsidRPr="00A91E83">
        <w:rPr>
          <w:rFonts w:ascii="Times New Roman" w:hAnsi="Times New Roman" w:cs="Times New Roman"/>
          <w:sz w:val="24"/>
          <w:szCs w:val="24"/>
        </w:rPr>
        <w:t>patirtų dvigubą naudą.</w:t>
      </w:r>
      <w:r w:rsidR="00047E6C" w:rsidRPr="00A91E83">
        <w:rPr>
          <w:rFonts w:ascii="Times New Roman" w:hAnsi="Times New Roman" w:cs="Times New Roman"/>
          <w:sz w:val="24"/>
          <w:szCs w:val="24"/>
        </w:rPr>
        <w:t xml:space="preserve"> Autoriaus nuomone, </w:t>
      </w:r>
      <w:r w:rsidR="000E1896" w:rsidRPr="00A91E83">
        <w:rPr>
          <w:rFonts w:ascii="Times New Roman" w:hAnsi="Times New Roman" w:cs="Times New Roman"/>
          <w:sz w:val="24"/>
          <w:szCs w:val="24"/>
        </w:rPr>
        <w:t xml:space="preserve">labiausiai tikėtina, jog </w:t>
      </w:r>
      <w:r w:rsidR="00E7295C" w:rsidRPr="00A91E83">
        <w:rPr>
          <w:rFonts w:ascii="Times New Roman" w:hAnsi="Times New Roman" w:cs="Times New Roman"/>
          <w:sz w:val="24"/>
          <w:szCs w:val="24"/>
        </w:rPr>
        <w:t xml:space="preserve">LAT </w:t>
      </w:r>
      <w:r w:rsidR="000E1896" w:rsidRPr="00A91E83">
        <w:rPr>
          <w:rFonts w:ascii="Times New Roman" w:hAnsi="Times New Roman" w:cs="Times New Roman"/>
          <w:sz w:val="24"/>
          <w:szCs w:val="24"/>
        </w:rPr>
        <w:t>laikysis šiame poskyryje aptartos</w:t>
      </w:r>
      <w:r w:rsidR="00E7295C" w:rsidRPr="00A91E83">
        <w:rPr>
          <w:rFonts w:ascii="Times New Roman" w:hAnsi="Times New Roman" w:cs="Times New Roman"/>
          <w:sz w:val="24"/>
          <w:szCs w:val="24"/>
        </w:rPr>
        <w:t xml:space="preserve"> pozicijos, jog </w:t>
      </w:r>
      <w:r w:rsidR="00047E6C" w:rsidRPr="00A91E83">
        <w:rPr>
          <w:rFonts w:ascii="Times New Roman" w:hAnsi="Times New Roman" w:cs="Times New Roman"/>
          <w:sz w:val="24"/>
          <w:szCs w:val="24"/>
        </w:rPr>
        <w:t>baigiamosios užskaitos pagalba nutraukus tarp šalių sandorius ir apskaičiavus, kuri šalis privalo mokėti ir kiek, išankstinis vykdymas ar prioritetinis įskaitymas negali būti atliekami, nes tai pažeistų imperatyvias ĮBĮ nuostatas</w:t>
      </w:r>
      <w:r w:rsidR="00156394" w:rsidRPr="00A91E83">
        <w:rPr>
          <w:rFonts w:ascii="Times New Roman" w:hAnsi="Times New Roman" w:cs="Times New Roman"/>
          <w:sz w:val="24"/>
          <w:szCs w:val="24"/>
        </w:rPr>
        <w:t xml:space="preserve">, kurių tikslas </w:t>
      </w:r>
      <w:r w:rsidR="008A78D9" w:rsidRPr="00A91E83">
        <w:rPr>
          <w:rFonts w:ascii="Times New Roman" w:hAnsi="Times New Roman" w:cs="Times New Roman"/>
          <w:sz w:val="24"/>
          <w:szCs w:val="24"/>
        </w:rPr>
        <w:t xml:space="preserve">leisti </w:t>
      </w:r>
      <w:r w:rsidR="00156394" w:rsidRPr="00A91E83">
        <w:rPr>
          <w:rFonts w:ascii="Times New Roman" w:hAnsi="Times New Roman" w:cs="Times New Roman"/>
          <w:sz w:val="24"/>
          <w:szCs w:val="24"/>
        </w:rPr>
        <w:t xml:space="preserve">sukaupti, kuo daugiau turto </w:t>
      </w:r>
      <w:r w:rsidR="00E7295C" w:rsidRPr="00A91E83">
        <w:rPr>
          <w:rFonts w:ascii="Times New Roman" w:hAnsi="Times New Roman" w:cs="Times New Roman"/>
          <w:sz w:val="24"/>
          <w:szCs w:val="24"/>
        </w:rPr>
        <w:t xml:space="preserve">kreditoriams ir padalinti </w:t>
      </w:r>
      <w:r w:rsidR="008A78D9" w:rsidRPr="00A91E83">
        <w:rPr>
          <w:rFonts w:ascii="Times New Roman" w:hAnsi="Times New Roman" w:cs="Times New Roman"/>
          <w:sz w:val="24"/>
          <w:szCs w:val="24"/>
        </w:rPr>
        <w:t xml:space="preserve">po lygiai visiems </w:t>
      </w:r>
      <w:r w:rsidR="00E7295C" w:rsidRPr="00A91E83">
        <w:rPr>
          <w:rFonts w:ascii="Times New Roman" w:hAnsi="Times New Roman" w:cs="Times New Roman"/>
          <w:sz w:val="24"/>
          <w:szCs w:val="24"/>
        </w:rPr>
        <w:t xml:space="preserve">iš </w:t>
      </w:r>
      <w:r w:rsidR="00156394" w:rsidRPr="00A91E83">
        <w:rPr>
          <w:rFonts w:ascii="Times New Roman" w:hAnsi="Times New Roman" w:cs="Times New Roman"/>
          <w:sz w:val="24"/>
          <w:szCs w:val="24"/>
        </w:rPr>
        <w:t>anksto nustatytais pagrindais ir tvarka.</w:t>
      </w:r>
      <w:r w:rsidR="00047E6C" w:rsidRPr="00A91E83">
        <w:rPr>
          <w:rFonts w:ascii="Times New Roman" w:hAnsi="Times New Roman" w:cs="Times New Roman"/>
          <w:sz w:val="24"/>
          <w:szCs w:val="24"/>
        </w:rPr>
        <w:t xml:space="preserve"> </w:t>
      </w:r>
      <w:r w:rsidR="0083146B" w:rsidRPr="00A91E83">
        <w:rPr>
          <w:rFonts w:ascii="Times New Roman" w:hAnsi="Times New Roman" w:cs="Times New Roman"/>
          <w:sz w:val="24"/>
          <w:szCs w:val="24"/>
        </w:rPr>
        <w:t>Todėl, atsižvelgiant į antroje tyrimo dalyje aptartus</w:t>
      </w:r>
      <w:r w:rsidR="00F0782C" w:rsidRPr="00A91E83">
        <w:rPr>
          <w:rFonts w:ascii="Times New Roman" w:hAnsi="Times New Roman" w:cs="Times New Roman"/>
          <w:sz w:val="24"/>
          <w:szCs w:val="24"/>
        </w:rPr>
        <w:t xml:space="preserve"> užskaitos privalum</w:t>
      </w:r>
      <w:r w:rsidR="0083146B" w:rsidRPr="00A91E83">
        <w:rPr>
          <w:rFonts w:ascii="Times New Roman" w:hAnsi="Times New Roman" w:cs="Times New Roman"/>
          <w:sz w:val="24"/>
          <w:szCs w:val="24"/>
        </w:rPr>
        <w:t>us</w:t>
      </w:r>
      <w:r w:rsidR="00F0782C" w:rsidRPr="00A91E83">
        <w:rPr>
          <w:rFonts w:ascii="Times New Roman" w:hAnsi="Times New Roman" w:cs="Times New Roman"/>
          <w:sz w:val="24"/>
          <w:szCs w:val="24"/>
        </w:rPr>
        <w:t>, siūlytina teisiniu reguliavimu numatyti tam tikras užskaitos išimtis</w:t>
      </w:r>
      <w:r w:rsidR="0083146B" w:rsidRPr="00A91E83">
        <w:rPr>
          <w:rFonts w:ascii="Times New Roman" w:hAnsi="Times New Roman" w:cs="Times New Roman"/>
          <w:sz w:val="24"/>
          <w:szCs w:val="24"/>
        </w:rPr>
        <w:t>, kurios leistų įgyvendinti užskaitos sąlygą visa apimtimi.</w:t>
      </w:r>
      <w:r w:rsidR="00F0782C" w:rsidRPr="00A91E83">
        <w:rPr>
          <w:rFonts w:ascii="Times New Roman" w:hAnsi="Times New Roman" w:cs="Times New Roman"/>
          <w:sz w:val="24"/>
          <w:szCs w:val="24"/>
        </w:rPr>
        <w:t xml:space="preserve"> Dėl specifinių išvestinių finansinių priemonių objekto, struktūros, naudojimo ypatumų, </w:t>
      </w:r>
      <w:r w:rsidR="0083146B" w:rsidRPr="00A91E83">
        <w:rPr>
          <w:rFonts w:ascii="Times New Roman" w:hAnsi="Times New Roman" w:cs="Times New Roman"/>
          <w:sz w:val="24"/>
          <w:szCs w:val="24"/>
        </w:rPr>
        <w:t>apskaitos subtilybių ir vertės nepastovumo, užskaitos galiojimas</w:t>
      </w:r>
      <w:r w:rsidR="00C81B94" w:rsidRPr="00A91E83">
        <w:rPr>
          <w:rFonts w:ascii="Times New Roman" w:hAnsi="Times New Roman" w:cs="Times New Roman"/>
          <w:sz w:val="24"/>
          <w:szCs w:val="24"/>
        </w:rPr>
        <w:t xml:space="preserve"> bankroto procese</w:t>
      </w:r>
      <w:r w:rsidR="00F0782C" w:rsidRPr="00A91E83">
        <w:rPr>
          <w:rFonts w:ascii="Times New Roman" w:hAnsi="Times New Roman" w:cs="Times New Roman"/>
          <w:sz w:val="24"/>
          <w:szCs w:val="24"/>
        </w:rPr>
        <w:t xml:space="preserve"> sukurtų </w:t>
      </w:r>
      <w:r w:rsidR="00C81B94" w:rsidRPr="00A91E83">
        <w:rPr>
          <w:rFonts w:ascii="Times New Roman" w:hAnsi="Times New Roman" w:cs="Times New Roman"/>
          <w:sz w:val="24"/>
          <w:szCs w:val="24"/>
        </w:rPr>
        <w:t xml:space="preserve">didesnį balansą tarp kreditorių / </w:t>
      </w:r>
      <w:r w:rsidR="00F0782C" w:rsidRPr="00A91E83">
        <w:rPr>
          <w:rFonts w:ascii="Times New Roman" w:hAnsi="Times New Roman" w:cs="Times New Roman"/>
          <w:sz w:val="24"/>
          <w:szCs w:val="24"/>
        </w:rPr>
        <w:t>skolininkų interesų bei išsp</w:t>
      </w:r>
      <w:r w:rsidR="00085463" w:rsidRPr="00A91E83">
        <w:rPr>
          <w:rFonts w:ascii="Times New Roman" w:hAnsi="Times New Roman" w:cs="Times New Roman"/>
          <w:sz w:val="24"/>
          <w:szCs w:val="24"/>
        </w:rPr>
        <w:t>ręstų sisteminės rizikos grėsmę</w:t>
      </w:r>
      <w:r w:rsidR="00F0782C" w:rsidRPr="00A91E83">
        <w:rPr>
          <w:rFonts w:ascii="Times New Roman" w:hAnsi="Times New Roman" w:cs="Times New Roman"/>
          <w:sz w:val="24"/>
          <w:szCs w:val="24"/>
        </w:rPr>
        <w:t xml:space="preserve">. </w:t>
      </w:r>
    </w:p>
    <w:p w:rsidR="009521DF" w:rsidRPr="00A91E83" w:rsidRDefault="009521DF" w:rsidP="008E5098">
      <w:pPr>
        <w:tabs>
          <w:tab w:val="left" w:pos="851"/>
        </w:tabs>
        <w:spacing w:after="0" w:line="360" w:lineRule="auto"/>
        <w:jc w:val="both"/>
        <w:rPr>
          <w:rFonts w:ascii="Times New Roman" w:hAnsi="Times New Roman" w:cs="Times New Roman"/>
          <w:sz w:val="24"/>
          <w:szCs w:val="24"/>
        </w:rPr>
      </w:pPr>
    </w:p>
    <w:p w:rsidR="009521DF" w:rsidRPr="00A91E83" w:rsidRDefault="009521DF" w:rsidP="009521DF">
      <w:pPr>
        <w:pStyle w:val="Sraopastraipa"/>
        <w:numPr>
          <w:ilvl w:val="3"/>
          <w:numId w:val="4"/>
        </w:numPr>
        <w:tabs>
          <w:tab w:val="left" w:pos="851"/>
        </w:tabs>
        <w:spacing w:after="0" w:line="360" w:lineRule="auto"/>
        <w:ind w:left="851" w:hanging="851"/>
        <w:jc w:val="both"/>
        <w:outlineLvl w:val="2"/>
        <w:rPr>
          <w:rFonts w:ascii="Times New Roman" w:hAnsi="Times New Roman" w:cs="Times New Roman"/>
          <w:b/>
          <w:sz w:val="24"/>
          <w:szCs w:val="24"/>
        </w:rPr>
      </w:pPr>
      <w:bookmarkStart w:id="42" w:name="_Toc280546475"/>
      <w:r w:rsidRPr="00A91E83">
        <w:rPr>
          <w:rFonts w:ascii="Times New Roman" w:hAnsi="Times New Roman" w:cs="Times New Roman"/>
          <w:b/>
          <w:sz w:val="24"/>
          <w:szCs w:val="24"/>
        </w:rPr>
        <w:t>Finansinio užstato įtraukimas į galutinį balansą</w:t>
      </w:r>
      <w:bookmarkEnd w:id="42"/>
    </w:p>
    <w:p w:rsidR="009521DF" w:rsidRPr="00A91E83" w:rsidRDefault="009521DF" w:rsidP="00E510F6">
      <w:pPr>
        <w:tabs>
          <w:tab w:val="left" w:pos="851"/>
        </w:tabs>
        <w:spacing w:after="0" w:line="360" w:lineRule="auto"/>
        <w:ind w:firstLine="851"/>
        <w:jc w:val="both"/>
        <w:rPr>
          <w:rFonts w:ascii="Times New Roman" w:hAnsi="Times New Roman" w:cs="Times New Roman"/>
          <w:sz w:val="24"/>
          <w:szCs w:val="24"/>
        </w:rPr>
      </w:pPr>
    </w:p>
    <w:p w:rsidR="00F1288B" w:rsidRPr="00A91E83" w:rsidRDefault="00D46DCF" w:rsidP="00D46DCF">
      <w:pPr>
        <w:tabs>
          <w:tab w:val="left" w:pos="85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t>Kitas p</w:t>
      </w:r>
      <w:r w:rsidR="0026520B" w:rsidRPr="00A91E83">
        <w:rPr>
          <w:rFonts w:ascii="Times New Roman" w:hAnsi="Times New Roman" w:cs="Times New Roman"/>
          <w:sz w:val="24"/>
          <w:szCs w:val="24"/>
        </w:rPr>
        <w:t xml:space="preserve">robleminis aspektas </w:t>
      </w:r>
      <w:r w:rsidR="00362B54" w:rsidRPr="00A91E83">
        <w:rPr>
          <w:rFonts w:ascii="Times New Roman" w:hAnsi="Times New Roman" w:cs="Times New Roman"/>
          <w:sz w:val="24"/>
          <w:szCs w:val="24"/>
        </w:rPr>
        <w:t xml:space="preserve">yra </w:t>
      </w:r>
      <w:r w:rsidR="0026520B" w:rsidRPr="00A91E83">
        <w:rPr>
          <w:rFonts w:ascii="Times New Roman" w:hAnsi="Times New Roman" w:cs="Times New Roman"/>
          <w:sz w:val="24"/>
          <w:szCs w:val="24"/>
        </w:rPr>
        <w:t>susijęs su prievolių įvykdymo užtikrinimu</w:t>
      </w:r>
      <w:r w:rsidR="00362B54" w:rsidRPr="00A91E83">
        <w:rPr>
          <w:rFonts w:ascii="Times New Roman" w:hAnsi="Times New Roman" w:cs="Times New Roman"/>
          <w:sz w:val="24"/>
          <w:szCs w:val="24"/>
        </w:rPr>
        <w:t xml:space="preserve"> perduodant finansinį užstatą</w:t>
      </w:r>
      <w:r w:rsidR="0026520B" w:rsidRPr="00A91E83">
        <w:rPr>
          <w:rFonts w:ascii="Times New Roman" w:hAnsi="Times New Roman" w:cs="Times New Roman"/>
          <w:sz w:val="24"/>
          <w:szCs w:val="24"/>
        </w:rPr>
        <w:t>. Paminėtina, kad į įsipareigojimų galutinio balanso nustatymą</w:t>
      </w:r>
      <w:r w:rsidR="00362B54" w:rsidRPr="00A91E83">
        <w:rPr>
          <w:rFonts w:ascii="Times New Roman" w:hAnsi="Times New Roman" w:cs="Times New Roman"/>
          <w:sz w:val="24"/>
          <w:szCs w:val="24"/>
        </w:rPr>
        <w:t>,</w:t>
      </w:r>
      <w:r w:rsidR="0026520B" w:rsidRPr="00A91E83">
        <w:rPr>
          <w:rFonts w:ascii="Times New Roman" w:hAnsi="Times New Roman" w:cs="Times New Roman"/>
          <w:sz w:val="24"/>
          <w:szCs w:val="24"/>
        </w:rPr>
        <w:t xml:space="preserve"> įtraukiamas ir</w:t>
      </w:r>
      <w:r w:rsidR="0009167A" w:rsidRPr="00A91E83">
        <w:rPr>
          <w:rFonts w:ascii="Times New Roman" w:hAnsi="Times New Roman" w:cs="Times New Roman"/>
          <w:sz w:val="24"/>
          <w:szCs w:val="24"/>
        </w:rPr>
        <w:t xml:space="preserve"> perduotas finansinis užstatas. ISDA prievolių įvykdymo užtikrinimo dokumentų statusas prilyginamas Patvirtinimui. Kadangi visi Patvirtini</w:t>
      </w:r>
      <w:r w:rsidR="00C60000" w:rsidRPr="00A91E83">
        <w:rPr>
          <w:rFonts w:ascii="Times New Roman" w:hAnsi="Times New Roman" w:cs="Times New Roman"/>
          <w:sz w:val="24"/>
          <w:szCs w:val="24"/>
        </w:rPr>
        <w:t xml:space="preserve">mai laikomi viena ISDA sutartimi, tai visų </w:t>
      </w:r>
      <w:r w:rsidR="00C60000" w:rsidRPr="00A91E83">
        <w:rPr>
          <w:rFonts w:ascii="Times New Roman" w:hAnsi="Times New Roman" w:cs="Times New Roman"/>
          <w:sz w:val="24"/>
          <w:szCs w:val="24"/>
        </w:rPr>
        <w:lastRenderedPageBreak/>
        <w:t>atsirandančių į</w:t>
      </w:r>
      <w:r w:rsidR="00945959" w:rsidRPr="00A91E83">
        <w:rPr>
          <w:rFonts w:ascii="Times New Roman" w:hAnsi="Times New Roman" w:cs="Times New Roman"/>
          <w:sz w:val="24"/>
          <w:szCs w:val="24"/>
        </w:rPr>
        <w:t>sipareigojimų</w:t>
      </w:r>
      <w:r w:rsidR="0009167A" w:rsidRPr="00A91E83">
        <w:rPr>
          <w:rFonts w:ascii="Times New Roman" w:hAnsi="Times New Roman" w:cs="Times New Roman"/>
          <w:sz w:val="24"/>
          <w:szCs w:val="24"/>
        </w:rPr>
        <w:t xml:space="preserve"> vertė susumuojama. </w:t>
      </w:r>
      <w:r w:rsidR="0026520B" w:rsidRPr="00A91E83">
        <w:rPr>
          <w:rFonts w:ascii="Times New Roman" w:hAnsi="Times New Roman" w:cs="Times New Roman"/>
          <w:sz w:val="24"/>
          <w:szCs w:val="24"/>
        </w:rPr>
        <w:t>Taigi egzistuoja galimybė įtraukti į mokėtinos prievolės nust</w:t>
      </w:r>
      <w:r w:rsidR="00362B54" w:rsidRPr="00A91E83">
        <w:rPr>
          <w:rFonts w:ascii="Times New Roman" w:hAnsi="Times New Roman" w:cs="Times New Roman"/>
          <w:sz w:val="24"/>
          <w:szCs w:val="24"/>
        </w:rPr>
        <w:t>atymą finansinio užstato vertę.</w:t>
      </w:r>
    </w:p>
    <w:p w:rsidR="0026520B" w:rsidRPr="00A91E83" w:rsidRDefault="00F1288B" w:rsidP="00D46DCF">
      <w:pPr>
        <w:tabs>
          <w:tab w:val="left" w:pos="85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r>
      <w:r w:rsidR="0026520B" w:rsidRPr="00A91E83">
        <w:rPr>
          <w:rFonts w:ascii="Times New Roman" w:hAnsi="Times New Roman" w:cs="Times New Roman"/>
          <w:sz w:val="24"/>
          <w:szCs w:val="24"/>
        </w:rPr>
        <w:t xml:space="preserve">Vis dėlto, pagal bendrąsias ĮBĮ nuostatas, įkeistas </w:t>
      </w:r>
      <w:r w:rsidRPr="00A91E83">
        <w:rPr>
          <w:rFonts w:ascii="Times New Roman" w:hAnsi="Times New Roman" w:cs="Times New Roman"/>
          <w:sz w:val="24"/>
          <w:szCs w:val="24"/>
        </w:rPr>
        <w:t xml:space="preserve">(be nuosavybės teisės) </w:t>
      </w:r>
      <w:r w:rsidR="0026520B" w:rsidRPr="00A91E83">
        <w:rPr>
          <w:rFonts w:ascii="Times New Roman" w:hAnsi="Times New Roman" w:cs="Times New Roman"/>
          <w:sz w:val="24"/>
          <w:szCs w:val="24"/>
        </w:rPr>
        <w:t>bankrutuojančios įmonės turtas parduodamas iš varžytinių, Vyriausybės nustatyta tvarka, pranešus apie tai įkaito turėtojui,</w:t>
      </w:r>
      <w:r w:rsidR="0026520B" w:rsidRPr="00A91E83">
        <w:rPr>
          <w:rStyle w:val="Puslapioinaosnuoroda"/>
          <w:rFonts w:ascii="Times New Roman" w:hAnsi="Times New Roman" w:cs="Times New Roman"/>
          <w:sz w:val="24"/>
          <w:szCs w:val="24"/>
        </w:rPr>
        <w:footnoteReference w:id="236"/>
      </w:r>
      <w:r w:rsidR="0026520B" w:rsidRPr="00A91E83">
        <w:rPr>
          <w:rFonts w:ascii="Times New Roman" w:hAnsi="Times New Roman" w:cs="Times New Roman"/>
          <w:sz w:val="24"/>
          <w:szCs w:val="24"/>
        </w:rPr>
        <w:t xml:space="preserve"> jeigu šalių santykiai nepatektų į FUSĮ taikymo sritį. Taigi </w:t>
      </w:r>
      <w:r w:rsidR="00945959" w:rsidRPr="00A91E83">
        <w:rPr>
          <w:rFonts w:ascii="Times New Roman" w:hAnsi="Times New Roman" w:cs="Times New Roman"/>
          <w:sz w:val="24"/>
          <w:szCs w:val="24"/>
        </w:rPr>
        <w:t xml:space="preserve">pagal bankroto normas </w:t>
      </w:r>
      <w:r w:rsidR="0026520B" w:rsidRPr="00A91E83">
        <w:rPr>
          <w:rFonts w:ascii="Times New Roman" w:hAnsi="Times New Roman" w:cs="Times New Roman"/>
          <w:sz w:val="24"/>
          <w:szCs w:val="24"/>
        </w:rPr>
        <w:t>nėra jokios galimybės anksčiau laiko įtraukti į bendrą mokėtiną sumą įkaito vertės,</w:t>
      </w:r>
      <w:r w:rsidRPr="00A91E83">
        <w:rPr>
          <w:rFonts w:ascii="Times New Roman" w:hAnsi="Times New Roman" w:cs="Times New Roman"/>
          <w:sz w:val="24"/>
          <w:szCs w:val="24"/>
        </w:rPr>
        <w:t xml:space="preserve"> t. y. tokio finansinio užstato</w:t>
      </w:r>
      <w:r w:rsidR="00831181" w:rsidRPr="00A91E83">
        <w:rPr>
          <w:rFonts w:ascii="Times New Roman" w:hAnsi="Times New Roman" w:cs="Times New Roman"/>
          <w:sz w:val="24"/>
          <w:szCs w:val="24"/>
        </w:rPr>
        <w:t>. Tik</w:t>
      </w:r>
      <w:r w:rsidR="0026520B" w:rsidRPr="00A91E83">
        <w:rPr>
          <w:rFonts w:ascii="Times New Roman" w:hAnsi="Times New Roman" w:cs="Times New Roman"/>
          <w:sz w:val="24"/>
          <w:szCs w:val="24"/>
        </w:rPr>
        <w:t xml:space="preserve"> bankroto administratorius </w:t>
      </w:r>
      <w:r w:rsidR="00EF7772" w:rsidRPr="00A91E83">
        <w:rPr>
          <w:rFonts w:ascii="Times New Roman" w:hAnsi="Times New Roman" w:cs="Times New Roman"/>
          <w:sz w:val="24"/>
          <w:szCs w:val="24"/>
        </w:rPr>
        <w:t xml:space="preserve">gali jį realizuoti </w:t>
      </w:r>
      <w:r w:rsidR="0026520B" w:rsidRPr="00A91E83">
        <w:rPr>
          <w:rFonts w:ascii="Times New Roman" w:hAnsi="Times New Roman" w:cs="Times New Roman"/>
          <w:sz w:val="24"/>
          <w:szCs w:val="24"/>
        </w:rPr>
        <w:t>varžytinėse.</w:t>
      </w:r>
    </w:p>
    <w:p w:rsidR="00465873" w:rsidRPr="00A91E83" w:rsidRDefault="0026520B" w:rsidP="0026520B">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Siūlytina realizuoti finansinį užstatą, kuris neatitinka FUSĮ reikalavimų, prieš įsite</w:t>
      </w:r>
      <w:r w:rsidR="0027709A" w:rsidRPr="00A91E83">
        <w:rPr>
          <w:rFonts w:ascii="Times New Roman" w:hAnsi="Times New Roman" w:cs="Times New Roman"/>
          <w:sz w:val="24"/>
          <w:szCs w:val="24"/>
        </w:rPr>
        <w:t xml:space="preserve">isėjant iškeltai bankroto bylai, kad išvengti ilgosios </w:t>
      </w:r>
      <w:r w:rsidR="00E932EA" w:rsidRPr="00A91E83">
        <w:rPr>
          <w:rFonts w:ascii="Times New Roman" w:hAnsi="Times New Roman" w:cs="Times New Roman"/>
          <w:sz w:val="24"/>
          <w:szCs w:val="24"/>
        </w:rPr>
        <w:t>įkaito realizav</w:t>
      </w:r>
      <w:r w:rsidR="00C43872" w:rsidRPr="00A91E83">
        <w:rPr>
          <w:rFonts w:ascii="Times New Roman" w:hAnsi="Times New Roman" w:cs="Times New Roman"/>
          <w:sz w:val="24"/>
          <w:szCs w:val="24"/>
        </w:rPr>
        <w:t>i</w:t>
      </w:r>
      <w:r w:rsidR="00E932EA" w:rsidRPr="00A91E83">
        <w:rPr>
          <w:rFonts w:ascii="Times New Roman" w:hAnsi="Times New Roman" w:cs="Times New Roman"/>
          <w:sz w:val="24"/>
          <w:szCs w:val="24"/>
        </w:rPr>
        <w:t xml:space="preserve">mo </w:t>
      </w:r>
      <w:r w:rsidR="0027709A" w:rsidRPr="00A91E83">
        <w:rPr>
          <w:rFonts w:ascii="Times New Roman" w:hAnsi="Times New Roman" w:cs="Times New Roman"/>
          <w:sz w:val="24"/>
          <w:szCs w:val="24"/>
        </w:rPr>
        <w:t xml:space="preserve">procedūros. </w:t>
      </w:r>
      <w:r w:rsidR="009521DF" w:rsidRPr="00A91E83">
        <w:rPr>
          <w:rFonts w:ascii="Times New Roman" w:hAnsi="Times New Roman" w:cs="Times New Roman"/>
          <w:sz w:val="24"/>
          <w:szCs w:val="24"/>
        </w:rPr>
        <w:t>Tačiau atkreiptina</w:t>
      </w:r>
      <w:r w:rsidR="006A20DF" w:rsidRPr="00A91E83">
        <w:rPr>
          <w:rFonts w:ascii="Times New Roman" w:hAnsi="Times New Roman" w:cs="Times New Roman"/>
          <w:sz w:val="24"/>
          <w:szCs w:val="24"/>
        </w:rPr>
        <w:t>s</w:t>
      </w:r>
      <w:r w:rsidR="009521DF" w:rsidRPr="00A91E83">
        <w:rPr>
          <w:rFonts w:ascii="Times New Roman" w:hAnsi="Times New Roman" w:cs="Times New Roman"/>
          <w:sz w:val="24"/>
          <w:szCs w:val="24"/>
        </w:rPr>
        <w:t xml:space="preserve"> dėmesys, kad toks realizavi</w:t>
      </w:r>
      <w:r w:rsidR="00877B2B" w:rsidRPr="00A91E83">
        <w:rPr>
          <w:rFonts w:ascii="Times New Roman" w:hAnsi="Times New Roman" w:cs="Times New Roman"/>
          <w:sz w:val="24"/>
          <w:szCs w:val="24"/>
        </w:rPr>
        <w:t>mas dažnai būtų neįmanomas, nes ĮBĮ nustato, jog teismas ar suinteresuotas asmuo gali inicijuoti laikinųjų apsaugos priemonių taikymą, galiosiančių iki nutarties iškelti bankroto bylą ar atsisakyti ją kelti įsiteisėjimo</w:t>
      </w:r>
      <w:r w:rsidR="00615916" w:rsidRPr="00A91E83">
        <w:rPr>
          <w:rFonts w:ascii="Times New Roman" w:hAnsi="Times New Roman" w:cs="Times New Roman"/>
          <w:sz w:val="24"/>
          <w:szCs w:val="24"/>
        </w:rPr>
        <w:t>.</w:t>
      </w:r>
      <w:r w:rsidR="00465873" w:rsidRPr="00A91E83">
        <w:rPr>
          <w:rFonts w:ascii="Times New Roman" w:hAnsi="Times New Roman" w:cs="Times New Roman"/>
          <w:sz w:val="24"/>
          <w:szCs w:val="24"/>
        </w:rPr>
        <w:t xml:space="preserve"> Todėl realiai užskaitos mechanizmo taikymas yra ribotas, t. y. pagal bendrąsias bankroto normas </w:t>
      </w:r>
      <w:r w:rsidR="006A20DF" w:rsidRPr="00A91E83">
        <w:rPr>
          <w:rFonts w:ascii="Times New Roman" w:hAnsi="Times New Roman" w:cs="Times New Roman"/>
          <w:sz w:val="24"/>
          <w:szCs w:val="24"/>
        </w:rPr>
        <w:t xml:space="preserve">praktiškai </w:t>
      </w:r>
      <w:r w:rsidR="00465873" w:rsidRPr="00A91E83">
        <w:rPr>
          <w:rFonts w:ascii="Times New Roman" w:hAnsi="Times New Roman" w:cs="Times New Roman"/>
          <w:sz w:val="24"/>
          <w:szCs w:val="24"/>
        </w:rPr>
        <w:t>neįmanoma įskaityti finansinio užstato</w:t>
      </w:r>
      <w:r w:rsidR="005B2DF9" w:rsidRPr="00A91E83">
        <w:rPr>
          <w:rFonts w:ascii="Times New Roman" w:hAnsi="Times New Roman" w:cs="Times New Roman"/>
          <w:sz w:val="24"/>
          <w:szCs w:val="24"/>
        </w:rPr>
        <w:t>, kuris buvo perduotas be nuosavybės teisės,</w:t>
      </w:r>
      <w:r w:rsidR="00C43872" w:rsidRPr="00A91E83">
        <w:rPr>
          <w:rFonts w:ascii="Times New Roman" w:hAnsi="Times New Roman" w:cs="Times New Roman"/>
          <w:sz w:val="24"/>
          <w:szCs w:val="24"/>
        </w:rPr>
        <w:t xml:space="preserve"> vertės į bendrąjį balansą po nutarties išk</w:t>
      </w:r>
      <w:r w:rsidR="006F5F3B" w:rsidRPr="00A91E83">
        <w:rPr>
          <w:rFonts w:ascii="Times New Roman" w:hAnsi="Times New Roman" w:cs="Times New Roman"/>
          <w:sz w:val="24"/>
          <w:szCs w:val="24"/>
        </w:rPr>
        <w:t>elti bankrotą bylą įsiteisėjimo, kita, negu nustatyta ĮBĮ tvarka.</w:t>
      </w:r>
    </w:p>
    <w:p w:rsidR="0026520B" w:rsidRPr="00A91E83" w:rsidRDefault="0026520B" w:rsidP="0026520B">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Jeigu perduotas finansinis užstatas kartu su nuosavybės teise, tai </w:t>
      </w:r>
      <w:r w:rsidR="00DC3628" w:rsidRPr="00A91E83">
        <w:rPr>
          <w:rFonts w:ascii="Times New Roman" w:hAnsi="Times New Roman" w:cs="Times New Roman"/>
          <w:sz w:val="24"/>
          <w:szCs w:val="24"/>
        </w:rPr>
        <w:t xml:space="preserve">tokių </w:t>
      </w:r>
      <w:r w:rsidRPr="00A91E83">
        <w:rPr>
          <w:rFonts w:ascii="Times New Roman" w:hAnsi="Times New Roman" w:cs="Times New Roman"/>
          <w:sz w:val="24"/>
          <w:szCs w:val="24"/>
        </w:rPr>
        <w:t>problemų neiškyla</w:t>
      </w:r>
      <w:r w:rsidR="003C3028" w:rsidRPr="00A91E83">
        <w:rPr>
          <w:rFonts w:ascii="Times New Roman" w:hAnsi="Times New Roman" w:cs="Times New Roman"/>
          <w:sz w:val="24"/>
          <w:szCs w:val="24"/>
        </w:rPr>
        <w:t xml:space="preserve">, </w:t>
      </w:r>
      <w:r w:rsidR="002A3846" w:rsidRPr="00A91E83">
        <w:rPr>
          <w:rFonts w:ascii="Times New Roman" w:hAnsi="Times New Roman" w:cs="Times New Roman"/>
          <w:sz w:val="24"/>
          <w:szCs w:val="24"/>
        </w:rPr>
        <w:t>nes</w:t>
      </w:r>
      <w:r w:rsidR="009F122E" w:rsidRPr="00A91E83">
        <w:rPr>
          <w:rFonts w:ascii="Times New Roman" w:hAnsi="Times New Roman" w:cs="Times New Roman"/>
          <w:sz w:val="24"/>
          <w:szCs w:val="24"/>
        </w:rPr>
        <w:t xml:space="preserve"> </w:t>
      </w:r>
      <w:r w:rsidRPr="00A91E83">
        <w:rPr>
          <w:rFonts w:ascii="Times New Roman" w:hAnsi="Times New Roman" w:cs="Times New Roman"/>
          <w:sz w:val="24"/>
          <w:szCs w:val="24"/>
        </w:rPr>
        <w:t xml:space="preserve">ĮBĮ 10 </w:t>
      </w:r>
      <w:proofErr w:type="spellStart"/>
      <w:r w:rsidRPr="00A91E83">
        <w:rPr>
          <w:rFonts w:ascii="Times New Roman" w:hAnsi="Times New Roman" w:cs="Times New Roman"/>
          <w:sz w:val="24"/>
          <w:szCs w:val="24"/>
        </w:rPr>
        <w:t>str</w:t>
      </w:r>
      <w:proofErr w:type="spellEnd"/>
      <w:r w:rsidRPr="00A91E83">
        <w:rPr>
          <w:rFonts w:ascii="Times New Roman" w:hAnsi="Times New Roman" w:cs="Times New Roman"/>
          <w:sz w:val="24"/>
          <w:szCs w:val="24"/>
        </w:rPr>
        <w:t xml:space="preserve">. 7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3 </w:t>
      </w:r>
      <w:proofErr w:type="spellStart"/>
      <w:r w:rsidRPr="00A91E83">
        <w:rPr>
          <w:rFonts w:ascii="Times New Roman" w:hAnsi="Times New Roman" w:cs="Times New Roman"/>
          <w:sz w:val="24"/>
          <w:szCs w:val="24"/>
        </w:rPr>
        <w:t>p</w:t>
      </w:r>
      <w:proofErr w:type="spellEnd"/>
      <w:r w:rsidRPr="00A91E83">
        <w:rPr>
          <w:rFonts w:ascii="Times New Roman" w:hAnsi="Times New Roman" w:cs="Times New Roman"/>
          <w:sz w:val="24"/>
          <w:szCs w:val="24"/>
        </w:rPr>
        <w:t>. norma negali būti aiškinama kaip ribojanti kreditorių ar trečiųjų asmenų teisę susigrąžinti (išsireikalauti) jiems nuosavybės teise priklausantį turtą iš bankrutuojančios įmonės valdymo. Kitiems asmenims nuosavybės teise priklausantis turtas negali būti panaudotas bankrutuojančios įmonės prievolių vykdymui, šio turto grąžinimas savininkams nepadidina įmonės skolų (kreditorių reikalavimų), priešingai – bankrutuojančiai įmonei negrąžinus svetimo turto atsirastų prievolė atlyginti to turto vertę, atitinkamai padidėtų bendra įmonės skolų suma, o parduoto bankrutuojančios įmonės turto nepakankant visiems kreditorių reikalavimams patenkinti – ir sumažėtų kiekvieno kreditoriaus patenkintų reikalavimų dalis.</w:t>
      </w:r>
      <w:r w:rsidRPr="00A91E83">
        <w:rPr>
          <w:rStyle w:val="Puslapioinaosnuoroda"/>
          <w:rFonts w:ascii="Times New Roman" w:hAnsi="Times New Roman" w:cs="Times New Roman"/>
          <w:sz w:val="24"/>
          <w:szCs w:val="24"/>
        </w:rPr>
        <w:footnoteReference w:id="237"/>
      </w:r>
      <w:r w:rsidRPr="00A91E83">
        <w:rPr>
          <w:rFonts w:ascii="Times New Roman" w:hAnsi="Times New Roman" w:cs="Times New Roman"/>
          <w:sz w:val="24"/>
          <w:szCs w:val="24"/>
        </w:rPr>
        <w:t xml:space="preserve"> Taigi, bankroto administratorius negalėtų ginčyti </w:t>
      </w:r>
      <w:r w:rsidR="0024462F" w:rsidRPr="00A91E83">
        <w:rPr>
          <w:rFonts w:ascii="Times New Roman" w:hAnsi="Times New Roman" w:cs="Times New Roman"/>
          <w:sz w:val="24"/>
          <w:szCs w:val="24"/>
        </w:rPr>
        <w:t>situacij</w:t>
      </w:r>
      <w:r w:rsidR="00DC3628" w:rsidRPr="00A91E83">
        <w:rPr>
          <w:rFonts w:ascii="Times New Roman" w:hAnsi="Times New Roman" w:cs="Times New Roman"/>
          <w:sz w:val="24"/>
          <w:szCs w:val="24"/>
        </w:rPr>
        <w:t>os, kai į užskaitos</w:t>
      </w:r>
      <w:r w:rsidR="0024462F" w:rsidRPr="00A91E83">
        <w:rPr>
          <w:rFonts w:ascii="Times New Roman" w:hAnsi="Times New Roman" w:cs="Times New Roman"/>
          <w:sz w:val="24"/>
          <w:szCs w:val="24"/>
        </w:rPr>
        <w:t xml:space="preserve"> balansą </w:t>
      </w:r>
      <w:r w:rsidR="00DC3628" w:rsidRPr="00A91E83">
        <w:rPr>
          <w:rFonts w:ascii="Times New Roman" w:hAnsi="Times New Roman" w:cs="Times New Roman"/>
          <w:sz w:val="24"/>
          <w:szCs w:val="24"/>
        </w:rPr>
        <w:t xml:space="preserve">būtų </w:t>
      </w:r>
      <w:r w:rsidR="0024462F" w:rsidRPr="00A91E83">
        <w:rPr>
          <w:rFonts w:ascii="Times New Roman" w:hAnsi="Times New Roman" w:cs="Times New Roman"/>
          <w:sz w:val="24"/>
          <w:szCs w:val="24"/>
        </w:rPr>
        <w:t xml:space="preserve">įtraukiama finansinio užstato vertė, </w:t>
      </w:r>
      <w:r w:rsidR="00DC3628" w:rsidRPr="00A91E83">
        <w:rPr>
          <w:rFonts w:ascii="Times New Roman" w:hAnsi="Times New Roman" w:cs="Times New Roman"/>
          <w:sz w:val="24"/>
          <w:szCs w:val="24"/>
        </w:rPr>
        <w:t>kai</w:t>
      </w:r>
      <w:r w:rsidR="0024462F" w:rsidRPr="00A91E83">
        <w:rPr>
          <w:rFonts w:ascii="Times New Roman" w:hAnsi="Times New Roman" w:cs="Times New Roman"/>
          <w:sz w:val="24"/>
          <w:szCs w:val="24"/>
        </w:rPr>
        <w:t xml:space="preserve"> </w:t>
      </w:r>
      <w:r w:rsidR="00DC3628" w:rsidRPr="00A91E83">
        <w:rPr>
          <w:rFonts w:ascii="Times New Roman" w:hAnsi="Times New Roman" w:cs="Times New Roman"/>
          <w:sz w:val="24"/>
          <w:szCs w:val="24"/>
        </w:rPr>
        <w:t>užstatas</w:t>
      </w:r>
      <w:r w:rsidRPr="00A91E83">
        <w:rPr>
          <w:rFonts w:ascii="Times New Roman" w:hAnsi="Times New Roman" w:cs="Times New Roman"/>
          <w:sz w:val="24"/>
          <w:szCs w:val="24"/>
        </w:rPr>
        <w:t xml:space="preserve"> priklausė užstato turėtojui nuosavybės teise. Tokiu atveju imperatyvi nuostata, kad tik bankroto administratorius turi teisę ĮBĮ nustatyta tvarka organizuoti likviduojamos </w:t>
      </w:r>
      <w:r w:rsidR="00342F38" w:rsidRPr="00A91E83">
        <w:rPr>
          <w:rFonts w:ascii="Times New Roman" w:hAnsi="Times New Roman" w:cs="Times New Roman"/>
          <w:sz w:val="24"/>
          <w:szCs w:val="24"/>
        </w:rPr>
        <w:t>bendrovės</w:t>
      </w:r>
      <w:r w:rsidRPr="00A91E83">
        <w:rPr>
          <w:rFonts w:ascii="Times New Roman" w:hAnsi="Times New Roman" w:cs="Times New Roman"/>
          <w:sz w:val="24"/>
          <w:szCs w:val="24"/>
        </w:rPr>
        <w:t xml:space="preserve"> turto pardavimą, jį parduoti ar perduoti kreditoriams</w:t>
      </w:r>
      <w:r w:rsidR="00833EAA" w:rsidRPr="00A91E83">
        <w:rPr>
          <w:rFonts w:ascii="Times New Roman" w:hAnsi="Times New Roman" w:cs="Times New Roman"/>
          <w:sz w:val="24"/>
          <w:szCs w:val="24"/>
        </w:rPr>
        <w:t>,</w:t>
      </w:r>
      <w:r w:rsidRPr="00A91E83">
        <w:rPr>
          <w:rStyle w:val="Puslapioinaosnuoroda"/>
          <w:rFonts w:ascii="Times New Roman" w:hAnsi="Times New Roman" w:cs="Times New Roman"/>
          <w:sz w:val="24"/>
          <w:szCs w:val="24"/>
        </w:rPr>
        <w:footnoteReference w:id="238"/>
      </w:r>
      <w:r w:rsidR="00DA6385" w:rsidRPr="00A91E83">
        <w:rPr>
          <w:rFonts w:ascii="Times New Roman" w:hAnsi="Times New Roman" w:cs="Times New Roman"/>
          <w:sz w:val="24"/>
          <w:szCs w:val="24"/>
        </w:rPr>
        <w:t xml:space="preserve"> nebus pažeista, nes tai nėra nemokios bendrovės turtas.</w:t>
      </w:r>
    </w:p>
    <w:p w:rsidR="0021658D" w:rsidRPr="00A91E83" w:rsidRDefault="0026520B" w:rsidP="0026520B">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Taip pat paminėtina, jog atpirkimo sandoriai</w:t>
      </w:r>
      <w:r w:rsidR="0082281A" w:rsidRPr="00A91E83">
        <w:rPr>
          <w:rFonts w:ascii="Times New Roman" w:hAnsi="Times New Roman" w:cs="Times New Roman"/>
          <w:sz w:val="24"/>
          <w:szCs w:val="24"/>
        </w:rPr>
        <w:t>, kurie naudoja prievolių įvykdymo užtikrinimo būdą su nuosavybės teisės perdavimu,</w:t>
      </w:r>
      <w:r w:rsidRPr="00A91E83">
        <w:rPr>
          <w:rFonts w:ascii="Times New Roman" w:hAnsi="Times New Roman" w:cs="Times New Roman"/>
          <w:sz w:val="24"/>
          <w:szCs w:val="24"/>
        </w:rPr>
        <w:t xml:space="preserve"> yra </w:t>
      </w:r>
      <w:r w:rsidR="00342F38" w:rsidRPr="00A91E83">
        <w:rPr>
          <w:rFonts w:ascii="Times New Roman" w:hAnsi="Times New Roman" w:cs="Times New Roman"/>
          <w:sz w:val="24"/>
          <w:szCs w:val="24"/>
        </w:rPr>
        <w:t xml:space="preserve">įprasti sandoriai rinkoje. </w:t>
      </w:r>
      <w:proofErr w:type="spellStart"/>
      <w:r w:rsidR="00342F38" w:rsidRPr="00A91E83">
        <w:rPr>
          <w:rFonts w:ascii="Times New Roman" w:hAnsi="Times New Roman" w:cs="Times New Roman"/>
          <w:sz w:val="24"/>
          <w:szCs w:val="24"/>
        </w:rPr>
        <w:t>Pvz</w:t>
      </w:r>
      <w:proofErr w:type="spellEnd"/>
      <w:r w:rsidR="00342F38" w:rsidRPr="00A91E83">
        <w:rPr>
          <w:rFonts w:ascii="Times New Roman" w:hAnsi="Times New Roman" w:cs="Times New Roman"/>
          <w:sz w:val="24"/>
          <w:szCs w:val="24"/>
        </w:rPr>
        <w:t xml:space="preserve">.: atpirkimo sandoriai </w:t>
      </w:r>
      <w:r w:rsidRPr="00A91E83">
        <w:rPr>
          <w:rFonts w:ascii="Times New Roman" w:hAnsi="Times New Roman" w:cs="Times New Roman"/>
          <w:sz w:val="24"/>
          <w:szCs w:val="24"/>
        </w:rPr>
        <w:t xml:space="preserve">nuolat atliekami tarp Lietuvos centrinio banko ir kitų komercinių bankų. Jų santykius </w:t>
      </w:r>
      <w:r w:rsidRPr="00A91E83">
        <w:rPr>
          <w:rFonts w:ascii="Times New Roman" w:hAnsi="Times New Roman" w:cs="Times New Roman"/>
          <w:sz w:val="24"/>
          <w:szCs w:val="24"/>
        </w:rPr>
        <w:lastRenderedPageBreak/>
        <w:t xml:space="preserve">reglamentuoja 2000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kovo 9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Lietuvos banko valdybos nutarimas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31 dėl atpirkimo sandorių tarp Lietuvos banko ir bankų sudarymo ir vykdymo taisyklių patvirtinimo.</w:t>
      </w:r>
      <w:r w:rsidR="0082281A" w:rsidRPr="00A91E83">
        <w:rPr>
          <w:rStyle w:val="Puslapioinaosnuoroda"/>
          <w:rFonts w:ascii="Times New Roman" w:hAnsi="Times New Roman" w:cs="Times New Roman"/>
          <w:sz w:val="24"/>
          <w:szCs w:val="24"/>
        </w:rPr>
        <w:t xml:space="preserve"> </w:t>
      </w:r>
      <w:r w:rsidR="0082281A" w:rsidRPr="00A91E83">
        <w:rPr>
          <w:rStyle w:val="Puslapioinaosnuoroda"/>
          <w:rFonts w:ascii="Times New Roman" w:hAnsi="Times New Roman" w:cs="Times New Roman"/>
          <w:sz w:val="24"/>
          <w:szCs w:val="24"/>
        </w:rPr>
        <w:footnoteReference w:id="239"/>
      </w:r>
      <w:r w:rsidRPr="00A91E83">
        <w:rPr>
          <w:rFonts w:ascii="Times New Roman" w:hAnsi="Times New Roman" w:cs="Times New Roman"/>
          <w:sz w:val="24"/>
          <w:szCs w:val="24"/>
        </w:rPr>
        <w:t xml:space="preserve"> Minėtose taisyklėse atpirkimo sandoris suprantamas kaip susitarimas, kuriuo viena šalis (pardavėjas) įsipareigoja sutartą dieną (atsiskaitymų už perkamus vertybinius popierius dieną) perduoti kitos šalies (pirkėjo) nuosavybėn apibrėžtus vertybinius popierius, pirkėjas įsipareigoja tuos vertybinius popierius priimti, sumokėti už juos pirkimo kainą, ir kitą, vėlesnę dieną (atsiskaitymų už atperkamus vertybinius popierius dieną) tuos pačius vertybinius popierius perduoti pardavėjo nuosavybėn, o pardavėjas įsipareigoja juos priimti ir sumokėti už juos atpi</w:t>
      </w:r>
      <w:r w:rsidR="0082281A" w:rsidRPr="00A91E83">
        <w:rPr>
          <w:rFonts w:ascii="Times New Roman" w:hAnsi="Times New Roman" w:cs="Times New Roman"/>
          <w:sz w:val="24"/>
          <w:szCs w:val="24"/>
        </w:rPr>
        <w:t>rkimo kainą. Tai laikoma įprasta</w:t>
      </w:r>
      <w:r w:rsidRPr="00A91E83">
        <w:rPr>
          <w:rFonts w:ascii="Times New Roman" w:hAnsi="Times New Roman" w:cs="Times New Roman"/>
          <w:sz w:val="24"/>
          <w:szCs w:val="24"/>
        </w:rPr>
        <w:t xml:space="preserve"> ir pri</w:t>
      </w:r>
      <w:r w:rsidR="0082281A" w:rsidRPr="00A91E83">
        <w:rPr>
          <w:rFonts w:ascii="Times New Roman" w:hAnsi="Times New Roman" w:cs="Times New Roman"/>
          <w:sz w:val="24"/>
          <w:szCs w:val="24"/>
        </w:rPr>
        <w:t>imtina</w:t>
      </w:r>
      <w:r w:rsidR="000C1D52" w:rsidRPr="00A91E83">
        <w:rPr>
          <w:rFonts w:ascii="Times New Roman" w:hAnsi="Times New Roman" w:cs="Times New Roman"/>
          <w:sz w:val="24"/>
          <w:szCs w:val="24"/>
        </w:rPr>
        <w:t xml:space="preserve"> sandorių sudarymo </w:t>
      </w:r>
      <w:r w:rsidR="0082281A" w:rsidRPr="00A91E83">
        <w:rPr>
          <w:rFonts w:ascii="Times New Roman" w:hAnsi="Times New Roman" w:cs="Times New Roman"/>
          <w:sz w:val="24"/>
          <w:szCs w:val="24"/>
        </w:rPr>
        <w:t>struktūra</w:t>
      </w:r>
      <w:r w:rsidR="000C1D52" w:rsidRPr="00A91E83">
        <w:rPr>
          <w:rFonts w:ascii="Times New Roman" w:hAnsi="Times New Roman" w:cs="Times New Roman"/>
          <w:sz w:val="24"/>
          <w:szCs w:val="24"/>
        </w:rPr>
        <w:t>.</w:t>
      </w:r>
      <w:r w:rsidRPr="00A91E83">
        <w:rPr>
          <w:rFonts w:ascii="Times New Roman" w:hAnsi="Times New Roman" w:cs="Times New Roman"/>
          <w:sz w:val="24"/>
          <w:szCs w:val="24"/>
        </w:rPr>
        <w:t xml:space="preserve"> Lietuvos teismai nebandė perkvalifikuoti </w:t>
      </w:r>
      <w:r w:rsidR="000C1D52" w:rsidRPr="00A91E83">
        <w:rPr>
          <w:rFonts w:ascii="Times New Roman" w:hAnsi="Times New Roman" w:cs="Times New Roman"/>
          <w:sz w:val="24"/>
          <w:szCs w:val="24"/>
        </w:rPr>
        <w:t xml:space="preserve">prievolių įvykdymo būdo </w:t>
      </w:r>
      <w:r w:rsidR="00B04A24" w:rsidRPr="00A91E83">
        <w:rPr>
          <w:rFonts w:ascii="Times New Roman" w:hAnsi="Times New Roman" w:cs="Times New Roman"/>
          <w:sz w:val="24"/>
          <w:szCs w:val="24"/>
        </w:rPr>
        <w:t xml:space="preserve">su nuosavybės perleidimu </w:t>
      </w:r>
      <w:r w:rsidRPr="00A91E83">
        <w:rPr>
          <w:rFonts w:ascii="Times New Roman" w:hAnsi="Times New Roman" w:cs="Times New Roman"/>
          <w:sz w:val="24"/>
          <w:szCs w:val="24"/>
        </w:rPr>
        <w:t xml:space="preserve">į </w:t>
      </w:r>
      <w:r w:rsidR="003C3028" w:rsidRPr="00A91E83">
        <w:rPr>
          <w:rFonts w:ascii="Times New Roman" w:hAnsi="Times New Roman" w:cs="Times New Roman"/>
          <w:sz w:val="24"/>
          <w:szCs w:val="24"/>
        </w:rPr>
        <w:t>prievolių įvykdymo užtikrinimo būdą be nuosavybės perdavimo</w:t>
      </w:r>
      <w:r w:rsidRPr="00A91E83">
        <w:rPr>
          <w:rFonts w:ascii="Times New Roman" w:hAnsi="Times New Roman" w:cs="Times New Roman"/>
          <w:sz w:val="24"/>
          <w:szCs w:val="24"/>
        </w:rPr>
        <w:t xml:space="preserve">. Remiantis </w:t>
      </w:r>
      <w:r w:rsidR="00646485" w:rsidRPr="00A91E83">
        <w:rPr>
          <w:rFonts w:ascii="Times New Roman" w:hAnsi="Times New Roman" w:cs="Times New Roman"/>
          <w:sz w:val="24"/>
          <w:szCs w:val="24"/>
        </w:rPr>
        <w:t>atpirkimo sandorių</w:t>
      </w:r>
      <w:r w:rsidRPr="00A91E83">
        <w:rPr>
          <w:rFonts w:ascii="Times New Roman" w:hAnsi="Times New Roman" w:cs="Times New Roman"/>
          <w:sz w:val="24"/>
          <w:szCs w:val="24"/>
        </w:rPr>
        <w:t xml:space="preserve"> analogija nėra jokios rizikos, kad teismai laikytų, kad ISDA prievolių įvykdymo užtikrinimo susitarimas su nuosavybės perdavimu būtų laikomas apsimestinis, t. y. prieštarautų CK 1.87 ir negaliotų. Todėl norint pasiekti baigiamosios užskaitos efektą, </w:t>
      </w:r>
      <w:r w:rsidR="00B01315" w:rsidRPr="00A91E83">
        <w:rPr>
          <w:rFonts w:ascii="Times New Roman" w:hAnsi="Times New Roman" w:cs="Times New Roman"/>
          <w:sz w:val="24"/>
          <w:szCs w:val="24"/>
        </w:rPr>
        <w:t>kad į galutinį mokėtinos sumos apskaičiavimą būtų įtraukta</w:t>
      </w:r>
      <w:r w:rsidR="002368AF" w:rsidRPr="00A91E83">
        <w:rPr>
          <w:rFonts w:ascii="Times New Roman" w:hAnsi="Times New Roman" w:cs="Times New Roman"/>
          <w:sz w:val="24"/>
          <w:szCs w:val="24"/>
        </w:rPr>
        <w:t xml:space="preserve"> finansinio užstato vertė, k</w:t>
      </w:r>
      <w:r w:rsidRPr="00A91E83">
        <w:rPr>
          <w:rFonts w:ascii="Times New Roman" w:hAnsi="Times New Roman" w:cs="Times New Roman"/>
          <w:sz w:val="24"/>
          <w:szCs w:val="24"/>
        </w:rPr>
        <w:t xml:space="preserve">ai </w:t>
      </w:r>
      <w:r w:rsidR="00184EE1" w:rsidRPr="00A91E83">
        <w:rPr>
          <w:rFonts w:ascii="Times New Roman" w:hAnsi="Times New Roman" w:cs="Times New Roman"/>
          <w:sz w:val="24"/>
          <w:szCs w:val="24"/>
        </w:rPr>
        <w:t>šalių santykiai</w:t>
      </w:r>
      <w:r w:rsidRPr="00A91E83">
        <w:rPr>
          <w:rFonts w:ascii="Times New Roman" w:hAnsi="Times New Roman" w:cs="Times New Roman"/>
          <w:sz w:val="24"/>
          <w:szCs w:val="24"/>
        </w:rPr>
        <w:t xml:space="preserve"> nepatenka į FUSĮ, tai rekomenduojama </w:t>
      </w:r>
      <w:r w:rsidR="00B01315" w:rsidRPr="00A91E83">
        <w:rPr>
          <w:rFonts w:ascii="Times New Roman" w:hAnsi="Times New Roman" w:cs="Times New Roman"/>
          <w:sz w:val="24"/>
          <w:szCs w:val="24"/>
        </w:rPr>
        <w:t xml:space="preserve">šalims </w:t>
      </w:r>
      <w:r w:rsidRPr="00A91E83">
        <w:rPr>
          <w:rFonts w:ascii="Times New Roman" w:hAnsi="Times New Roman" w:cs="Times New Roman"/>
          <w:sz w:val="24"/>
          <w:szCs w:val="24"/>
        </w:rPr>
        <w:t xml:space="preserve">naudoti ISDA formą, kuri leidžia perduoti visą nuosavybės teisę. </w:t>
      </w:r>
    </w:p>
    <w:p w:rsidR="00D64B33" w:rsidRPr="00A91E83" w:rsidRDefault="00D64B33" w:rsidP="0026520B">
      <w:pPr>
        <w:tabs>
          <w:tab w:val="left" w:pos="851"/>
        </w:tabs>
        <w:spacing w:after="0" w:line="360" w:lineRule="auto"/>
        <w:ind w:firstLine="851"/>
        <w:jc w:val="both"/>
        <w:rPr>
          <w:rFonts w:ascii="Times New Roman" w:hAnsi="Times New Roman" w:cs="Times New Roman"/>
          <w:sz w:val="24"/>
          <w:szCs w:val="24"/>
        </w:rPr>
      </w:pPr>
    </w:p>
    <w:p w:rsidR="009A6789" w:rsidRPr="00A91E83" w:rsidRDefault="00D64B33" w:rsidP="00D64B33">
      <w:pPr>
        <w:pStyle w:val="Sraopastraipa"/>
        <w:numPr>
          <w:ilvl w:val="3"/>
          <w:numId w:val="4"/>
        </w:numPr>
        <w:tabs>
          <w:tab w:val="left" w:pos="851"/>
        </w:tabs>
        <w:spacing w:after="0" w:line="360" w:lineRule="auto"/>
        <w:ind w:left="851" w:hanging="851"/>
        <w:jc w:val="both"/>
        <w:outlineLvl w:val="2"/>
        <w:rPr>
          <w:rFonts w:ascii="Times New Roman" w:hAnsi="Times New Roman" w:cs="Times New Roman"/>
          <w:b/>
          <w:sz w:val="24"/>
          <w:szCs w:val="24"/>
        </w:rPr>
      </w:pPr>
      <w:bookmarkStart w:id="43" w:name="_Toc280546476"/>
      <w:r w:rsidRPr="00A91E83">
        <w:rPr>
          <w:rFonts w:ascii="Times New Roman" w:hAnsi="Times New Roman" w:cs="Times New Roman"/>
          <w:b/>
          <w:sz w:val="24"/>
          <w:szCs w:val="24"/>
        </w:rPr>
        <w:t>Valiutos konvertavimas bankroto procese</w:t>
      </w:r>
      <w:bookmarkEnd w:id="43"/>
    </w:p>
    <w:p w:rsidR="00D64B33" w:rsidRPr="00A91E83" w:rsidRDefault="00D64B33" w:rsidP="00D64B33">
      <w:pPr>
        <w:tabs>
          <w:tab w:val="left" w:pos="851"/>
        </w:tabs>
        <w:spacing w:after="0" w:line="360" w:lineRule="auto"/>
        <w:jc w:val="both"/>
        <w:outlineLvl w:val="2"/>
        <w:rPr>
          <w:rFonts w:ascii="Times New Roman" w:hAnsi="Times New Roman" w:cs="Times New Roman"/>
          <w:sz w:val="24"/>
          <w:szCs w:val="24"/>
        </w:rPr>
      </w:pPr>
    </w:p>
    <w:p w:rsidR="00D64B33" w:rsidRPr="00A91E83" w:rsidRDefault="00D64B33" w:rsidP="006505CF">
      <w:pPr>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Taip pat pažymėtina, jog ISDA leidžia šalims pasirinkti kokia valiuta turėtų būti vykdomi sandoriai. Taigi </w:t>
      </w:r>
      <w:r w:rsidR="00E50096" w:rsidRPr="00A91E83">
        <w:rPr>
          <w:rFonts w:ascii="Times New Roman" w:hAnsi="Times New Roman" w:cs="Times New Roman"/>
          <w:sz w:val="24"/>
          <w:szCs w:val="24"/>
        </w:rPr>
        <w:t>dažniausiai susidarys</w:t>
      </w:r>
      <w:r w:rsidRPr="00A91E83">
        <w:rPr>
          <w:rFonts w:ascii="Times New Roman" w:hAnsi="Times New Roman" w:cs="Times New Roman"/>
          <w:sz w:val="24"/>
          <w:szCs w:val="24"/>
        </w:rPr>
        <w:t xml:space="preserve"> situacija, kad </w:t>
      </w:r>
      <w:r w:rsidR="00E50096" w:rsidRPr="00A91E83">
        <w:rPr>
          <w:rFonts w:ascii="Times New Roman" w:hAnsi="Times New Roman" w:cs="Times New Roman"/>
          <w:sz w:val="24"/>
          <w:szCs w:val="24"/>
        </w:rPr>
        <w:t>šalių įsipareigojimai bus įvertinti</w:t>
      </w:r>
      <w:r w:rsidRPr="00A91E83">
        <w:rPr>
          <w:rFonts w:ascii="Times New Roman" w:hAnsi="Times New Roman" w:cs="Times New Roman"/>
          <w:sz w:val="24"/>
          <w:szCs w:val="24"/>
        </w:rPr>
        <w:t xml:space="preserve"> šalių pasirinkta užsienio valiuta</w:t>
      </w:r>
      <w:r w:rsidR="00E50096" w:rsidRPr="00A91E83">
        <w:rPr>
          <w:rFonts w:ascii="Times New Roman" w:hAnsi="Times New Roman" w:cs="Times New Roman"/>
          <w:sz w:val="24"/>
          <w:szCs w:val="24"/>
        </w:rPr>
        <w:t>,</w:t>
      </w:r>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pvz</w:t>
      </w:r>
      <w:proofErr w:type="spellEnd"/>
      <w:r w:rsidRPr="00A91E83">
        <w:rPr>
          <w:rFonts w:ascii="Times New Roman" w:hAnsi="Times New Roman" w:cs="Times New Roman"/>
          <w:sz w:val="24"/>
          <w:szCs w:val="24"/>
        </w:rPr>
        <w:t>.: USD</w:t>
      </w:r>
      <w:r w:rsidR="00F33629" w:rsidRPr="00A91E83">
        <w:rPr>
          <w:rFonts w:ascii="Times New Roman" w:hAnsi="Times New Roman" w:cs="Times New Roman"/>
          <w:sz w:val="24"/>
          <w:szCs w:val="24"/>
        </w:rPr>
        <w:t xml:space="preserve">. Kai </w:t>
      </w:r>
      <w:r w:rsidR="00925F6B" w:rsidRPr="00A91E83">
        <w:rPr>
          <w:rFonts w:ascii="Times New Roman" w:hAnsi="Times New Roman" w:cs="Times New Roman"/>
          <w:sz w:val="24"/>
          <w:szCs w:val="24"/>
        </w:rPr>
        <w:t>sandorio šalis</w:t>
      </w:r>
      <w:r w:rsidR="00F33629" w:rsidRPr="00A91E83">
        <w:rPr>
          <w:rFonts w:ascii="Times New Roman" w:hAnsi="Times New Roman" w:cs="Times New Roman"/>
          <w:sz w:val="24"/>
          <w:szCs w:val="24"/>
        </w:rPr>
        <w:t xml:space="preserve"> lieka skolinga kontrahentui ir tampa nemoki, tai</w:t>
      </w:r>
      <w:r w:rsidRPr="00A91E83">
        <w:rPr>
          <w:rFonts w:ascii="Times New Roman" w:hAnsi="Times New Roman" w:cs="Times New Roman"/>
          <w:sz w:val="24"/>
          <w:szCs w:val="24"/>
        </w:rPr>
        <w:t xml:space="preserve"> </w:t>
      </w:r>
      <w:r w:rsidR="00925F6B" w:rsidRPr="00A91E83">
        <w:rPr>
          <w:rFonts w:ascii="Times New Roman" w:hAnsi="Times New Roman" w:cs="Times New Roman"/>
          <w:sz w:val="24"/>
          <w:szCs w:val="24"/>
        </w:rPr>
        <w:t xml:space="preserve">mokiam kontrahentui, </w:t>
      </w:r>
      <w:r w:rsidRPr="00A91E83">
        <w:rPr>
          <w:rFonts w:ascii="Times New Roman" w:hAnsi="Times New Roman" w:cs="Times New Roman"/>
          <w:sz w:val="24"/>
          <w:szCs w:val="24"/>
        </w:rPr>
        <w:t>reiškiant kreditorinį reikalavimą bankroto procese</w:t>
      </w:r>
      <w:r w:rsidR="00925F6B" w:rsidRPr="00A91E83">
        <w:rPr>
          <w:rFonts w:ascii="Times New Roman" w:hAnsi="Times New Roman" w:cs="Times New Roman"/>
          <w:sz w:val="24"/>
          <w:szCs w:val="24"/>
        </w:rPr>
        <w:t>,</w:t>
      </w:r>
      <w:r w:rsidRPr="00A91E83">
        <w:rPr>
          <w:rFonts w:ascii="Times New Roman" w:hAnsi="Times New Roman" w:cs="Times New Roman"/>
          <w:sz w:val="24"/>
          <w:szCs w:val="24"/>
        </w:rPr>
        <w:t xml:space="preserve"> rekomenduojama konvertuoti ši reikalavimą į litus. Nors ĮBĮ nenumato, kokia valiuta kreditoriai turi pareikšti savo finansinius reikalavimus, tačiau, patvirtinus finansinius reikalavimus skirtingomis užsienio valiutomis, gali būti sunku įgyvendinti kai kurias ĮBĮ nuostatas, reglamentuojančias kreditoriaus teises, pavyzdžiui, ĮBĮ 22 straipsnio 3 dalies nuostat</w:t>
      </w:r>
      <w:r w:rsidR="008D46D6" w:rsidRPr="00A91E83">
        <w:rPr>
          <w:rFonts w:ascii="Times New Roman" w:hAnsi="Times New Roman" w:cs="Times New Roman"/>
          <w:sz w:val="24"/>
          <w:szCs w:val="24"/>
        </w:rPr>
        <w:t xml:space="preserve">ą dėl kreditoriaus </w:t>
      </w:r>
      <w:r w:rsidRPr="00A91E83">
        <w:rPr>
          <w:rFonts w:ascii="Times New Roman" w:hAnsi="Times New Roman" w:cs="Times New Roman"/>
          <w:sz w:val="24"/>
          <w:szCs w:val="24"/>
        </w:rPr>
        <w:t>teisės sušaukti kreditorių susirinkimą, ĮBĮ 24 straipsnio 1 dalies nuostatą dėl kreditorių susirinkimo nutarimo priėmimo ir kitas nuostatas, kurių vykdymas priklauso nuo kreditorių patvirtintų finansinių reikalavimų vertinės išraiškos. Todėl atsižvelgiant į LAT formuojama praktiką, siekiant užtikrinti kreditorių lygiateisiškumo principą, visi kreditorių finansiniai reikalavimai bankroto byloje turėtų būti tvirtinami litais.</w:t>
      </w:r>
      <w:r w:rsidRPr="00A91E83">
        <w:rPr>
          <w:rFonts w:ascii="Times New Roman" w:hAnsi="Times New Roman" w:cs="Times New Roman"/>
          <w:sz w:val="24"/>
          <w:szCs w:val="24"/>
          <w:vertAlign w:val="superscript"/>
        </w:rPr>
        <w:footnoteReference w:id="240"/>
      </w:r>
    </w:p>
    <w:p w:rsidR="00D64B33" w:rsidRPr="00A91E83" w:rsidRDefault="00D64B33" w:rsidP="00D64B33">
      <w:pPr>
        <w:tabs>
          <w:tab w:val="left" w:pos="851"/>
        </w:tabs>
        <w:spacing w:after="0" w:line="360" w:lineRule="auto"/>
        <w:jc w:val="both"/>
        <w:outlineLvl w:val="2"/>
        <w:rPr>
          <w:rFonts w:ascii="Times New Roman" w:hAnsi="Times New Roman" w:cs="Times New Roman"/>
          <w:sz w:val="24"/>
          <w:szCs w:val="24"/>
        </w:rPr>
      </w:pPr>
    </w:p>
    <w:p w:rsidR="00892B16" w:rsidRPr="00A91E83" w:rsidRDefault="00892B16" w:rsidP="005B60F6">
      <w:pPr>
        <w:pStyle w:val="Sraopastraipa"/>
        <w:numPr>
          <w:ilvl w:val="1"/>
          <w:numId w:val="4"/>
        </w:numPr>
        <w:tabs>
          <w:tab w:val="left" w:pos="851"/>
        </w:tabs>
        <w:spacing w:after="0" w:line="360" w:lineRule="auto"/>
        <w:ind w:left="0" w:firstLine="0"/>
        <w:jc w:val="both"/>
        <w:outlineLvl w:val="1"/>
        <w:rPr>
          <w:rFonts w:ascii="Times New Roman" w:hAnsi="Times New Roman" w:cs="Times New Roman"/>
          <w:b/>
          <w:sz w:val="24"/>
          <w:szCs w:val="24"/>
        </w:rPr>
      </w:pPr>
      <w:bookmarkStart w:id="44" w:name="_Toc280546477"/>
      <w:r w:rsidRPr="00A91E83">
        <w:rPr>
          <w:rFonts w:ascii="Times New Roman" w:hAnsi="Times New Roman" w:cs="Times New Roman"/>
          <w:b/>
          <w:sz w:val="24"/>
          <w:szCs w:val="24"/>
        </w:rPr>
        <w:lastRenderedPageBreak/>
        <w:t xml:space="preserve">A </w:t>
      </w:r>
      <w:proofErr w:type="spellStart"/>
      <w:r w:rsidRPr="00A91E83">
        <w:rPr>
          <w:rFonts w:ascii="Times New Roman" w:hAnsi="Times New Roman" w:cs="Times New Roman"/>
          <w:b/>
          <w:sz w:val="24"/>
          <w:szCs w:val="24"/>
        </w:rPr>
        <w:t>posteriori</w:t>
      </w:r>
      <w:proofErr w:type="spellEnd"/>
      <w:r w:rsidRPr="00A91E83">
        <w:rPr>
          <w:rFonts w:ascii="Times New Roman" w:hAnsi="Times New Roman" w:cs="Times New Roman"/>
          <w:b/>
          <w:sz w:val="24"/>
          <w:szCs w:val="24"/>
        </w:rPr>
        <w:t xml:space="preserve"> kontrolė</w:t>
      </w:r>
      <w:bookmarkEnd w:id="44"/>
    </w:p>
    <w:p w:rsidR="00225F20" w:rsidRPr="00A91E83" w:rsidRDefault="00225F20" w:rsidP="00B46A53">
      <w:pPr>
        <w:pStyle w:val="Sraopastraipa"/>
        <w:tabs>
          <w:tab w:val="left" w:pos="851"/>
        </w:tabs>
        <w:spacing w:after="0" w:line="360" w:lineRule="auto"/>
        <w:ind w:left="0" w:firstLine="851"/>
        <w:jc w:val="both"/>
        <w:rPr>
          <w:rFonts w:ascii="Times New Roman" w:hAnsi="Times New Roman" w:cs="Times New Roman"/>
          <w:b/>
          <w:sz w:val="24"/>
          <w:szCs w:val="24"/>
        </w:rPr>
      </w:pPr>
    </w:p>
    <w:p w:rsidR="00225F20" w:rsidRPr="00A91E83" w:rsidRDefault="00225F20" w:rsidP="005B60F6">
      <w:pPr>
        <w:pStyle w:val="Sraopastraipa"/>
        <w:numPr>
          <w:ilvl w:val="2"/>
          <w:numId w:val="4"/>
        </w:numPr>
        <w:tabs>
          <w:tab w:val="left" w:pos="851"/>
        </w:tabs>
        <w:spacing w:after="0" w:line="360" w:lineRule="auto"/>
        <w:ind w:left="0" w:firstLine="0"/>
        <w:jc w:val="both"/>
        <w:outlineLvl w:val="2"/>
        <w:rPr>
          <w:rFonts w:ascii="Times New Roman" w:hAnsi="Times New Roman" w:cs="Times New Roman"/>
          <w:b/>
          <w:sz w:val="24"/>
          <w:szCs w:val="24"/>
        </w:rPr>
      </w:pPr>
      <w:bookmarkStart w:id="45" w:name="_Toc280546478"/>
      <w:proofErr w:type="spellStart"/>
      <w:r w:rsidRPr="00A91E83">
        <w:rPr>
          <w:rFonts w:ascii="Times New Roman" w:hAnsi="Times New Roman" w:cs="Times New Roman"/>
          <w:b/>
          <w:sz w:val="24"/>
          <w:szCs w:val="24"/>
        </w:rPr>
        <w:t>Cherry</w:t>
      </w:r>
      <w:proofErr w:type="spellEnd"/>
      <w:r w:rsidRPr="00A91E83">
        <w:rPr>
          <w:rFonts w:ascii="Times New Roman" w:hAnsi="Times New Roman" w:cs="Times New Roman"/>
          <w:b/>
          <w:sz w:val="24"/>
          <w:szCs w:val="24"/>
        </w:rPr>
        <w:t xml:space="preserve"> </w:t>
      </w:r>
      <w:proofErr w:type="spellStart"/>
      <w:r w:rsidRPr="00A91E83">
        <w:rPr>
          <w:rFonts w:ascii="Times New Roman" w:hAnsi="Times New Roman" w:cs="Times New Roman"/>
          <w:b/>
          <w:sz w:val="24"/>
          <w:szCs w:val="24"/>
        </w:rPr>
        <w:t>picking</w:t>
      </w:r>
      <w:bookmarkEnd w:id="45"/>
      <w:proofErr w:type="spellEnd"/>
    </w:p>
    <w:p w:rsidR="00FD5E4D" w:rsidRPr="00A91E83" w:rsidRDefault="00FD5E4D" w:rsidP="00FD5E4D">
      <w:pPr>
        <w:tabs>
          <w:tab w:val="left" w:pos="851"/>
        </w:tabs>
        <w:spacing w:after="0" w:line="360" w:lineRule="auto"/>
        <w:ind w:firstLine="851"/>
        <w:jc w:val="both"/>
        <w:rPr>
          <w:rFonts w:ascii="Times New Roman" w:hAnsi="Times New Roman" w:cs="Times New Roman"/>
          <w:sz w:val="24"/>
          <w:szCs w:val="24"/>
        </w:rPr>
      </w:pPr>
    </w:p>
    <w:p w:rsidR="00FD5E78" w:rsidRPr="00A91E83" w:rsidRDefault="00D5141C" w:rsidP="00D5141C">
      <w:pPr>
        <w:tabs>
          <w:tab w:val="left" w:pos="85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r>
      <w:r w:rsidR="00FD5E78" w:rsidRPr="00A91E83">
        <w:rPr>
          <w:rFonts w:ascii="Times New Roman" w:hAnsi="Times New Roman" w:cs="Times New Roman"/>
          <w:sz w:val="24"/>
          <w:szCs w:val="24"/>
        </w:rPr>
        <w:t xml:space="preserve">Konkrečiai ĮBĮ 10 </w:t>
      </w:r>
      <w:proofErr w:type="spellStart"/>
      <w:r w:rsidR="00FD5E78" w:rsidRPr="00A91E83">
        <w:rPr>
          <w:rFonts w:ascii="Times New Roman" w:hAnsi="Times New Roman" w:cs="Times New Roman"/>
          <w:sz w:val="24"/>
          <w:szCs w:val="24"/>
        </w:rPr>
        <w:t>str</w:t>
      </w:r>
      <w:proofErr w:type="spellEnd"/>
      <w:r w:rsidR="00FD5E78" w:rsidRPr="00A91E83">
        <w:rPr>
          <w:rFonts w:ascii="Times New Roman" w:hAnsi="Times New Roman" w:cs="Times New Roman"/>
          <w:sz w:val="24"/>
          <w:szCs w:val="24"/>
        </w:rPr>
        <w:t xml:space="preserve">. 7 </w:t>
      </w:r>
      <w:proofErr w:type="spellStart"/>
      <w:r w:rsidR="00FD5E78" w:rsidRPr="00A91E83">
        <w:rPr>
          <w:rFonts w:ascii="Times New Roman" w:hAnsi="Times New Roman" w:cs="Times New Roman"/>
          <w:sz w:val="24"/>
          <w:szCs w:val="24"/>
        </w:rPr>
        <w:t>d</w:t>
      </w:r>
      <w:proofErr w:type="spellEnd"/>
      <w:r w:rsidR="00FD5E78" w:rsidRPr="00A91E83">
        <w:rPr>
          <w:rFonts w:ascii="Times New Roman" w:hAnsi="Times New Roman" w:cs="Times New Roman"/>
          <w:sz w:val="24"/>
          <w:szCs w:val="24"/>
        </w:rPr>
        <w:t>.</w:t>
      </w:r>
      <w:r w:rsidR="0081018D" w:rsidRPr="00A91E83">
        <w:rPr>
          <w:rFonts w:ascii="Times New Roman" w:hAnsi="Times New Roman" w:cs="Times New Roman"/>
          <w:sz w:val="24"/>
          <w:szCs w:val="24"/>
        </w:rPr>
        <w:t xml:space="preserve"> 4 </w:t>
      </w:r>
      <w:proofErr w:type="spellStart"/>
      <w:r w:rsidR="0081018D" w:rsidRPr="00A91E83">
        <w:rPr>
          <w:rFonts w:ascii="Times New Roman" w:hAnsi="Times New Roman" w:cs="Times New Roman"/>
          <w:sz w:val="24"/>
          <w:szCs w:val="24"/>
        </w:rPr>
        <w:t>p</w:t>
      </w:r>
      <w:proofErr w:type="spellEnd"/>
      <w:r w:rsidR="0081018D" w:rsidRPr="00A91E83">
        <w:rPr>
          <w:rFonts w:ascii="Times New Roman" w:hAnsi="Times New Roman" w:cs="Times New Roman"/>
          <w:sz w:val="24"/>
          <w:szCs w:val="24"/>
        </w:rPr>
        <w:t>.</w:t>
      </w:r>
      <w:r w:rsidR="00FC141B" w:rsidRPr="00A91E83">
        <w:rPr>
          <w:rFonts w:ascii="Times New Roman" w:hAnsi="Times New Roman" w:cs="Times New Roman"/>
          <w:sz w:val="24"/>
          <w:szCs w:val="24"/>
        </w:rPr>
        <w:t xml:space="preserve">, 11 </w:t>
      </w:r>
      <w:proofErr w:type="spellStart"/>
      <w:r w:rsidR="00FC141B" w:rsidRPr="00A91E83">
        <w:rPr>
          <w:rFonts w:ascii="Times New Roman" w:hAnsi="Times New Roman" w:cs="Times New Roman"/>
          <w:sz w:val="24"/>
          <w:szCs w:val="24"/>
        </w:rPr>
        <w:t>str</w:t>
      </w:r>
      <w:proofErr w:type="spellEnd"/>
      <w:r w:rsidR="00FC141B" w:rsidRPr="00A91E83">
        <w:rPr>
          <w:rFonts w:ascii="Times New Roman" w:hAnsi="Times New Roman" w:cs="Times New Roman"/>
          <w:sz w:val="24"/>
          <w:szCs w:val="24"/>
        </w:rPr>
        <w:t xml:space="preserve">. 3 </w:t>
      </w:r>
      <w:proofErr w:type="spellStart"/>
      <w:r w:rsidR="00FC141B" w:rsidRPr="00A91E83">
        <w:rPr>
          <w:rFonts w:ascii="Times New Roman" w:hAnsi="Times New Roman" w:cs="Times New Roman"/>
          <w:sz w:val="24"/>
          <w:szCs w:val="24"/>
        </w:rPr>
        <w:t>d</w:t>
      </w:r>
      <w:proofErr w:type="spellEnd"/>
      <w:r w:rsidR="00FC141B" w:rsidRPr="00A91E83">
        <w:rPr>
          <w:rFonts w:ascii="Times New Roman" w:hAnsi="Times New Roman" w:cs="Times New Roman"/>
          <w:sz w:val="24"/>
          <w:szCs w:val="24"/>
        </w:rPr>
        <w:t>.</w:t>
      </w:r>
      <w:r w:rsidR="0081018D" w:rsidRPr="00A91E83">
        <w:rPr>
          <w:rFonts w:ascii="Times New Roman" w:hAnsi="Times New Roman" w:cs="Times New Roman"/>
          <w:sz w:val="24"/>
          <w:szCs w:val="24"/>
        </w:rPr>
        <w:t xml:space="preserve"> 13 </w:t>
      </w:r>
      <w:proofErr w:type="spellStart"/>
      <w:r w:rsidR="0081018D" w:rsidRPr="00A91E83">
        <w:rPr>
          <w:rFonts w:ascii="Times New Roman" w:hAnsi="Times New Roman" w:cs="Times New Roman"/>
          <w:sz w:val="24"/>
          <w:szCs w:val="24"/>
        </w:rPr>
        <w:t>p</w:t>
      </w:r>
      <w:proofErr w:type="spellEnd"/>
      <w:r w:rsidR="0081018D" w:rsidRPr="00A91E83">
        <w:rPr>
          <w:rFonts w:ascii="Times New Roman" w:hAnsi="Times New Roman" w:cs="Times New Roman"/>
          <w:sz w:val="24"/>
          <w:szCs w:val="24"/>
        </w:rPr>
        <w:t xml:space="preserve">. ir </w:t>
      </w:r>
      <w:r w:rsidR="00FD5E78" w:rsidRPr="00A91E83">
        <w:rPr>
          <w:rFonts w:ascii="Times New Roman" w:hAnsi="Times New Roman" w:cs="Times New Roman"/>
          <w:sz w:val="24"/>
          <w:szCs w:val="24"/>
        </w:rPr>
        <w:t xml:space="preserve">17 </w:t>
      </w:r>
      <w:proofErr w:type="spellStart"/>
      <w:r w:rsidR="00FD5E78" w:rsidRPr="00A91E83">
        <w:rPr>
          <w:rFonts w:ascii="Times New Roman" w:hAnsi="Times New Roman" w:cs="Times New Roman"/>
          <w:sz w:val="24"/>
          <w:szCs w:val="24"/>
        </w:rPr>
        <w:t>str</w:t>
      </w:r>
      <w:proofErr w:type="spellEnd"/>
      <w:r w:rsidR="0081018D" w:rsidRPr="00A91E83">
        <w:rPr>
          <w:rFonts w:ascii="Times New Roman" w:hAnsi="Times New Roman" w:cs="Times New Roman"/>
          <w:sz w:val="24"/>
          <w:szCs w:val="24"/>
        </w:rPr>
        <w:t xml:space="preserve"> 2 </w:t>
      </w:r>
      <w:proofErr w:type="spellStart"/>
      <w:r w:rsidR="0081018D" w:rsidRPr="00A91E83">
        <w:rPr>
          <w:rFonts w:ascii="Times New Roman" w:hAnsi="Times New Roman" w:cs="Times New Roman"/>
          <w:sz w:val="24"/>
          <w:szCs w:val="24"/>
        </w:rPr>
        <w:t>d</w:t>
      </w:r>
      <w:proofErr w:type="spellEnd"/>
      <w:r w:rsidR="0081018D" w:rsidRPr="00A91E83">
        <w:rPr>
          <w:rFonts w:ascii="Times New Roman" w:hAnsi="Times New Roman" w:cs="Times New Roman"/>
          <w:sz w:val="24"/>
          <w:szCs w:val="24"/>
        </w:rPr>
        <w:t>.</w:t>
      </w:r>
      <w:r w:rsidR="00FD5E78" w:rsidRPr="00A91E83">
        <w:rPr>
          <w:rFonts w:ascii="Times New Roman" w:hAnsi="Times New Roman" w:cs="Times New Roman"/>
          <w:sz w:val="24"/>
          <w:szCs w:val="24"/>
        </w:rPr>
        <w:t xml:space="preserve"> suteikia administratoriui teisę ir pareigą įvertinti bendrovės būklę ir per 30 dienų nuo teismo nutarties iškelti bankroto bylą įsiteisėjimo dienos</w:t>
      </w:r>
      <w:r w:rsidR="00925F6B" w:rsidRPr="00A91E83">
        <w:rPr>
          <w:rFonts w:ascii="Times New Roman" w:hAnsi="Times New Roman" w:cs="Times New Roman"/>
          <w:sz w:val="24"/>
          <w:szCs w:val="24"/>
        </w:rPr>
        <w:t>,</w:t>
      </w:r>
      <w:r w:rsidR="00FD5E78" w:rsidRPr="00A91E83">
        <w:rPr>
          <w:rFonts w:ascii="Times New Roman" w:hAnsi="Times New Roman" w:cs="Times New Roman"/>
          <w:sz w:val="24"/>
          <w:szCs w:val="24"/>
        </w:rPr>
        <w:t xml:space="preserve"> informuoti suinteresuotus asmenis apie tai, ar vykdys įmonės sudarytas sutartis, kurių vykdymo terminas dar nepasibaigė, ar jų nevykdys.</w:t>
      </w:r>
      <w:r w:rsidR="00A47F66" w:rsidRPr="00A91E83">
        <w:rPr>
          <w:rFonts w:ascii="Times New Roman" w:hAnsi="Times New Roman" w:cs="Times New Roman"/>
          <w:sz w:val="24"/>
          <w:szCs w:val="24"/>
        </w:rPr>
        <w:t xml:space="preserve"> Jeigu moki šalis nenutraukė dar tebevykdomų sandorių tarp šalių, tokiu atveju nemokios šalies administratorius gali tai padaryti. Bankroto a</w:t>
      </w:r>
      <w:r w:rsidR="002D1959" w:rsidRPr="00A91E83">
        <w:rPr>
          <w:rFonts w:ascii="Times New Roman" w:hAnsi="Times New Roman" w:cs="Times New Roman"/>
          <w:sz w:val="24"/>
          <w:szCs w:val="24"/>
        </w:rPr>
        <w:t>dministratorius „</w:t>
      </w:r>
      <w:proofErr w:type="spellStart"/>
      <w:r w:rsidR="002D1959" w:rsidRPr="00A91E83">
        <w:rPr>
          <w:rFonts w:ascii="Times New Roman" w:hAnsi="Times New Roman" w:cs="Times New Roman"/>
          <w:sz w:val="24"/>
          <w:szCs w:val="24"/>
        </w:rPr>
        <w:t>cherry</w:t>
      </w:r>
      <w:proofErr w:type="spellEnd"/>
      <w:r w:rsidR="002D1959" w:rsidRPr="00A91E83">
        <w:rPr>
          <w:rFonts w:ascii="Times New Roman" w:hAnsi="Times New Roman" w:cs="Times New Roman"/>
          <w:sz w:val="24"/>
          <w:szCs w:val="24"/>
        </w:rPr>
        <w:t xml:space="preserve"> </w:t>
      </w:r>
      <w:proofErr w:type="spellStart"/>
      <w:r w:rsidR="002D1959" w:rsidRPr="00A91E83">
        <w:rPr>
          <w:rFonts w:ascii="Times New Roman" w:hAnsi="Times New Roman" w:cs="Times New Roman"/>
          <w:sz w:val="24"/>
          <w:szCs w:val="24"/>
        </w:rPr>
        <w:t>pick</w:t>
      </w:r>
      <w:proofErr w:type="spellEnd"/>
      <w:r w:rsidR="002D1959" w:rsidRPr="00A91E83">
        <w:rPr>
          <w:rFonts w:ascii="Times New Roman" w:hAnsi="Times New Roman" w:cs="Times New Roman"/>
          <w:sz w:val="24"/>
          <w:szCs w:val="24"/>
        </w:rPr>
        <w:t>“ t.</w:t>
      </w:r>
      <w:r w:rsidR="00FC141B" w:rsidRPr="00A91E83">
        <w:rPr>
          <w:rFonts w:ascii="Times New Roman" w:hAnsi="Times New Roman" w:cs="Times New Roman"/>
          <w:sz w:val="24"/>
          <w:szCs w:val="24"/>
        </w:rPr>
        <w:t> </w:t>
      </w:r>
      <w:r w:rsidR="00A47F66" w:rsidRPr="00A91E83">
        <w:rPr>
          <w:rFonts w:ascii="Times New Roman" w:hAnsi="Times New Roman" w:cs="Times New Roman"/>
          <w:sz w:val="24"/>
          <w:szCs w:val="24"/>
        </w:rPr>
        <w:t>y. reikalaus nemokiai bendrovei pelningų sandorių tolimesnio vykdymo, o nuostolingus nutrauks.</w:t>
      </w:r>
      <w:r w:rsidR="00A47F66" w:rsidRPr="00A91E83">
        <w:rPr>
          <w:rStyle w:val="Puslapioinaosnuoroda"/>
          <w:rFonts w:ascii="Times New Roman" w:hAnsi="Times New Roman" w:cs="Times New Roman"/>
          <w:sz w:val="24"/>
          <w:szCs w:val="24"/>
        </w:rPr>
        <w:footnoteReference w:id="241"/>
      </w:r>
      <w:r w:rsidR="00A47F66" w:rsidRPr="00A91E83">
        <w:rPr>
          <w:rFonts w:ascii="Times New Roman" w:hAnsi="Times New Roman" w:cs="Times New Roman"/>
          <w:sz w:val="24"/>
          <w:szCs w:val="24"/>
        </w:rPr>
        <w:t xml:space="preserve"> </w:t>
      </w:r>
    </w:p>
    <w:p w:rsidR="00225F20" w:rsidRPr="00A91E83" w:rsidRDefault="00F3207D"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Šalyse</w:t>
      </w:r>
      <w:r w:rsidR="0010369A" w:rsidRPr="00A91E83">
        <w:rPr>
          <w:rFonts w:ascii="Times New Roman" w:hAnsi="Times New Roman" w:cs="Times New Roman"/>
          <w:sz w:val="24"/>
          <w:szCs w:val="24"/>
        </w:rPr>
        <w:t xml:space="preserve">, kur leidžiamas </w:t>
      </w:r>
      <w:proofErr w:type="spellStart"/>
      <w:r w:rsidR="0010369A" w:rsidRPr="00A91E83">
        <w:rPr>
          <w:rFonts w:ascii="Times New Roman" w:hAnsi="Times New Roman" w:cs="Times New Roman"/>
          <w:sz w:val="24"/>
          <w:szCs w:val="24"/>
        </w:rPr>
        <w:t>cherry-picking</w:t>
      </w:r>
      <w:proofErr w:type="spellEnd"/>
      <w:r w:rsidR="0010369A" w:rsidRPr="00A91E83">
        <w:rPr>
          <w:rFonts w:ascii="Times New Roman" w:hAnsi="Times New Roman" w:cs="Times New Roman"/>
          <w:sz w:val="24"/>
          <w:szCs w:val="24"/>
        </w:rPr>
        <w:t xml:space="preserve"> yra laikoma, kad tai teisinga, nes </w:t>
      </w:r>
      <w:r w:rsidR="007608F4" w:rsidRPr="00A91E83">
        <w:rPr>
          <w:rFonts w:ascii="Times New Roman" w:hAnsi="Times New Roman" w:cs="Times New Roman"/>
          <w:sz w:val="24"/>
          <w:szCs w:val="24"/>
        </w:rPr>
        <w:t>bankroto administratorius tam ir</w:t>
      </w:r>
      <w:r w:rsidR="0010369A" w:rsidRPr="00A91E83">
        <w:rPr>
          <w:rFonts w:ascii="Times New Roman" w:hAnsi="Times New Roman" w:cs="Times New Roman"/>
          <w:sz w:val="24"/>
          <w:szCs w:val="24"/>
        </w:rPr>
        <w:t xml:space="preserve"> paskiriamas, kad išlaikytų ir sudarytų naujus </w:t>
      </w:r>
      <w:r w:rsidR="009F3AAA" w:rsidRPr="00A91E83">
        <w:rPr>
          <w:rFonts w:ascii="Times New Roman" w:hAnsi="Times New Roman" w:cs="Times New Roman"/>
          <w:sz w:val="24"/>
          <w:szCs w:val="24"/>
        </w:rPr>
        <w:t xml:space="preserve">sandorius </w:t>
      </w:r>
      <w:r w:rsidR="0010369A" w:rsidRPr="00A91E83">
        <w:rPr>
          <w:rFonts w:ascii="Times New Roman" w:hAnsi="Times New Roman" w:cs="Times New Roman"/>
          <w:sz w:val="24"/>
          <w:szCs w:val="24"/>
        </w:rPr>
        <w:t xml:space="preserve">nemokios bendrovės </w:t>
      </w:r>
      <w:r w:rsidR="009F3AAA" w:rsidRPr="00A91E83">
        <w:rPr>
          <w:rFonts w:ascii="Times New Roman" w:hAnsi="Times New Roman" w:cs="Times New Roman"/>
          <w:sz w:val="24"/>
          <w:szCs w:val="24"/>
        </w:rPr>
        <w:t>vardu</w:t>
      </w:r>
      <w:r w:rsidR="0010369A" w:rsidRPr="00A91E83">
        <w:rPr>
          <w:rFonts w:ascii="Times New Roman" w:hAnsi="Times New Roman" w:cs="Times New Roman"/>
          <w:sz w:val="24"/>
          <w:szCs w:val="24"/>
        </w:rPr>
        <w:t>, kurie yra būtini ūkiniai-komerciniai veiklai</w:t>
      </w:r>
      <w:r w:rsidR="00C5161D" w:rsidRPr="00A91E83">
        <w:rPr>
          <w:rFonts w:ascii="Times New Roman" w:hAnsi="Times New Roman" w:cs="Times New Roman"/>
          <w:sz w:val="24"/>
          <w:szCs w:val="24"/>
        </w:rPr>
        <w:t xml:space="preserve"> atlikti bei pelningi bendrovei. Tokiu būdu</w:t>
      </w:r>
      <w:r w:rsidR="0010369A" w:rsidRPr="00A91E83">
        <w:rPr>
          <w:rFonts w:ascii="Times New Roman" w:hAnsi="Times New Roman" w:cs="Times New Roman"/>
          <w:sz w:val="24"/>
          <w:szCs w:val="24"/>
        </w:rPr>
        <w:t xml:space="preserve"> nemokios bendrovės turtas, kuris yra kaupiamas, atsiskaityti su kreditoriais didėja. Ši logika tinka ir restruktūrizavimo atveju. Kitose šalyse </w:t>
      </w:r>
      <w:proofErr w:type="spellStart"/>
      <w:r w:rsidR="0010369A" w:rsidRPr="00A91E83">
        <w:rPr>
          <w:rFonts w:ascii="Times New Roman" w:hAnsi="Times New Roman" w:cs="Times New Roman"/>
          <w:sz w:val="24"/>
          <w:szCs w:val="24"/>
        </w:rPr>
        <w:t>cherry-picking</w:t>
      </w:r>
      <w:proofErr w:type="spellEnd"/>
      <w:r w:rsidR="0010369A" w:rsidRPr="00A91E83">
        <w:rPr>
          <w:rFonts w:ascii="Times New Roman" w:hAnsi="Times New Roman" w:cs="Times New Roman"/>
          <w:sz w:val="24"/>
          <w:szCs w:val="24"/>
        </w:rPr>
        <w:t xml:space="preserve"> nėra laikomas teisingu, nes tai suteikia per didelį pranašumą bankroto administratoriui, </w:t>
      </w:r>
      <w:r w:rsidR="008C26F1" w:rsidRPr="00A91E83">
        <w:rPr>
          <w:rFonts w:ascii="Times New Roman" w:hAnsi="Times New Roman" w:cs="Times New Roman"/>
          <w:sz w:val="24"/>
          <w:szCs w:val="24"/>
        </w:rPr>
        <w:t>t. y.</w:t>
      </w:r>
      <w:r w:rsidR="0010369A" w:rsidRPr="00A91E83">
        <w:rPr>
          <w:rFonts w:ascii="Times New Roman" w:hAnsi="Times New Roman" w:cs="Times New Roman"/>
          <w:sz w:val="24"/>
          <w:szCs w:val="24"/>
        </w:rPr>
        <w:t xml:space="preserve"> nėra toleruojama situacija, kai naudingi sandoriai reikalaujami toliau vykdyti, o žalingi nors ir gali būti glaudžiai susiję, yra nutraukiami ir nuostoliai nėra sum</w:t>
      </w:r>
      <w:r w:rsidR="00E9211F" w:rsidRPr="00A91E83">
        <w:rPr>
          <w:rFonts w:ascii="Times New Roman" w:hAnsi="Times New Roman" w:cs="Times New Roman"/>
          <w:sz w:val="24"/>
          <w:szCs w:val="24"/>
        </w:rPr>
        <w:t>okami</w:t>
      </w:r>
      <w:r w:rsidR="00C5161D" w:rsidRPr="00A91E83">
        <w:rPr>
          <w:rFonts w:ascii="Times New Roman" w:hAnsi="Times New Roman" w:cs="Times New Roman"/>
          <w:sz w:val="24"/>
          <w:szCs w:val="24"/>
        </w:rPr>
        <w:t xml:space="preserve">. </w:t>
      </w:r>
      <w:proofErr w:type="spellStart"/>
      <w:r w:rsidR="00C5161D" w:rsidRPr="00A91E83">
        <w:rPr>
          <w:rFonts w:ascii="Times New Roman" w:hAnsi="Times New Roman" w:cs="Times New Roman"/>
          <w:sz w:val="24"/>
          <w:szCs w:val="24"/>
        </w:rPr>
        <w:t>Pvz</w:t>
      </w:r>
      <w:proofErr w:type="spellEnd"/>
      <w:r w:rsidR="00C5161D" w:rsidRPr="00A91E83">
        <w:rPr>
          <w:rFonts w:ascii="Times New Roman" w:hAnsi="Times New Roman" w:cs="Times New Roman"/>
          <w:sz w:val="24"/>
          <w:szCs w:val="24"/>
        </w:rPr>
        <w:t>.: antroje dalyje minėtas banko ir kliento debito-kredito</w:t>
      </w:r>
      <w:r w:rsidR="00E9211F" w:rsidRPr="00A91E83">
        <w:rPr>
          <w:rFonts w:ascii="Times New Roman" w:hAnsi="Times New Roman" w:cs="Times New Roman"/>
          <w:sz w:val="24"/>
          <w:szCs w:val="24"/>
        </w:rPr>
        <w:t xml:space="preserve"> </w:t>
      </w:r>
      <w:r w:rsidR="00C5161D" w:rsidRPr="00A91E83">
        <w:rPr>
          <w:rFonts w:ascii="Times New Roman" w:hAnsi="Times New Roman" w:cs="Times New Roman"/>
          <w:sz w:val="24"/>
          <w:szCs w:val="24"/>
        </w:rPr>
        <w:t xml:space="preserve">sąskaitos atvejis, arba situacija, kai nepaisant netinkamo šalies, kuri vėliau tapo nemoki, prievolės įvykdymo, bankroto administratorius reikalauja iš kontrahento sumokėti visą prievolės sumą, nepaisant patirtų nuostolių. </w:t>
      </w:r>
      <w:proofErr w:type="spellStart"/>
      <w:r w:rsidR="00E9211F" w:rsidRPr="00A91E83">
        <w:rPr>
          <w:rFonts w:ascii="Times New Roman" w:hAnsi="Times New Roman" w:cs="Times New Roman"/>
          <w:sz w:val="24"/>
          <w:szCs w:val="24"/>
        </w:rPr>
        <w:t>Statistiškai</w:t>
      </w:r>
      <w:proofErr w:type="spellEnd"/>
      <w:r w:rsidR="00C5161D" w:rsidRPr="00A91E83">
        <w:rPr>
          <w:rFonts w:ascii="Times New Roman" w:hAnsi="Times New Roman" w:cs="Times New Roman"/>
          <w:sz w:val="24"/>
          <w:szCs w:val="24"/>
        </w:rPr>
        <w:t>,</w:t>
      </w:r>
      <w:r w:rsidR="0010369A" w:rsidRPr="00A91E83">
        <w:rPr>
          <w:rFonts w:ascii="Times New Roman" w:hAnsi="Times New Roman" w:cs="Times New Roman"/>
          <w:sz w:val="24"/>
          <w:szCs w:val="24"/>
        </w:rPr>
        <w:t xml:space="preserve"> neapsaugoti kreditoriai bankroto procese gauna retai daugiau nei 10%</w:t>
      </w:r>
      <w:r w:rsidR="00453B5C" w:rsidRPr="00A91E83">
        <w:rPr>
          <w:rFonts w:ascii="Times New Roman" w:hAnsi="Times New Roman" w:cs="Times New Roman"/>
          <w:sz w:val="24"/>
          <w:szCs w:val="24"/>
        </w:rPr>
        <w:t>.</w:t>
      </w:r>
      <w:r w:rsidR="00B10101" w:rsidRPr="00A91E83">
        <w:rPr>
          <w:rStyle w:val="Puslapioinaosnuoroda"/>
          <w:rFonts w:ascii="Times New Roman" w:hAnsi="Times New Roman" w:cs="Times New Roman"/>
          <w:sz w:val="24"/>
          <w:szCs w:val="24"/>
        </w:rPr>
        <w:footnoteReference w:id="242"/>
      </w:r>
      <w:r w:rsidR="008C6F92" w:rsidRPr="00A91E83">
        <w:rPr>
          <w:rFonts w:ascii="Times New Roman" w:hAnsi="Times New Roman" w:cs="Times New Roman"/>
          <w:sz w:val="24"/>
          <w:szCs w:val="24"/>
        </w:rPr>
        <w:t xml:space="preserve"> Lietuvoje</w:t>
      </w:r>
      <w:r w:rsidR="00F03CCE" w:rsidRPr="00A91E83">
        <w:rPr>
          <w:rFonts w:ascii="Times New Roman" w:hAnsi="Times New Roman" w:cs="Times New Roman"/>
          <w:sz w:val="24"/>
          <w:szCs w:val="24"/>
        </w:rPr>
        <w:t>, remiantis Statistikos departamento duomenimis,</w:t>
      </w:r>
      <w:r w:rsidR="008C6F92" w:rsidRPr="00A91E83">
        <w:rPr>
          <w:rFonts w:ascii="Times New Roman" w:hAnsi="Times New Roman" w:cs="Times New Roman"/>
          <w:sz w:val="24"/>
          <w:szCs w:val="24"/>
        </w:rPr>
        <w:t xml:space="preserve"> šis p</w:t>
      </w:r>
      <w:r w:rsidR="00F40F47" w:rsidRPr="00A91E83">
        <w:rPr>
          <w:rFonts w:ascii="Times New Roman" w:hAnsi="Times New Roman" w:cs="Times New Roman"/>
          <w:sz w:val="24"/>
          <w:szCs w:val="24"/>
        </w:rPr>
        <w:t>rocentas taip pat panašus.</w:t>
      </w:r>
      <w:r w:rsidR="008C6F92" w:rsidRPr="00A91E83">
        <w:rPr>
          <w:rStyle w:val="Puslapioinaosnuoroda"/>
          <w:rFonts w:ascii="Times New Roman" w:hAnsi="Times New Roman" w:cs="Times New Roman"/>
          <w:sz w:val="24"/>
          <w:szCs w:val="24"/>
        </w:rPr>
        <w:footnoteReference w:id="243"/>
      </w:r>
    </w:p>
    <w:p w:rsidR="003A289E" w:rsidRPr="00A91E83" w:rsidRDefault="008927B1" w:rsidP="00B46A53">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P</w:t>
      </w:r>
      <w:r w:rsidR="00A47F66" w:rsidRPr="00A91E83">
        <w:rPr>
          <w:rFonts w:ascii="Times New Roman" w:hAnsi="Times New Roman" w:cs="Times New Roman"/>
          <w:sz w:val="24"/>
          <w:szCs w:val="24"/>
        </w:rPr>
        <w:t>agal bendrą taisyklę b</w:t>
      </w:r>
      <w:r w:rsidR="005B3D0B" w:rsidRPr="00A91E83">
        <w:rPr>
          <w:rFonts w:ascii="Times New Roman" w:hAnsi="Times New Roman" w:cs="Times New Roman"/>
          <w:sz w:val="24"/>
          <w:szCs w:val="24"/>
        </w:rPr>
        <w:t xml:space="preserve">ankroto administratorius </w:t>
      </w:r>
      <w:r w:rsidR="00A368B6" w:rsidRPr="00A91E83">
        <w:rPr>
          <w:rFonts w:ascii="Times New Roman" w:hAnsi="Times New Roman" w:cs="Times New Roman"/>
          <w:sz w:val="24"/>
          <w:szCs w:val="24"/>
        </w:rPr>
        <w:t xml:space="preserve">inicijuos </w:t>
      </w:r>
      <w:r w:rsidR="003A289E" w:rsidRPr="00A91E83">
        <w:rPr>
          <w:rFonts w:ascii="Times New Roman" w:hAnsi="Times New Roman" w:cs="Times New Roman"/>
          <w:sz w:val="24"/>
          <w:szCs w:val="24"/>
        </w:rPr>
        <w:t xml:space="preserve">tų sutarčių </w:t>
      </w:r>
      <w:r w:rsidR="00A368B6" w:rsidRPr="00A91E83">
        <w:rPr>
          <w:rFonts w:ascii="Times New Roman" w:hAnsi="Times New Roman" w:cs="Times New Roman"/>
          <w:sz w:val="24"/>
          <w:szCs w:val="24"/>
        </w:rPr>
        <w:t>nutraukimą</w:t>
      </w:r>
      <w:r w:rsidR="005B3D0B" w:rsidRPr="00A91E83">
        <w:rPr>
          <w:rFonts w:ascii="Times New Roman" w:hAnsi="Times New Roman" w:cs="Times New Roman"/>
          <w:sz w:val="24"/>
          <w:szCs w:val="24"/>
        </w:rPr>
        <w:t xml:space="preserve">, </w:t>
      </w:r>
      <w:r w:rsidR="003A289E" w:rsidRPr="00A91E83">
        <w:rPr>
          <w:rFonts w:ascii="Times New Roman" w:hAnsi="Times New Roman" w:cs="Times New Roman"/>
          <w:sz w:val="24"/>
          <w:szCs w:val="24"/>
        </w:rPr>
        <w:t>kurias į</w:t>
      </w:r>
      <w:r w:rsidRPr="00A91E83">
        <w:rPr>
          <w:rFonts w:ascii="Times New Roman" w:hAnsi="Times New Roman" w:cs="Times New Roman"/>
          <w:sz w:val="24"/>
          <w:szCs w:val="24"/>
        </w:rPr>
        <w:t xml:space="preserve">vertinus </w:t>
      </w:r>
      <w:r w:rsidR="005B3D0B" w:rsidRPr="00A91E83">
        <w:rPr>
          <w:rFonts w:ascii="Times New Roman" w:hAnsi="Times New Roman" w:cs="Times New Roman"/>
          <w:sz w:val="24"/>
          <w:szCs w:val="24"/>
        </w:rPr>
        <w:t xml:space="preserve">pagal </w:t>
      </w:r>
      <w:r w:rsidR="00A368B6" w:rsidRPr="00A91E83">
        <w:rPr>
          <w:rFonts w:ascii="Times New Roman" w:hAnsi="Times New Roman" w:cs="Times New Roman"/>
          <w:sz w:val="24"/>
          <w:szCs w:val="24"/>
        </w:rPr>
        <w:t>baigiamosios</w:t>
      </w:r>
      <w:r w:rsidR="005B3D0B" w:rsidRPr="00A91E83">
        <w:rPr>
          <w:rFonts w:ascii="Times New Roman" w:hAnsi="Times New Roman" w:cs="Times New Roman"/>
          <w:sz w:val="24"/>
          <w:szCs w:val="24"/>
        </w:rPr>
        <w:t xml:space="preserve"> užskaitos mechanizmą nemoki bendr</w:t>
      </w:r>
      <w:r w:rsidRPr="00A91E83">
        <w:rPr>
          <w:rFonts w:ascii="Times New Roman" w:hAnsi="Times New Roman" w:cs="Times New Roman"/>
          <w:sz w:val="24"/>
          <w:szCs w:val="24"/>
        </w:rPr>
        <w:t>ovė liks skolinga kontrahentui</w:t>
      </w:r>
      <w:r w:rsidR="003A289E" w:rsidRPr="00A91E83">
        <w:rPr>
          <w:rFonts w:ascii="Times New Roman" w:hAnsi="Times New Roman" w:cs="Times New Roman"/>
          <w:sz w:val="24"/>
          <w:szCs w:val="24"/>
        </w:rPr>
        <w:t xml:space="preserve">, o kurios bus pelningos, tas paliks galioti ir leis didėti bendram kreditorių turtui. Jeigu tarp šalių numatyta novacijos užskaitos sąlyga, tai bankroto administratoriui nėra suteikta teisė tokia novaciją panaikinti. Nors bankroto administratorius turi teisę nutraukti, ar palikti galioti sandorius, tačiau jis turi nuspręsti, ar </w:t>
      </w:r>
      <w:r w:rsidR="00EA3A48" w:rsidRPr="00A91E83">
        <w:rPr>
          <w:rFonts w:ascii="Times New Roman" w:hAnsi="Times New Roman" w:cs="Times New Roman"/>
          <w:sz w:val="24"/>
          <w:szCs w:val="24"/>
        </w:rPr>
        <w:t>toliau vykdyti</w:t>
      </w:r>
      <w:r w:rsidR="003A289E" w:rsidRPr="00A91E83">
        <w:rPr>
          <w:rFonts w:ascii="Times New Roman" w:hAnsi="Times New Roman" w:cs="Times New Roman"/>
          <w:sz w:val="24"/>
          <w:szCs w:val="24"/>
        </w:rPr>
        <w:t xml:space="preserve"> visus sandorius, kurie po novacijos tapo viena sutartimi, ar nutraukti visus sandorius. </w:t>
      </w:r>
      <w:r w:rsidR="00275F57" w:rsidRPr="00A91E83">
        <w:rPr>
          <w:rFonts w:ascii="Times New Roman" w:hAnsi="Times New Roman" w:cs="Times New Roman"/>
          <w:sz w:val="24"/>
          <w:szCs w:val="24"/>
        </w:rPr>
        <w:t>Autoriaus nuomone,</w:t>
      </w:r>
      <w:r w:rsidR="00060F17" w:rsidRPr="00A91E83">
        <w:rPr>
          <w:rFonts w:ascii="Times New Roman" w:hAnsi="Times New Roman" w:cs="Times New Roman"/>
          <w:sz w:val="24"/>
          <w:szCs w:val="24"/>
        </w:rPr>
        <w:t xml:space="preserve"> </w:t>
      </w:r>
      <w:r w:rsidR="00335920" w:rsidRPr="00A91E83">
        <w:rPr>
          <w:rFonts w:ascii="Times New Roman" w:hAnsi="Times New Roman" w:cs="Times New Roman"/>
          <w:sz w:val="24"/>
          <w:szCs w:val="24"/>
        </w:rPr>
        <w:t xml:space="preserve">novacijos sąlyga turėtų galioti </w:t>
      </w:r>
      <w:r w:rsidR="00335920" w:rsidRPr="00A91E83">
        <w:rPr>
          <w:rFonts w:ascii="Times New Roman" w:hAnsi="Times New Roman" w:cs="Times New Roman"/>
          <w:sz w:val="24"/>
          <w:szCs w:val="24"/>
        </w:rPr>
        <w:lastRenderedPageBreak/>
        <w:t>nuostolių apskaičiavimo dalyje ir bankroto normų atžvilgiu, nes r</w:t>
      </w:r>
      <w:r w:rsidR="00275F57" w:rsidRPr="00A91E83">
        <w:rPr>
          <w:rFonts w:ascii="Times New Roman" w:hAnsi="Times New Roman" w:cs="Times New Roman"/>
          <w:sz w:val="24"/>
          <w:szCs w:val="24"/>
        </w:rPr>
        <w:t>ealiai</w:t>
      </w:r>
      <w:r w:rsidR="00335920" w:rsidRPr="00A91E83">
        <w:rPr>
          <w:rFonts w:ascii="Times New Roman" w:hAnsi="Times New Roman" w:cs="Times New Roman"/>
          <w:sz w:val="24"/>
          <w:szCs w:val="24"/>
        </w:rPr>
        <w:t>, tai nemažina kitų kreditorių turto</w:t>
      </w:r>
      <w:r w:rsidR="009B69BF" w:rsidRPr="00A91E83">
        <w:rPr>
          <w:rFonts w:ascii="Times New Roman" w:hAnsi="Times New Roman" w:cs="Times New Roman"/>
          <w:sz w:val="24"/>
          <w:szCs w:val="24"/>
        </w:rPr>
        <w:t xml:space="preserve">, nors </w:t>
      </w:r>
      <w:r w:rsidR="00471F84" w:rsidRPr="00A91E83">
        <w:rPr>
          <w:rFonts w:ascii="Times New Roman" w:hAnsi="Times New Roman" w:cs="Times New Roman"/>
          <w:sz w:val="24"/>
          <w:szCs w:val="24"/>
        </w:rPr>
        <w:t>ir f</w:t>
      </w:r>
      <w:r w:rsidR="009B69BF" w:rsidRPr="00A91E83">
        <w:rPr>
          <w:rFonts w:ascii="Times New Roman" w:hAnsi="Times New Roman" w:cs="Times New Roman"/>
          <w:sz w:val="24"/>
          <w:szCs w:val="24"/>
        </w:rPr>
        <w:t>aktiškai apriboja bankroto administratoriaus „</w:t>
      </w:r>
      <w:proofErr w:type="spellStart"/>
      <w:r w:rsidR="009B69BF" w:rsidRPr="00A91E83">
        <w:rPr>
          <w:rFonts w:ascii="Times New Roman" w:hAnsi="Times New Roman" w:cs="Times New Roman"/>
          <w:sz w:val="24"/>
          <w:szCs w:val="24"/>
        </w:rPr>
        <w:t>cherry-picking“</w:t>
      </w:r>
      <w:proofErr w:type="spellEnd"/>
      <w:r w:rsidR="009B69BF" w:rsidRPr="00A91E83">
        <w:rPr>
          <w:rFonts w:ascii="Times New Roman" w:hAnsi="Times New Roman" w:cs="Times New Roman"/>
          <w:sz w:val="24"/>
          <w:szCs w:val="24"/>
        </w:rPr>
        <w:t xml:space="preserve"> galimybę.</w:t>
      </w:r>
    </w:p>
    <w:p w:rsidR="00471F84" w:rsidRPr="00A91E83" w:rsidRDefault="00471F84" w:rsidP="008927B1">
      <w:pPr>
        <w:tabs>
          <w:tab w:val="left" w:pos="851"/>
        </w:tabs>
        <w:spacing w:after="0" w:line="360" w:lineRule="auto"/>
        <w:jc w:val="both"/>
        <w:rPr>
          <w:rFonts w:ascii="Times New Roman" w:hAnsi="Times New Roman" w:cs="Times New Roman"/>
          <w:sz w:val="24"/>
          <w:szCs w:val="24"/>
        </w:rPr>
      </w:pPr>
    </w:p>
    <w:p w:rsidR="00191FE6" w:rsidRPr="00A91E83" w:rsidRDefault="00191FE6" w:rsidP="005B60F6">
      <w:pPr>
        <w:pStyle w:val="Sraopastraipa"/>
        <w:numPr>
          <w:ilvl w:val="2"/>
          <w:numId w:val="4"/>
        </w:numPr>
        <w:tabs>
          <w:tab w:val="left" w:pos="851"/>
        </w:tabs>
        <w:spacing w:after="0" w:line="360" w:lineRule="auto"/>
        <w:ind w:left="0" w:firstLine="0"/>
        <w:jc w:val="both"/>
        <w:outlineLvl w:val="2"/>
        <w:rPr>
          <w:rFonts w:ascii="Times New Roman" w:hAnsi="Times New Roman" w:cs="Times New Roman"/>
          <w:b/>
          <w:sz w:val="24"/>
          <w:szCs w:val="24"/>
        </w:rPr>
      </w:pPr>
      <w:bookmarkStart w:id="46" w:name="_Toc280546479"/>
      <w:proofErr w:type="spellStart"/>
      <w:r w:rsidRPr="00A91E83">
        <w:rPr>
          <w:rFonts w:ascii="Times New Roman" w:hAnsi="Times New Roman" w:cs="Times New Roman"/>
          <w:b/>
          <w:sz w:val="24"/>
          <w:szCs w:val="24"/>
        </w:rPr>
        <w:t>Actio</w:t>
      </w:r>
      <w:proofErr w:type="spellEnd"/>
      <w:r w:rsidRPr="00A91E83">
        <w:rPr>
          <w:rFonts w:ascii="Times New Roman" w:hAnsi="Times New Roman" w:cs="Times New Roman"/>
          <w:b/>
          <w:sz w:val="24"/>
          <w:szCs w:val="24"/>
        </w:rPr>
        <w:t xml:space="preserve"> </w:t>
      </w:r>
      <w:proofErr w:type="spellStart"/>
      <w:r w:rsidRPr="00A91E83">
        <w:rPr>
          <w:rFonts w:ascii="Times New Roman" w:hAnsi="Times New Roman" w:cs="Times New Roman"/>
          <w:b/>
          <w:sz w:val="24"/>
          <w:szCs w:val="24"/>
        </w:rPr>
        <w:t>Pauliana</w:t>
      </w:r>
      <w:proofErr w:type="spellEnd"/>
      <w:r w:rsidR="00FE3D67" w:rsidRPr="00A91E83">
        <w:rPr>
          <w:rFonts w:ascii="Times New Roman" w:hAnsi="Times New Roman" w:cs="Times New Roman"/>
          <w:b/>
          <w:sz w:val="24"/>
          <w:szCs w:val="24"/>
        </w:rPr>
        <w:t xml:space="preserve"> ir bankroto administratorius</w:t>
      </w:r>
      <w:bookmarkEnd w:id="46"/>
    </w:p>
    <w:p w:rsidR="00440CCE" w:rsidRPr="00A91E83" w:rsidRDefault="00440CCE" w:rsidP="00440CCE">
      <w:pPr>
        <w:tabs>
          <w:tab w:val="left" w:pos="851"/>
        </w:tabs>
        <w:spacing w:after="0" w:line="360" w:lineRule="auto"/>
        <w:jc w:val="both"/>
        <w:rPr>
          <w:rFonts w:ascii="Times New Roman" w:hAnsi="Times New Roman" w:cs="Times New Roman"/>
          <w:b/>
          <w:sz w:val="24"/>
          <w:szCs w:val="24"/>
        </w:rPr>
      </w:pPr>
    </w:p>
    <w:p w:rsidR="00FE3D67" w:rsidRPr="00A91E83" w:rsidRDefault="00FE3D67" w:rsidP="007578D4">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Skolininko tapimo nemokiu faktas, jei nėra jam iškeltos bankroto bylos, nedraudžia įskaityti kreditoriui savo reikalavimų nemokiam skolininkui.</w:t>
      </w:r>
      <w:r w:rsidRPr="00A91E83">
        <w:rPr>
          <w:rStyle w:val="Puslapioinaosnuoroda"/>
          <w:rFonts w:ascii="Times New Roman" w:hAnsi="Times New Roman" w:cs="Times New Roman"/>
          <w:sz w:val="24"/>
          <w:szCs w:val="24"/>
        </w:rPr>
        <w:footnoteReference w:id="244"/>
      </w:r>
      <w:r w:rsidRPr="00A91E83">
        <w:rPr>
          <w:rFonts w:ascii="Times New Roman" w:hAnsi="Times New Roman" w:cs="Times New Roman"/>
          <w:sz w:val="24"/>
          <w:szCs w:val="24"/>
        </w:rPr>
        <w:t xml:space="preserve">Tyrime nustatėme, jog nuo nutarties iškelti bankroto bylą įsiteisėjimo momento įskaitymas draudžiamas. </w:t>
      </w:r>
      <w:r w:rsidR="005C609A" w:rsidRPr="00A91E83">
        <w:rPr>
          <w:rFonts w:ascii="Times New Roman" w:hAnsi="Times New Roman" w:cs="Times New Roman"/>
          <w:sz w:val="24"/>
          <w:szCs w:val="24"/>
        </w:rPr>
        <w:t>Po įsiteisėjimo visi sandoriai sudaryti tarp šalių, kurie nepateks į FUSĮ taikymo sritį</w:t>
      </w:r>
      <w:r w:rsidR="0063485A" w:rsidRPr="00A91E83">
        <w:rPr>
          <w:rFonts w:ascii="Times New Roman" w:hAnsi="Times New Roman" w:cs="Times New Roman"/>
          <w:sz w:val="24"/>
          <w:szCs w:val="24"/>
        </w:rPr>
        <w:t>, bus laikomi,</w:t>
      </w:r>
      <w:r w:rsidR="005C609A" w:rsidRPr="00A91E83">
        <w:rPr>
          <w:rFonts w:ascii="Times New Roman" w:hAnsi="Times New Roman" w:cs="Times New Roman"/>
          <w:sz w:val="24"/>
          <w:szCs w:val="24"/>
        </w:rPr>
        <w:t xml:space="preserve"> kaip pažeidžiantys imperatyvas bankroto normas</w:t>
      </w:r>
      <w:r w:rsidR="0063485A" w:rsidRPr="00A91E83">
        <w:rPr>
          <w:rFonts w:ascii="Times New Roman" w:hAnsi="Times New Roman" w:cs="Times New Roman"/>
          <w:sz w:val="24"/>
          <w:szCs w:val="24"/>
        </w:rPr>
        <w:t>,</w:t>
      </w:r>
      <w:r w:rsidR="005C609A" w:rsidRPr="00A91E83">
        <w:rPr>
          <w:rStyle w:val="Puslapioinaosnuoroda"/>
          <w:rFonts w:ascii="Times New Roman" w:hAnsi="Times New Roman" w:cs="Times New Roman"/>
          <w:sz w:val="24"/>
          <w:szCs w:val="24"/>
        </w:rPr>
        <w:footnoteReference w:id="245"/>
      </w:r>
      <w:r w:rsidR="005C609A" w:rsidRPr="00A91E83">
        <w:rPr>
          <w:rFonts w:ascii="Times New Roman" w:hAnsi="Times New Roman" w:cs="Times New Roman"/>
          <w:sz w:val="24"/>
          <w:szCs w:val="24"/>
        </w:rPr>
        <w:t xml:space="preserve"> todėl niekiniai</w:t>
      </w:r>
      <w:r w:rsidR="0063485A" w:rsidRPr="00A91E83">
        <w:rPr>
          <w:rFonts w:ascii="Times New Roman" w:hAnsi="Times New Roman" w:cs="Times New Roman"/>
          <w:sz w:val="24"/>
          <w:szCs w:val="24"/>
        </w:rPr>
        <w:t>.</w:t>
      </w:r>
      <w:r w:rsidR="005C609A" w:rsidRPr="00A91E83">
        <w:rPr>
          <w:rStyle w:val="Puslapioinaosnuoroda"/>
          <w:rFonts w:ascii="Times New Roman" w:hAnsi="Times New Roman" w:cs="Times New Roman"/>
          <w:sz w:val="24"/>
          <w:szCs w:val="24"/>
        </w:rPr>
        <w:footnoteReference w:id="246"/>
      </w:r>
      <w:r w:rsidR="005C609A" w:rsidRPr="00A91E83">
        <w:rPr>
          <w:rFonts w:ascii="Times New Roman" w:hAnsi="Times New Roman" w:cs="Times New Roman"/>
          <w:sz w:val="24"/>
          <w:szCs w:val="24"/>
        </w:rPr>
        <w:t xml:space="preserve"> </w:t>
      </w:r>
      <w:r w:rsidRPr="00A91E83">
        <w:rPr>
          <w:rFonts w:ascii="Times New Roman" w:hAnsi="Times New Roman" w:cs="Times New Roman"/>
          <w:sz w:val="24"/>
          <w:szCs w:val="24"/>
        </w:rPr>
        <w:t xml:space="preserve">Iki </w:t>
      </w:r>
      <w:r w:rsidR="00513F71" w:rsidRPr="00A91E83">
        <w:rPr>
          <w:rFonts w:ascii="Times New Roman" w:hAnsi="Times New Roman" w:cs="Times New Roman"/>
          <w:sz w:val="24"/>
          <w:szCs w:val="24"/>
        </w:rPr>
        <w:t>įsiteisėjimo</w:t>
      </w:r>
      <w:r w:rsidRPr="00A91E83">
        <w:rPr>
          <w:rFonts w:ascii="Times New Roman" w:hAnsi="Times New Roman" w:cs="Times New Roman"/>
          <w:sz w:val="24"/>
          <w:szCs w:val="24"/>
        </w:rPr>
        <w:t xml:space="preserve"> momento sudaryti sandoriai</w:t>
      </w:r>
      <w:r w:rsidR="005C609A" w:rsidRPr="00A91E83">
        <w:rPr>
          <w:rFonts w:ascii="Times New Roman" w:hAnsi="Times New Roman" w:cs="Times New Roman"/>
          <w:sz w:val="24"/>
          <w:szCs w:val="24"/>
        </w:rPr>
        <w:t>,</w:t>
      </w:r>
      <w:r w:rsidRPr="00A91E83">
        <w:rPr>
          <w:rFonts w:ascii="Times New Roman" w:hAnsi="Times New Roman" w:cs="Times New Roman"/>
          <w:sz w:val="24"/>
          <w:szCs w:val="24"/>
        </w:rPr>
        <w:t xml:space="preserve"> automatiškai nebus negaliojantys, tačiau atsiranda grėsmė, jog jų galiojimas gali būti nuginčytas </w:t>
      </w:r>
      <w:r w:rsidR="005C609A" w:rsidRPr="00A91E83">
        <w:rPr>
          <w:rFonts w:ascii="Times New Roman" w:hAnsi="Times New Roman" w:cs="Times New Roman"/>
          <w:sz w:val="24"/>
          <w:szCs w:val="24"/>
        </w:rPr>
        <w:t xml:space="preserve">dėl bankroto administratoriaus teisės ir pareigos peržiūrėti bent už 36 </w:t>
      </w:r>
      <w:proofErr w:type="spellStart"/>
      <w:r w:rsidR="005C609A" w:rsidRPr="00A91E83">
        <w:rPr>
          <w:rFonts w:ascii="Times New Roman" w:hAnsi="Times New Roman" w:cs="Times New Roman"/>
          <w:sz w:val="24"/>
          <w:szCs w:val="24"/>
        </w:rPr>
        <w:t>mėn</w:t>
      </w:r>
      <w:proofErr w:type="spellEnd"/>
      <w:r w:rsidR="005C609A" w:rsidRPr="00A91E83">
        <w:rPr>
          <w:rFonts w:ascii="Times New Roman" w:hAnsi="Times New Roman" w:cs="Times New Roman"/>
          <w:sz w:val="24"/>
          <w:szCs w:val="24"/>
        </w:rPr>
        <w:t>. laikotarpį sudarytus nemokios bendrovės sandorius</w:t>
      </w:r>
      <w:r w:rsidR="0063485A" w:rsidRPr="00A91E83">
        <w:rPr>
          <w:rFonts w:ascii="Times New Roman" w:hAnsi="Times New Roman" w:cs="Times New Roman"/>
          <w:sz w:val="24"/>
          <w:szCs w:val="24"/>
        </w:rPr>
        <w:t>,</w:t>
      </w:r>
      <w:r w:rsidR="00882008" w:rsidRPr="00A91E83">
        <w:rPr>
          <w:rStyle w:val="Puslapioinaosnuoroda"/>
          <w:rFonts w:ascii="Times New Roman" w:hAnsi="Times New Roman" w:cs="Times New Roman"/>
          <w:sz w:val="24"/>
          <w:szCs w:val="24"/>
        </w:rPr>
        <w:footnoteReference w:id="247"/>
      </w:r>
      <w:r w:rsidR="005C609A" w:rsidRPr="00A91E83">
        <w:rPr>
          <w:rFonts w:ascii="Times New Roman" w:hAnsi="Times New Roman" w:cs="Times New Roman"/>
          <w:sz w:val="24"/>
          <w:szCs w:val="24"/>
        </w:rPr>
        <w:t xml:space="preserve"> ar </w:t>
      </w:r>
      <w:proofErr w:type="spellStart"/>
      <w:r w:rsidR="005C609A" w:rsidRPr="00A91E83">
        <w:rPr>
          <w:rFonts w:ascii="Times New Roman" w:hAnsi="Times New Roman" w:cs="Times New Roman"/>
          <w:sz w:val="24"/>
          <w:szCs w:val="24"/>
        </w:rPr>
        <w:t>actio</w:t>
      </w:r>
      <w:proofErr w:type="spellEnd"/>
      <w:r w:rsidR="005C609A" w:rsidRPr="00A91E83">
        <w:rPr>
          <w:rFonts w:ascii="Times New Roman" w:hAnsi="Times New Roman" w:cs="Times New Roman"/>
          <w:sz w:val="24"/>
          <w:szCs w:val="24"/>
        </w:rPr>
        <w:t xml:space="preserve"> </w:t>
      </w:r>
      <w:proofErr w:type="spellStart"/>
      <w:r w:rsidR="005C609A" w:rsidRPr="00A91E83">
        <w:rPr>
          <w:rFonts w:ascii="Times New Roman" w:hAnsi="Times New Roman" w:cs="Times New Roman"/>
          <w:sz w:val="24"/>
          <w:szCs w:val="24"/>
        </w:rPr>
        <w:t>Pauliana</w:t>
      </w:r>
      <w:proofErr w:type="spellEnd"/>
      <w:r w:rsidR="005C609A" w:rsidRPr="00A91E83">
        <w:rPr>
          <w:rFonts w:ascii="Times New Roman" w:hAnsi="Times New Roman" w:cs="Times New Roman"/>
          <w:sz w:val="24"/>
          <w:szCs w:val="24"/>
        </w:rPr>
        <w:t xml:space="preserve"> </w:t>
      </w:r>
      <w:r w:rsidR="0063485A" w:rsidRPr="00A91E83">
        <w:rPr>
          <w:rFonts w:ascii="Times New Roman" w:hAnsi="Times New Roman" w:cs="Times New Roman"/>
          <w:sz w:val="24"/>
          <w:szCs w:val="24"/>
        </w:rPr>
        <w:t>taikymo galimybės</w:t>
      </w:r>
      <w:r w:rsidR="005C609A" w:rsidRPr="00A91E83">
        <w:rPr>
          <w:rFonts w:ascii="Times New Roman" w:hAnsi="Times New Roman" w:cs="Times New Roman"/>
          <w:sz w:val="24"/>
          <w:szCs w:val="24"/>
        </w:rPr>
        <w:t xml:space="preserve">. Mūsų manymu, tik nesąžiningai sudaryti </w:t>
      </w:r>
      <w:r w:rsidR="00D60D31" w:rsidRPr="00A91E83">
        <w:rPr>
          <w:rFonts w:ascii="Times New Roman" w:hAnsi="Times New Roman" w:cs="Times New Roman"/>
          <w:sz w:val="24"/>
          <w:szCs w:val="24"/>
        </w:rPr>
        <w:t xml:space="preserve">ar vykdomi </w:t>
      </w:r>
      <w:r w:rsidR="005C609A" w:rsidRPr="00A91E83">
        <w:rPr>
          <w:rFonts w:ascii="Times New Roman" w:hAnsi="Times New Roman" w:cs="Times New Roman"/>
          <w:sz w:val="24"/>
          <w:szCs w:val="24"/>
        </w:rPr>
        <w:t>sandoriai dėl išvestinių finansinių priemonių, kuriuose numatyta užskaitos sąlyga</w:t>
      </w:r>
      <w:r w:rsidR="00D46DBD" w:rsidRPr="00A91E83">
        <w:rPr>
          <w:rFonts w:ascii="Times New Roman" w:hAnsi="Times New Roman" w:cs="Times New Roman"/>
          <w:sz w:val="24"/>
          <w:szCs w:val="24"/>
        </w:rPr>
        <w:t xml:space="preserve">, galėtų būti nuginčyti minėtais teisių gynimo būdais. </w:t>
      </w:r>
      <w:proofErr w:type="spellStart"/>
      <w:r w:rsidR="00D46DBD" w:rsidRPr="00A91E83">
        <w:rPr>
          <w:rFonts w:ascii="Times New Roman" w:hAnsi="Times New Roman" w:cs="Times New Roman"/>
          <w:sz w:val="24"/>
          <w:szCs w:val="24"/>
        </w:rPr>
        <w:t>P</w:t>
      </w:r>
      <w:r w:rsidR="00882008" w:rsidRPr="00A91E83">
        <w:rPr>
          <w:rFonts w:ascii="Times New Roman" w:hAnsi="Times New Roman" w:cs="Times New Roman"/>
          <w:sz w:val="24"/>
          <w:szCs w:val="24"/>
        </w:rPr>
        <w:t>vz</w:t>
      </w:r>
      <w:proofErr w:type="spellEnd"/>
      <w:r w:rsidR="00882008" w:rsidRPr="00A91E83">
        <w:rPr>
          <w:rFonts w:ascii="Times New Roman" w:hAnsi="Times New Roman" w:cs="Times New Roman"/>
          <w:sz w:val="24"/>
          <w:szCs w:val="24"/>
        </w:rPr>
        <w:t xml:space="preserve">.: nemoki šalis sudaro sandorius su kontrahentu, tik tam, kad suteiktų prioritetą vienam iš kreditorių, nes abi šalys žino, kad bankrotas </w:t>
      </w:r>
      <w:r w:rsidR="00513F71" w:rsidRPr="00A91E83">
        <w:rPr>
          <w:rFonts w:ascii="Times New Roman" w:hAnsi="Times New Roman" w:cs="Times New Roman"/>
          <w:sz w:val="24"/>
          <w:szCs w:val="24"/>
        </w:rPr>
        <w:t>yra neišvengiamas.</w:t>
      </w:r>
    </w:p>
    <w:p w:rsidR="001A2BE9" w:rsidRPr="00A91E83" w:rsidRDefault="00D35D67" w:rsidP="00D35D67">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 xml:space="preserve">Atkreiptinas dėmesys, </w:t>
      </w:r>
      <w:r w:rsidR="00673FC9" w:rsidRPr="00A91E83">
        <w:rPr>
          <w:rFonts w:ascii="Times New Roman" w:hAnsi="Times New Roman" w:cs="Times New Roman"/>
          <w:sz w:val="24"/>
          <w:szCs w:val="24"/>
        </w:rPr>
        <w:t xml:space="preserve">jog </w:t>
      </w:r>
      <w:r w:rsidRPr="00A91E83">
        <w:rPr>
          <w:rFonts w:ascii="Times New Roman" w:hAnsi="Times New Roman" w:cs="Times New Roman"/>
          <w:sz w:val="24"/>
          <w:szCs w:val="24"/>
        </w:rPr>
        <w:t>minėtomis gynybos priemonėmis siekiama padidinti nemokios bendrovės turtą, sugrąžinant tai, ką skolininkas nesąžiningai, be privalomo pagrindo</w:t>
      </w:r>
      <w:r w:rsidR="00D635AB" w:rsidRPr="00A91E83">
        <w:rPr>
          <w:rFonts w:ascii="Times New Roman" w:hAnsi="Times New Roman" w:cs="Times New Roman"/>
          <w:sz w:val="24"/>
          <w:szCs w:val="24"/>
        </w:rPr>
        <w:t>, ar itin nepalankiomis ekonominėmis sąlygomis</w:t>
      </w:r>
      <w:r w:rsidRPr="00A91E83">
        <w:rPr>
          <w:rFonts w:ascii="Times New Roman" w:hAnsi="Times New Roman" w:cs="Times New Roman"/>
          <w:sz w:val="24"/>
          <w:szCs w:val="24"/>
        </w:rPr>
        <w:t xml:space="preserve"> perleido kitiems asmenims. </w:t>
      </w:r>
      <w:r w:rsidR="00673FC9" w:rsidRPr="00A91E83">
        <w:rPr>
          <w:rFonts w:ascii="Times New Roman" w:hAnsi="Times New Roman" w:cs="Times New Roman"/>
          <w:sz w:val="24"/>
          <w:szCs w:val="24"/>
        </w:rPr>
        <w:t xml:space="preserve">Užskaitos mechanizmas nustatytas sandoryje dėl išvestinių finansinių priemonių yra </w:t>
      </w:r>
      <w:r w:rsidR="009B5D40" w:rsidRPr="00A91E83">
        <w:rPr>
          <w:rFonts w:ascii="Times New Roman" w:hAnsi="Times New Roman" w:cs="Times New Roman"/>
          <w:sz w:val="24"/>
          <w:szCs w:val="24"/>
        </w:rPr>
        <w:t>ta sąlyga (</w:t>
      </w:r>
      <w:r w:rsidR="001A2BE9" w:rsidRPr="00A91E83">
        <w:rPr>
          <w:rFonts w:ascii="Times New Roman" w:hAnsi="Times New Roman" w:cs="Times New Roman"/>
          <w:sz w:val="24"/>
          <w:szCs w:val="24"/>
        </w:rPr>
        <w:t>a</w:t>
      </w:r>
      <w:r w:rsidRPr="00A91E83">
        <w:rPr>
          <w:rFonts w:ascii="Times New Roman" w:hAnsi="Times New Roman" w:cs="Times New Roman"/>
          <w:sz w:val="24"/>
          <w:szCs w:val="24"/>
        </w:rPr>
        <w:t>plinkybė</w:t>
      </w:r>
      <w:r w:rsidR="009B5D40" w:rsidRPr="00A91E83">
        <w:rPr>
          <w:rFonts w:ascii="Times New Roman" w:hAnsi="Times New Roman" w:cs="Times New Roman"/>
          <w:sz w:val="24"/>
          <w:szCs w:val="24"/>
        </w:rPr>
        <w:t>)</w:t>
      </w:r>
      <w:r w:rsidRPr="00A91E83">
        <w:rPr>
          <w:rFonts w:ascii="Times New Roman" w:hAnsi="Times New Roman" w:cs="Times New Roman"/>
          <w:sz w:val="24"/>
          <w:szCs w:val="24"/>
        </w:rPr>
        <w:t xml:space="preserve">, kuriai esant </w:t>
      </w:r>
      <w:r w:rsidR="001A2BE9" w:rsidRPr="00A91E83">
        <w:rPr>
          <w:rFonts w:ascii="Times New Roman" w:hAnsi="Times New Roman" w:cs="Times New Roman"/>
          <w:sz w:val="24"/>
          <w:szCs w:val="24"/>
        </w:rPr>
        <w:t>konstatuotinas</w:t>
      </w:r>
      <w:r w:rsidRPr="00A91E83">
        <w:rPr>
          <w:rFonts w:ascii="Times New Roman" w:hAnsi="Times New Roman" w:cs="Times New Roman"/>
          <w:sz w:val="24"/>
          <w:szCs w:val="24"/>
        </w:rPr>
        <w:t xml:space="preserve"> už</w:t>
      </w:r>
      <w:r w:rsidR="001A2BE9" w:rsidRPr="00A91E83">
        <w:rPr>
          <w:rFonts w:ascii="Times New Roman" w:hAnsi="Times New Roman" w:cs="Times New Roman"/>
          <w:sz w:val="24"/>
          <w:szCs w:val="24"/>
        </w:rPr>
        <w:t xml:space="preserve">skaitos mechanizmo privalomumas. </w:t>
      </w:r>
      <w:r w:rsidRPr="00A91E83">
        <w:rPr>
          <w:rFonts w:ascii="Times New Roman" w:hAnsi="Times New Roman" w:cs="Times New Roman"/>
          <w:sz w:val="24"/>
          <w:szCs w:val="24"/>
        </w:rPr>
        <w:t>Tai</w:t>
      </w:r>
      <w:r w:rsidR="009B5D40" w:rsidRPr="00A91E83">
        <w:rPr>
          <w:rFonts w:ascii="Times New Roman" w:hAnsi="Times New Roman" w:cs="Times New Roman"/>
          <w:sz w:val="24"/>
          <w:szCs w:val="24"/>
        </w:rPr>
        <w:t>gi kreditoriui teisėtai nutrauk</w:t>
      </w:r>
      <w:r w:rsidRPr="00A91E83">
        <w:rPr>
          <w:rFonts w:ascii="Times New Roman" w:hAnsi="Times New Roman" w:cs="Times New Roman"/>
          <w:sz w:val="24"/>
          <w:szCs w:val="24"/>
        </w:rPr>
        <w:t xml:space="preserve">us sutartį, apskaičiavus atsiradusius nuostolius ir įskaičius juos, pagal minėta užskaitos mechanizmą, </w:t>
      </w:r>
      <w:r w:rsidR="001A2BE9" w:rsidRPr="00A91E83">
        <w:rPr>
          <w:rFonts w:ascii="Times New Roman" w:hAnsi="Times New Roman" w:cs="Times New Roman"/>
          <w:sz w:val="24"/>
          <w:szCs w:val="24"/>
        </w:rPr>
        <w:t xml:space="preserve">skolininkas turės taikyti užskaita, nes jis yra prisiėmęs tokią teisinę pareigą pagal sutartį. Todėl šalims naudojantis visa apimtimi užskaitos mechanizmu </w:t>
      </w:r>
      <w:r w:rsidRPr="00A91E83">
        <w:rPr>
          <w:rFonts w:ascii="Times New Roman" w:hAnsi="Times New Roman" w:cs="Times New Roman"/>
          <w:sz w:val="24"/>
          <w:szCs w:val="24"/>
        </w:rPr>
        <w:t>nėra pažeidžiamos kitos kredito</w:t>
      </w:r>
      <w:r w:rsidR="001A2BE9" w:rsidRPr="00A91E83">
        <w:rPr>
          <w:rFonts w:ascii="Times New Roman" w:hAnsi="Times New Roman" w:cs="Times New Roman"/>
          <w:sz w:val="24"/>
          <w:szCs w:val="24"/>
        </w:rPr>
        <w:t>rių teisės tol, kol nėra įsigaliojusi nutartis dėl bankroto bylos iškėlimo</w:t>
      </w:r>
      <w:r w:rsidR="00840F45" w:rsidRPr="00A91E83">
        <w:rPr>
          <w:rFonts w:ascii="Times New Roman" w:hAnsi="Times New Roman" w:cs="Times New Roman"/>
          <w:sz w:val="24"/>
          <w:szCs w:val="24"/>
        </w:rPr>
        <w:t>.</w:t>
      </w:r>
    </w:p>
    <w:p w:rsidR="00D35D67" w:rsidRPr="00A91E83" w:rsidRDefault="001A2BE9" w:rsidP="00D35D67">
      <w:pPr>
        <w:tabs>
          <w:tab w:val="left" w:pos="851"/>
        </w:tabs>
        <w:spacing w:after="0" w:line="360" w:lineRule="auto"/>
        <w:ind w:firstLine="851"/>
        <w:jc w:val="both"/>
        <w:rPr>
          <w:rFonts w:ascii="Times New Roman" w:hAnsi="Times New Roman" w:cs="Times New Roman"/>
          <w:sz w:val="24"/>
          <w:szCs w:val="24"/>
        </w:rPr>
      </w:pPr>
      <w:r w:rsidRPr="00A91E83">
        <w:rPr>
          <w:rFonts w:ascii="Times New Roman" w:hAnsi="Times New Roman" w:cs="Times New Roman"/>
          <w:sz w:val="24"/>
          <w:szCs w:val="24"/>
        </w:rPr>
        <w:t>Pabrėžtina, jog</w:t>
      </w:r>
      <w:r w:rsidR="00D35D67" w:rsidRPr="00A91E83">
        <w:rPr>
          <w:rFonts w:ascii="Times New Roman" w:hAnsi="Times New Roman" w:cs="Times New Roman"/>
          <w:sz w:val="24"/>
          <w:szCs w:val="24"/>
        </w:rPr>
        <w:t xml:space="preserve"> teismas turėtų </w:t>
      </w:r>
      <w:r w:rsidRPr="00A91E83">
        <w:rPr>
          <w:rFonts w:ascii="Times New Roman" w:hAnsi="Times New Roman" w:cs="Times New Roman"/>
          <w:sz w:val="24"/>
          <w:szCs w:val="24"/>
        </w:rPr>
        <w:t xml:space="preserve">išsiaiškinti ir </w:t>
      </w:r>
      <w:r w:rsidR="00D35D67" w:rsidRPr="00A91E83">
        <w:rPr>
          <w:rFonts w:ascii="Times New Roman" w:hAnsi="Times New Roman" w:cs="Times New Roman"/>
          <w:sz w:val="24"/>
          <w:szCs w:val="24"/>
        </w:rPr>
        <w:t xml:space="preserve">nustatyti, kada buvo sudarytas sandoris dėl išvestinių finansinių priemonių, kurioje nustatytas </w:t>
      </w:r>
      <w:r w:rsidRPr="00A91E83">
        <w:rPr>
          <w:rFonts w:ascii="Times New Roman" w:hAnsi="Times New Roman" w:cs="Times New Roman"/>
          <w:sz w:val="24"/>
          <w:szCs w:val="24"/>
        </w:rPr>
        <w:t>užskaitos mechanizmas. A</w:t>
      </w:r>
      <w:r w:rsidR="00D35D67" w:rsidRPr="00A91E83">
        <w:rPr>
          <w:rFonts w:ascii="Times New Roman" w:hAnsi="Times New Roman" w:cs="Times New Roman"/>
          <w:sz w:val="24"/>
          <w:szCs w:val="24"/>
        </w:rPr>
        <w:t xml:space="preserve">r abi šios sutarties šalys buvo sąžiningos ir </w:t>
      </w:r>
      <w:proofErr w:type="spellStart"/>
      <w:r w:rsidR="00D35D67" w:rsidRPr="00A91E83">
        <w:rPr>
          <w:rFonts w:ascii="Times New Roman" w:hAnsi="Times New Roman" w:cs="Times New Roman"/>
          <w:sz w:val="24"/>
          <w:szCs w:val="24"/>
        </w:rPr>
        <w:t>pan</w:t>
      </w:r>
      <w:proofErr w:type="spellEnd"/>
      <w:r w:rsidR="00D35D67" w:rsidRPr="00A91E83">
        <w:rPr>
          <w:rFonts w:ascii="Times New Roman" w:hAnsi="Times New Roman" w:cs="Times New Roman"/>
          <w:sz w:val="24"/>
          <w:szCs w:val="24"/>
        </w:rPr>
        <w:t>. Taigi jeigu nėra nesąžiningumo sudarant sandorius dėl išvestinių finansinių priemonių, tai vėlesnis jų vykdymas, iki nutarties iškelti bankroto bylą įsiteisėjimo negali būti pagrįstas pagrindas bankroto administratoriui p</w:t>
      </w:r>
      <w:r w:rsidRPr="00A91E83">
        <w:rPr>
          <w:rFonts w:ascii="Times New Roman" w:hAnsi="Times New Roman" w:cs="Times New Roman"/>
          <w:sz w:val="24"/>
          <w:szCs w:val="24"/>
        </w:rPr>
        <w:t>ripažinti sandorį negaliojančiu.</w:t>
      </w:r>
      <w:r w:rsidR="00D35D67" w:rsidRPr="00A91E83">
        <w:rPr>
          <w:rFonts w:ascii="Times New Roman" w:hAnsi="Times New Roman" w:cs="Times New Roman"/>
          <w:sz w:val="24"/>
          <w:szCs w:val="24"/>
        </w:rPr>
        <w:t xml:space="preserve"> </w:t>
      </w:r>
      <w:r w:rsidRPr="00A91E83">
        <w:rPr>
          <w:rFonts w:ascii="Times New Roman" w:hAnsi="Times New Roman" w:cs="Times New Roman"/>
          <w:sz w:val="24"/>
          <w:szCs w:val="24"/>
        </w:rPr>
        <w:lastRenderedPageBreak/>
        <w:t>A</w:t>
      </w:r>
      <w:r w:rsidR="00D35D67" w:rsidRPr="00A91E83">
        <w:rPr>
          <w:rFonts w:ascii="Times New Roman" w:hAnsi="Times New Roman" w:cs="Times New Roman"/>
          <w:sz w:val="24"/>
          <w:szCs w:val="24"/>
        </w:rPr>
        <w:t xml:space="preserve">nalogiškai nebūtų tenkinama </w:t>
      </w:r>
      <w:proofErr w:type="spellStart"/>
      <w:r w:rsidRPr="00A91E83">
        <w:rPr>
          <w:rFonts w:ascii="Times New Roman" w:hAnsi="Times New Roman" w:cs="Times New Roman"/>
          <w:sz w:val="24"/>
          <w:szCs w:val="24"/>
        </w:rPr>
        <w:t>actio</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Pauliana</w:t>
      </w:r>
      <w:proofErr w:type="spellEnd"/>
      <w:r w:rsidRPr="00A91E83">
        <w:rPr>
          <w:rFonts w:ascii="Times New Roman" w:hAnsi="Times New Roman" w:cs="Times New Roman"/>
          <w:sz w:val="24"/>
          <w:szCs w:val="24"/>
        </w:rPr>
        <w:t xml:space="preserve"> nesąžiningumo sąlyga, todėl jo</w:t>
      </w:r>
      <w:r w:rsidR="00EF467E" w:rsidRPr="00A91E83">
        <w:rPr>
          <w:rFonts w:ascii="Times New Roman" w:hAnsi="Times New Roman" w:cs="Times New Roman"/>
          <w:sz w:val="24"/>
          <w:szCs w:val="24"/>
        </w:rPr>
        <w:t>s taikymas taip pat negalimas</w:t>
      </w:r>
      <w:r w:rsidRPr="00A91E83">
        <w:rPr>
          <w:rFonts w:ascii="Times New Roman" w:hAnsi="Times New Roman" w:cs="Times New Roman"/>
          <w:sz w:val="24"/>
          <w:szCs w:val="24"/>
        </w:rPr>
        <w:t>.</w:t>
      </w:r>
      <w:r w:rsidR="00D35D67" w:rsidRPr="00A91E83">
        <w:rPr>
          <w:rFonts w:ascii="Times New Roman" w:hAnsi="Times New Roman" w:cs="Times New Roman"/>
          <w:sz w:val="24"/>
          <w:szCs w:val="24"/>
          <w:vertAlign w:val="superscript"/>
        </w:rPr>
        <w:footnoteReference w:id="248"/>
      </w:r>
    </w:p>
    <w:p w:rsidR="001A156C" w:rsidRPr="00A91E83" w:rsidRDefault="001A156C">
      <w:pPr>
        <w:rPr>
          <w:rFonts w:ascii="Times New Roman" w:hAnsi="Times New Roman" w:cs="Times New Roman"/>
          <w:sz w:val="24"/>
          <w:szCs w:val="24"/>
        </w:rPr>
      </w:pPr>
      <w:r w:rsidRPr="00A91E83">
        <w:rPr>
          <w:rFonts w:ascii="Times New Roman" w:hAnsi="Times New Roman" w:cs="Times New Roman"/>
          <w:sz w:val="24"/>
          <w:szCs w:val="24"/>
        </w:rPr>
        <w:br w:type="page"/>
      </w:r>
    </w:p>
    <w:p w:rsidR="00924CF4" w:rsidRPr="00A91E83" w:rsidRDefault="00924CF4" w:rsidP="00924CF4">
      <w:pPr>
        <w:pStyle w:val="Antrat1"/>
        <w:jc w:val="center"/>
        <w:rPr>
          <w:rFonts w:ascii="Times New Roman" w:hAnsi="Times New Roman" w:cs="Times New Roman"/>
          <w:sz w:val="24"/>
          <w:szCs w:val="24"/>
        </w:rPr>
      </w:pPr>
      <w:bookmarkStart w:id="47" w:name="_Toc280546480"/>
      <w:r w:rsidRPr="00A91E83">
        <w:rPr>
          <w:rFonts w:ascii="Times New Roman" w:hAnsi="Times New Roman" w:cs="Times New Roman"/>
          <w:sz w:val="24"/>
          <w:szCs w:val="24"/>
        </w:rPr>
        <w:lastRenderedPageBreak/>
        <w:t>IŠVADOS IR PASIŪLYMAI</w:t>
      </w:r>
      <w:bookmarkEnd w:id="47"/>
    </w:p>
    <w:p w:rsidR="00924CF4" w:rsidRPr="00A91E83" w:rsidRDefault="00924CF4" w:rsidP="00924CF4">
      <w:pPr>
        <w:tabs>
          <w:tab w:val="left" w:pos="851"/>
          <w:tab w:val="left" w:pos="1701"/>
        </w:tabs>
        <w:spacing w:after="0" w:line="360" w:lineRule="auto"/>
        <w:jc w:val="both"/>
        <w:rPr>
          <w:rFonts w:ascii="Times New Roman" w:hAnsi="Times New Roman" w:cs="Times New Roman"/>
          <w:sz w:val="24"/>
          <w:szCs w:val="24"/>
        </w:rPr>
      </w:pPr>
    </w:p>
    <w:p w:rsidR="00924CF4" w:rsidRPr="00A91E83" w:rsidRDefault="00924CF4" w:rsidP="00924CF4">
      <w:pPr>
        <w:pStyle w:val="Sraopastraipa"/>
        <w:numPr>
          <w:ilvl w:val="0"/>
          <w:numId w:val="16"/>
        </w:numPr>
        <w:tabs>
          <w:tab w:val="left" w:pos="426"/>
          <w:tab w:val="left" w:pos="1701"/>
        </w:tabs>
        <w:spacing w:after="0" w:line="360" w:lineRule="auto"/>
        <w:ind w:left="0" w:firstLine="0"/>
        <w:jc w:val="both"/>
        <w:rPr>
          <w:rFonts w:ascii="Times New Roman" w:hAnsi="Times New Roman" w:cs="Times New Roman"/>
          <w:sz w:val="24"/>
          <w:szCs w:val="24"/>
        </w:rPr>
      </w:pPr>
      <w:r w:rsidRPr="00A91E83">
        <w:rPr>
          <w:rFonts w:ascii="Times New Roman" w:hAnsi="Times New Roman" w:cs="Times New Roman"/>
          <w:sz w:val="24"/>
          <w:szCs w:val="24"/>
        </w:rPr>
        <w:t xml:space="preserve">Sandoriams dėl išvestinių finansinių priemonių būdingi visi bendrieji finansinių priemonių bruožai, tačiau išsiskiriantys iš kitų tuo, jog jų vertė išvedama iš bazinio turto, kuris gali būti bet </w:t>
      </w:r>
      <w:r w:rsidR="00EA2656" w:rsidRPr="00A91E83">
        <w:rPr>
          <w:rFonts w:ascii="Times New Roman" w:hAnsi="Times New Roman" w:cs="Times New Roman"/>
          <w:sz w:val="24"/>
          <w:szCs w:val="24"/>
        </w:rPr>
        <w:t>koks</w:t>
      </w:r>
      <w:r w:rsidR="00CB7381" w:rsidRPr="00A91E83">
        <w:rPr>
          <w:rFonts w:ascii="Times New Roman" w:hAnsi="Times New Roman" w:cs="Times New Roman"/>
          <w:sz w:val="24"/>
          <w:szCs w:val="24"/>
        </w:rPr>
        <w:t xml:space="preserve"> objektas.</w:t>
      </w:r>
      <w:r w:rsidRPr="00A91E83">
        <w:rPr>
          <w:rFonts w:ascii="Times New Roman" w:hAnsi="Times New Roman" w:cs="Times New Roman"/>
          <w:sz w:val="24"/>
          <w:szCs w:val="24"/>
        </w:rPr>
        <w:t xml:space="preserve"> Palūkanų normų, užsienio valiutos ir kredito apsikitimo sandoriai sudaro daugiau nei 95% visų išvestinių finansinių priemonių, todėl detalesnė jų analizė leidžia pažinti ne tik apsikeitimo, bet ir išvestinių finansinių priemonių specifiką. Leidžiant šalims pasinaudoti užskaitos sąlyga sudarant sandorius dėl išvestinių finansinių priemonių už biržos ribų supanašėja kredito rizikos valdymo efektyvumo lygis</w:t>
      </w:r>
      <w:r w:rsidR="00CB7381" w:rsidRPr="00A91E83">
        <w:rPr>
          <w:rFonts w:ascii="Times New Roman" w:hAnsi="Times New Roman" w:cs="Times New Roman"/>
          <w:sz w:val="24"/>
          <w:szCs w:val="24"/>
        </w:rPr>
        <w:t>, lyginant su</w:t>
      </w:r>
      <w:r w:rsidRPr="00A91E83">
        <w:rPr>
          <w:rFonts w:ascii="Times New Roman" w:hAnsi="Times New Roman" w:cs="Times New Roman"/>
          <w:sz w:val="24"/>
          <w:szCs w:val="24"/>
        </w:rPr>
        <w:t xml:space="preserve"> biržoje sudaromiems sandoriams dėl </w:t>
      </w:r>
      <w:r w:rsidR="00DF5C75" w:rsidRPr="00A91E83">
        <w:rPr>
          <w:rFonts w:ascii="Times New Roman" w:hAnsi="Times New Roman" w:cs="Times New Roman"/>
          <w:sz w:val="24"/>
          <w:szCs w:val="24"/>
        </w:rPr>
        <w:t>išvestinių</w:t>
      </w:r>
      <w:r w:rsidRPr="00A91E83">
        <w:rPr>
          <w:rFonts w:ascii="Times New Roman" w:hAnsi="Times New Roman" w:cs="Times New Roman"/>
          <w:sz w:val="24"/>
          <w:szCs w:val="24"/>
        </w:rPr>
        <w:t xml:space="preserve"> finansinių priemonių.</w:t>
      </w:r>
    </w:p>
    <w:p w:rsidR="00924CF4" w:rsidRPr="00A91E83" w:rsidRDefault="00924CF4" w:rsidP="00924CF4">
      <w:pPr>
        <w:tabs>
          <w:tab w:val="left" w:pos="426"/>
          <w:tab w:val="left" w:pos="1701"/>
        </w:tabs>
        <w:spacing w:after="0" w:line="360" w:lineRule="auto"/>
        <w:jc w:val="both"/>
        <w:rPr>
          <w:rFonts w:ascii="Times New Roman" w:hAnsi="Times New Roman" w:cs="Times New Roman"/>
          <w:sz w:val="24"/>
          <w:szCs w:val="24"/>
        </w:rPr>
      </w:pPr>
    </w:p>
    <w:p w:rsidR="00924CF4" w:rsidRPr="00A91E83" w:rsidRDefault="00EA2656" w:rsidP="00924CF4">
      <w:pPr>
        <w:pStyle w:val="Sraopastraipa"/>
        <w:numPr>
          <w:ilvl w:val="0"/>
          <w:numId w:val="16"/>
        </w:numPr>
        <w:tabs>
          <w:tab w:val="left" w:pos="426"/>
          <w:tab w:val="left" w:pos="1701"/>
        </w:tabs>
        <w:spacing w:after="0" w:line="360" w:lineRule="auto"/>
        <w:ind w:left="0" w:firstLine="0"/>
        <w:jc w:val="both"/>
        <w:rPr>
          <w:rFonts w:ascii="Times New Roman" w:hAnsi="Times New Roman" w:cs="Times New Roman"/>
          <w:sz w:val="24"/>
          <w:szCs w:val="24"/>
        </w:rPr>
      </w:pPr>
      <w:r w:rsidRPr="00A91E83">
        <w:rPr>
          <w:rFonts w:ascii="Times New Roman" w:hAnsi="Times New Roman" w:cs="Times New Roman"/>
          <w:sz w:val="24"/>
          <w:szCs w:val="24"/>
        </w:rPr>
        <w:t xml:space="preserve">LAT absoliučiai draudžia įskaitymą nuo nutarties iškelti bankroto bylą įsiteisėjimo. </w:t>
      </w:r>
      <w:r w:rsidR="00924CF4" w:rsidRPr="00A91E83">
        <w:rPr>
          <w:rFonts w:ascii="Times New Roman" w:hAnsi="Times New Roman" w:cs="Times New Roman"/>
          <w:sz w:val="24"/>
          <w:szCs w:val="24"/>
        </w:rPr>
        <w:t>Užskaita nėra tapati sąvoka, kaip ir įskaitymas, todėl jos negali būti vartojamos kaip sinonimai. Mokėjimo užskaita yra sutartinė išankstinio įskaitymo sąlyga, kuri leidžia sumažinti priešpriešinius mokėjimus iki vieno mokėtino įsipareigojimo, kuris bus atliekamas tik vienos iš šalies</w:t>
      </w:r>
      <w:r w:rsidRPr="00A91E83">
        <w:rPr>
          <w:rFonts w:ascii="Times New Roman" w:hAnsi="Times New Roman" w:cs="Times New Roman"/>
          <w:sz w:val="24"/>
          <w:szCs w:val="24"/>
        </w:rPr>
        <w:t>. Palyginimui, dėl</w:t>
      </w:r>
      <w:r w:rsidR="00924CF4" w:rsidRPr="00A91E83">
        <w:rPr>
          <w:rFonts w:ascii="Times New Roman" w:hAnsi="Times New Roman" w:cs="Times New Roman"/>
          <w:sz w:val="24"/>
          <w:szCs w:val="24"/>
        </w:rPr>
        <w:t xml:space="preserve"> įskaitymo šalys negali susitarti iš anksto. Baigiamoji užskaita sudėtingas procesas, kuris apima (1) sandorių nutraukimą; (2) nuostolių / pelno įvertinimą; ir (3) įskaitymą, o įskaitymas susideda tik iš vieno žingsnio. Užskaitos privalumų svarba pripažįstama tarptautinės bendruomenės, nes vis didėja valstybių ratas, kurių teisinis reguliavimas aiškiai įtvirtina l</w:t>
      </w:r>
      <w:r w:rsidR="00F27417" w:rsidRPr="00A91E83">
        <w:rPr>
          <w:rFonts w:ascii="Times New Roman" w:hAnsi="Times New Roman" w:cs="Times New Roman"/>
          <w:sz w:val="24"/>
          <w:szCs w:val="24"/>
        </w:rPr>
        <w:t>eidimą taikyti užskaitos sąlygą visa apimtimi.</w:t>
      </w:r>
    </w:p>
    <w:p w:rsidR="00924CF4" w:rsidRPr="00A91E83" w:rsidRDefault="00924CF4" w:rsidP="00924CF4">
      <w:pPr>
        <w:tabs>
          <w:tab w:val="left" w:pos="426"/>
          <w:tab w:val="left" w:pos="1701"/>
        </w:tabs>
        <w:spacing w:after="0" w:line="360" w:lineRule="auto"/>
        <w:jc w:val="both"/>
        <w:rPr>
          <w:rFonts w:ascii="Times New Roman" w:hAnsi="Times New Roman" w:cs="Times New Roman"/>
          <w:sz w:val="24"/>
          <w:szCs w:val="24"/>
        </w:rPr>
      </w:pPr>
    </w:p>
    <w:p w:rsidR="00924CF4" w:rsidRPr="00A91E83" w:rsidRDefault="00924CF4" w:rsidP="00924CF4">
      <w:pPr>
        <w:pStyle w:val="Sraopastraipa"/>
        <w:numPr>
          <w:ilvl w:val="0"/>
          <w:numId w:val="16"/>
        </w:numPr>
        <w:tabs>
          <w:tab w:val="left" w:pos="426"/>
          <w:tab w:val="left" w:pos="1701"/>
        </w:tabs>
        <w:spacing w:after="0" w:line="360" w:lineRule="auto"/>
        <w:ind w:left="0" w:firstLine="0"/>
        <w:jc w:val="both"/>
        <w:rPr>
          <w:rFonts w:ascii="Times New Roman" w:hAnsi="Times New Roman" w:cs="Times New Roman"/>
          <w:sz w:val="24"/>
          <w:szCs w:val="24"/>
        </w:rPr>
      </w:pPr>
      <w:r w:rsidRPr="00A91E83">
        <w:rPr>
          <w:rFonts w:ascii="Times New Roman" w:hAnsi="Times New Roman" w:cs="Times New Roman"/>
          <w:sz w:val="24"/>
          <w:szCs w:val="24"/>
        </w:rPr>
        <w:t>ISDA forma pati populiariausia tipinė sutartis, k</w:t>
      </w:r>
      <w:r w:rsidR="00F8522E" w:rsidRPr="00A91E83">
        <w:rPr>
          <w:rFonts w:ascii="Times New Roman" w:hAnsi="Times New Roman" w:cs="Times New Roman"/>
          <w:sz w:val="24"/>
          <w:szCs w:val="24"/>
        </w:rPr>
        <w:t>uri naudojama sudarant sandoriu</w:t>
      </w:r>
      <w:r w:rsidRPr="00A91E83">
        <w:rPr>
          <w:rFonts w:ascii="Times New Roman" w:hAnsi="Times New Roman" w:cs="Times New Roman"/>
          <w:sz w:val="24"/>
          <w:szCs w:val="24"/>
        </w:rPr>
        <w:t>s dėl išvestinių finansinių priemonių. ISDA formos visi dokumentai ga</w:t>
      </w:r>
      <w:r w:rsidR="0040375E" w:rsidRPr="00A91E83">
        <w:rPr>
          <w:rFonts w:ascii="Times New Roman" w:hAnsi="Times New Roman" w:cs="Times New Roman"/>
          <w:sz w:val="24"/>
          <w:szCs w:val="24"/>
        </w:rPr>
        <w:t>li būti laikomi viena sutartimi. T</w:t>
      </w:r>
      <w:r w:rsidRPr="00A91E83">
        <w:rPr>
          <w:rFonts w:ascii="Times New Roman" w:hAnsi="Times New Roman" w:cs="Times New Roman"/>
          <w:sz w:val="24"/>
          <w:szCs w:val="24"/>
        </w:rPr>
        <w:t>okia koncepcija sustiprina baigiamosios užskaitos efektą, nes leidžia sujungti įsipareigojimus kylančius iš kelių sandorių į vieną mokėtiną sumą. Užskaitos sąlyga įtvirtinta ISDA sutartyje yra centrinė sąlyga visoje ISDA formoje. Baigiamosios užskaita sąlyga detalizuoja sudarytų tarp šalių sandorių nutraukimo galimybes,</w:t>
      </w:r>
      <w:r w:rsidR="007F020A" w:rsidRPr="00A91E83">
        <w:rPr>
          <w:rFonts w:ascii="Times New Roman" w:hAnsi="Times New Roman" w:cs="Times New Roman"/>
          <w:sz w:val="24"/>
          <w:szCs w:val="24"/>
        </w:rPr>
        <w:t xml:space="preserve"> nuostolių / pelno apskaičiavimo metodiką ir visų įsipareigojimų</w:t>
      </w:r>
      <w:r w:rsidRPr="00A91E83">
        <w:rPr>
          <w:rFonts w:ascii="Times New Roman" w:hAnsi="Times New Roman" w:cs="Times New Roman"/>
          <w:sz w:val="24"/>
          <w:szCs w:val="24"/>
        </w:rPr>
        <w:t xml:space="preserve"> sujungimą į vieną mokėtiną sumą, įskaitant</w:t>
      </w:r>
      <w:r w:rsidR="00762A54" w:rsidRPr="00A91E83">
        <w:rPr>
          <w:rFonts w:ascii="Times New Roman" w:hAnsi="Times New Roman" w:cs="Times New Roman"/>
          <w:sz w:val="24"/>
          <w:szCs w:val="24"/>
        </w:rPr>
        <w:t xml:space="preserve"> į galutinį mokėjimo balansą </w:t>
      </w:r>
      <w:r w:rsidRPr="00A91E83">
        <w:rPr>
          <w:rFonts w:ascii="Times New Roman" w:hAnsi="Times New Roman" w:cs="Times New Roman"/>
          <w:sz w:val="24"/>
          <w:szCs w:val="24"/>
        </w:rPr>
        <w:t>perduoto finansinio užstato vertę.</w:t>
      </w:r>
    </w:p>
    <w:p w:rsidR="00924CF4" w:rsidRPr="00A91E83" w:rsidRDefault="00924CF4" w:rsidP="00924CF4">
      <w:pPr>
        <w:tabs>
          <w:tab w:val="left" w:pos="426"/>
          <w:tab w:val="left" w:pos="1701"/>
        </w:tabs>
        <w:spacing w:after="0" w:line="360" w:lineRule="auto"/>
        <w:jc w:val="both"/>
        <w:rPr>
          <w:rFonts w:ascii="Times New Roman" w:hAnsi="Times New Roman" w:cs="Times New Roman"/>
          <w:sz w:val="24"/>
          <w:szCs w:val="24"/>
        </w:rPr>
      </w:pPr>
    </w:p>
    <w:p w:rsidR="00924CF4" w:rsidRPr="00A91E83" w:rsidRDefault="001A156C" w:rsidP="00924CF4">
      <w:pPr>
        <w:pStyle w:val="Sraopastraipa"/>
        <w:numPr>
          <w:ilvl w:val="0"/>
          <w:numId w:val="16"/>
        </w:numPr>
        <w:tabs>
          <w:tab w:val="left" w:pos="426"/>
          <w:tab w:val="left" w:pos="1701"/>
        </w:tabs>
        <w:spacing w:after="0" w:line="360" w:lineRule="auto"/>
        <w:ind w:left="0" w:firstLine="0"/>
        <w:jc w:val="both"/>
        <w:rPr>
          <w:rFonts w:ascii="Times New Roman" w:hAnsi="Times New Roman" w:cs="Times New Roman"/>
          <w:sz w:val="24"/>
          <w:szCs w:val="24"/>
        </w:rPr>
      </w:pPr>
      <w:r w:rsidRPr="00A91E83">
        <w:rPr>
          <w:rFonts w:ascii="Times New Roman" w:hAnsi="Times New Roman" w:cs="Times New Roman"/>
          <w:sz w:val="24"/>
          <w:szCs w:val="24"/>
        </w:rPr>
        <w:t xml:space="preserve">FUSĮ nustato galimybę taikyti užskaitos sąlygą numatytą ISDA formoje, jeigu atitinka </w:t>
      </w:r>
      <w:r w:rsidR="008F7459" w:rsidRPr="00A91E83">
        <w:rPr>
          <w:rFonts w:ascii="Times New Roman" w:hAnsi="Times New Roman" w:cs="Times New Roman"/>
          <w:sz w:val="24"/>
          <w:szCs w:val="24"/>
        </w:rPr>
        <w:t>visos sąlygos dėl FUSĮ taikymo</w:t>
      </w:r>
      <w:r w:rsidR="00371F22" w:rsidRPr="00A91E83">
        <w:rPr>
          <w:rFonts w:ascii="Times New Roman" w:hAnsi="Times New Roman" w:cs="Times New Roman"/>
          <w:sz w:val="24"/>
          <w:szCs w:val="24"/>
        </w:rPr>
        <w:t>. Šalių ratas, kuriam taikomas FUSĮ režimas susiaurės, jeigu Konstitucinis Teism</w:t>
      </w:r>
      <w:r w:rsidR="00FB5F36" w:rsidRPr="00A91E83">
        <w:rPr>
          <w:rFonts w:ascii="Times New Roman" w:hAnsi="Times New Roman" w:cs="Times New Roman"/>
          <w:sz w:val="24"/>
          <w:szCs w:val="24"/>
        </w:rPr>
        <w:t xml:space="preserve">as </w:t>
      </w:r>
      <w:r w:rsidR="00265DFD">
        <w:rPr>
          <w:rFonts w:ascii="Times New Roman" w:hAnsi="Times New Roman" w:cs="Times New Roman"/>
          <w:sz w:val="24"/>
          <w:szCs w:val="24"/>
        </w:rPr>
        <w:t>dabartinį reguliavimą pripažins prieštaraujantį</w:t>
      </w:r>
      <w:r w:rsidR="00371F22" w:rsidRPr="00A91E83">
        <w:rPr>
          <w:rFonts w:ascii="Times New Roman" w:hAnsi="Times New Roman" w:cs="Times New Roman"/>
          <w:sz w:val="24"/>
          <w:szCs w:val="24"/>
        </w:rPr>
        <w:t xml:space="preserve"> Konstitucijai. </w:t>
      </w:r>
      <w:r w:rsidR="00975FBA" w:rsidRPr="00A91E83">
        <w:rPr>
          <w:rFonts w:ascii="Times New Roman" w:hAnsi="Times New Roman" w:cs="Times New Roman"/>
          <w:sz w:val="24"/>
          <w:szCs w:val="24"/>
        </w:rPr>
        <w:t xml:space="preserve">Patariama šalims finansiniame susitarime pabrėžti, jog šalys aiškiai ir nedviprasmiškai susitaria dėl FUSĮ režimo taikymo. </w:t>
      </w:r>
      <w:r w:rsidR="00300BB5">
        <w:rPr>
          <w:rFonts w:ascii="Times New Roman" w:hAnsi="Times New Roman" w:cs="Times New Roman"/>
          <w:sz w:val="24"/>
          <w:szCs w:val="24"/>
        </w:rPr>
        <w:t>S</w:t>
      </w:r>
      <w:r w:rsidR="00D26092" w:rsidRPr="00A91E83">
        <w:rPr>
          <w:rFonts w:ascii="Times New Roman" w:hAnsi="Times New Roman" w:cs="Times New Roman"/>
          <w:sz w:val="24"/>
          <w:szCs w:val="24"/>
        </w:rPr>
        <w:t>andoriai dėl išvestinių finansinių priemonių sudarytų už biržos ribų,</w:t>
      </w:r>
      <w:r w:rsidR="00B524E7">
        <w:rPr>
          <w:rFonts w:ascii="Times New Roman" w:hAnsi="Times New Roman" w:cs="Times New Roman"/>
          <w:sz w:val="24"/>
          <w:szCs w:val="24"/>
        </w:rPr>
        <w:t xml:space="preserve"> kurių </w:t>
      </w:r>
      <w:r w:rsidR="00B524E7">
        <w:rPr>
          <w:rFonts w:ascii="Times New Roman" w:hAnsi="Times New Roman" w:cs="Times New Roman"/>
          <w:sz w:val="24"/>
          <w:szCs w:val="24"/>
        </w:rPr>
        <w:lastRenderedPageBreak/>
        <w:t xml:space="preserve">bazinis turtas yra vertybiniai popieriai, tačiau </w:t>
      </w:r>
      <w:r w:rsidR="00D26092" w:rsidRPr="00A91E83">
        <w:rPr>
          <w:rFonts w:ascii="Times New Roman" w:hAnsi="Times New Roman" w:cs="Times New Roman"/>
          <w:sz w:val="24"/>
          <w:szCs w:val="24"/>
        </w:rPr>
        <w:t xml:space="preserve">kurie </w:t>
      </w:r>
      <w:r w:rsidR="00B524E7">
        <w:rPr>
          <w:rFonts w:ascii="Times New Roman" w:hAnsi="Times New Roman" w:cs="Times New Roman"/>
          <w:sz w:val="24"/>
          <w:szCs w:val="24"/>
        </w:rPr>
        <w:t xml:space="preserve">patys </w:t>
      </w:r>
      <w:r w:rsidR="00D26092" w:rsidRPr="00A91E83">
        <w:rPr>
          <w:rFonts w:ascii="Times New Roman" w:hAnsi="Times New Roman" w:cs="Times New Roman"/>
          <w:sz w:val="24"/>
          <w:szCs w:val="24"/>
        </w:rPr>
        <w:t>nėra laikomi vertybiniais popieriais, o sutartimis, patenka į finansinio užstato sąvokos apibrėžimą</w:t>
      </w:r>
      <w:r w:rsidR="00A574B5">
        <w:rPr>
          <w:rFonts w:ascii="Times New Roman" w:hAnsi="Times New Roman" w:cs="Times New Roman"/>
          <w:sz w:val="24"/>
          <w:szCs w:val="24"/>
        </w:rPr>
        <w:t xml:space="preserve"> pagal FUSĮ</w:t>
      </w:r>
      <w:r w:rsidR="00D26092" w:rsidRPr="00A91E83">
        <w:rPr>
          <w:rFonts w:ascii="Times New Roman" w:hAnsi="Times New Roman" w:cs="Times New Roman"/>
          <w:sz w:val="24"/>
          <w:szCs w:val="24"/>
        </w:rPr>
        <w:t>.</w:t>
      </w:r>
      <w:r w:rsidR="00924CF4" w:rsidRPr="00A91E83">
        <w:rPr>
          <w:rFonts w:ascii="Times New Roman" w:hAnsi="Times New Roman" w:cs="Times New Roman"/>
          <w:sz w:val="24"/>
          <w:szCs w:val="24"/>
        </w:rPr>
        <w:t xml:space="preserve"> </w:t>
      </w:r>
      <w:r w:rsidR="009C3E84" w:rsidRPr="00A91E83">
        <w:rPr>
          <w:rFonts w:ascii="Times New Roman" w:hAnsi="Times New Roman" w:cs="Times New Roman"/>
          <w:sz w:val="24"/>
          <w:szCs w:val="24"/>
        </w:rPr>
        <w:t>FUSĮ numatytas užskaitos mechanizmas galėtų būti taikomas ir tiems sandoriams, kurie yra sudėtinė ISDA Sutarties dalis, tačiau dėl kurių įvykdymo užtikrinimo anksčiau nebuvo perduotas joks finansinis užstatas.</w:t>
      </w:r>
    </w:p>
    <w:p w:rsidR="00924CF4" w:rsidRPr="00A91E83" w:rsidRDefault="00924CF4" w:rsidP="00924CF4">
      <w:pPr>
        <w:pStyle w:val="Sraopastraipa"/>
        <w:tabs>
          <w:tab w:val="left" w:pos="426"/>
          <w:tab w:val="left" w:pos="1701"/>
        </w:tabs>
        <w:spacing w:after="0" w:line="360" w:lineRule="auto"/>
        <w:ind w:left="0"/>
        <w:jc w:val="both"/>
        <w:rPr>
          <w:rFonts w:ascii="Times New Roman" w:hAnsi="Times New Roman" w:cs="Times New Roman"/>
          <w:sz w:val="24"/>
          <w:szCs w:val="24"/>
        </w:rPr>
      </w:pPr>
    </w:p>
    <w:p w:rsidR="00924CF4" w:rsidRPr="00A91E83" w:rsidRDefault="001A156C" w:rsidP="00924CF4">
      <w:pPr>
        <w:pStyle w:val="Sraopastraipa"/>
        <w:numPr>
          <w:ilvl w:val="0"/>
          <w:numId w:val="16"/>
        </w:numPr>
        <w:tabs>
          <w:tab w:val="left" w:pos="426"/>
          <w:tab w:val="left" w:pos="1701"/>
        </w:tabs>
        <w:spacing w:after="0" w:line="360" w:lineRule="auto"/>
        <w:ind w:left="0" w:firstLine="0"/>
        <w:jc w:val="both"/>
        <w:rPr>
          <w:rFonts w:ascii="Times New Roman" w:hAnsi="Times New Roman" w:cs="Times New Roman"/>
          <w:sz w:val="24"/>
          <w:szCs w:val="24"/>
        </w:rPr>
      </w:pPr>
      <w:r w:rsidRPr="00A91E83">
        <w:rPr>
          <w:rFonts w:ascii="Times New Roman" w:hAnsi="Times New Roman" w:cs="Times New Roman"/>
          <w:sz w:val="24"/>
          <w:szCs w:val="24"/>
        </w:rPr>
        <w:t>Nors baigiamosios užskaitos sąlygos taikymas gali būti suprantamas, jog nėra prievolės vykdymas, o tik įsipareigojimų apskaičiavimo metodas,</w:t>
      </w:r>
      <w:r w:rsidR="004C62E4" w:rsidRPr="00A91E83">
        <w:rPr>
          <w:rFonts w:ascii="Times New Roman" w:hAnsi="Times New Roman" w:cs="Times New Roman"/>
          <w:sz w:val="24"/>
          <w:szCs w:val="24"/>
        </w:rPr>
        <w:t xml:space="preserve"> ar modifikuoto prievolės dalyko nustatymas, su</w:t>
      </w:r>
      <w:r w:rsidRPr="00A91E83">
        <w:rPr>
          <w:rFonts w:ascii="Times New Roman" w:hAnsi="Times New Roman" w:cs="Times New Roman"/>
          <w:sz w:val="24"/>
          <w:szCs w:val="24"/>
        </w:rPr>
        <w:t xml:space="preserve">keliantis panašų efektą į įskaitymą, </w:t>
      </w:r>
      <w:r w:rsidR="004061BD">
        <w:rPr>
          <w:rFonts w:ascii="Times New Roman" w:hAnsi="Times New Roman" w:cs="Times New Roman"/>
          <w:sz w:val="24"/>
          <w:szCs w:val="24"/>
        </w:rPr>
        <w:t>ir</w:t>
      </w:r>
      <w:r w:rsidRPr="00A91E83">
        <w:rPr>
          <w:rFonts w:ascii="Times New Roman" w:hAnsi="Times New Roman" w:cs="Times New Roman"/>
          <w:sz w:val="24"/>
          <w:szCs w:val="24"/>
        </w:rPr>
        <w:t xml:space="preserve"> nėra tapatus CK įskaitymo institutui, todėl nėra draudžiamas ir bankroto kontekste. Vis dėlto labiau tikėtina, jog </w:t>
      </w:r>
      <w:r w:rsidR="004C62E4" w:rsidRPr="00A91E83">
        <w:rPr>
          <w:rFonts w:ascii="Times New Roman" w:hAnsi="Times New Roman" w:cs="Times New Roman"/>
          <w:sz w:val="24"/>
          <w:szCs w:val="24"/>
        </w:rPr>
        <w:t xml:space="preserve">LAT </w:t>
      </w:r>
      <w:r w:rsidR="004061BD">
        <w:rPr>
          <w:rFonts w:ascii="Times New Roman" w:hAnsi="Times New Roman" w:cs="Times New Roman"/>
          <w:sz w:val="24"/>
          <w:szCs w:val="24"/>
        </w:rPr>
        <w:t xml:space="preserve">pripažins </w:t>
      </w:r>
      <w:r w:rsidRPr="00A91E83">
        <w:rPr>
          <w:rFonts w:ascii="Times New Roman" w:hAnsi="Times New Roman" w:cs="Times New Roman"/>
          <w:sz w:val="24"/>
          <w:szCs w:val="24"/>
        </w:rPr>
        <w:t>b</w:t>
      </w:r>
      <w:r w:rsidR="004061BD">
        <w:rPr>
          <w:rFonts w:ascii="Times New Roman" w:hAnsi="Times New Roman" w:cs="Times New Roman"/>
          <w:sz w:val="24"/>
          <w:szCs w:val="24"/>
        </w:rPr>
        <w:t>aigiamosios</w:t>
      </w:r>
      <w:r w:rsidR="00924CF4" w:rsidRPr="00A91E83">
        <w:rPr>
          <w:rFonts w:ascii="Times New Roman" w:hAnsi="Times New Roman" w:cs="Times New Roman"/>
          <w:sz w:val="24"/>
          <w:szCs w:val="24"/>
        </w:rPr>
        <w:t xml:space="preserve"> užskait</w:t>
      </w:r>
      <w:r w:rsidR="004061BD">
        <w:rPr>
          <w:rFonts w:ascii="Times New Roman" w:hAnsi="Times New Roman" w:cs="Times New Roman"/>
          <w:sz w:val="24"/>
          <w:szCs w:val="24"/>
        </w:rPr>
        <w:t>os mechanizmą prieštaraujančiu bendrosioms bankroto normoms</w:t>
      </w:r>
      <w:r w:rsidR="00924CF4" w:rsidRPr="00A91E83">
        <w:rPr>
          <w:rFonts w:ascii="Times New Roman" w:hAnsi="Times New Roman" w:cs="Times New Roman"/>
          <w:sz w:val="24"/>
          <w:szCs w:val="24"/>
        </w:rPr>
        <w:t>, nes ĮBĮ draudžia nemokios bendrovės prievolių vykdymą nuo bankroto bylos įsiteisėjimo momento, kuris apima ir įskaitymą</w:t>
      </w:r>
      <w:r w:rsidRPr="00A91E83">
        <w:rPr>
          <w:rFonts w:ascii="Times New Roman" w:hAnsi="Times New Roman" w:cs="Times New Roman"/>
          <w:sz w:val="24"/>
          <w:szCs w:val="24"/>
        </w:rPr>
        <w:t>.</w:t>
      </w:r>
      <w:r w:rsidR="00924CF4" w:rsidRPr="00A91E83">
        <w:rPr>
          <w:rFonts w:ascii="Times New Roman" w:hAnsi="Times New Roman" w:cs="Times New Roman"/>
          <w:sz w:val="24"/>
          <w:szCs w:val="24"/>
        </w:rPr>
        <w:t xml:space="preserve"> </w:t>
      </w:r>
      <w:r w:rsidRPr="00A91E83">
        <w:rPr>
          <w:rFonts w:ascii="Times New Roman" w:hAnsi="Times New Roman" w:cs="Times New Roman"/>
          <w:sz w:val="24"/>
          <w:szCs w:val="24"/>
        </w:rPr>
        <w:t>Bendrosios bankroto normos leidžia</w:t>
      </w:r>
      <w:r w:rsidR="00924CF4" w:rsidRPr="00A91E83">
        <w:rPr>
          <w:rFonts w:ascii="Times New Roman" w:hAnsi="Times New Roman" w:cs="Times New Roman"/>
          <w:sz w:val="24"/>
          <w:szCs w:val="24"/>
        </w:rPr>
        <w:t xml:space="preserve"> </w:t>
      </w:r>
      <w:r w:rsidRPr="00A91E83">
        <w:rPr>
          <w:rFonts w:ascii="Times New Roman" w:hAnsi="Times New Roman" w:cs="Times New Roman"/>
          <w:sz w:val="24"/>
          <w:szCs w:val="24"/>
        </w:rPr>
        <w:t>nutraukti sandorius, įvertinti</w:t>
      </w:r>
      <w:r w:rsidR="00924CF4" w:rsidRPr="00A91E83">
        <w:rPr>
          <w:rFonts w:ascii="Times New Roman" w:hAnsi="Times New Roman" w:cs="Times New Roman"/>
          <w:sz w:val="24"/>
          <w:szCs w:val="24"/>
        </w:rPr>
        <w:t xml:space="preserve"> kylančius priešpriešinius įsipareigojimus</w:t>
      </w:r>
      <w:r w:rsidRPr="00A91E83">
        <w:rPr>
          <w:rFonts w:ascii="Times New Roman" w:hAnsi="Times New Roman" w:cs="Times New Roman"/>
          <w:sz w:val="24"/>
          <w:szCs w:val="24"/>
        </w:rPr>
        <w:t>, tačiau neleidžia jų įskaityti, t.</w:t>
      </w:r>
      <w:r w:rsidR="00E55F6C" w:rsidRPr="00A91E83">
        <w:rPr>
          <w:rFonts w:ascii="Times New Roman" w:hAnsi="Times New Roman" w:cs="Times New Roman"/>
          <w:sz w:val="24"/>
          <w:szCs w:val="24"/>
        </w:rPr>
        <w:t> </w:t>
      </w:r>
      <w:r w:rsidRPr="00A91E83">
        <w:rPr>
          <w:rFonts w:ascii="Times New Roman" w:hAnsi="Times New Roman" w:cs="Times New Roman"/>
          <w:sz w:val="24"/>
          <w:szCs w:val="24"/>
        </w:rPr>
        <w:t>y. priešpriešinių įsipareigojimų sujungti</w:t>
      </w:r>
      <w:r w:rsidR="00924CF4" w:rsidRPr="00A91E83">
        <w:rPr>
          <w:rFonts w:ascii="Times New Roman" w:hAnsi="Times New Roman" w:cs="Times New Roman"/>
          <w:sz w:val="24"/>
          <w:szCs w:val="24"/>
        </w:rPr>
        <w:t xml:space="preserve"> į vieną mokėtiną sumą</w:t>
      </w:r>
      <w:r w:rsidRPr="00A91E83">
        <w:rPr>
          <w:rFonts w:ascii="Times New Roman" w:hAnsi="Times New Roman" w:cs="Times New Roman"/>
          <w:sz w:val="24"/>
          <w:szCs w:val="24"/>
        </w:rPr>
        <w:t xml:space="preserve">. Sutarčių laisvės principas yra ribojamas imperatyvių bankroto normų, nes jos siekia apsaugoti kreditorių lygiateisiškumą. </w:t>
      </w:r>
      <w:r w:rsidR="00A14D5C" w:rsidRPr="00A91E83">
        <w:rPr>
          <w:rFonts w:ascii="Times New Roman" w:hAnsi="Times New Roman" w:cs="Times New Roman"/>
          <w:sz w:val="24"/>
          <w:szCs w:val="24"/>
        </w:rPr>
        <w:t xml:space="preserve">Nepaisant to, užskaitos efektas gali būti pasiektas įskaitant priešpriešinius reikalavimus tarp kylančių įsipareigojimų iš </w:t>
      </w:r>
      <w:r w:rsidR="00432B16">
        <w:rPr>
          <w:rFonts w:ascii="Times New Roman" w:hAnsi="Times New Roman" w:cs="Times New Roman"/>
          <w:sz w:val="24"/>
          <w:szCs w:val="24"/>
        </w:rPr>
        <w:t xml:space="preserve">sandorių dėl </w:t>
      </w:r>
      <w:r w:rsidR="00A14D5C" w:rsidRPr="00A91E83">
        <w:rPr>
          <w:rFonts w:ascii="Times New Roman" w:hAnsi="Times New Roman" w:cs="Times New Roman"/>
          <w:sz w:val="24"/>
          <w:szCs w:val="24"/>
        </w:rPr>
        <w:t>išvestinių finansinių priemonių ir pateikto finansinio užstato su nuosavybės teise.</w:t>
      </w:r>
      <w:r w:rsidR="004C62E4" w:rsidRPr="00A91E83">
        <w:rPr>
          <w:rFonts w:ascii="Times New Roman" w:hAnsi="Times New Roman" w:cs="Times New Roman"/>
          <w:sz w:val="24"/>
          <w:szCs w:val="24"/>
        </w:rPr>
        <w:t xml:space="preserve"> Sandoriai dėl išvestinių finansinių priemonių, kuriuose numatyta užskaitos sąlyga, galioja visa apimtimi sudaryti iki nutarties iškelti bankroto bylą įsiteisėjimo momento, jeigu </w:t>
      </w:r>
      <w:r w:rsidR="00432B16">
        <w:rPr>
          <w:rFonts w:ascii="Times New Roman" w:hAnsi="Times New Roman" w:cs="Times New Roman"/>
          <w:sz w:val="24"/>
          <w:szCs w:val="24"/>
        </w:rPr>
        <w:t>nėra nustatytas šalių nesąžiningumas</w:t>
      </w:r>
      <w:r w:rsidR="004C62E4" w:rsidRPr="00A91E83">
        <w:rPr>
          <w:rFonts w:ascii="Times New Roman" w:hAnsi="Times New Roman" w:cs="Times New Roman"/>
          <w:sz w:val="24"/>
          <w:szCs w:val="24"/>
        </w:rPr>
        <w:t>.</w:t>
      </w:r>
    </w:p>
    <w:p w:rsidR="00924CF4" w:rsidRDefault="00924CF4" w:rsidP="00924CF4">
      <w:pPr>
        <w:tabs>
          <w:tab w:val="left" w:pos="851"/>
          <w:tab w:val="left" w:pos="1701"/>
        </w:tabs>
        <w:spacing w:after="0" w:line="360" w:lineRule="auto"/>
        <w:jc w:val="both"/>
        <w:rPr>
          <w:rFonts w:ascii="Times New Roman" w:hAnsi="Times New Roman" w:cs="Times New Roman"/>
          <w:sz w:val="24"/>
          <w:szCs w:val="24"/>
        </w:rPr>
      </w:pPr>
    </w:p>
    <w:p w:rsidR="00933694" w:rsidRDefault="00933694" w:rsidP="00924CF4">
      <w:pPr>
        <w:tabs>
          <w:tab w:val="left" w:pos="851"/>
          <w:tab w:val="left" w:pos="170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Atsižvelgiant į minėtas išvadas, pažymėtina, jog tyrime kelta hipotezė – jog </w:t>
      </w:r>
      <w:r w:rsidRPr="00A91E83">
        <w:rPr>
          <w:rFonts w:ascii="Times New Roman" w:hAnsi="Times New Roman" w:cs="Times New Roman"/>
          <w:sz w:val="24"/>
          <w:szCs w:val="24"/>
        </w:rPr>
        <w:t>šalys sudarydamos sandorius dėl išvestinių finansinių už biržos ribų ir naudodamos ISDA formą gali pasinaudoti užskaitos mechanizmu bankroto</w:t>
      </w:r>
      <w:r>
        <w:rPr>
          <w:rFonts w:ascii="Times New Roman" w:hAnsi="Times New Roman" w:cs="Times New Roman"/>
          <w:sz w:val="24"/>
          <w:szCs w:val="24"/>
        </w:rPr>
        <w:t xml:space="preserve"> kontekste, pasitvirtino iš dalies.</w:t>
      </w:r>
    </w:p>
    <w:p w:rsidR="00933694" w:rsidRPr="00A91E83" w:rsidRDefault="00933694" w:rsidP="00924CF4">
      <w:pPr>
        <w:tabs>
          <w:tab w:val="left" w:pos="851"/>
          <w:tab w:val="left" w:pos="1701"/>
        </w:tabs>
        <w:spacing w:after="0" w:line="360" w:lineRule="auto"/>
        <w:jc w:val="both"/>
        <w:rPr>
          <w:rFonts w:ascii="Times New Roman" w:hAnsi="Times New Roman" w:cs="Times New Roman"/>
          <w:sz w:val="24"/>
          <w:szCs w:val="24"/>
        </w:rPr>
      </w:pPr>
    </w:p>
    <w:p w:rsidR="00924CF4" w:rsidRPr="00A91E83" w:rsidRDefault="00924CF4" w:rsidP="00924CF4">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 xml:space="preserve">Atsižvelgiant į tyrime aptartą </w:t>
      </w:r>
      <w:r w:rsidR="0084473A" w:rsidRPr="00A91E83">
        <w:rPr>
          <w:rFonts w:ascii="Times New Roman" w:hAnsi="Times New Roman" w:cs="Times New Roman"/>
          <w:sz w:val="24"/>
          <w:szCs w:val="24"/>
        </w:rPr>
        <w:t xml:space="preserve">baigiamosios </w:t>
      </w:r>
      <w:r w:rsidRPr="00A91E83">
        <w:rPr>
          <w:rFonts w:ascii="Times New Roman" w:hAnsi="Times New Roman" w:cs="Times New Roman"/>
          <w:sz w:val="24"/>
          <w:szCs w:val="24"/>
        </w:rPr>
        <w:t>užskaitos</w:t>
      </w:r>
      <w:r w:rsidR="006217FB">
        <w:rPr>
          <w:rFonts w:ascii="Times New Roman" w:hAnsi="Times New Roman" w:cs="Times New Roman"/>
          <w:sz w:val="24"/>
          <w:szCs w:val="24"/>
        </w:rPr>
        <w:t xml:space="preserve"> naudą siūlome įtvirtinti aiškias</w:t>
      </w:r>
      <w:r w:rsidRPr="00A91E83">
        <w:rPr>
          <w:rFonts w:ascii="Times New Roman" w:hAnsi="Times New Roman" w:cs="Times New Roman"/>
          <w:sz w:val="24"/>
          <w:szCs w:val="24"/>
        </w:rPr>
        <w:t xml:space="preserve"> </w:t>
      </w:r>
      <w:r w:rsidR="00A91E13">
        <w:rPr>
          <w:rFonts w:ascii="Times New Roman" w:hAnsi="Times New Roman" w:cs="Times New Roman"/>
          <w:sz w:val="24"/>
          <w:szCs w:val="24"/>
        </w:rPr>
        <w:t>Finansinio užtikrinimo susitarimų įstatymo</w:t>
      </w:r>
      <w:r w:rsidRPr="00A91E83">
        <w:rPr>
          <w:rFonts w:ascii="Times New Roman" w:hAnsi="Times New Roman" w:cs="Times New Roman"/>
          <w:sz w:val="24"/>
          <w:szCs w:val="24"/>
        </w:rPr>
        <w:t xml:space="preserve"> nuostatas</w:t>
      </w:r>
      <w:r w:rsidR="006217FB">
        <w:rPr>
          <w:rFonts w:ascii="Times New Roman" w:hAnsi="Times New Roman" w:cs="Times New Roman"/>
          <w:sz w:val="24"/>
          <w:szCs w:val="24"/>
        </w:rPr>
        <w:t>,</w:t>
      </w:r>
      <w:r w:rsidRPr="00A91E83">
        <w:rPr>
          <w:rFonts w:ascii="Times New Roman" w:hAnsi="Times New Roman" w:cs="Times New Roman"/>
          <w:sz w:val="24"/>
          <w:szCs w:val="24"/>
        </w:rPr>
        <w:t xml:space="preserve"> leidžiančias užskaitos taikymo </w:t>
      </w:r>
      <w:r w:rsidR="00101B26">
        <w:rPr>
          <w:rFonts w:ascii="Times New Roman" w:hAnsi="Times New Roman" w:cs="Times New Roman"/>
          <w:sz w:val="24"/>
          <w:szCs w:val="24"/>
        </w:rPr>
        <w:t xml:space="preserve">visa apimtimi </w:t>
      </w:r>
      <w:r w:rsidRPr="00A91E83">
        <w:rPr>
          <w:rFonts w:ascii="Times New Roman" w:hAnsi="Times New Roman" w:cs="Times New Roman"/>
          <w:sz w:val="24"/>
          <w:szCs w:val="24"/>
        </w:rPr>
        <w:t>mechanizmą</w:t>
      </w:r>
      <w:r w:rsidR="006217FB">
        <w:rPr>
          <w:rFonts w:ascii="Times New Roman" w:hAnsi="Times New Roman" w:cs="Times New Roman"/>
          <w:sz w:val="24"/>
          <w:szCs w:val="24"/>
        </w:rPr>
        <w:t>,</w:t>
      </w:r>
      <w:r w:rsidRPr="00A91E83">
        <w:rPr>
          <w:rFonts w:ascii="Times New Roman" w:hAnsi="Times New Roman" w:cs="Times New Roman"/>
          <w:sz w:val="24"/>
          <w:szCs w:val="24"/>
        </w:rPr>
        <w:t xml:space="preserve"> net ir nesant tarp šalių sudaryto finansinio užtikrinimo susitarimo</w:t>
      </w:r>
      <w:r w:rsidR="00022355" w:rsidRPr="00A91E83">
        <w:rPr>
          <w:rFonts w:ascii="Times New Roman" w:hAnsi="Times New Roman" w:cs="Times New Roman"/>
          <w:sz w:val="24"/>
          <w:szCs w:val="24"/>
        </w:rPr>
        <w:t>,</w:t>
      </w:r>
      <w:r w:rsidRPr="00A91E83">
        <w:rPr>
          <w:rFonts w:ascii="Times New Roman" w:hAnsi="Times New Roman" w:cs="Times New Roman"/>
          <w:sz w:val="24"/>
          <w:szCs w:val="24"/>
        </w:rPr>
        <w:t xml:space="preserve"> atitinkančio Finansinio užtikrinimo susit</w:t>
      </w:r>
      <w:r w:rsidR="00022355" w:rsidRPr="00A91E83">
        <w:rPr>
          <w:rFonts w:ascii="Times New Roman" w:hAnsi="Times New Roman" w:cs="Times New Roman"/>
          <w:sz w:val="24"/>
          <w:szCs w:val="24"/>
        </w:rPr>
        <w:t>arimų įstatymo sąlygas, tačiau</w:t>
      </w:r>
      <w:r w:rsidR="001A156C" w:rsidRPr="00A91E83">
        <w:rPr>
          <w:rFonts w:ascii="Times New Roman" w:hAnsi="Times New Roman" w:cs="Times New Roman"/>
          <w:sz w:val="24"/>
          <w:szCs w:val="24"/>
        </w:rPr>
        <w:t xml:space="preserve"> </w:t>
      </w:r>
      <w:r w:rsidR="00101B26">
        <w:rPr>
          <w:rFonts w:ascii="Times New Roman" w:hAnsi="Times New Roman" w:cs="Times New Roman"/>
          <w:sz w:val="24"/>
          <w:szCs w:val="24"/>
        </w:rPr>
        <w:t>siekiant</w:t>
      </w:r>
      <w:r w:rsidR="00022355" w:rsidRPr="00A91E83">
        <w:rPr>
          <w:rFonts w:ascii="Times New Roman" w:hAnsi="Times New Roman" w:cs="Times New Roman"/>
          <w:sz w:val="24"/>
          <w:szCs w:val="24"/>
        </w:rPr>
        <w:t xml:space="preserve"> išvengti </w:t>
      </w:r>
      <w:r w:rsidR="000F0115" w:rsidRPr="00A91E83">
        <w:rPr>
          <w:rFonts w:ascii="Times New Roman" w:hAnsi="Times New Roman" w:cs="Times New Roman"/>
          <w:sz w:val="24"/>
          <w:szCs w:val="24"/>
        </w:rPr>
        <w:t xml:space="preserve">piktnaudžiavimo ir nepagrįstai didelės </w:t>
      </w:r>
      <w:r w:rsidR="00101B26">
        <w:rPr>
          <w:rFonts w:ascii="Times New Roman" w:hAnsi="Times New Roman" w:cs="Times New Roman"/>
          <w:sz w:val="24"/>
          <w:szCs w:val="24"/>
        </w:rPr>
        <w:t>žalos kitų kreditorių atžvilgiu, taikyti užskaitos mechanizmą tik sandoriams dėl išvestinių finansinių priemonių.</w:t>
      </w:r>
    </w:p>
    <w:p w:rsidR="00A91E13" w:rsidRDefault="00A91E13" w:rsidP="00924CF4">
      <w:pPr>
        <w:tabs>
          <w:tab w:val="left" w:pos="851"/>
          <w:tab w:val="left" w:pos="1701"/>
        </w:tabs>
        <w:spacing w:after="0" w:line="360" w:lineRule="auto"/>
        <w:jc w:val="both"/>
        <w:rPr>
          <w:rFonts w:ascii="Times New Roman" w:hAnsi="Times New Roman" w:cs="Times New Roman"/>
          <w:sz w:val="24"/>
          <w:szCs w:val="24"/>
        </w:rPr>
      </w:pPr>
    </w:p>
    <w:p w:rsidR="00924CF4" w:rsidRPr="00A91E83" w:rsidRDefault="00924CF4" w:rsidP="00924CF4">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Pakeisti F</w:t>
      </w:r>
      <w:r w:rsidR="00832125">
        <w:rPr>
          <w:rFonts w:ascii="Times New Roman" w:hAnsi="Times New Roman" w:cs="Times New Roman"/>
          <w:sz w:val="24"/>
          <w:szCs w:val="24"/>
        </w:rPr>
        <w:t>inansinio užtikrinimo susitarimų</w:t>
      </w:r>
      <w:r w:rsidRPr="00A91E83">
        <w:rPr>
          <w:rFonts w:ascii="Times New Roman" w:hAnsi="Times New Roman" w:cs="Times New Roman"/>
          <w:sz w:val="24"/>
          <w:szCs w:val="24"/>
        </w:rPr>
        <w:t xml:space="preserve"> įstatymo 2 </w:t>
      </w:r>
      <w:proofErr w:type="spellStart"/>
      <w:r w:rsidRPr="00A91E83">
        <w:rPr>
          <w:rFonts w:ascii="Times New Roman" w:hAnsi="Times New Roman" w:cs="Times New Roman"/>
          <w:sz w:val="24"/>
          <w:szCs w:val="24"/>
        </w:rPr>
        <w:t>str</w:t>
      </w:r>
      <w:proofErr w:type="spellEnd"/>
      <w:r w:rsidRPr="00A91E83">
        <w:rPr>
          <w:rFonts w:ascii="Times New Roman" w:hAnsi="Times New Roman" w:cs="Times New Roman"/>
          <w:sz w:val="24"/>
          <w:szCs w:val="24"/>
        </w:rPr>
        <w:t xml:space="preserve">. 5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vartojamą sąvoką „baigiamojo įskaitymo sąlyga“ į tikslesnį terminą „baigiamosios užskaitos sąlyga“; Atsiskaitymų baigtinumo </w:t>
      </w:r>
      <w:r w:rsidRPr="00A91E83">
        <w:rPr>
          <w:rFonts w:ascii="Times New Roman" w:hAnsi="Times New Roman" w:cs="Times New Roman"/>
          <w:sz w:val="24"/>
          <w:szCs w:val="24"/>
        </w:rPr>
        <w:lastRenderedPageBreak/>
        <w:t xml:space="preserve">mokėjimo ir vertybinių popierių atsiskaitymo sistemose įstatymo 2 </w:t>
      </w:r>
      <w:proofErr w:type="spellStart"/>
      <w:r w:rsidRPr="00A91E83">
        <w:rPr>
          <w:rFonts w:ascii="Times New Roman" w:hAnsi="Times New Roman" w:cs="Times New Roman"/>
          <w:sz w:val="24"/>
          <w:szCs w:val="24"/>
        </w:rPr>
        <w:t>str</w:t>
      </w:r>
      <w:proofErr w:type="spellEnd"/>
      <w:r w:rsidRPr="00A91E83">
        <w:rPr>
          <w:rFonts w:ascii="Times New Roman" w:hAnsi="Times New Roman" w:cs="Times New Roman"/>
          <w:sz w:val="24"/>
          <w:szCs w:val="24"/>
        </w:rPr>
        <w:t xml:space="preserve">. 7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vartojamą sąvoką „įskaitymas“ pakeisti į tikslesnį terminą „užskaitą“.</w:t>
      </w:r>
    </w:p>
    <w:p w:rsidR="00924CF4" w:rsidRPr="00A91E83" w:rsidRDefault="00924CF4" w:rsidP="00924CF4">
      <w:pPr>
        <w:tabs>
          <w:tab w:val="left" w:pos="851"/>
          <w:tab w:val="left" w:pos="1701"/>
        </w:tabs>
        <w:spacing w:after="0" w:line="360" w:lineRule="auto"/>
        <w:jc w:val="both"/>
        <w:rPr>
          <w:rFonts w:ascii="Times New Roman" w:hAnsi="Times New Roman" w:cs="Times New Roman"/>
          <w:sz w:val="24"/>
          <w:szCs w:val="24"/>
        </w:rPr>
      </w:pPr>
    </w:p>
    <w:p w:rsidR="00924CF4" w:rsidRDefault="00924CF4" w:rsidP="00924CF4">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Pakeisti F</w:t>
      </w:r>
      <w:r w:rsidR="00832125">
        <w:rPr>
          <w:rFonts w:ascii="Times New Roman" w:hAnsi="Times New Roman" w:cs="Times New Roman"/>
          <w:sz w:val="24"/>
          <w:szCs w:val="24"/>
        </w:rPr>
        <w:t>inansinio užtikrinimo susitarimų</w:t>
      </w:r>
      <w:r w:rsidRPr="00A91E83">
        <w:rPr>
          <w:rFonts w:ascii="Times New Roman" w:hAnsi="Times New Roman" w:cs="Times New Roman"/>
          <w:sz w:val="24"/>
          <w:szCs w:val="24"/>
        </w:rPr>
        <w:t xml:space="preserve"> įstatymo 2 </w:t>
      </w:r>
      <w:proofErr w:type="spellStart"/>
      <w:r w:rsidRPr="00A91E83">
        <w:rPr>
          <w:rFonts w:ascii="Times New Roman" w:hAnsi="Times New Roman" w:cs="Times New Roman"/>
          <w:sz w:val="24"/>
          <w:szCs w:val="24"/>
        </w:rPr>
        <w:t>str</w:t>
      </w:r>
      <w:proofErr w:type="spellEnd"/>
      <w:r w:rsidRPr="00A91E83">
        <w:rPr>
          <w:rFonts w:ascii="Times New Roman" w:hAnsi="Times New Roman" w:cs="Times New Roman"/>
          <w:sz w:val="24"/>
          <w:szCs w:val="24"/>
        </w:rPr>
        <w:t xml:space="preserve">. 7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w:t>
      </w:r>
      <w:r w:rsidR="00CF7E6E" w:rsidRPr="00A91E83">
        <w:rPr>
          <w:rFonts w:ascii="Times New Roman" w:hAnsi="Times New Roman" w:cs="Times New Roman"/>
          <w:sz w:val="24"/>
          <w:szCs w:val="24"/>
        </w:rPr>
        <w:t>ir išdėstyti ta</w:t>
      </w:r>
      <w:r w:rsidR="00B441BB">
        <w:rPr>
          <w:rFonts w:ascii="Times New Roman" w:hAnsi="Times New Roman" w:cs="Times New Roman"/>
          <w:sz w:val="24"/>
          <w:szCs w:val="24"/>
        </w:rPr>
        <w:t>ip, kad „finansinės priemonės“ sąvoka apimtų ir išvestines finansines priemones</w:t>
      </w:r>
      <w:r w:rsidR="00B441BB" w:rsidRPr="00B441BB">
        <w:rPr>
          <w:rFonts w:ascii="Times New Roman" w:hAnsi="Times New Roman" w:cs="Times New Roman"/>
          <w:sz w:val="24"/>
          <w:szCs w:val="24"/>
        </w:rPr>
        <w:t>, kurios patenka į Lietuvos Respublikos finansinių priemonių rinkos įstatyme 3 straipsnio 4 dalyje pateiktą sąvoką.</w:t>
      </w:r>
    </w:p>
    <w:p w:rsidR="00B441BB" w:rsidRPr="00A91E83" w:rsidRDefault="00B441BB" w:rsidP="00924CF4">
      <w:pPr>
        <w:tabs>
          <w:tab w:val="left" w:pos="851"/>
          <w:tab w:val="left" w:pos="1701"/>
        </w:tabs>
        <w:spacing w:after="0" w:line="360" w:lineRule="auto"/>
        <w:jc w:val="both"/>
        <w:rPr>
          <w:rFonts w:ascii="Times New Roman" w:hAnsi="Times New Roman" w:cs="Times New Roman"/>
          <w:sz w:val="24"/>
          <w:szCs w:val="24"/>
        </w:rPr>
      </w:pPr>
    </w:p>
    <w:p w:rsidR="008461E2" w:rsidRPr="00A91E83" w:rsidRDefault="008461E2">
      <w:pPr>
        <w:rPr>
          <w:rFonts w:ascii="Times New Roman" w:hAnsi="Times New Roman" w:cs="Times New Roman"/>
          <w:sz w:val="24"/>
          <w:szCs w:val="24"/>
        </w:rPr>
      </w:pPr>
      <w:r w:rsidRPr="00A91E83">
        <w:rPr>
          <w:rFonts w:ascii="Times New Roman" w:hAnsi="Times New Roman" w:cs="Times New Roman"/>
          <w:sz w:val="24"/>
          <w:szCs w:val="24"/>
        </w:rPr>
        <w:br w:type="page"/>
      </w:r>
    </w:p>
    <w:p w:rsidR="008461E2" w:rsidRPr="00A91E83" w:rsidRDefault="008461E2" w:rsidP="008461E2">
      <w:pPr>
        <w:pStyle w:val="Antrat1"/>
        <w:jc w:val="center"/>
        <w:rPr>
          <w:rFonts w:ascii="Times New Roman" w:hAnsi="Times New Roman" w:cs="Times New Roman"/>
          <w:b w:val="0"/>
          <w:sz w:val="24"/>
          <w:szCs w:val="24"/>
        </w:rPr>
      </w:pPr>
      <w:bookmarkStart w:id="48" w:name="_Toc280546481"/>
      <w:r w:rsidRPr="00A91E83">
        <w:rPr>
          <w:rFonts w:ascii="Times New Roman" w:hAnsi="Times New Roman" w:cs="Times New Roman"/>
          <w:sz w:val="24"/>
          <w:szCs w:val="24"/>
        </w:rPr>
        <w:lastRenderedPageBreak/>
        <w:t>NAUDOTOS LITERATŪROS SĄRAŠAS</w:t>
      </w:r>
      <w:bookmarkEnd w:id="48"/>
    </w:p>
    <w:p w:rsidR="008461E2" w:rsidRPr="00A91E83" w:rsidRDefault="008461E2" w:rsidP="008461E2">
      <w:pPr>
        <w:tabs>
          <w:tab w:val="left" w:pos="851"/>
          <w:tab w:val="left" w:pos="1701"/>
        </w:tabs>
        <w:spacing w:after="0" w:line="360" w:lineRule="auto"/>
        <w:jc w:val="center"/>
        <w:rPr>
          <w:rFonts w:ascii="Times New Roman" w:hAnsi="Times New Roman" w:cs="Times New Roman"/>
          <w:b/>
          <w:sz w:val="24"/>
          <w:szCs w:val="24"/>
        </w:rPr>
      </w:pPr>
    </w:p>
    <w:p w:rsidR="008461E2" w:rsidRPr="00A91E83" w:rsidRDefault="008461E2" w:rsidP="008461E2">
      <w:pPr>
        <w:tabs>
          <w:tab w:val="left" w:pos="851"/>
          <w:tab w:val="left" w:pos="1701"/>
        </w:tabs>
        <w:spacing w:after="0" w:line="360" w:lineRule="auto"/>
        <w:jc w:val="center"/>
        <w:rPr>
          <w:rFonts w:ascii="Times New Roman" w:hAnsi="Times New Roman" w:cs="Times New Roman"/>
          <w:b/>
          <w:sz w:val="24"/>
          <w:szCs w:val="24"/>
        </w:rPr>
      </w:pPr>
      <w:r w:rsidRPr="00A91E83">
        <w:rPr>
          <w:rFonts w:ascii="Times New Roman" w:hAnsi="Times New Roman" w:cs="Times New Roman"/>
          <w:b/>
          <w:sz w:val="24"/>
          <w:szCs w:val="24"/>
        </w:rPr>
        <w:t>Teisės norminiai aktai</w:t>
      </w:r>
    </w:p>
    <w:p w:rsidR="008461E2" w:rsidRPr="00A91E83" w:rsidRDefault="008461E2" w:rsidP="008461E2">
      <w:pPr>
        <w:tabs>
          <w:tab w:val="left" w:pos="851"/>
          <w:tab w:val="left" w:pos="1701"/>
        </w:tabs>
        <w:spacing w:after="0" w:line="360" w:lineRule="auto"/>
        <w:jc w:val="center"/>
        <w:rPr>
          <w:rFonts w:ascii="Times New Roman" w:hAnsi="Times New Roman" w:cs="Times New Roman"/>
          <w:b/>
          <w:sz w:val="24"/>
          <w:szCs w:val="24"/>
        </w:rPr>
      </w:pPr>
    </w:p>
    <w:p w:rsidR="008461E2" w:rsidRPr="00A91E83" w:rsidRDefault="008461E2" w:rsidP="008461E2">
      <w:pPr>
        <w:tabs>
          <w:tab w:val="left" w:pos="851"/>
          <w:tab w:val="left" w:pos="1701"/>
        </w:tabs>
        <w:spacing w:after="0" w:line="360" w:lineRule="auto"/>
        <w:jc w:val="center"/>
        <w:rPr>
          <w:rFonts w:ascii="Times New Roman" w:hAnsi="Times New Roman" w:cs="Times New Roman"/>
          <w:b/>
          <w:sz w:val="24"/>
          <w:szCs w:val="24"/>
        </w:rPr>
      </w:pPr>
      <w:r w:rsidRPr="00A91E83">
        <w:rPr>
          <w:rFonts w:ascii="Times New Roman" w:hAnsi="Times New Roman" w:cs="Times New Roman"/>
          <w:b/>
          <w:sz w:val="24"/>
          <w:szCs w:val="24"/>
        </w:rPr>
        <w:t>Nacionaliniai norminiai aktai</w:t>
      </w: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rPr>
      </w:pPr>
    </w:p>
    <w:p w:rsidR="002B3A29" w:rsidRPr="00A91E83" w:rsidRDefault="002B3A29" w:rsidP="002B3A29">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Lietuvos Respublikos atsiskaitymų baigtinumo mokėjimo ir vertybinių popierių atsiskaitymo sistemose įstatymas // Valstybės žinios, 2003,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61-2754.</w:t>
      </w:r>
    </w:p>
    <w:p w:rsidR="00B51EE3" w:rsidRPr="00A91E83" w:rsidRDefault="00B51EE3" w:rsidP="00B51EE3">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Lietuvos Respublikos bankų įstatymas // Valstybės žinos, 2004, Nr.54-1832.</w:t>
      </w:r>
    </w:p>
    <w:p w:rsidR="002B3A29" w:rsidRPr="00A91E83" w:rsidRDefault="002B3A29" w:rsidP="002B3A29">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Lietuvos Respublikos civilinis kodeksas // Valstybės žinios, 2000,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74-2262.</w:t>
      </w:r>
    </w:p>
    <w:p w:rsidR="002B3A29" w:rsidRPr="00A91E83" w:rsidRDefault="002B3A29" w:rsidP="002B3A29">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Lietuvos Respublikos f</w:t>
      </w:r>
      <w:r w:rsidR="008344CE">
        <w:rPr>
          <w:rFonts w:ascii="Times New Roman" w:hAnsi="Times New Roman" w:cs="Times New Roman"/>
          <w:sz w:val="24"/>
          <w:szCs w:val="24"/>
        </w:rPr>
        <w:t>inansinio užtikrinimo susitarimų</w:t>
      </w:r>
      <w:r w:rsidRPr="00A91E83">
        <w:rPr>
          <w:rFonts w:ascii="Times New Roman" w:hAnsi="Times New Roman" w:cs="Times New Roman"/>
          <w:sz w:val="24"/>
          <w:szCs w:val="24"/>
        </w:rPr>
        <w:t xml:space="preserve"> įstatymas // Valstybės žinios, 2004,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61-2183.</w:t>
      </w:r>
    </w:p>
    <w:p w:rsidR="002B3A29" w:rsidRPr="00A91E83" w:rsidRDefault="002B3A29" w:rsidP="002B3A29">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Lietuvos Respublikos finansinio užtikrinimo susitarimų įstatymo 1, 2, 3, 5, 6, 9, 11 straipsnių ir priedo pakeitimo ir papildymo įstatymo projektas,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xml:space="preserve">. 10-2168-01, 2010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liepos 28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Lietuvos Respublikos finansinių priemonių rinkų įstatymas // Valstybės žinios, 2007, Nr. 17-627.</w:t>
      </w:r>
    </w:p>
    <w:p w:rsidR="00B51EE3" w:rsidRPr="00A91E83" w:rsidRDefault="00B51EE3" w:rsidP="00B51EE3">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Lietuvos Respublikos indėlių ir įsipareigojimų investuotojams draudimo įstatymas // Valstybės žinios, 2002,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65-2635.</w:t>
      </w:r>
    </w:p>
    <w:p w:rsidR="002B3A29" w:rsidRPr="00A91E83" w:rsidRDefault="002B3A29" w:rsidP="002B3A29">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Lietuvos Respublikos įmonių bankroto įstatymas // Valstybės žinios, 2001,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31-1010.</w:t>
      </w:r>
    </w:p>
    <w:p w:rsidR="002B3A29" w:rsidRPr="00A91E83" w:rsidRDefault="002B3A29" w:rsidP="002B3A29">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Lietuvos Respublikos įmonių restruktūrizavimo įstatymas // Valstybės žinios, 2001,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31-1012.</w:t>
      </w:r>
    </w:p>
    <w:p w:rsidR="002B3A29" w:rsidRPr="00A91E83" w:rsidRDefault="002B3A29" w:rsidP="002B3A29">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Lietuvos Respublikos valstybės skolos įstatymas // Valstybės žinios, 1996,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86-2045.</w:t>
      </w:r>
    </w:p>
    <w:p w:rsidR="00B51EE3" w:rsidRPr="00A91E83" w:rsidRDefault="00B51EE3" w:rsidP="00B51EE3">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Apskaitos instituto direktoriaus 2007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rugsėjo 17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įsakymas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xml:space="preserve">. VAS-6 dėl 26-ojo verslo apskaitos standarto „Išvestinės finansinės priemonės“ tvirtinimo // Valstybės žinios, 2007,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99-4045.</w:t>
      </w:r>
    </w:p>
    <w:p w:rsidR="00B51EE3" w:rsidRPr="00A91E83" w:rsidRDefault="00B51EE3" w:rsidP="00B51EE3">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Lietuvos banko valdybos 2000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kovo 9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nutarimas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31 dėl atpirkimo sandorių tarp Lietuvos banko ir bankų sudarymo ir vykdymo taisyklių patvirtinimo // Valstybės žinios, Nr. 24-639.</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Vertybinių popierių komisijos 2004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lapkričio 5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nutarimas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xml:space="preserve">. 20 dėl kolektyvinio investavimo subjektų išvestinių finansinių priemonių naudojimo ir susijusių </w:t>
      </w:r>
      <w:proofErr w:type="spellStart"/>
      <w:r w:rsidRPr="00A91E83">
        <w:rPr>
          <w:rFonts w:ascii="Times New Roman" w:hAnsi="Times New Roman" w:cs="Times New Roman"/>
          <w:sz w:val="24"/>
          <w:szCs w:val="24"/>
        </w:rPr>
        <w:t>rizikų</w:t>
      </w:r>
      <w:proofErr w:type="spellEnd"/>
      <w:r w:rsidRPr="00A91E83">
        <w:rPr>
          <w:rFonts w:ascii="Times New Roman" w:hAnsi="Times New Roman" w:cs="Times New Roman"/>
          <w:sz w:val="24"/>
          <w:szCs w:val="24"/>
        </w:rPr>
        <w:t xml:space="preserve"> vertinimo tvarkos metodikos patvirtinimo // Valstybės žinios, 2004,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165-6059.</w:t>
      </w: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rPr>
      </w:pP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rPr>
      </w:pP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rPr>
      </w:pPr>
    </w:p>
    <w:p w:rsidR="008461E2" w:rsidRPr="00A91E83" w:rsidRDefault="008461E2" w:rsidP="008461E2">
      <w:pPr>
        <w:tabs>
          <w:tab w:val="left" w:pos="851"/>
          <w:tab w:val="left" w:pos="1701"/>
        </w:tabs>
        <w:spacing w:after="0" w:line="360" w:lineRule="auto"/>
        <w:jc w:val="center"/>
        <w:rPr>
          <w:rFonts w:ascii="Times New Roman" w:hAnsi="Times New Roman" w:cs="Times New Roman"/>
          <w:b/>
          <w:sz w:val="24"/>
          <w:szCs w:val="24"/>
        </w:rPr>
      </w:pPr>
      <w:r w:rsidRPr="00A91E83">
        <w:rPr>
          <w:rFonts w:ascii="Times New Roman" w:hAnsi="Times New Roman" w:cs="Times New Roman"/>
          <w:b/>
          <w:sz w:val="24"/>
          <w:szCs w:val="24"/>
        </w:rPr>
        <w:lastRenderedPageBreak/>
        <w:t>Europos Sąjungos teisės aktai ir užsienio valstybių norminiai aktai</w:t>
      </w:r>
    </w:p>
    <w:p w:rsidR="008461E2" w:rsidRPr="00A91E83" w:rsidRDefault="008461E2" w:rsidP="008461E2">
      <w:pPr>
        <w:tabs>
          <w:tab w:val="left" w:pos="851"/>
          <w:tab w:val="left" w:pos="1701"/>
        </w:tabs>
        <w:spacing w:after="0" w:line="360" w:lineRule="auto"/>
        <w:jc w:val="both"/>
        <w:rPr>
          <w:rFonts w:ascii="Times New Roman" w:hAnsi="Times New Roman" w:cs="Times New Roman"/>
          <w:b/>
          <w:sz w:val="24"/>
          <w:szCs w:val="24"/>
        </w:rPr>
      </w:pP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Europos Parlamento ir Tarybos 1998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kovo 19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direktyva 98/26/EB „Dėl atsiskaitymų baigtinumo mokėjimo ir vertybinių popierių atsiskaitymo sistemose“ // OL L 166, 1998-06-11, </w:t>
      </w:r>
      <w:proofErr w:type="spellStart"/>
      <w:r w:rsidRPr="00A91E83">
        <w:rPr>
          <w:rFonts w:ascii="Times New Roman" w:hAnsi="Times New Roman" w:cs="Times New Roman"/>
          <w:sz w:val="24"/>
          <w:szCs w:val="24"/>
        </w:rPr>
        <w:t>p</w:t>
      </w:r>
      <w:proofErr w:type="spellEnd"/>
      <w:r w:rsidRPr="00A91E83">
        <w:rPr>
          <w:rFonts w:ascii="Times New Roman" w:hAnsi="Times New Roman" w:cs="Times New Roman"/>
          <w:sz w:val="24"/>
          <w:szCs w:val="24"/>
        </w:rPr>
        <w:t>. 45-50.</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Europos Parlamento ir Tarybos 2001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balandžio 4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direktyva 2001/24/EB „Dėl kredito įstaigų reorganizavimo ir likvidavimo“. OL L 125, 2001-05-05, </w:t>
      </w:r>
      <w:proofErr w:type="spellStart"/>
      <w:r w:rsidRPr="00A91E83">
        <w:rPr>
          <w:rFonts w:ascii="Times New Roman" w:hAnsi="Times New Roman" w:cs="Times New Roman"/>
          <w:sz w:val="24"/>
          <w:szCs w:val="24"/>
        </w:rPr>
        <w:t>p</w:t>
      </w:r>
      <w:proofErr w:type="spellEnd"/>
      <w:r w:rsidRPr="00A91E83">
        <w:rPr>
          <w:rFonts w:ascii="Times New Roman" w:hAnsi="Times New Roman" w:cs="Times New Roman"/>
          <w:sz w:val="24"/>
          <w:szCs w:val="24"/>
        </w:rPr>
        <w:t>. 15-23.</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Europos Parlamento ir Tarybos 2002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birželio 6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direktyva 2002/47/EB „Dėl susitarimų dėl finansinio įkaito“. OL L 168, 2002-06-27, </w:t>
      </w:r>
      <w:proofErr w:type="spellStart"/>
      <w:r w:rsidRPr="00A91E83">
        <w:rPr>
          <w:rFonts w:ascii="Times New Roman" w:hAnsi="Times New Roman" w:cs="Times New Roman"/>
          <w:sz w:val="24"/>
          <w:szCs w:val="24"/>
        </w:rPr>
        <w:t>p</w:t>
      </w:r>
      <w:proofErr w:type="spellEnd"/>
      <w:r w:rsidRPr="00A91E83">
        <w:rPr>
          <w:rFonts w:ascii="Times New Roman" w:hAnsi="Times New Roman" w:cs="Times New Roman"/>
          <w:sz w:val="24"/>
          <w:szCs w:val="24"/>
        </w:rPr>
        <w:t>. 43-50.</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bCs/>
          <w:sz w:val="24"/>
          <w:szCs w:val="24"/>
        </w:rPr>
        <w:t xml:space="preserve">Europos Parlamento ir Tarybos 2009 gegužės 6 </w:t>
      </w:r>
      <w:proofErr w:type="spellStart"/>
      <w:r w:rsidRPr="00A91E83">
        <w:rPr>
          <w:rFonts w:ascii="Times New Roman" w:hAnsi="Times New Roman" w:cs="Times New Roman"/>
          <w:bCs/>
          <w:sz w:val="24"/>
          <w:szCs w:val="24"/>
        </w:rPr>
        <w:t>d</w:t>
      </w:r>
      <w:proofErr w:type="spellEnd"/>
      <w:r w:rsidRPr="00A91E83">
        <w:rPr>
          <w:rFonts w:ascii="Times New Roman" w:hAnsi="Times New Roman" w:cs="Times New Roman"/>
          <w:bCs/>
          <w:sz w:val="24"/>
          <w:szCs w:val="24"/>
        </w:rPr>
        <w:t xml:space="preserve">. direktyva 2009/44/EB. OL L 146, 2009-06-10, </w:t>
      </w:r>
      <w:proofErr w:type="spellStart"/>
      <w:r w:rsidRPr="00A91E83">
        <w:rPr>
          <w:rFonts w:ascii="Times New Roman" w:hAnsi="Times New Roman" w:cs="Times New Roman"/>
          <w:bCs/>
          <w:sz w:val="24"/>
          <w:szCs w:val="24"/>
        </w:rPr>
        <w:t>p</w:t>
      </w:r>
      <w:proofErr w:type="spellEnd"/>
      <w:r w:rsidRPr="00A91E83">
        <w:rPr>
          <w:rFonts w:ascii="Times New Roman" w:hAnsi="Times New Roman" w:cs="Times New Roman"/>
          <w:bCs/>
          <w:sz w:val="24"/>
          <w:szCs w:val="24"/>
        </w:rPr>
        <w:t>. 37.</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US </w:t>
      </w:r>
      <w:proofErr w:type="spellStart"/>
      <w:r w:rsidRPr="00A91E83">
        <w:rPr>
          <w:rFonts w:ascii="Times New Roman" w:hAnsi="Times New Roman" w:cs="Times New Roman"/>
          <w:sz w:val="24"/>
          <w:szCs w:val="24"/>
        </w:rPr>
        <w:t>Bankruptcy</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Code</w:t>
      </w:r>
      <w:proofErr w:type="spellEnd"/>
      <w:r w:rsidR="00832125">
        <w:rPr>
          <w:rFonts w:ascii="Times New Roman" w:hAnsi="Times New Roman" w:cs="Times New Roman"/>
          <w:sz w:val="24"/>
          <w:szCs w:val="24"/>
        </w:rPr>
        <w:t>.</w:t>
      </w:r>
    </w:p>
    <w:p w:rsidR="008461E2" w:rsidRPr="00A91E83" w:rsidRDefault="008461E2" w:rsidP="008461E2">
      <w:pPr>
        <w:tabs>
          <w:tab w:val="left" w:pos="851"/>
          <w:tab w:val="left" w:pos="1701"/>
        </w:tabs>
        <w:spacing w:after="0" w:line="360" w:lineRule="auto"/>
        <w:jc w:val="both"/>
        <w:rPr>
          <w:rFonts w:ascii="Times New Roman" w:hAnsi="Times New Roman" w:cs="Times New Roman"/>
          <w:b/>
          <w:sz w:val="24"/>
          <w:szCs w:val="24"/>
        </w:rPr>
      </w:pPr>
    </w:p>
    <w:p w:rsidR="008461E2" w:rsidRPr="00A91E83" w:rsidRDefault="008461E2" w:rsidP="008461E2">
      <w:pPr>
        <w:tabs>
          <w:tab w:val="left" w:pos="851"/>
          <w:tab w:val="left" w:pos="1701"/>
        </w:tabs>
        <w:spacing w:after="0" w:line="360" w:lineRule="auto"/>
        <w:jc w:val="center"/>
        <w:rPr>
          <w:rFonts w:ascii="Times New Roman" w:hAnsi="Times New Roman" w:cs="Times New Roman"/>
          <w:b/>
          <w:sz w:val="24"/>
          <w:szCs w:val="24"/>
        </w:rPr>
      </w:pPr>
      <w:r w:rsidRPr="00A91E83">
        <w:rPr>
          <w:rFonts w:ascii="Times New Roman" w:hAnsi="Times New Roman" w:cs="Times New Roman"/>
          <w:b/>
          <w:sz w:val="24"/>
          <w:szCs w:val="24"/>
        </w:rPr>
        <w:t>Specialioji literatūra</w:t>
      </w:r>
    </w:p>
    <w:p w:rsidR="008461E2" w:rsidRPr="00A91E83" w:rsidRDefault="008461E2" w:rsidP="008461E2">
      <w:pPr>
        <w:tabs>
          <w:tab w:val="left" w:pos="851"/>
          <w:tab w:val="left" w:pos="1701"/>
        </w:tabs>
        <w:spacing w:after="0" w:line="360" w:lineRule="auto"/>
        <w:jc w:val="center"/>
        <w:rPr>
          <w:rFonts w:ascii="Times New Roman" w:hAnsi="Times New Roman" w:cs="Times New Roman"/>
          <w:b/>
          <w:sz w:val="24"/>
          <w:szCs w:val="24"/>
        </w:rPr>
      </w:pPr>
    </w:p>
    <w:p w:rsidR="008461E2" w:rsidRPr="00A91E83" w:rsidRDefault="008461E2" w:rsidP="008461E2">
      <w:pPr>
        <w:tabs>
          <w:tab w:val="left" w:pos="851"/>
          <w:tab w:val="left" w:pos="1701"/>
        </w:tabs>
        <w:spacing w:after="0" w:line="360" w:lineRule="auto"/>
        <w:jc w:val="center"/>
        <w:rPr>
          <w:rFonts w:ascii="Times New Roman" w:hAnsi="Times New Roman" w:cs="Times New Roman"/>
          <w:b/>
          <w:sz w:val="24"/>
          <w:szCs w:val="24"/>
        </w:rPr>
      </w:pPr>
      <w:r w:rsidRPr="00A91E83">
        <w:rPr>
          <w:rFonts w:ascii="Times New Roman" w:hAnsi="Times New Roman" w:cs="Times New Roman"/>
          <w:b/>
          <w:sz w:val="24"/>
          <w:szCs w:val="24"/>
        </w:rPr>
        <w:t>Monografijos, vadovėliai, komentarai</w:t>
      </w:r>
    </w:p>
    <w:p w:rsidR="008461E2" w:rsidRPr="00A91E83" w:rsidRDefault="008461E2" w:rsidP="008461E2">
      <w:pPr>
        <w:tabs>
          <w:tab w:val="left" w:pos="851"/>
          <w:tab w:val="left" w:pos="1701"/>
        </w:tabs>
        <w:spacing w:after="0" w:line="360" w:lineRule="auto"/>
        <w:jc w:val="both"/>
        <w:rPr>
          <w:rFonts w:ascii="Times New Roman" w:hAnsi="Times New Roman" w:cs="Times New Roman"/>
          <w:b/>
          <w:sz w:val="24"/>
          <w:szCs w:val="24"/>
        </w:rPr>
      </w:pPr>
    </w:p>
    <w:p w:rsidR="00271448" w:rsidRPr="00603C3A" w:rsidRDefault="00271448" w:rsidP="0027144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t>Ambrasienė</w:t>
      </w:r>
      <w:proofErr w:type="spellEnd"/>
      <w:r w:rsidRPr="00603C3A">
        <w:rPr>
          <w:rFonts w:ascii="Times New Roman" w:hAnsi="Times New Roman" w:cs="Times New Roman"/>
          <w:sz w:val="24"/>
          <w:szCs w:val="24"/>
          <w:lang w:val="en-GB"/>
        </w:rPr>
        <w:t xml:space="preserve"> D., </w:t>
      </w:r>
      <w:proofErr w:type="spellStart"/>
      <w:r w:rsidRPr="00603C3A">
        <w:rPr>
          <w:rFonts w:ascii="Times New Roman" w:hAnsi="Times New Roman" w:cs="Times New Roman"/>
          <w:sz w:val="24"/>
          <w:szCs w:val="24"/>
          <w:lang w:val="en-GB"/>
        </w:rPr>
        <w:t>Baranauskas</w:t>
      </w:r>
      <w:proofErr w:type="spellEnd"/>
      <w:r w:rsidRPr="00603C3A">
        <w:rPr>
          <w:rFonts w:ascii="Times New Roman" w:hAnsi="Times New Roman" w:cs="Times New Roman"/>
          <w:sz w:val="24"/>
          <w:szCs w:val="24"/>
          <w:lang w:val="en-GB"/>
        </w:rPr>
        <w:t xml:space="preserve"> E., </w:t>
      </w:r>
      <w:proofErr w:type="spellStart"/>
      <w:r w:rsidRPr="00603C3A">
        <w:rPr>
          <w:rFonts w:ascii="Times New Roman" w:hAnsi="Times New Roman" w:cs="Times New Roman"/>
          <w:sz w:val="24"/>
          <w:szCs w:val="24"/>
          <w:lang w:val="en-GB"/>
        </w:rPr>
        <w:t>Bublienė</w:t>
      </w:r>
      <w:proofErr w:type="spellEnd"/>
      <w:r w:rsidRPr="00603C3A">
        <w:rPr>
          <w:rFonts w:ascii="Times New Roman" w:hAnsi="Times New Roman" w:cs="Times New Roman"/>
          <w:sz w:val="24"/>
          <w:szCs w:val="24"/>
          <w:lang w:val="en-GB"/>
        </w:rPr>
        <w:t xml:space="preserve"> D. et al. </w:t>
      </w:r>
      <w:proofErr w:type="spellStart"/>
      <w:r w:rsidRPr="00603C3A">
        <w:rPr>
          <w:rFonts w:ascii="Times New Roman" w:hAnsi="Times New Roman" w:cs="Times New Roman"/>
          <w:sz w:val="24"/>
          <w:szCs w:val="24"/>
          <w:lang w:val="en-GB"/>
        </w:rPr>
        <w:t>Civilinė</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teisė</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Prievolių</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teisė</w:t>
      </w:r>
      <w:proofErr w:type="spellEnd"/>
      <w:r w:rsidRPr="00603C3A">
        <w:rPr>
          <w:rFonts w:ascii="Times New Roman" w:hAnsi="Times New Roman" w:cs="Times New Roman"/>
          <w:sz w:val="24"/>
          <w:szCs w:val="24"/>
          <w:lang w:val="en-GB"/>
        </w:rPr>
        <w:t xml:space="preserve">. Vilnius: </w:t>
      </w:r>
      <w:proofErr w:type="spellStart"/>
      <w:r w:rsidRPr="00603C3A">
        <w:rPr>
          <w:rFonts w:ascii="Times New Roman" w:hAnsi="Times New Roman" w:cs="Times New Roman"/>
          <w:sz w:val="24"/>
          <w:szCs w:val="24"/>
          <w:lang w:val="en-GB"/>
        </w:rPr>
        <w:t>Mykolo</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Romerio</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universiteto</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Leidybos</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centras</w:t>
      </w:r>
      <w:proofErr w:type="spellEnd"/>
      <w:r w:rsidRPr="00603C3A">
        <w:rPr>
          <w:rFonts w:ascii="Times New Roman" w:hAnsi="Times New Roman" w:cs="Times New Roman"/>
          <w:sz w:val="24"/>
          <w:szCs w:val="24"/>
          <w:lang w:val="en-GB"/>
        </w:rPr>
        <w:t>, 2006.</w:t>
      </w:r>
    </w:p>
    <w:p w:rsidR="00271448" w:rsidRPr="00603C3A" w:rsidRDefault="00271448" w:rsidP="0027144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 xml:space="preserve">Blair M., Walker G. Financial markets and </w:t>
      </w:r>
      <w:r w:rsidR="00363785">
        <w:rPr>
          <w:rFonts w:ascii="Times New Roman" w:hAnsi="Times New Roman" w:cs="Times New Roman"/>
          <w:sz w:val="24"/>
          <w:szCs w:val="24"/>
          <w:lang w:val="en-GB"/>
        </w:rPr>
        <w:t>e</w:t>
      </w:r>
      <w:r w:rsidRPr="00603C3A">
        <w:rPr>
          <w:rFonts w:ascii="Times New Roman" w:hAnsi="Times New Roman" w:cs="Times New Roman"/>
          <w:sz w:val="24"/>
          <w:szCs w:val="24"/>
          <w:lang w:val="en-GB"/>
        </w:rPr>
        <w:t>xchange law. New York: Oxford University Press, 2007.</w:t>
      </w:r>
    </w:p>
    <w:p w:rsidR="00271448" w:rsidRPr="00603C3A" w:rsidRDefault="00271448" w:rsidP="0027144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 xml:space="preserve">Das S. Swaps and derivative financing. North </w:t>
      </w:r>
      <w:proofErr w:type="spellStart"/>
      <w:r w:rsidRPr="00603C3A">
        <w:rPr>
          <w:rFonts w:ascii="Times New Roman" w:hAnsi="Times New Roman" w:cs="Times New Roman"/>
          <w:sz w:val="24"/>
          <w:szCs w:val="24"/>
          <w:lang w:val="en-GB"/>
        </w:rPr>
        <w:t>Ryde</w:t>
      </w:r>
      <w:proofErr w:type="spellEnd"/>
      <w:r w:rsidRPr="00603C3A">
        <w:rPr>
          <w:rFonts w:ascii="Times New Roman" w:hAnsi="Times New Roman" w:cs="Times New Roman"/>
          <w:sz w:val="24"/>
          <w:szCs w:val="24"/>
          <w:lang w:val="en-GB"/>
        </w:rPr>
        <w:t>: John Wiley and Sons, 2nd edition, 1994.</w:t>
      </w:r>
    </w:p>
    <w:p w:rsidR="00271448" w:rsidRPr="00603C3A" w:rsidRDefault="00271448" w:rsidP="0027144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t>Gengatharen</w:t>
      </w:r>
      <w:proofErr w:type="spellEnd"/>
      <w:r w:rsidRPr="00603C3A">
        <w:rPr>
          <w:rFonts w:ascii="Times New Roman" w:hAnsi="Times New Roman" w:cs="Times New Roman"/>
          <w:sz w:val="24"/>
          <w:szCs w:val="24"/>
          <w:lang w:val="en-GB"/>
        </w:rPr>
        <w:t>, R. Derivatives law and regulation. London: Kluwer law international, 2001.</w:t>
      </w:r>
    </w:p>
    <w:p w:rsidR="00271448" w:rsidRPr="00603C3A" w:rsidRDefault="00271448" w:rsidP="0027144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 xml:space="preserve">Gooch A.C., Klein L.B. Documentation for derivatives. London: </w:t>
      </w:r>
      <w:proofErr w:type="spellStart"/>
      <w:r w:rsidRPr="00603C3A">
        <w:rPr>
          <w:rFonts w:ascii="Times New Roman" w:hAnsi="Times New Roman" w:cs="Times New Roman"/>
          <w:sz w:val="24"/>
          <w:szCs w:val="24"/>
          <w:lang w:val="en-GB"/>
        </w:rPr>
        <w:t>Euromoney</w:t>
      </w:r>
      <w:proofErr w:type="spellEnd"/>
      <w:r w:rsidRPr="00603C3A">
        <w:rPr>
          <w:rFonts w:ascii="Times New Roman" w:hAnsi="Times New Roman" w:cs="Times New Roman"/>
          <w:sz w:val="24"/>
          <w:szCs w:val="24"/>
          <w:lang w:val="en-GB"/>
        </w:rPr>
        <w:t xml:space="preserve"> Books, 4th edition, Volume I, 2004.</w:t>
      </w:r>
    </w:p>
    <w:p w:rsidR="00271448" w:rsidRPr="00603C3A" w:rsidRDefault="00271448" w:rsidP="0027144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 xml:space="preserve">Gooch A.C., Klein L.B. Documentation for derivatives. London: </w:t>
      </w:r>
      <w:proofErr w:type="spellStart"/>
      <w:r w:rsidRPr="00603C3A">
        <w:rPr>
          <w:rFonts w:ascii="Times New Roman" w:hAnsi="Times New Roman" w:cs="Times New Roman"/>
          <w:sz w:val="24"/>
          <w:szCs w:val="24"/>
          <w:lang w:val="en-GB"/>
        </w:rPr>
        <w:t>Euromoney</w:t>
      </w:r>
      <w:proofErr w:type="spellEnd"/>
      <w:r w:rsidRPr="00603C3A">
        <w:rPr>
          <w:rFonts w:ascii="Times New Roman" w:hAnsi="Times New Roman" w:cs="Times New Roman"/>
          <w:sz w:val="24"/>
          <w:szCs w:val="24"/>
          <w:lang w:val="en-GB"/>
        </w:rPr>
        <w:t xml:space="preserve"> Books, 4th edition, Volume II, 2004.</w:t>
      </w:r>
    </w:p>
    <w:p w:rsidR="00271448" w:rsidRPr="00603C3A" w:rsidRDefault="00271448" w:rsidP="0027144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 xml:space="preserve">Gooch A.C., Klein L.B. Documentation for derivatives 2002 master agreement supplement. London: </w:t>
      </w:r>
      <w:proofErr w:type="spellStart"/>
      <w:r w:rsidRPr="00603C3A">
        <w:rPr>
          <w:rFonts w:ascii="Times New Roman" w:hAnsi="Times New Roman" w:cs="Times New Roman"/>
          <w:sz w:val="24"/>
          <w:szCs w:val="24"/>
          <w:lang w:val="en-GB"/>
        </w:rPr>
        <w:t>Euromoney</w:t>
      </w:r>
      <w:proofErr w:type="spellEnd"/>
      <w:r w:rsidRPr="00603C3A">
        <w:rPr>
          <w:rFonts w:ascii="Times New Roman" w:hAnsi="Times New Roman" w:cs="Times New Roman"/>
          <w:sz w:val="24"/>
          <w:szCs w:val="24"/>
          <w:lang w:val="en-GB"/>
        </w:rPr>
        <w:t xml:space="preserve"> Books, 2004.</w:t>
      </w:r>
    </w:p>
    <w:p w:rsidR="00271448" w:rsidRPr="00603C3A" w:rsidRDefault="00271448" w:rsidP="0027144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Goode R. Principles of corporate insolvency law. London: Sweet &amp; Maxwell, 2005.</w:t>
      </w:r>
    </w:p>
    <w:p w:rsidR="00271448" w:rsidRPr="00603C3A" w:rsidRDefault="00271448" w:rsidP="0027144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Hudson A. The law on financial derivatives. London: Sweet &amp; Maxwell, 2002.</w:t>
      </w:r>
    </w:p>
    <w:p w:rsidR="00271448" w:rsidRPr="00603C3A" w:rsidRDefault="00271448" w:rsidP="0027144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t>Juozapavičienė</w:t>
      </w:r>
      <w:proofErr w:type="spellEnd"/>
      <w:r w:rsidRPr="00603C3A">
        <w:rPr>
          <w:rFonts w:ascii="Times New Roman" w:hAnsi="Times New Roman" w:cs="Times New Roman"/>
          <w:sz w:val="24"/>
          <w:szCs w:val="24"/>
          <w:lang w:val="en-GB"/>
        </w:rPr>
        <w:t xml:space="preserve"> A. </w:t>
      </w:r>
      <w:proofErr w:type="spellStart"/>
      <w:r w:rsidRPr="00603C3A">
        <w:rPr>
          <w:rFonts w:ascii="Times New Roman" w:hAnsi="Times New Roman" w:cs="Times New Roman"/>
          <w:sz w:val="24"/>
          <w:szCs w:val="24"/>
          <w:lang w:val="en-GB"/>
        </w:rPr>
        <w:t>Išvestiniai</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instrumentai</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tarptautinėse</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finansų</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rinkose</w:t>
      </w:r>
      <w:proofErr w:type="spellEnd"/>
      <w:r w:rsidRPr="00603C3A">
        <w:rPr>
          <w:rFonts w:ascii="Times New Roman" w:hAnsi="Times New Roman" w:cs="Times New Roman"/>
          <w:sz w:val="24"/>
          <w:szCs w:val="24"/>
          <w:lang w:val="en-GB"/>
        </w:rPr>
        <w:t xml:space="preserve">. Kaunas: </w:t>
      </w:r>
      <w:proofErr w:type="spellStart"/>
      <w:r w:rsidRPr="00603C3A">
        <w:rPr>
          <w:rFonts w:ascii="Times New Roman" w:hAnsi="Times New Roman" w:cs="Times New Roman"/>
          <w:sz w:val="24"/>
          <w:szCs w:val="24"/>
          <w:lang w:val="en-GB"/>
        </w:rPr>
        <w:t>Technologija</w:t>
      </w:r>
      <w:proofErr w:type="spellEnd"/>
      <w:r w:rsidRPr="00603C3A">
        <w:rPr>
          <w:rFonts w:ascii="Times New Roman" w:hAnsi="Times New Roman" w:cs="Times New Roman"/>
          <w:sz w:val="24"/>
          <w:szCs w:val="24"/>
          <w:lang w:val="en-GB"/>
        </w:rPr>
        <w:t>, 2006.</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lastRenderedPageBreak/>
        <w:t>Kavalnė</w:t>
      </w:r>
      <w:proofErr w:type="spellEnd"/>
      <w:r w:rsidRPr="00603C3A">
        <w:rPr>
          <w:rFonts w:ascii="Times New Roman" w:hAnsi="Times New Roman" w:cs="Times New Roman"/>
          <w:sz w:val="24"/>
          <w:szCs w:val="24"/>
          <w:lang w:val="en-GB"/>
        </w:rPr>
        <w:t xml:space="preserve"> S. </w:t>
      </w:r>
      <w:proofErr w:type="spellStart"/>
      <w:r w:rsidRPr="00603C3A">
        <w:rPr>
          <w:rFonts w:ascii="Times New Roman" w:hAnsi="Times New Roman" w:cs="Times New Roman"/>
          <w:sz w:val="24"/>
          <w:szCs w:val="24"/>
          <w:lang w:val="en-GB"/>
        </w:rPr>
        <w:t>Finansinio</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užstato</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davėjo</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nemokumas</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teorinės</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ir</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praktinės</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problemos</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Disertacija</w:t>
      </w:r>
      <w:proofErr w:type="spellEnd"/>
      <w:r w:rsidRPr="00603C3A">
        <w:rPr>
          <w:rFonts w:ascii="Times New Roman" w:hAnsi="Times New Roman" w:cs="Times New Roman"/>
          <w:sz w:val="24"/>
          <w:szCs w:val="24"/>
          <w:lang w:val="en-GB"/>
        </w:rPr>
        <w:t xml:space="preserve">. Vilnius. </w:t>
      </w:r>
      <w:proofErr w:type="spellStart"/>
      <w:r w:rsidRPr="00603C3A">
        <w:rPr>
          <w:rFonts w:ascii="Times New Roman" w:hAnsi="Times New Roman" w:cs="Times New Roman"/>
          <w:sz w:val="24"/>
          <w:szCs w:val="24"/>
          <w:lang w:val="en-GB"/>
        </w:rPr>
        <w:t>Mykolo</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Romerio</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universitetas</w:t>
      </w:r>
      <w:proofErr w:type="spellEnd"/>
      <w:r w:rsidRPr="00603C3A">
        <w:rPr>
          <w:rFonts w:ascii="Times New Roman" w:hAnsi="Times New Roman" w:cs="Times New Roman"/>
          <w:sz w:val="24"/>
          <w:szCs w:val="24"/>
          <w:lang w:val="en-GB"/>
        </w:rPr>
        <w:t>, 2009.</w:t>
      </w:r>
    </w:p>
    <w:p w:rsidR="00271448" w:rsidRPr="00603C3A" w:rsidRDefault="00271448" w:rsidP="0027144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 xml:space="preserve">Kolb R.W., </w:t>
      </w:r>
      <w:proofErr w:type="spellStart"/>
      <w:r w:rsidRPr="00603C3A">
        <w:rPr>
          <w:rFonts w:ascii="Times New Roman" w:hAnsi="Times New Roman" w:cs="Times New Roman"/>
          <w:sz w:val="24"/>
          <w:szCs w:val="24"/>
          <w:lang w:val="en-GB"/>
        </w:rPr>
        <w:t>Overdahl</w:t>
      </w:r>
      <w:proofErr w:type="spellEnd"/>
      <w:r w:rsidRPr="00603C3A">
        <w:rPr>
          <w:rFonts w:ascii="Times New Roman" w:hAnsi="Times New Roman" w:cs="Times New Roman"/>
          <w:sz w:val="24"/>
          <w:szCs w:val="24"/>
          <w:lang w:val="en-GB"/>
        </w:rPr>
        <w:t xml:space="preserve"> J.A. Financial derivatives. New York: Wiley, 3rd edition, 2002.</w:t>
      </w:r>
    </w:p>
    <w:p w:rsidR="008461E2" w:rsidRPr="00603C3A"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McDonald R.L. Derivatives markets. Boston: Addison Wesley, 2006.</w:t>
      </w:r>
    </w:p>
    <w:p w:rsidR="00271448" w:rsidRPr="00603C3A" w:rsidRDefault="00271448" w:rsidP="0027144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t>Mikelėnas</w:t>
      </w:r>
      <w:proofErr w:type="spellEnd"/>
      <w:r w:rsidRPr="00603C3A">
        <w:rPr>
          <w:rFonts w:ascii="Times New Roman" w:hAnsi="Times New Roman" w:cs="Times New Roman"/>
          <w:sz w:val="24"/>
          <w:szCs w:val="24"/>
          <w:lang w:val="en-GB"/>
        </w:rPr>
        <w:t xml:space="preserve"> V., </w:t>
      </w:r>
      <w:proofErr w:type="spellStart"/>
      <w:r w:rsidRPr="00603C3A">
        <w:rPr>
          <w:rFonts w:ascii="Times New Roman" w:hAnsi="Times New Roman" w:cs="Times New Roman"/>
          <w:sz w:val="24"/>
          <w:szCs w:val="24"/>
          <w:lang w:val="en-GB"/>
        </w:rPr>
        <w:t>Mizaras</w:t>
      </w:r>
      <w:proofErr w:type="spellEnd"/>
      <w:r w:rsidRPr="00603C3A">
        <w:rPr>
          <w:rFonts w:ascii="Times New Roman" w:hAnsi="Times New Roman" w:cs="Times New Roman"/>
          <w:sz w:val="24"/>
          <w:szCs w:val="24"/>
          <w:lang w:val="en-GB"/>
        </w:rPr>
        <w:t xml:space="preserve"> V., </w:t>
      </w:r>
      <w:proofErr w:type="spellStart"/>
      <w:r w:rsidRPr="00603C3A">
        <w:rPr>
          <w:rFonts w:ascii="Times New Roman" w:hAnsi="Times New Roman" w:cs="Times New Roman"/>
          <w:sz w:val="24"/>
          <w:szCs w:val="24"/>
          <w:lang w:val="en-GB"/>
        </w:rPr>
        <w:t>Vileita</w:t>
      </w:r>
      <w:proofErr w:type="spellEnd"/>
      <w:r w:rsidRPr="00603C3A">
        <w:rPr>
          <w:rFonts w:ascii="Times New Roman" w:hAnsi="Times New Roman" w:cs="Times New Roman"/>
          <w:sz w:val="24"/>
          <w:szCs w:val="24"/>
          <w:lang w:val="en-GB"/>
        </w:rPr>
        <w:t xml:space="preserve"> A., </w:t>
      </w:r>
      <w:proofErr w:type="gramStart"/>
      <w:r w:rsidRPr="00603C3A">
        <w:rPr>
          <w:rFonts w:ascii="Times New Roman" w:hAnsi="Times New Roman" w:cs="Times New Roman"/>
          <w:sz w:val="24"/>
          <w:szCs w:val="24"/>
          <w:lang w:val="en-GB"/>
        </w:rPr>
        <w:t>et</w:t>
      </w:r>
      <w:proofErr w:type="gramEnd"/>
      <w:r w:rsidRPr="00603C3A">
        <w:rPr>
          <w:rFonts w:ascii="Times New Roman" w:hAnsi="Times New Roman" w:cs="Times New Roman"/>
          <w:sz w:val="24"/>
          <w:szCs w:val="24"/>
          <w:lang w:val="en-GB"/>
        </w:rPr>
        <w:t xml:space="preserve">. </w:t>
      </w:r>
      <w:proofErr w:type="gramStart"/>
      <w:r w:rsidRPr="00603C3A">
        <w:rPr>
          <w:rFonts w:ascii="Times New Roman" w:hAnsi="Times New Roman" w:cs="Times New Roman"/>
          <w:sz w:val="24"/>
          <w:szCs w:val="24"/>
          <w:lang w:val="en-GB"/>
        </w:rPr>
        <w:t>al</w:t>
      </w:r>
      <w:proofErr w:type="gram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Lietuvos</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Respublikos</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civilinio</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kodekso</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komentaras</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Šeštoji</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knyga</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Prievolių</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teisė</w:t>
      </w:r>
      <w:proofErr w:type="spellEnd"/>
      <w:r w:rsidRPr="00603C3A">
        <w:rPr>
          <w:rFonts w:ascii="Times New Roman" w:hAnsi="Times New Roman" w:cs="Times New Roman"/>
          <w:sz w:val="24"/>
          <w:szCs w:val="24"/>
          <w:lang w:val="en-GB"/>
        </w:rPr>
        <w:t xml:space="preserve">. Vilnius: </w:t>
      </w:r>
      <w:proofErr w:type="spellStart"/>
      <w:r w:rsidRPr="00603C3A">
        <w:rPr>
          <w:rFonts w:ascii="Times New Roman" w:hAnsi="Times New Roman" w:cs="Times New Roman"/>
          <w:sz w:val="24"/>
          <w:szCs w:val="24"/>
          <w:lang w:val="en-GB"/>
        </w:rPr>
        <w:t>Justitia</w:t>
      </w:r>
      <w:proofErr w:type="spellEnd"/>
      <w:r w:rsidRPr="00603C3A">
        <w:rPr>
          <w:rFonts w:ascii="Times New Roman" w:hAnsi="Times New Roman" w:cs="Times New Roman"/>
          <w:sz w:val="24"/>
          <w:szCs w:val="24"/>
          <w:lang w:val="en-GB"/>
        </w:rPr>
        <w:t>, 2001.</w:t>
      </w:r>
    </w:p>
    <w:p w:rsidR="00271448" w:rsidRPr="00603C3A" w:rsidRDefault="00271448" w:rsidP="0027144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t>Mikuckienė</w:t>
      </w:r>
      <w:proofErr w:type="spellEnd"/>
      <w:r w:rsidRPr="00603C3A">
        <w:rPr>
          <w:rFonts w:ascii="Times New Roman" w:hAnsi="Times New Roman" w:cs="Times New Roman"/>
          <w:sz w:val="24"/>
          <w:szCs w:val="24"/>
          <w:lang w:val="en-GB"/>
        </w:rPr>
        <w:t xml:space="preserve"> V. </w:t>
      </w:r>
      <w:proofErr w:type="spellStart"/>
      <w:r w:rsidRPr="00603C3A">
        <w:rPr>
          <w:rFonts w:ascii="Times New Roman" w:hAnsi="Times New Roman" w:cs="Times New Roman"/>
          <w:sz w:val="24"/>
          <w:szCs w:val="24"/>
          <w:lang w:val="en-GB"/>
        </w:rPr>
        <w:t>Bankroto</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bylų</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nagrinėjimo</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teisme</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ypatumai</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Disertacija</w:t>
      </w:r>
      <w:proofErr w:type="spellEnd"/>
      <w:r w:rsidRPr="00603C3A">
        <w:rPr>
          <w:rFonts w:ascii="Times New Roman" w:hAnsi="Times New Roman" w:cs="Times New Roman"/>
          <w:sz w:val="24"/>
          <w:szCs w:val="24"/>
          <w:lang w:val="en-GB"/>
        </w:rPr>
        <w:t xml:space="preserve">. Vilnius. </w:t>
      </w:r>
      <w:proofErr w:type="spellStart"/>
      <w:r w:rsidRPr="00603C3A">
        <w:rPr>
          <w:rFonts w:ascii="Times New Roman" w:hAnsi="Times New Roman" w:cs="Times New Roman"/>
          <w:sz w:val="24"/>
          <w:szCs w:val="24"/>
          <w:lang w:val="en-GB"/>
        </w:rPr>
        <w:t>Mykolo</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Romerio</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universitetas</w:t>
      </w:r>
      <w:proofErr w:type="spellEnd"/>
      <w:r w:rsidRPr="00603C3A">
        <w:rPr>
          <w:rFonts w:ascii="Times New Roman" w:hAnsi="Times New Roman" w:cs="Times New Roman"/>
          <w:sz w:val="24"/>
          <w:szCs w:val="24"/>
          <w:lang w:val="en-GB"/>
        </w:rPr>
        <w:t>, 2007.</w:t>
      </w:r>
    </w:p>
    <w:p w:rsidR="008461E2" w:rsidRPr="00603C3A"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t>Norkus</w:t>
      </w:r>
      <w:proofErr w:type="spellEnd"/>
      <w:r w:rsidRPr="00603C3A">
        <w:rPr>
          <w:rFonts w:ascii="Times New Roman" w:hAnsi="Times New Roman" w:cs="Times New Roman"/>
          <w:sz w:val="24"/>
          <w:szCs w:val="24"/>
          <w:lang w:val="en-GB"/>
        </w:rPr>
        <w:t xml:space="preserve"> R., </w:t>
      </w:r>
      <w:proofErr w:type="spellStart"/>
      <w:r w:rsidRPr="00603C3A">
        <w:rPr>
          <w:rFonts w:ascii="Times New Roman" w:hAnsi="Times New Roman" w:cs="Times New Roman"/>
          <w:sz w:val="24"/>
          <w:szCs w:val="24"/>
          <w:lang w:val="en-GB"/>
        </w:rPr>
        <w:t>Kavalnė</w:t>
      </w:r>
      <w:proofErr w:type="spellEnd"/>
      <w:r w:rsidRPr="00603C3A">
        <w:rPr>
          <w:rFonts w:ascii="Times New Roman" w:hAnsi="Times New Roman" w:cs="Times New Roman"/>
          <w:sz w:val="24"/>
          <w:szCs w:val="24"/>
          <w:lang w:val="en-GB"/>
        </w:rPr>
        <w:t xml:space="preserve"> S. </w:t>
      </w:r>
      <w:proofErr w:type="spellStart"/>
      <w:r w:rsidRPr="00603C3A">
        <w:rPr>
          <w:rFonts w:ascii="Times New Roman" w:hAnsi="Times New Roman" w:cs="Times New Roman"/>
          <w:sz w:val="24"/>
          <w:szCs w:val="24"/>
          <w:lang w:val="en-GB"/>
        </w:rPr>
        <w:t>Mikuckienė</w:t>
      </w:r>
      <w:proofErr w:type="spellEnd"/>
      <w:r w:rsidRPr="00603C3A">
        <w:rPr>
          <w:rFonts w:ascii="Times New Roman" w:hAnsi="Times New Roman" w:cs="Times New Roman"/>
          <w:sz w:val="24"/>
          <w:szCs w:val="24"/>
          <w:lang w:val="en-GB"/>
        </w:rPr>
        <w:t xml:space="preserve"> V. </w:t>
      </w:r>
      <w:proofErr w:type="spellStart"/>
      <w:r w:rsidRPr="00603C3A">
        <w:rPr>
          <w:rFonts w:ascii="Times New Roman" w:hAnsi="Times New Roman" w:cs="Times New Roman"/>
          <w:sz w:val="24"/>
          <w:szCs w:val="24"/>
          <w:lang w:val="en-GB"/>
        </w:rPr>
        <w:t>Bankroto</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teisė</w:t>
      </w:r>
      <w:proofErr w:type="spellEnd"/>
      <w:r w:rsidRPr="00603C3A">
        <w:rPr>
          <w:rFonts w:ascii="Times New Roman" w:hAnsi="Times New Roman" w:cs="Times New Roman"/>
          <w:sz w:val="24"/>
          <w:szCs w:val="24"/>
          <w:lang w:val="en-GB"/>
        </w:rPr>
        <w:t xml:space="preserve">. Vilnius: </w:t>
      </w:r>
      <w:proofErr w:type="spellStart"/>
      <w:r w:rsidRPr="00603C3A">
        <w:rPr>
          <w:rFonts w:ascii="Times New Roman" w:hAnsi="Times New Roman" w:cs="Times New Roman"/>
          <w:sz w:val="24"/>
          <w:szCs w:val="24"/>
          <w:lang w:val="en-GB"/>
        </w:rPr>
        <w:t>Justitia</w:t>
      </w:r>
      <w:proofErr w:type="spellEnd"/>
      <w:r w:rsidRPr="00603C3A">
        <w:rPr>
          <w:rFonts w:ascii="Times New Roman" w:hAnsi="Times New Roman" w:cs="Times New Roman"/>
          <w:sz w:val="24"/>
          <w:szCs w:val="24"/>
          <w:lang w:val="en-GB"/>
        </w:rPr>
        <w:t>, 2009.</w:t>
      </w:r>
    </w:p>
    <w:p w:rsidR="00271448" w:rsidRPr="00603C3A" w:rsidRDefault="00271448" w:rsidP="0027144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Wood P.R. Comparative law of security interests and title finance. London: Sweet &amp; Maxwell, 2nd edition, Volume 2, 2007.</w:t>
      </w:r>
    </w:p>
    <w:p w:rsidR="00271448" w:rsidRPr="00603C3A" w:rsidRDefault="00271448" w:rsidP="0027144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Wood P.R. Principles of international insolvency. London: Sweet &amp; Maxwell, 2nd edition, 2007.</w:t>
      </w:r>
    </w:p>
    <w:p w:rsidR="00271448" w:rsidRPr="00603C3A" w:rsidRDefault="00271448" w:rsidP="0027144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Wood P.R. Set-off and netting, derivatives, clearing systems. London: Sweet &amp; Maxwell, 2007.</w:t>
      </w: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rPr>
      </w:pPr>
    </w:p>
    <w:p w:rsidR="008461E2" w:rsidRPr="00A91E83" w:rsidRDefault="008461E2" w:rsidP="008461E2">
      <w:pPr>
        <w:tabs>
          <w:tab w:val="left" w:pos="851"/>
          <w:tab w:val="left" w:pos="1701"/>
        </w:tabs>
        <w:spacing w:after="0" w:line="360" w:lineRule="auto"/>
        <w:jc w:val="center"/>
        <w:rPr>
          <w:rFonts w:ascii="Times New Roman" w:hAnsi="Times New Roman" w:cs="Times New Roman"/>
          <w:b/>
          <w:sz w:val="24"/>
          <w:szCs w:val="24"/>
        </w:rPr>
      </w:pPr>
      <w:r w:rsidRPr="00A91E83">
        <w:rPr>
          <w:rFonts w:ascii="Times New Roman" w:hAnsi="Times New Roman" w:cs="Times New Roman"/>
          <w:b/>
          <w:sz w:val="24"/>
          <w:szCs w:val="24"/>
        </w:rPr>
        <w:t>Moksliniai straipsniai</w:t>
      </w:r>
    </w:p>
    <w:p w:rsidR="008461E2" w:rsidRPr="00A91E83" w:rsidRDefault="008461E2" w:rsidP="008461E2">
      <w:pPr>
        <w:tabs>
          <w:tab w:val="left" w:pos="851"/>
          <w:tab w:val="left" w:pos="1701"/>
        </w:tabs>
        <w:spacing w:after="0" w:line="360" w:lineRule="auto"/>
        <w:jc w:val="both"/>
        <w:rPr>
          <w:rFonts w:ascii="Times New Roman" w:hAnsi="Times New Roman" w:cs="Times New Roman"/>
          <w:b/>
          <w:sz w:val="24"/>
          <w:szCs w:val="24"/>
        </w:rPr>
      </w:pP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 xml:space="preserve">Allen &amp; </w:t>
      </w:r>
      <w:proofErr w:type="spellStart"/>
      <w:r w:rsidRPr="00603C3A">
        <w:rPr>
          <w:rFonts w:ascii="Times New Roman" w:hAnsi="Times New Roman" w:cs="Times New Roman"/>
          <w:sz w:val="24"/>
          <w:szCs w:val="24"/>
          <w:lang w:val="en-GB"/>
        </w:rPr>
        <w:t>Overy</w:t>
      </w:r>
      <w:proofErr w:type="spellEnd"/>
      <w:r w:rsidRPr="00603C3A">
        <w:rPr>
          <w:rFonts w:ascii="Times New Roman" w:hAnsi="Times New Roman" w:cs="Times New Roman"/>
          <w:sz w:val="24"/>
          <w:szCs w:val="24"/>
          <w:lang w:val="en-GB"/>
        </w:rPr>
        <w:t>. An introduction to the documentation of OTC derivatives. ICM</w:t>
      </w:r>
      <w:proofErr w:type="gramStart"/>
      <w:r w:rsidRPr="00603C3A">
        <w:rPr>
          <w:rFonts w:ascii="Times New Roman" w:hAnsi="Times New Roman" w:cs="Times New Roman"/>
          <w:sz w:val="24"/>
          <w:szCs w:val="24"/>
          <w:lang w:val="en-GB"/>
        </w:rPr>
        <w:t>:581317.3</w:t>
      </w:r>
      <w:proofErr w:type="gramEnd"/>
      <w:r w:rsidRPr="00603C3A">
        <w:rPr>
          <w:rFonts w:ascii="Times New Roman" w:hAnsi="Times New Roman" w:cs="Times New Roman"/>
          <w:sz w:val="24"/>
          <w:szCs w:val="24"/>
          <w:lang w:val="en-GB"/>
        </w:rPr>
        <w:t xml:space="preserve">. 2002. </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t>Ayadi</w:t>
      </w:r>
      <w:proofErr w:type="spellEnd"/>
      <w:r w:rsidRPr="00603C3A">
        <w:rPr>
          <w:rFonts w:ascii="Times New Roman" w:hAnsi="Times New Roman" w:cs="Times New Roman"/>
          <w:sz w:val="24"/>
          <w:szCs w:val="24"/>
          <w:lang w:val="en-GB"/>
        </w:rPr>
        <w:t xml:space="preserve"> R., Behr P. On the necessity to regulate credit derivatives markets. Journal of Banking Regulation, 2009, Volume 10. </w:t>
      </w:r>
      <w:proofErr w:type="spellStart"/>
      <w:r w:rsidRPr="00603C3A">
        <w:rPr>
          <w:rFonts w:ascii="Times New Roman" w:hAnsi="Times New Roman" w:cs="Times New Roman"/>
          <w:sz w:val="24"/>
          <w:szCs w:val="24"/>
          <w:lang w:val="en-GB"/>
        </w:rPr>
        <w:t>Šaltinis</w:t>
      </w:r>
      <w:proofErr w:type="spellEnd"/>
      <w:r w:rsidRPr="00603C3A">
        <w:rPr>
          <w:rFonts w:ascii="Times New Roman" w:hAnsi="Times New Roman" w:cs="Times New Roman"/>
          <w:sz w:val="24"/>
          <w:szCs w:val="24"/>
          <w:lang w:val="en-GB"/>
        </w:rPr>
        <w:t xml:space="preserve"> </w:t>
      </w:r>
      <w:hyperlink r:id="rId11" w:history="1">
        <w:r w:rsidRPr="00603C3A">
          <w:rPr>
            <w:rStyle w:val="Hipersaitas"/>
            <w:rFonts w:ascii="Times New Roman" w:hAnsi="Times New Roman" w:cs="Times New Roman"/>
            <w:sz w:val="24"/>
            <w:szCs w:val="24"/>
            <w:lang w:val="en-GB"/>
          </w:rPr>
          <w:t>http://www.palgrave-journals.com/jbr/journal/v10/n3/full/jbr20093a.html</w:t>
        </w:r>
      </w:hyperlink>
    </w:p>
    <w:p w:rsidR="008461E2" w:rsidRPr="00603C3A"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 xml:space="preserve">Baba N., Packer F., Nagano T. The </w:t>
      </w:r>
      <w:proofErr w:type="spellStart"/>
      <w:r w:rsidRPr="00603C3A">
        <w:rPr>
          <w:rFonts w:ascii="Times New Roman" w:hAnsi="Times New Roman" w:cs="Times New Roman"/>
          <w:sz w:val="24"/>
          <w:szCs w:val="24"/>
          <w:lang w:val="en-GB"/>
        </w:rPr>
        <w:t>spillover</w:t>
      </w:r>
      <w:proofErr w:type="spellEnd"/>
      <w:r w:rsidRPr="00603C3A">
        <w:rPr>
          <w:rFonts w:ascii="Times New Roman" w:hAnsi="Times New Roman" w:cs="Times New Roman"/>
          <w:sz w:val="24"/>
          <w:szCs w:val="24"/>
          <w:lang w:val="en-GB"/>
        </w:rPr>
        <w:t xml:space="preserve"> of money market turbulence to FX swap and cross-currency swap markets. Bank for international settlements. 2008, March, Quarterly Review.</w:t>
      </w:r>
    </w:p>
    <w:p w:rsidR="008461E2" w:rsidRPr="00603C3A"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t>Barkbu</w:t>
      </w:r>
      <w:proofErr w:type="spellEnd"/>
      <w:r w:rsidRPr="00603C3A">
        <w:rPr>
          <w:rFonts w:ascii="Times New Roman" w:hAnsi="Times New Roman" w:cs="Times New Roman"/>
          <w:sz w:val="24"/>
          <w:szCs w:val="24"/>
          <w:lang w:val="en-GB"/>
        </w:rPr>
        <w:t xml:space="preserve"> B.B., </w:t>
      </w:r>
      <w:proofErr w:type="spellStart"/>
      <w:r w:rsidRPr="00603C3A">
        <w:rPr>
          <w:rFonts w:ascii="Times New Roman" w:hAnsi="Times New Roman" w:cs="Times New Roman"/>
          <w:sz w:val="24"/>
          <w:szCs w:val="24"/>
          <w:lang w:val="en-GB"/>
        </w:rPr>
        <w:t>Ong</w:t>
      </w:r>
      <w:proofErr w:type="spellEnd"/>
      <w:r w:rsidRPr="00603C3A">
        <w:rPr>
          <w:rFonts w:ascii="Times New Roman" w:hAnsi="Times New Roman" w:cs="Times New Roman"/>
          <w:sz w:val="24"/>
          <w:szCs w:val="24"/>
          <w:lang w:val="en-GB"/>
        </w:rPr>
        <w:t xml:space="preserve"> L.L. FX swaps: implications for financial economy stability. 2010, International Monetary Fund Working Paper, WP/010/55.</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t>Bartolini</w:t>
      </w:r>
      <w:proofErr w:type="spellEnd"/>
      <w:r w:rsidRPr="00603C3A">
        <w:rPr>
          <w:rFonts w:ascii="Times New Roman" w:hAnsi="Times New Roman" w:cs="Times New Roman"/>
          <w:sz w:val="24"/>
          <w:szCs w:val="24"/>
          <w:lang w:val="en-GB"/>
        </w:rPr>
        <w:t xml:space="preserve"> L. Foreign </w:t>
      </w:r>
      <w:r w:rsidR="00F425D6">
        <w:rPr>
          <w:rFonts w:ascii="Times New Roman" w:hAnsi="Times New Roman" w:cs="Times New Roman"/>
          <w:sz w:val="24"/>
          <w:szCs w:val="24"/>
          <w:lang w:val="en-GB"/>
        </w:rPr>
        <w:t>e</w:t>
      </w:r>
      <w:r w:rsidRPr="00603C3A">
        <w:rPr>
          <w:rFonts w:ascii="Times New Roman" w:hAnsi="Times New Roman" w:cs="Times New Roman"/>
          <w:sz w:val="24"/>
          <w:szCs w:val="24"/>
          <w:lang w:val="en-GB"/>
        </w:rPr>
        <w:t>xchange swaps. New England Economic Review. 2002, Second Quarter.</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Bergman W.J., Bliss R.R., Johnson A. Netting, financial contracts, and banks: the economic implications. 2004.</w:t>
      </w:r>
      <w:r w:rsidR="002402D5" w:rsidRPr="00603C3A">
        <w:rPr>
          <w:rFonts w:ascii="Times New Roman" w:hAnsi="Times New Roman" w:cs="Times New Roman"/>
          <w:sz w:val="24"/>
          <w:szCs w:val="24"/>
          <w:lang w:val="en-GB"/>
        </w:rPr>
        <w:t xml:space="preserve"> </w:t>
      </w:r>
      <w:proofErr w:type="spellStart"/>
      <w:r w:rsidR="002402D5" w:rsidRPr="00603C3A">
        <w:rPr>
          <w:rFonts w:ascii="Times New Roman" w:hAnsi="Times New Roman" w:cs="Times New Roman"/>
          <w:sz w:val="24"/>
          <w:szCs w:val="24"/>
          <w:lang w:val="en-GB"/>
        </w:rPr>
        <w:t>Šaltinis</w:t>
      </w:r>
      <w:proofErr w:type="spellEnd"/>
      <w:r w:rsidR="002402D5" w:rsidRPr="00603C3A">
        <w:rPr>
          <w:rFonts w:ascii="Times New Roman" w:hAnsi="Times New Roman" w:cs="Times New Roman"/>
          <w:sz w:val="24"/>
          <w:szCs w:val="24"/>
          <w:lang w:val="en-GB"/>
        </w:rPr>
        <w:t xml:space="preserve"> </w:t>
      </w:r>
      <w:hyperlink r:id="rId12" w:history="1">
        <w:r w:rsidR="002402D5" w:rsidRPr="00603C3A">
          <w:rPr>
            <w:rStyle w:val="Hipersaitas"/>
            <w:rFonts w:ascii="Times New Roman" w:hAnsi="Times New Roman" w:cs="Times New Roman"/>
            <w:sz w:val="24"/>
            <w:szCs w:val="24"/>
            <w:lang w:val="en-GB"/>
          </w:rPr>
          <w:t>http://papers.ssrn.com/sol3/papers.cfm?abstract_id=505965</w:t>
        </w:r>
      </w:hyperlink>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Bliss, R.R., Kaufman, G.G. Derivatives and systemic risk: netting, collateral and close-out. 2005.</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lastRenderedPageBreak/>
        <w:t xml:space="preserve">Bowman L. Credit default swaps: On dangerous ground. </w:t>
      </w:r>
      <w:proofErr w:type="spellStart"/>
      <w:r w:rsidRPr="00603C3A">
        <w:rPr>
          <w:rFonts w:ascii="Times New Roman" w:hAnsi="Times New Roman" w:cs="Times New Roman"/>
          <w:sz w:val="24"/>
          <w:szCs w:val="24"/>
          <w:lang w:val="en-GB"/>
        </w:rPr>
        <w:t>Euromoney</w:t>
      </w:r>
      <w:proofErr w:type="spellEnd"/>
      <w:r w:rsidRPr="00603C3A">
        <w:rPr>
          <w:rFonts w:ascii="Times New Roman" w:hAnsi="Times New Roman" w:cs="Times New Roman"/>
          <w:sz w:val="24"/>
          <w:szCs w:val="24"/>
          <w:lang w:val="en-GB"/>
        </w:rPr>
        <w:t xml:space="preserve">, 2008, August. </w:t>
      </w:r>
      <w:proofErr w:type="spellStart"/>
      <w:r w:rsidRPr="00603C3A">
        <w:rPr>
          <w:rFonts w:ascii="Times New Roman" w:hAnsi="Times New Roman" w:cs="Times New Roman"/>
          <w:sz w:val="24"/>
          <w:szCs w:val="24"/>
          <w:lang w:val="en-GB"/>
        </w:rPr>
        <w:t>Šaltinis</w:t>
      </w:r>
      <w:proofErr w:type="spellEnd"/>
      <w:r w:rsidRPr="00603C3A">
        <w:rPr>
          <w:rFonts w:ascii="Times New Roman" w:hAnsi="Times New Roman" w:cs="Times New Roman"/>
          <w:sz w:val="24"/>
          <w:szCs w:val="24"/>
          <w:lang w:val="en-GB"/>
        </w:rPr>
        <w:t xml:space="preserve"> </w:t>
      </w:r>
      <w:hyperlink r:id="rId13" w:history="1">
        <w:r w:rsidRPr="00603C3A">
          <w:rPr>
            <w:rStyle w:val="Hipersaitas"/>
            <w:rFonts w:ascii="Times New Roman" w:hAnsi="Times New Roman" w:cs="Times New Roman"/>
            <w:sz w:val="24"/>
            <w:szCs w:val="24"/>
            <w:lang w:val="en-GB"/>
          </w:rPr>
          <w:t>http://www.euromoney.com/Article/1990950/Credit-default-swaps-On-dangerous-ground.html?single=true</w:t>
        </w:r>
      </w:hyperlink>
    </w:p>
    <w:p w:rsidR="00EF0D67" w:rsidRPr="00603C3A" w:rsidRDefault="00F425D6"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Bowman</w:t>
      </w:r>
      <w:r w:rsidR="00EF0D67" w:rsidRPr="00603C3A">
        <w:rPr>
          <w:rFonts w:ascii="Times New Roman" w:hAnsi="Times New Roman" w:cs="Times New Roman"/>
          <w:sz w:val="24"/>
          <w:szCs w:val="24"/>
          <w:lang w:val="en-GB"/>
        </w:rPr>
        <w:t xml:space="preserve"> L. Deri</w:t>
      </w:r>
      <w:r w:rsidR="00603C3A">
        <w:rPr>
          <w:rFonts w:ascii="Times New Roman" w:hAnsi="Times New Roman" w:cs="Times New Roman"/>
          <w:sz w:val="24"/>
          <w:szCs w:val="24"/>
          <w:lang w:val="en-GB"/>
        </w:rPr>
        <w:t>vatives: EU policymaker hints at</w:t>
      </w:r>
      <w:r w:rsidR="00EF0D67" w:rsidRPr="00603C3A">
        <w:rPr>
          <w:rFonts w:ascii="Times New Roman" w:hAnsi="Times New Roman" w:cs="Times New Roman"/>
          <w:sz w:val="24"/>
          <w:szCs w:val="24"/>
          <w:lang w:val="en-GB"/>
        </w:rPr>
        <w:t xml:space="preserve"> OTC rethink. </w:t>
      </w:r>
      <w:proofErr w:type="spellStart"/>
      <w:r w:rsidR="00EF0D67" w:rsidRPr="00603C3A">
        <w:rPr>
          <w:rFonts w:ascii="Times New Roman" w:hAnsi="Times New Roman" w:cs="Times New Roman"/>
          <w:sz w:val="24"/>
          <w:szCs w:val="24"/>
          <w:lang w:val="en-GB"/>
        </w:rPr>
        <w:t>Euromoney</w:t>
      </w:r>
      <w:proofErr w:type="spellEnd"/>
      <w:r w:rsidR="00EF0D67" w:rsidRPr="00603C3A">
        <w:rPr>
          <w:rFonts w:ascii="Times New Roman" w:hAnsi="Times New Roman" w:cs="Times New Roman"/>
          <w:sz w:val="24"/>
          <w:szCs w:val="24"/>
          <w:lang w:val="en-GB"/>
        </w:rPr>
        <w:t xml:space="preserve">, 2010, July. </w:t>
      </w:r>
      <w:proofErr w:type="spellStart"/>
      <w:r w:rsidR="00EF0D67" w:rsidRPr="00603C3A">
        <w:rPr>
          <w:rFonts w:ascii="Times New Roman" w:hAnsi="Times New Roman" w:cs="Times New Roman"/>
          <w:sz w:val="24"/>
          <w:szCs w:val="24"/>
          <w:lang w:val="en-GB"/>
        </w:rPr>
        <w:t>Šaltinis</w:t>
      </w:r>
      <w:proofErr w:type="spellEnd"/>
      <w:r w:rsidR="00EF0D67" w:rsidRPr="00603C3A">
        <w:rPr>
          <w:rFonts w:ascii="Times New Roman" w:hAnsi="Times New Roman" w:cs="Times New Roman"/>
          <w:sz w:val="24"/>
          <w:szCs w:val="24"/>
          <w:lang w:val="en-GB"/>
        </w:rPr>
        <w:t xml:space="preserve"> </w:t>
      </w:r>
      <w:hyperlink r:id="rId14" w:history="1">
        <w:r w:rsidR="00EF0D67" w:rsidRPr="00603C3A">
          <w:rPr>
            <w:rStyle w:val="Hipersaitas"/>
            <w:rFonts w:ascii="Times New Roman" w:hAnsi="Times New Roman" w:cs="Times New Roman"/>
            <w:sz w:val="24"/>
            <w:szCs w:val="24"/>
            <w:lang w:val="en-GB"/>
          </w:rPr>
          <w:t>http://www.euromoney.com/Article/2626619/Derivatives-EU-policymaker-hints-at-OTC-rethink.html</w:t>
        </w:r>
      </w:hyperlink>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t>Brandes</w:t>
      </w:r>
      <w:proofErr w:type="spellEnd"/>
      <w:r w:rsidRPr="00603C3A">
        <w:rPr>
          <w:rFonts w:ascii="Times New Roman" w:hAnsi="Times New Roman" w:cs="Times New Roman"/>
          <w:sz w:val="24"/>
          <w:szCs w:val="24"/>
          <w:lang w:val="en-GB"/>
        </w:rPr>
        <w:t xml:space="preserve"> A.J. A better way to understand the speculative use of credit default swaps. Stanford Journal of Law, Business &amp; Finance, 2009, Volume 14.</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Cheng R.L. Legal doctrine restricting the secondary market in interest rate swaps. Transnational Law, 2010.</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color w:val="231F20"/>
          <w:sz w:val="24"/>
          <w:szCs w:val="24"/>
          <w:lang w:val="en-GB"/>
        </w:rPr>
        <w:t>Committee on Payment and Settlement Systems (CPSS) 2003: A glossary of terms used in payments and settlement systems. Bank for international settlements.</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 xml:space="preserve">Controller of the currency administrator of national banks. Quarterly report on bank trading and derivatives activities. Second quarter, 2010. </w:t>
      </w:r>
      <w:proofErr w:type="spellStart"/>
      <w:r w:rsidRPr="00603C3A">
        <w:rPr>
          <w:rFonts w:ascii="Times New Roman" w:hAnsi="Times New Roman" w:cs="Times New Roman"/>
          <w:sz w:val="24"/>
          <w:szCs w:val="24"/>
          <w:lang w:val="en-GB"/>
        </w:rPr>
        <w:t>Šaltinis</w:t>
      </w:r>
      <w:proofErr w:type="spellEnd"/>
      <w:r w:rsidRPr="00603C3A">
        <w:rPr>
          <w:rFonts w:ascii="Times New Roman" w:hAnsi="Times New Roman" w:cs="Times New Roman"/>
          <w:sz w:val="24"/>
          <w:szCs w:val="24"/>
          <w:lang w:val="en-GB"/>
        </w:rPr>
        <w:t xml:space="preserve"> </w:t>
      </w:r>
      <w:hyperlink r:id="rId15" w:history="1">
        <w:r w:rsidRPr="00603C3A">
          <w:rPr>
            <w:rStyle w:val="Hipersaitas"/>
            <w:rFonts w:ascii="Times New Roman" w:hAnsi="Times New Roman" w:cs="Times New Roman"/>
            <w:sz w:val="24"/>
            <w:szCs w:val="24"/>
            <w:lang w:val="en-GB"/>
          </w:rPr>
          <w:t>http://www.occ.treas.gov/topics/capital-markets/financial-markets/trading/derivatives/dq210.pdf</w:t>
        </w:r>
      </w:hyperlink>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Edwards F.R., Morrison E.R. Derivatives and the bank</w:t>
      </w:r>
      <w:r w:rsidR="00603C3A">
        <w:rPr>
          <w:rFonts w:ascii="Times New Roman" w:hAnsi="Times New Roman" w:cs="Times New Roman"/>
          <w:sz w:val="24"/>
          <w:szCs w:val="24"/>
          <w:lang w:val="en-GB"/>
        </w:rPr>
        <w:t>r</w:t>
      </w:r>
      <w:r w:rsidRPr="00603C3A">
        <w:rPr>
          <w:rFonts w:ascii="Times New Roman" w:hAnsi="Times New Roman" w:cs="Times New Roman"/>
          <w:sz w:val="24"/>
          <w:szCs w:val="24"/>
          <w:lang w:val="en-GB"/>
        </w:rPr>
        <w:t xml:space="preserve">uptcy code: why the special treatment? </w:t>
      </w:r>
      <w:proofErr w:type="spellStart"/>
      <w:r w:rsidRPr="00603C3A">
        <w:rPr>
          <w:rFonts w:ascii="Times New Roman" w:hAnsi="Times New Roman" w:cs="Times New Roman"/>
          <w:sz w:val="24"/>
          <w:szCs w:val="24"/>
          <w:lang w:val="en-GB"/>
        </w:rPr>
        <w:t>Center</w:t>
      </w:r>
      <w:proofErr w:type="spellEnd"/>
      <w:r w:rsidRPr="00603C3A">
        <w:rPr>
          <w:rFonts w:ascii="Times New Roman" w:hAnsi="Times New Roman" w:cs="Times New Roman"/>
          <w:sz w:val="24"/>
          <w:szCs w:val="24"/>
          <w:lang w:val="en-GB"/>
        </w:rPr>
        <w:t xml:space="preserve"> for law and economic studies, WP No. 28. </w:t>
      </w:r>
      <w:proofErr w:type="spellStart"/>
      <w:r w:rsidRPr="00603C3A">
        <w:rPr>
          <w:rFonts w:ascii="Times New Roman" w:hAnsi="Times New Roman" w:cs="Times New Roman"/>
          <w:sz w:val="24"/>
          <w:szCs w:val="24"/>
          <w:lang w:val="en-GB"/>
        </w:rPr>
        <w:t>Šaltinis</w:t>
      </w:r>
      <w:proofErr w:type="spellEnd"/>
      <w:r w:rsidRPr="00603C3A">
        <w:rPr>
          <w:rFonts w:ascii="Times New Roman" w:hAnsi="Times New Roman" w:cs="Times New Roman"/>
          <w:iCs/>
          <w:color w:val="0000FF"/>
          <w:sz w:val="24"/>
          <w:szCs w:val="24"/>
          <w:lang w:val="en-GB"/>
        </w:rPr>
        <w:t xml:space="preserve"> http://papers.ssrn.com/sol3/papers.cfm?abstract_id=589261</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European Financial Markets Lawyers Group. Protection for bilateral insolvency set-off and netting agreements under EC law. 2004, October.</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European Financial Markets Lawyers Group. Symposium on standard market documentation: Lessons learned from the current financial crisis. 2010, April.</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European Financial Markets Lawyers Group. The regulation of close-out netting in the member states of the European Union. 2005, October.</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ISDA collateral steering committee. Best practices for the OTC derivatives collateral process. 2010, June.</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t>Komisijos</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ataskaita</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Europos</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Parlamentui</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ir</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Tarybai</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Direktyvos</w:t>
      </w:r>
      <w:proofErr w:type="spellEnd"/>
      <w:r w:rsidRPr="00603C3A">
        <w:rPr>
          <w:rFonts w:ascii="Times New Roman" w:hAnsi="Times New Roman" w:cs="Times New Roman"/>
          <w:sz w:val="24"/>
          <w:szCs w:val="24"/>
          <w:lang w:val="en-GB"/>
        </w:rPr>
        <w:t xml:space="preserve"> </w:t>
      </w:r>
      <w:proofErr w:type="spellStart"/>
      <w:proofErr w:type="gramStart"/>
      <w:r w:rsidRPr="00603C3A">
        <w:rPr>
          <w:rFonts w:ascii="Times New Roman" w:hAnsi="Times New Roman" w:cs="Times New Roman"/>
          <w:sz w:val="24"/>
          <w:szCs w:val="24"/>
          <w:lang w:val="en-GB"/>
        </w:rPr>
        <w:t>dėl</w:t>
      </w:r>
      <w:proofErr w:type="spellEnd"/>
      <w:proofErr w:type="gram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susitarimų</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dėl</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finansinio</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įkaito</w:t>
      </w:r>
      <w:proofErr w:type="spellEnd"/>
      <w:r w:rsidRPr="00603C3A">
        <w:rPr>
          <w:rFonts w:ascii="Times New Roman" w:hAnsi="Times New Roman" w:cs="Times New Roman"/>
          <w:sz w:val="24"/>
          <w:szCs w:val="24"/>
          <w:lang w:val="en-GB"/>
        </w:rPr>
        <w:t xml:space="preserve"> (2002/47/EB) </w:t>
      </w:r>
      <w:proofErr w:type="spellStart"/>
      <w:r w:rsidRPr="00603C3A">
        <w:rPr>
          <w:rFonts w:ascii="Times New Roman" w:hAnsi="Times New Roman" w:cs="Times New Roman"/>
          <w:sz w:val="24"/>
          <w:szCs w:val="24"/>
          <w:lang w:val="en-GB"/>
        </w:rPr>
        <w:t>vertinimo</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ataskaita</w:t>
      </w:r>
      <w:proofErr w:type="spellEnd"/>
      <w:r w:rsidRPr="00603C3A">
        <w:rPr>
          <w:rFonts w:ascii="Times New Roman" w:hAnsi="Times New Roman" w:cs="Times New Roman"/>
          <w:sz w:val="24"/>
          <w:szCs w:val="24"/>
          <w:lang w:val="en-GB"/>
        </w:rPr>
        <w:t xml:space="preserve">. COM (2006) 833 </w:t>
      </w:r>
      <w:proofErr w:type="spellStart"/>
      <w:r w:rsidRPr="00603C3A">
        <w:rPr>
          <w:rFonts w:ascii="Times New Roman" w:hAnsi="Times New Roman" w:cs="Times New Roman"/>
          <w:sz w:val="24"/>
          <w:szCs w:val="24"/>
          <w:lang w:val="en-GB"/>
        </w:rPr>
        <w:t>galutinis</w:t>
      </w:r>
      <w:proofErr w:type="spellEnd"/>
      <w:r w:rsidRPr="00603C3A">
        <w:rPr>
          <w:rFonts w:ascii="Times New Roman" w:hAnsi="Times New Roman" w:cs="Times New Roman"/>
          <w:sz w:val="24"/>
          <w:szCs w:val="24"/>
          <w:lang w:val="en-GB"/>
        </w:rPr>
        <w:t xml:space="preserve">, 2006 m. </w:t>
      </w:r>
      <w:proofErr w:type="spellStart"/>
      <w:r w:rsidRPr="00603C3A">
        <w:rPr>
          <w:rFonts w:ascii="Times New Roman" w:hAnsi="Times New Roman" w:cs="Times New Roman"/>
          <w:sz w:val="24"/>
          <w:szCs w:val="24"/>
          <w:lang w:val="en-GB"/>
        </w:rPr>
        <w:t>gruodžio</w:t>
      </w:r>
      <w:proofErr w:type="spellEnd"/>
      <w:r w:rsidRPr="00603C3A">
        <w:rPr>
          <w:rFonts w:ascii="Times New Roman" w:hAnsi="Times New Roman" w:cs="Times New Roman"/>
          <w:sz w:val="24"/>
          <w:szCs w:val="24"/>
          <w:lang w:val="en-GB"/>
        </w:rPr>
        <w:t xml:space="preserve"> 20 d.</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t>Keijser</w:t>
      </w:r>
      <w:proofErr w:type="spellEnd"/>
      <w:r w:rsidRPr="00603C3A">
        <w:rPr>
          <w:rFonts w:ascii="Times New Roman" w:hAnsi="Times New Roman" w:cs="Times New Roman"/>
          <w:sz w:val="24"/>
          <w:szCs w:val="24"/>
          <w:lang w:val="en-GB"/>
        </w:rPr>
        <w:t xml:space="preserve"> T. Financial collateral arrangements. The European collateral directive considered from a property and insolvency law perspective. – Kluwer, Series Law of Business and Finance, Volume 9, 2006.</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t>Laurinavičius</w:t>
      </w:r>
      <w:proofErr w:type="spellEnd"/>
      <w:r w:rsidRPr="00603C3A">
        <w:rPr>
          <w:rFonts w:ascii="Times New Roman" w:hAnsi="Times New Roman" w:cs="Times New Roman"/>
          <w:sz w:val="24"/>
          <w:szCs w:val="24"/>
          <w:lang w:val="en-GB"/>
        </w:rPr>
        <w:t xml:space="preserve">, K. </w:t>
      </w:r>
      <w:proofErr w:type="spellStart"/>
      <w:r w:rsidRPr="00603C3A">
        <w:rPr>
          <w:rFonts w:ascii="Times New Roman" w:hAnsi="Times New Roman" w:cs="Times New Roman"/>
          <w:sz w:val="24"/>
          <w:szCs w:val="24"/>
          <w:lang w:val="en-GB"/>
        </w:rPr>
        <w:t>Direktyvos</w:t>
      </w:r>
      <w:proofErr w:type="spellEnd"/>
      <w:r w:rsidRPr="00603C3A">
        <w:rPr>
          <w:rFonts w:ascii="Times New Roman" w:hAnsi="Times New Roman" w:cs="Times New Roman"/>
          <w:sz w:val="24"/>
          <w:szCs w:val="24"/>
          <w:lang w:val="en-GB"/>
        </w:rPr>
        <w:t xml:space="preserve"> 2002/47/EB </w:t>
      </w:r>
      <w:proofErr w:type="spellStart"/>
      <w:r w:rsidRPr="00603C3A">
        <w:rPr>
          <w:rFonts w:ascii="Times New Roman" w:hAnsi="Times New Roman" w:cs="Times New Roman"/>
          <w:sz w:val="24"/>
          <w:szCs w:val="24"/>
          <w:lang w:val="en-GB"/>
        </w:rPr>
        <w:t>Dėl</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finansinio</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užstato</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susitarimų</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įgyvendinimas</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Lietuvos</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teisėje</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Pinigų</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studijos</w:t>
      </w:r>
      <w:proofErr w:type="spellEnd"/>
      <w:r w:rsidRPr="00603C3A">
        <w:rPr>
          <w:rFonts w:ascii="Times New Roman" w:hAnsi="Times New Roman" w:cs="Times New Roman"/>
          <w:sz w:val="24"/>
          <w:szCs w:val="24"/>
          <w:lang w:val="en-GB"/>
        </w:rPr>
        <w:t>, 2004, Nr. 3.</w:t>
      </w:r>
    </w:p>
    <w:p w:rsidR="00280D71" w:rsidRPr="00603C3A" w:rsidRDefault="00280D71"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lastRenderedPageBreak/>
        <w:t>Lober</w:t>
      </w:r>
      <w:proofErr w:type="spellEnd"/>
      <w:r w:rsidRPr="00603C3A">
        <w:rPr>
          <w:rFonts w:ascii="Times New Roman" w:hAnsi="Times New Roman" w:cs="Times New Roman"/>
          <w:sz w:val="24"/>
          <w:szCs w:val="24"/>
          <w:lang w:val="en-GB"/>
        </w:rPr>
        <w:t xml:space="preserve"> K. The implementation of Directive 2002/47 on financial collateral arrangements. Journal of International Banking Law and Regulation, 2006, </w:t>
      </w:r>
      <w:r w:rsidRPr="00603C3A">
        <w:rPr>
          <w:rFonts w:ascii="Times New Roman" w:eastAsia="Times New Roman" w:hAnsi="Times New Roman" w:cs="Times New Roman"/>
          <w:color w:val="000000"/>
          <w:sz w:val="24"/>
          <w:szCs w:val="24"/>
          <w:lang w:val="en-GB"/>
        </w:rPr>
        <w:t>21(4).</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 xml:space="preserve">Longworth D. The role of margin requirements and haircuts in </w:t>
      </w:r>
      <w:proofErr w:type="spellStart"/>
      <w:r w:rsidRPr="00603C3A">
        <w:rPr>
          <w:rFonts w:ascii="Times New Roman" w:hAnsi="Times New Roman" w:cs="Times New Roman"/>
          <w:sz w:val="24"/>
          <w:szCs w:val="24"/>
          <w:lang w:val="en-GB"/>
        </w:rPr>
        <w:t>procyclicality</w:t>
      </w:r>
      <w:proofErr w:type="spellEnd"/>
      <w:r w:rsidRPr="00603C3A">
        <w:rPr>
          <w:rFonts w:ascii="Times New Roman" w:hAnsi="Times New Roman" w:cs="Times New Roman"/>
          <w:sz w:val="24"/>
          <w:szCs w:val="24"/>
          <w:lang w:val="en-GB"/>
        </w:rPr>
        <w:t>. CGFS Papers No 36, 2010.</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t>Lubben</w:t>
      </w:r>
      <w:proofErr w:type="spellEnd"/>
      <w:r w:rsidRPr="00603C3A">
        <w:rPr>
          <w:rFonts w:ascii="Times New Roman" w:hAnsi="Times New Roman" w:cs="Times New Roman"/>
          <w:sz w:val="24"/>
          <w:szCs w:val="24"/>
          <w:lang w:val="en-GB"/>
        </w:rPr>
        <w:t xml:space="preserve"> S.J. Derivatives and bankruptcy: the flawed case for special treatment. 2009, </w:t>
      </w:r>
      <w:proofErr w:type="spellStart"/>
      <w:r w:rsidRPr="00603C3A">
        <w:rPr>
          <w:rFonts w:ascii="Times New Roman" w:hAnsi="Times New Roman" w:cs="Times New Roman"/>
          <w:sz w:val="24"/>
          <w:szCs w:val="24"/>
          <w:lang w:val="en-GB"/>
        </w:rPr>
        <w:t>UoP</w:t>
      </w:r>
      <w:proofErr w:type="spellEnd"/>
      <w:r w:rsidRPr="00603C3A">
        <w:rPr>
          <w:rFonts w:ascii="Times New Roman" w:hAnsi="Times New Roman" w:cs="Times New Roman"/>
          <w:sz w:val="24"/>
          <w:szCs w:val="24"/>
          <w:lang w:val="en-GB"/>
        </w:rPr>
        <w:t xml:space="preserve"> Journal of Business Law, Volume 12.</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t>Mengle</w:t>
      </w:r>
      <w:proofErr w:type="spellEnd"/>
      <w:r w:rsidRPr="00603C3A">
        <w:rPr>
          <w:rFonts w:ascii="Times New Roman" w:hAnsi="Times New Roman" w:cs="Times New Roman"/>
          <w:sz w:val="24"/>
          <w:szCs w:val="24"/>
          <w:lang w:val="en-GB"/>
        </w:rPr>
        <w:t>, D. The importance of close-out-netting. ISDA research notes, 2010, number 1.</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t>Miliukas</w:t>
      </w:r>
      <w:proofErr w:type="spellEnd"/>
      <w:r w:rsidRPr="00603C3A">
        <w:rPr>
          <w:rFonts w:ascii="Times New Roman" w:hAnsi="Times New Roman" w:cs="Times New Roman"/>
          <w:sz w:val="24"/>
          <w:szCs w:val="24"/>
          <w:lang w:val="en-GB"/>
        </w:rPr>
        <w:t xml:space="preserve"> E. </w:t>
      </w:r>
      <w:proofErr w:type="spellStart"/>
      <w:r w:rsidRPr="00603C3A">
        <w:rPr>
          <w:rFonts w:ascii="Times New Roman" w:hAnsi="Times New Roman" w:cs="Times New Roman"/>
          <w:sz w:val="24"/>
          <w:szCs w:val="24"/>
          <w:lang w:val="en-GB"/>
        </w:rPr>
        <w:t>Novacija</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teorija</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ir</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praktika</w:t>
      </w:r>
      <w:proofErr w:type="spellEnd"/>
      <w:r w:rsidRPr="00603C3A">
        <w:rPr>
          <w:rFonts w:ascii="Times New Roman" w:hAnsi="Times New Roman" w:cs="Times New Roman"/>
          <w:sz w:val="24"/>
          <w:szCs w:val="24"/>
          <w:lang w:val="en-GB"/>
        </w:rPr>
        <w:t xml:space="preserve">. </w:t>
      </w:r>
      <w:proofErr w:type="spellStart"/>
      <w:r w:rsidRPr="00603C3A">
        <w:rPr>
          <w:rFonts w:ascii="Times New Roman" w:hAnsi="Times New Roman" w:cs="Times New Roman"/>
          <w:sz w:val="24"/>
          <w:szCs w:val="24"/>
          <w:lang w:val="en-GB"/>
        </w:rPr>
        <w:t>Justitia</w:t>
      </w:r>
      <w:proofErr w:type="spellEnd"/>
      <w:r w:rsidRPr="00603C3A">
        <w:rPr>
          <w:rFonts w:ascii="Times New Roman" w:hAnsi="Times New Roman" w:cs="Times New Roman"/>
          <w:sz w:val="24"/>
          <w:szCs w:val="24"/>
          <w:lang w:val="en-GB"/>
        </w:rPr>
        <w:t>, 2007, Nr. 4 (68).</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t>Partnoy</w:t>
      </w:r>
      <w:proofErr w:type="spellEnd"/>
      <w:r w:rsidRPr="00603C3A">
        <w:rPr>
          <w:rFonts w:ascii="Times New Roman" w:hAnsi="Times New Roman" w:cs="Times New Roman"/>
          <w:sz w:val="24"/>
          <w:szCs w:val="24"/>
          <w:lang w:val="en-GB"/>
        </w:rPr>
        <w:t xml:space="preserve"> F. Adding derivatives to the corporate law mix. Georgia Law Review, 2000, Volume 34.</w:t>
      </w:r>
    </w:p>
    <w:p w:rsidR="00EF0D67" w:rsidRPr="00603C3A"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t>Pykhtin</w:t>
      </w:r>
      <w:proofErr w:type="spellEnd"/>
      <w:r w:rsidRPr="00603C3A">
        <w:rPr>
          <w:rFonts w:ascii="Times New Roman" w:hAnsi="Times New Roman" w:cs="Times New Roman"/>
          <w:sz w:val="24"/>
          <w:szCs w:val="24"/>
          <w:lang w:val="en-GB"/>
        </w:rPr>
        <w:t xml:space="preserve"> M., Zhu S. A Guide to modelling counterparty credit risk. Global Association of Risk Professionals, issue 37, 2007.</w:t>
      </w:r>
    </w:p>
    <w:p w:rsidR="008461E2" w:rsidRPr="00603C3A"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proofErr w:type="spellStart"/>
      <w:r w:rsidRPr="00603C3A">
        <w:rPr>
          <w:rFonts w:ascii="Times New Roman" w:hAnsi="Times New Roman" w:cs="Times New Roman"/>
          <w:sz w:val="24"/>
          <w:szCs w:val="24"/>
          <w:lang w:val="en-GB"/>
        </w:rPr>
        <w:t>Raunig</w:t>
      </w:r>
      <w:proofErr w:type="spellEnd"/>
      <w:r w:rsidRPr="00603C3A">
        <w:rPr>
          <w:rFonts w:ascii="Times New Roman" w:hAnsi="Times New Roman" w:cs="Times New Roman"/>
          <w:sz w:val="24"/>
          <w:szCs w:val="24"/>
          <w:lang w:val="en-GB"/>
        </w:rPr>
        <w:t xml:space="preserve"> B., </w:t>
      </w:r>
      <w:proofErr w:type="spellStart"/>
      <w:r w:rsidRPr="00603C3A">
        <w:rPr>
          <w:rFonts w:ascii="Times New Roman" w:hAnsi="Times New Roman" w:cs="Times New Roman"/>
          <w:sz w:val="24"/>
          <w:szCs w:val="24"/>
          <w:lang w:val="en-GB"/>
        </w:rPr>
        <w:t>Scheicher</w:t>
      </w:r>
      <w:proofErr w:type="spellEnd"/>
      <w:r w:rsidRPr="00603C3A">
        <w:rPr>
          <w:rFonts w:ascii="Times New Roman" w:hAnsi="Times New Roman" w:cs="Times New Roman"/>
          <w:sz w:val="24"/>
          <w:szCs w:val="24"/>
          <w:lang w:val="en-GB"/>
        </w:rPr>
        <w:t xml:space="preserve"> M. A value at risk analysis of credit default swaps. Europe Central Bank, 2008, Working Paper No. 968.</w:t>
      </w:r>
    </w:p>
    <w:p w:rsidR="002B3A29" w:rsidRPr="00603C3A"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 xml:space="preserve">Robinson T. Credit Default Swaps. </w:t>
      </w:r>
      <w:proofErr w:type="spellStart"/>
      <w:r w:rsidRPr="00603C3A">
        <w:rPr>
          <w:rFonts w:ascii="Times New Roman" w:hAnsi="Times New Roman" w:cs="Times New Roman"/>
          <w:sz w:val="24"/>
          <w:szCs w:val="24"/>
          <w:lang w:val="en-GB"/>
        </w:rPr>
        <w:t>Šaltinis</w:t>
      </w:r>
      <w:proofErr w:type="spellEnd"/>
      <w:r w:rsidRPr="00603C3A">
        <w:rPr>
          <w:rFonts w:ascii="Times New Roman" w:hAnsi="Times New Roman" w:cs="Times New Roman"/>
          <w:sz w:val="24"/>
          <w:szCs w:val="24"/>
          <w:lang w:val="en-GB"/>
        </w:rPr>
        <w:t xml:space="preserve"> </w:t>
      </w:r>
      <w:hyperlink r:id="rId16" w:history="1">
        <w:r w:rsidR="002B3A29" w:rsidRPr="00603C3A">
          <w:rPr>
            <w:rStyle w:val="Hipersaitas"/>
            <w:rFonts w:ascii="Times New Roman" w:hAnsi="Times New Roman" w:cs="Times New Roman"/>
            <w:sz w:val="24"/>
            <w:szCs w:val="24"/>
            <w:lang w:val="en-GB"/>
          </w:rPr>
          <w:t>http://www.trim.co.uk/CreditDefaultSwaps.pdf</w:t>
        </w:r>
      </w:hyperlink>
    </w:p>
    <w:p w:rsidR="008461E2" w:rsidRPr="00603C3A"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Shea T. The usefulness of netting agreements. Journal of International Banking Law, 1991, 6(4).</w:t>
      </w:r>
    </w:p>
    <w:p w:rsidR="008461E2" w:rsidRPr="00603C3A"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lang w:val="en-GB"/>
        </w:rPr>
      </w:pPr>
      <w:r w:rsidRPr="00603C3A">
        <w:rPr>
          <w:rFonts w:ascii="Times New Roman" w:hAnsi="Times New Roman" w:cs="Times New Roman"/>
          <w:sz w:val="24"/>
          <w:szCs w:val="24"/>
          <w:lang w:val="en-GB"/>
        </w:rPr>
        <w:t>Shea T. The Basle Committee Consultative Paper on netting. Journal of International Banking Law, 1993, 8(8).</w:t>
      </w: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rPr>
      </w:pPr>
    </w:p>
    <w:p w:rsidR="008461E2" w:rsidRPr="00A91E83" w:rsidRDefault="008461E2" w:rsidP="008461E2">
      <w:pPr>
        <w:tabs>
          <w:tab w:val="left" w:pos="851"/>
          <w:tab w:val="left" w:pos="1701"/>
        </w:tabs>
        <w:spacing w:after="0" w:line="360" w:lineRule="auto"/>
        <w:jc w:val="center"/>
        <w:rPr>
          <w:rFonts w:ascii="Times New Roman" w:hAnsi="Times New Roman" w:cs="Times New Roman"/>
          <w:b/>
          <w:sz w:val="24"/>
          <w:szCs w:val="24"/>
        </w:rPr>
      </w:pPr>
      <w:r w:rsidRPr="00A91E83">
        <w:rPr>
          <w:rFonts w:ascii="Times New Roman" w:hAnsi="Times New Roman" w:cs="Times New Roman"/>
          <w:b/>
          <w:sz w:val="24"/>
          <w:szCs w:val="24"/>
        </w:rPr>
        <w:t>Teismų praktika</w:t>
      </w:r>
    </w:p>
    <w:p w:rsidR="008461E2" w:rsidRPr="00A91E83" w:rsidRDefault="008461E2" w:rsidP="008461E2">
      <w:pPr>
        <w:tabs>
          <w:tab w:val="left" w:pos="851"/>
          <w:tab w:val="left" w:pos="1701"/>
        </w:tabs>
        <w:spacing w:after="0" w:line="360" w:lineRule="auto"/>
        <w:jc w:val="center"/>
        <w:rPr>
          <w:rFonts w:ascii="Times New Roman" w:hAnsi="Times New Roman" w:cs="Times New Roman"/>
          <w:b/>
          <w:sz w:val="24"/>
          <w:szCs w:val="24"/>
        </w:rPr>
      </w:pP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LAT CBS teisėjų kolegijos 2000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birželio 6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nutartis </w:t>
      </w:r>
      <w:proofErr w:type="spellStart"/>
      <w:r w:rsidRPr="00A91E83">
        <w:rPr>
          <w:rFonts w:ascii="Times New Roman" w:hAnsi="Times New Roman" w:cs="Times New Roman"/>
          <w:sz w:val="24"/>
          <w:szCs w:val="24"/>
        </w:rPr>
        <w:t>civ</w:t>
      </w:r>
      <w:proofErr w:type="spellEnd"/>
      <w:r w:rsidRPr="00A91E83">
        <w:rPr>
          <w:rFonts w:ascii="Times New Roman" w:hAnsi="Times New Roman" w:cs="Times New Roman"/>
          <w:sz w:val="24"/>
          <w:szCs w:val="24"/>
        </w:rPr>
        <w:t xml:space="preserve">. byla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3K-3-568/2000.</w:t>
      </w:r>
    </w:p>
    <w:p w:rsidR="00EF0D67" w:rsidRPr="00A91E83"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LAT CBS išplėstinės teisėjų kolegijos 2001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kovo 13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nutartis </w:t>
      </w:r>
      <w:proofErr w:type="spellStart"/>
      <w:r w:rsidRPr="00A91E83">
        <w:rPr>
          <w:rFonts w:ascii="Times New Roman" w:hAnsi="Times New Roman" w:cs="Times New Roman"/>
          <w:sz w:val="24"/>
          <w:szCs w:val="24"/>
        </w:rPr>
        <w:t>civ</w:t>
      </w:r>
      <w:proofErr w:type="spellEnd"/>
      <w:r w:rsidRPr="00A91E83">
        <w:rPr>
          <w:rFonts w:ascii="Times New Roman" w:hAnsi="Times New Roman" w:cs="Times New Roman"/>
          <w:sz w:val="24"/>
          <w:szCs w:val="24"/>
        </w:rPr>
        <w:t xml:space="preserve">. byla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3K-7-95/2001.</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LAT CBS teisėjų kolegijos 2002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gegužės 8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nutartis </w:t>
      </w:r>
      <w:proofErr w:type="spellStart"/>
      <w:r w:rsidRPr="00A91E83">
        <w:rPr>
          <w:rFonts w:ascii="Times New Roman" w:hAnsi="Times New Roman" w:cs="Times New Roman"/>
          <w:sz w:val="24"/>
          <w:szCs w:val="24"/>
        </w:rPr>
        <w:t>civ</w:t>
      </w:r>
      <w:proofErr w:type="spellEnd"/>
      <w:r w:rsidRPr="00A91E83">
        <w:rPr>
          <w:rFonts w:ascii="Times New Roman" w:hAnsi="Times New Roman" w:cs="Times New Roman"/>
          <w:sz w:val="24"/>
          <w:szCs w:val="24"/>
        </w:rPr>
        <w:t xml:space="preserve">. byla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3K-3-699/2002.</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LAT CBS teisėjų kolegijos 2004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rugsėjo 27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nutartis </w:t>
      </w:r>
      <w:proofErr w:type="spellStart"/>
      <w:r w:rsidRPr="00A91E83">
        <w:rPr>
          <w:rFonts w:ascii="Times New Roman" w:hAnsi="Times New Roman" w:cs="Times New Roman"/>
          <w:sz w:val="24"/>
          <w:szCs w:val="24"/>
        </w:rPr>
        <w:t>civ</w:t>
      </w:r>
      <w:proofErr w:type="spellEnd"/>
      <w:r w:rsidRPr="00A91E83">
        <w:rPr>
          <w:rFonts w:ascii="Times New Roman" w:hAnsi="Times New Roman" w:cs="Times New Roman"/>
          <w:sz w:val="24"/>
          <w:szCs w:val="24"/>
        </w:rPr>
        <w:t xml:space="preserve">. byla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3K-3-484/2004.</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LAT CBS teisėjų kolegijos 2004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spalio 11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nutartis </w:t>
      </w:r>
      <w:proofErr w:type="spellStart"/>
      <w:r w:rsidRPr="00A91E83">
        <w:rPr>
          <w:rFonts w:ascii="Times New Roman" w:hAnsi="Times New Roman" w:cs="Times New Roman"/>
          <w:sz w:val="24"/>
          <w:szCs w:val="24"/>
        </w:rPr>
        <w:t>civ</w:t>
      </w:r>
      <w:proofErr w:type="spellEnd"/>
      <w:r w:rsidRPr="00A91E83">
        <w:rPr>
          <w:rFonts w:ascii="Times New Roman" w:hAnsi="Times New Roman" w:cs="Times New Roman"/>
          <w:sz w:val="24"/>
          <w:szCs w:val="24"/>
        </w:rPr>
        <w:t xml:space="preserve">. byla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3K-3-538/2004.</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LAT CBS plenarinės teisėjų kolegijos 2004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birželio 29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nutartis  </w:t>
      </w:r>
      <w:proofErr w:type="spellStart"/>
      <w:r w:rsidRPr="00A91E83">
        <w:rPr>
          <w:rFonts w:ascii="Times New Roman" w:hAnsi="Times New Roman" w:cs="Times New Roman"/>
          <w:sz w:val="24"/>
          <w:szCs w:val="24"/>
        </w:rPr>
        <w:t>civ</w:t>
      </w:r>
      <w:proofErr w:type="spellEnd"/>
      <w:r w:rsidRPr="00A91E83">
        <w:rPr>
          <w:rFonts w:ascii="Times New Roman" w:hAnsi="Times New Roman" w:cs="Times New Roman"/>
          <w:sz w:val="24"/>
          <w:szCs w:val="24"/>
        </w:rPr>
        <w:t xml:space="preserve">. byla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3K-P-346/2004.</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LAT CBS teisėjų kolegijos 2006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spalio 24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nutartis </w:t>
      </w:r>
      <w:proofErr w:type="spellStart"/>
      <w:r w:rsidRPr="00A91E83">
        <w:rPr>
          <w:rFonts w:ascii="Times New Roman" w:hAnsi="Times New Roman" w:cs="Times New Roman"/>
          <w:sz w:val="24"/>
          <w:szCs w:val="24"/>
        </w:rPr>
        <w:t>civ</w:t>
      </w:r>
      <w:proofErr w:type="spellEnd"/>
      <w:r w:rsidRPr="00A91E83">
        <w:rPr>
          <w:rFonts w:ascii="Times New Roman" w:hAnsi="Times New Roman" w:cs="Times New Roman"/>
          <w:sz w:val="24"/>
          <w:szCs w:val="24"/>
        </w:rPr>
        <w:t xml:space="preserve">. byla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3K-3-529/2006.</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LAT CBS teisėjų kolegijos 2006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gruodžio 11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nutartis </w:t>
      </w:r>
      <w:proofErr w:type="spellStart"/>
      <w:r w:rsidRPr="00A91E83">
        <w:rPr>
          <w:rFonts w:ascii="Times New Roman" w:hAnsi="Times New Roman" w:cs="Times New Roman"/>
          <w:sz w:val="24"/>
          <w:szCs w:val="24"/>
        </w:rPr>
        <w:t>civ</w:t>
      </w:r>
      <w:proofErr w:type="spellEnd"/>
      <w:r w:rsidRPr="00A91E83">
        <w:rPr>
          <w:rFonts w:ascii="Times New Roman" w:hAnsi="Times New Roman" w:cs="Times New Roman"/>
          <w:sz w:val="24"/>
          <w:szCs w:val="24"/>
        </w:rPr>
        <w:t xml:space="preserve">. byla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3K-3-624/2006.</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LAT CBS teisėjų kolegijos 2007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gruodžio 21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nutartis </w:t>
      </w:r>
      <w:proofErr w:type="spellStart"/>
      <w:r w:rsidRPr="00A91E83">
        <w:rPr>
          <w:rFonts w:ascii="Times New Roman" w:hAnsi="Times New Roman" w:cs="Times New Roman"/>
          <w:sz w:val="24"/>
          <w:szCs w:val="24"/>
        </w:rPr>
        <w:t>civ</w:t>
      </w:r>
      <w:proofErr w:type="spellEnd"/>
      <w:r w:rsidRPr="00A91E83">
        <w:rPr>
          <w:rFonts w:ascii="Times New Roman" w:hAnsi="Times New Roman" w:cs="Times New Roman"/>
          <w:sz w:val="24"/>
          <w:szCs w:val="24"/>
        </w:rPr>
        <w:t xml:space="preserve">. byla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3K-3-593/2007.</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LAT CBS teisėjų kolegijos 2008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gegužės 27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nutartis </w:t>
      </w:r>
      <w:proofErr w:type="spellStart"/>
      <w:r w:rsidRPr="00A91E83">
        <w:rPr>
          <w:rFonts w:ascii="Times New Roman" w:hAnsi="Times New Roman" w:cs="Times New Roman"/>
          <w:sz w:val="24"/>
          <w:szCs w:val="24"/>
        </w:rPr>
        <w:t>civ</w:t>
      </w:r>
      <w:proofErr w:type="spellEnd"/>
      <w:r w:rsidRPr="00A91E83">
        <w:rPr>
          <w:rFonts w:ascii="Times New Roman" w:hAnsi="Times New Roman" w:cs="Times New Roman"/>
          <w:sz w:val="24"/>
          <w:szCs w:val="24"/>
        </w:rPr>
        <w:t xml:space="preserve">. byla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3K-3-226/2008.</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LAT CBS teisėjų kolegijos 2009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birželio 26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nutartis </w:t>
      </w:r>
      <w:proofErr w:type="spellStart"/>
      <w:r w:rsidRPr="00A91E83">
        <w:rPr>
          <w:rFonts w:ascii="Times New Roman" w:hAnsi="Times New Roman" w:cs="Times New Roman"/>
          <w:sz w:val="24"/>
          <w:szCs w:val="24"/>
        </w:rPr>
        <w:t>civ</w:t>
      </w:r>
      <w:proofErr w:type="spellEnd"/>
      <w:r w:rsidRPr="00A91E83">
        <w:rPr>
          <w:rFonts w:ascii="Times New Roman" w:hAnsi="Times New Roman" w:cs="Times New Roman"/>
          <w:sz w:val="24"/>
          <w:szCs w:val="24"/>
        </w:rPr>
        <w:t xml:space="preserve">. byla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3K-3-293/2009.</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lastRenderedPageBreak/>
        <w:t xml:space="preserve">LAT CBS teisėjų kolegijos 2009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liepos 10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nutartis </w:t>
      </w:r>
      <w:proofErr w:type="spellStart"/>
      <w:r w:rsidRPr="00A91E83">
        <w:rPr>
          <w:rFonts w:ascii="Times New Roman" w:hAnsi="Times New Roman" w:cs="Times New Roman"/>
          <w:sz w:val="24"/>
          <w:szCs w:val="24"/>
        </w:rPr>
        <w:t>civ</w:t>
      </w:r>
      <w:proofErr w:type="spellEnd"/>
      <w:r w:rsidRPr="00A91E83">
        <w:rPr>
          <w:rFonts w:ascii="Times New Roman" w:hAnsi="Times New Roman" w:cs="Times New Roman"/>
          <w:sz w:val="24"/>
          <w:szCs w:val="24"/>
        </w:rPr>
        <w:t xml:space="preserve">. byla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3K-3-291/2009.</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LAT CBS teisėjų kolegijos 2010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sausio 4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nutartis </w:t>
      </w:r>
      <w:proofErr w:type="spellStart"/>
      <w:r w:rsidRPr="00A91E83">
        <w:rPr>
          <w:rFonts w:ascii="Times New Roman" w:hAnsi="Times New Roman" w:cs="Times New Roman"/>
          <w:sz w:val="24"/>
          <w:szCs w:val="24"/>
        </w:rPr>
        <w:t>civ</w:t>
      </w:r>
      <w:proofErr w:type="spellEnd"/>
      <w:r w:rsidRPr="00A91E83">
        <w:rPr>
          <w:rFonts w:ascii="Times New Roman" w:hAnsi="Times New Roman" w:cs="Times New Roman"/>
          <w:sz w:val="24"/>
          <w:szCs w:val="24"/>
        </w:rPr>
        <w:t xml:space="preserve">. byla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3K-3-9/2010.</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LAT CBS teisėjų kolegijos 2010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vasario 1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nutartis </w:t>
      </w:r>
      <w:proofErr w:type="spellStart"/>
      <w:r w:rsidRPr="00A91E83">
        <w:rPr>
          <w:rFonts w:ascii="Times New Roman" w:hAnsi="Times New Roman" w:cs="Times New Roman"/>
          <w:sz w:val="24"/>
          <w:szCs w:val="24"/>
        </w:rPr>
        <w:t>civ</w:t>
      </w:r>
      <w:proofErr w:type="spellEnd"/>
      <w:r w:rsidRPr="00A91E83">
        <w:rPr>
          <w:rFonts w:ascii="Times New Roman" w:hAnsi="Times New Roman" w:cs="Times New Roman"/>
          <w:sz w:val="24"/>
          <w:szCs w:val="24"/>
        </w:rPr>
        <w:t xml:space="preserve">. byla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3K-3-18/2010.</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LAT CBS teisėjų kolegijos 2010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balandžio 19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nutartis </w:t>
      </w:r>
      <w:proofErr w:type="spellStart"/>
      <w:r w:rsidRPr="00A91E83">
        <w:rPr>
          <w:rFonts w:ascii="Times New Roman" w:hAnsi="Times New Roman" w:cs="Times New Roman"/>
          <w:sz w:val="24"/>
          <w:szCs w:val="24"/>
        </w:rPr>
        <w:t>civ</w:t>
      </w:r>
      <w:proofErr w:type="spellEnd"/>
      <w:r w:rsidRPr="00A91E83">
        <w:rPr>
          <w:rFonts w:ascii="Times New Roman" w:hAnsi="Times New Roman" w:cs="Times New Roman"/>
          <w:sz w:val="24"/>
          <w:szCs w:val="24"/>
        </w:rPr>
        <w:t xml:space="preserve">. byla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3K-3-179/2010.</w:t>
      </w:r>
    </w:p>
    <w:p w:rsidR="008461E2"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LAT CBS teisėjų kolegijos 2010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spalio 19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nutartis </w:t>
      </w:r>
      <w:proofErr w:type="spellStart"/>
      <w:r w:rsidRPr="00A91E83">
        <w:rPr>
          <w:rFonts w:ascii="Times New Roman" w:hAnsi="Times New Roman" w:cs="Times New Roman"/>
          <w:sz w:val="24"/>
          <w:szCs w:val="24"/>
        </w:rPr>
        <w:t>civ</w:t>
      </w:r>
      <w:proofErr w:type="spellEnd"/>
      <w:r w:rsidRPr="00A91E83">
        <w:rPr>
          <w:rFonts w:ascii="Times New Roman" w:hAnsi="Times New Roman" w:cs="Times New Roman"/>
          <w:sz w:val="24"/>
          <w:szCs w:val="24"/>
        </w:rPr>
        <w:t xml:space="preserve">. byla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3K-3-402/2010.</w:t>
      </w:r>
    </w:p>
    <w:p w:rsidR="00346B73" w:rsidRPr="00A91E83" w:rsidRDefault="00346B73"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LAT CBS teisėjų kolegijos 2010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w:t>
      </w:r>
      <w:r w:rsidR="00D07A0A">
        <w:rPr>
          <w:rFonts w:ascii="Times New Roman" w:hAnsi="Times New Roman" w:cs="Times New Roman"/>
          <w:sz w:val="24"/>
          <w:szCs w:val="24"/>
        </w:rPr>
        <w:t xml:space="preserve"> lapkričio 30 </w:t>
      </w:r>
      <w:proofErr w:type="spellStart"/>
      <w:r w:rsidR="00D07A0A">
        <w:rPr>
          <w:rFonts w:ascii="Times New Roman" w:hAnsi="Times New Roman" w:cs="Times New Roman"/>
          <w:sz w:val="24"/>
          <w:szCs w:val="24"/>
        </w:rPr>
        <w:t>d</w:t>
      </w:r>
      <w:proofErr w:type="spellEnd"/>
      <w:r w:rsidR="00D07A0A">
        <w:rPr>
          <w:rFonts w:ascii="Times New Roman" w:hAnsi="Times New Roman" w:cs="Times New Roman"/>
          <w:sz w:val="24"/>
          <w:szCs w:val="24"/>
        </w:rPr>
        <w:t xml:space="preserve">. nutartis </w:t>
      </w:r>
      <w:proofErr w:type="spellStart"/>
      <w:r w:rsidR="00D07A0A">
        <w:rPr>
          <w:rFonts w:ascii="Times New Roman" w:hAnsi="Times New Roman" w:cs="Times New Roman"/>
          <w:sz w:val="24"/>
          <w:szCs w:val="24"/>
        </w:rPr>
        <w:t>civ</w:t>
      </w:r>
      <w:proofErr w:type="spellEnd"/>
      <w:r w:rsidR="00D07A0A">
        <w:rPr>
          <w:rFonts w:ascii="Times New Roman" w:hAnsi="Times New Roman" w:cs="Times New Roman"/>
          <w:sz w:val="24"/>
          <w:szCs w:val="24"/>
        </w:rPr>
        <w:t>. b</w:t>
      </w:r>
      <w:r w:rsidRPr="00A91E83">
        <w:rPr>
          <w:rFonts w:ascii="Times New Roman" w:hAnsi="Times New Roman" w:cs="Times New Roman"/>
          <w:sz w:val="24"/>
          <w:szCs w:val="24"/>
        </w:rPr>
        <w:t xml:space="preserve">yla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3K-3-483/2010.</w:t>
      </w:r>
    </w:p>
    <w:p w:rsidR="0067004C" w:rsidRPr="00A91E83" w:rsidRDefault="0067004C"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LAT 2008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rugsėjo 21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xml:space="preserve">. praktikos dėl </w:t>
      </w:r>
      <w:proofErr w:type="spellStart"/>
      <w:r w:rsidRPr="00A91E83">
        <w:rPr>
          <w:rFonts w:ascii="Times New Roman" w:hAnsi="Times New Roman" w:cs="Times New Roman"/>
          <w:sz w:val="24"/>
          <w:szCs w:val="24"/>
        </w:rPr>
        <w:t>actio</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Pauliana</w:t>
      </w:r>
      <w:proofErr w:type="spellEnd"/>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nestiesioginio</w:t>
      </w:r>
      <w:proofErr w:type="spellEnd"/>
      <w:r w:rsidRPr="00A91E83">
        <w:rPr>
          <w:rFonts w:ascii="Times New Roman" w:hAnsi="Times New Roman" w:cs="Times New Roman"/>
          <w:sz w:val="24"/>
          <w:szCs w:val="24"/>
        </w:rPr>
        <w:t xml:space="preserve"> ieškinio, sulaikymo teisės ir prevencinio ieškinio institutų taikymo apžvalga,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29.</w:t>
      </w:r>
    </w:p>
    <w:p w:rsidR="0067004C" w:rsidRPr="00A91E83" w:rsidRDefault="0067004C" w:rsidP="0067004C">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LAT konsultacija bankroto bylų nagrinėjimo klausimais 1997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birželio 19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w:t>
      </w:r>
    </w:p>
    <w:p w:rsidR="00EF0D67" w:rsidRPr="00A91E83"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Lietuvos apeliacinio teismo CBS teisėjų kolegijos 2009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bir</w:t>
      </w:r>
      <w:r w:rsidR="00D07A0A">
        <w:rPr>
          <w:rFonts w:ascii="Times New Roman" w:hAnsi="Times New Roman" w:cs="Times New Roman"/>
          <w:sz w:val="24"/>
          <w:szCs w:val="24"/>
        </w:rPr>
        <w:t xml:space="preserve">želio 18 </w:t>
      </w:r>
      <w:proofErr w:type="spellStart"/>
      <w:r w:rsidR="00D07A0A">
        <w:rPr>
          <w:rFonts w:ascii="Times New Roman" w:hAnsi="Times New Roman" w:cs="Times New Roman"/>
          <w:sz w:val="24"/>
          <w:szCs w:val="24"/>
        </w:rPr>
        <w:t>d</w:t>
      </w:r>
      <w:proofErr w:type="spellEnd"/>
      <w:r w:rsidR="00D07A0A">
        <w:rPr>
          <w:rFonts w:ascii="Times New Roman" w:hAnsi="Times New Roman" w:cs="Times New Roman"/>
          <w:sz w:val="24"/>
          <w:szCs w:val="24"/>
        </w:rPr>
        <w:t xml:space="preserve">. nutartis </w:t>
      </w:r>
      <w:proofErr w:type="spellStart"/>
      <w:r w:rsidR="00D07A0A">
        <w:rPr>
          <w:rFonts w:ascii="Times New Roman" w:hAnsi="Times New Roman" w:cs="Times New Roman"/>
          <w:sz w:val="24"/>
          <w:szCs w:val="24"/>
        </w:rPr>
        <w:t>civ</w:t>
      </w:r>
      <w:proofErr w:type="spellEnd"/>
      <w:r w:rsidR="00D07A0A">
        <w:rPr>
          <w:rFonts w:ascii="Times New Roman" w:hAnsi="Times New Roman" w:cs="Times New Roman"/>
          <w:sz w:val="24"/>
          <w:szCs w:val="24"/>
        </w:rPr>
        <w:t>. byla</w:t>
      </w:r>
      <w:r w:rsidRPr="00A91E83">
        <w:rPr>
          <w:rFonts w:ascii="Times New Roman" w:hAnsi="Times New Roman" w:cs="Times New Roman"/>
          <w:sz w:val="24"/>
          <w:szCs w:val="24"/>
        </w:rPr>
        <w:t xml:space="preserve"> </w:t>
      </w:r>
      <w:proofErr w:type="spellStart"/>
      <w:r w:rsidRPr="00A91E83">
        <w:rPr>
          <w:rFonts w:ascii="Times New Roman" w:hAnsi="Times New Roman" w:cs="Times New Roman"/>
          <w:sz w:val="24"/>
          <w:szCs w:val="24"/>
        </w:rPr>
        <w:t>Nr</w:t>
      </w:r>
      <w:proofErr w:type="spellEnd"/>
      <w:r w:rsidRPr="00A91E83">
        <w:rPr>
          <w:rFonts w:ascii="Times New Roman" w:hAnsi="Times New Roman" w:cs="Times New Roman"/>
          <w:sz w:val="24"/>
          <w:szCs w:val="24"/>
        </w:rPr>
        <w:t>. 2-566/2009.</w:t>
      </w:r>
    </w:p>
    <w:p w:rsidR="00EF0D67" w:rsidRPr="00A91E83" w:rsidRDefault="00EF0D67" w:rsidP="00EF0D67">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r w:rsidRPr="00A91E83">
        <w:rPr>
          <w:rFonts w:ascii="Times New Roman" w:hAnsi="Times New Roman" w:cs="Times New Roman"/>
          <w:sz w:val="24"/>
          <w:szCs w:val="24"/>
        </w:rPr>
        <w:t xml:space="preserve">Lietuvos apeliacinio teismo CBS teisėjų kolegijos 2009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spalio 8 </w:t>
      </w:r>
      <w:proofErr w:type="spellStart"/>
      <w:r w:rsidRPr="00A91E83">
        <w:rPr>
          <w:rFonts w:ascii="Times New Roman" w:hAnsi="Times New Roman" w:cs="Times New Roman"/>
          <w:sz w:val="24"/>
          <w:szCs w:val="24"/>
        </w:rPr>
        <w:t>d</w:t>
      </w:r>
      <w:proofErr w:type="spellEnd"/>
      <w:r w:rsidRPr="00A91E83">
        <w:rPr>
          <w:rFonts w:ascii="Times New Roman" w:hAnsi="Times New Roman" w:cs="Times New Roman"/>
          <w:sz w:val="24"/>
          <w:szCs w:val="24"/>
        </w:rPr>
        <w:t>. nut</w:t>
      </w:r>
      <w:r w:rsidR="00324AD6" w:rsidRPr="00A91E83">
        <w:rPr>
          <w:rFonts w:ascii="Times New Roman" w:hAnsi="Times New Roman" w:cs="Times New Roman"/>
          <w:sz w:val="24"/>
          <w:szCs w:val="24"/>
        </w:rPr>
        <w:t xml:space="preserve">artis </w:t>
      </w:r>
      <w:proofErr w:type="spellStart"/>
      <w:r w:rsidR="00324AD6" w:rsidRPr="00A91E83">
        <w:rPr>
          <w:rFonts w:ascii="Times New Roman" w:hAnsi="Times New Roman" w:cs="Times New Roman"/>
          <w:sz w:val="24"/>
          <w:szCs w:val="24"/>
        </w:rPr>
        <w:t>civ</w:t>
      </w:r>
      <w:proofErr w:type="spellEnd"/>
      <w:r w:rsidR="00324AD6" w:rsidRPr="00A91E83">
        <w:rPr>
          <w:rFonts w:ascii="Times New Roman" w:hAnsi="Times New Roman" w:cs="Times New Roman"/>
          <w:sz w:val="24"/>
          <w:szCs w:val="24"/>
        </w:rPr>
        <w:t>. byla Nr. </w:t>
      </w:r>
      <w:r w:rsidRPr="00A91E83">
        <w:rPr>
          <w:rFonts w:ascii="Times New Roman" w:hAnsi="Times New Roman" w:cs="Times New Roman"/>
          <w:sz w:val="24"/>
          <w:szCs w:val="24"/>
        </w:rPr>
        <w:t>2-1035/2009.</w:t>
      </w: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rPr>
      </w:pPr>
    </w:p>
    <w:p w:rsidR="008461E2" w:rsidRPr="00A91E83" w:rsidRDefault="008461E2" w:rsidP="008461E2">
      <w:pPr>
        <w:tabs>
          <w:tab w:val="left" w:pos="851"/>
          <w:tab w:val="left" w:pos="1701"/>
        </w:tabs>
        <w:spacing w:after="0" w:line="360" w:lineRule="auto"/>
        <w:jc w:val="center"/>
        <w:rPr>
          <w:rFonts w:ascii="Times New Roman" w:hAnsi="Times New Roman" w:cs="Times New Roman"/>
          <w:b/>
          <w:sz w:val="24"/>
          <w:szCs w:val="24"/>
        </w:rPr>
      </w:pPr>
      <w:r w:rsidRPr="00A91E83">
        <w:rPr>
          <w:rFonts w:ascii="Times New Roman" w:hAnsi="Times New Roman" w:cs="Times New Roman"/>
          <w:b/>
          <w:sz w:val="24"/>
          <w:szCs w:val="24"/>
        </w:rPr>
        <w:t>Internetiniai šaltiniai</w:t>
      </w:r>
    </w:p>
    <w:p w:rsidR="008461E2" w:rsidRPr="00A91E83" w:rsidRDefault="008461E2" w:rsidP="008461E2">
      <w:pPr>
        <w:tabs>
          <w:tab w:val="left" w:pos="851"/>
          <w:tab w:val="left" w:pos="1701"/>
        </w:tabs>
        <w:spacing w:after="0" w:line="360" w:lineRule="auto"/>
        <w:jc w:val="center"/>
        <w:rPr>
          <w:rFonts w:ascii="Times New Roman" w:hAnsi="Times New Roman" w:cs="Times New Roman"/>
          <w:b/>
          <w:sz w:val="24"/>
          <w:szCs w:val="24"/>
        </w:rPr>
      </w:pPr>
      <w:r w:rsidRPr="00A91E83">
        <w:rPr>
          <w:rFonts w:ascii="Times New Roman" w:hAnsi="Times New Roman" w:cs="Times New Roman"/>
          <w:sz w:val="24"/>
          <w:szCs w:val="24"/>
        </w:rPr>
        <w:t>(prisijungimo laikas: 2010-12-01).</w:t>
      </w: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rPr>
      </w:pPr>
    </w:p>
    <w:p w:rsidR="001D1AD8" w:rsidRPr="00A91E83" w:rsidRDefault="00E05E27" w:rsidP="001D1AD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hyperlink r:id="rId17" w:history="1">
        <w:r w:rsidR="001D1AD8" w:rsidRPr="00A91E83">
          <w:rPr>
            <w:rStyle w:val="Hipersaitas"/>
            <w:rFonts w:ascii="Times New Roman" w:hAnsi="Times New Roman" w:cs="Times New Roman"/>
            <w:sz w:val="24"/>
            <w:szCs w:val="24"/>
          </w:rPr>
          <w:t>http://bis.org/statistics/otcder/dt1920a.pdf</w:t>
        </w:r>
      </w:hyperlink>
    </w:p>
    <w:p w:rsidR="001D1AD8" w:rsidRPr="00A91E83" w:rsidRDefault="00E05E27" w:rsidP="001D1AD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hyperlink r:id="rId18" w:history="1">
        <w:r w:rsidR="001D1AD8" w:rsidRPr="00A91E83">
          <w:rPr>
            <w:rStyle w:val="Hipersaitas"/>
            <w:rFonts w:ascii="Times New Roman" w:hAnsi="Times New Roman" w:cs="Times New Roman"/>
            <w:sz w:val="24"/>
            <w:szCs w:val="24"/>
          </w:rPr>
          <w:t>http://db1.stat.gov.lt/statbank/selectvarval/saveselections.asp?MainTable=M4110403&amp;PLanguage=0&amp;TableStyle=&amp;Buttons=&amp;PXSId=11551&amp;IQY=&amp;TC=&amp;ST=ST&amp;rvar0=&amp;rvar1=&amp;rvar2=&amp;rvar3=&amp;rvar4=&amp;rvar5=&amp;rvar6=&amp;rvar7=&amp;rvar8=&amp;rvar9=&amp;rvar10=&amp;rvar11=&amp;rvar12=&amp;rvar13=&amp;rvar14=</w:t>
        </w:r>
      </w:hyperlink>
    </w:p>
    <w:p w:rsidR="001D1AD8" w:rsidRPr="00A91E83" w:rsidRDefault="00E05E27" w:rsidP="001D1AD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hyperlink r:id="rId19" w:history="1">
        <w:r w:rsidR="001D1AD8" w:rsidRPr="00A91E83">
          <w:rPr>
            <w:rStyle w:val="Hipersaitas"/>
            <w:rFonts w:ascii="Times New Roman" w:hAnsi="Times New Roman" w:cs="Times New Roman"/>
            <w:sz w:val="24"/>
            <w:szCs w:val="24"/>
          </w:rPr>
          <w:t>http://riskinstitute.ch/94AddOnDoc5.htm</w:t>
        </w:r>
      </w:hyperlink>
    </w:p>
    <w:p w:rsidR="001D1AD8" w:rsidRPr="00A91E83" w:rsidRDefault="00E05E27" w:rsidP="001D1AD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hyperlink r:id="rId20" w:history="1">
        <w:r w:rsidR="001D1AD8" w:rsidRPr="00A91E83">
          <w:rPr>
            <w:rStyle w:val="Hipersaitas"/>
            <w:rFonts w:ascii="Times New Roman" w:hAnsi="Times New Roman" w:cs="Times New Roman"/>
            <w:sz w:val="24"/>
            <w:szCs w:val="24"/>
          </w:rPr>
          <w:t>http://vz.lt/2/straipsnis/2010/01/05/Islandija_stabdo_indeliu_kompensacija_uzsienieciams2</w:t>
        </w:r>
      </w:hyperlink>
    </w:p>
    <w:p w:rsidR="008461E2" w:rsidRPr="00A91E83" w:rsidRDefault="00E05E27"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hyperlink r:id="rId21" w:anchor="page=126" w:history="1">
        <w:r w:rsidR="008461E2" w:rsidRPr="00A91E83">
          <w:rPr>
            <w:rStyle w:val="Hipersaitas"/>
            <w:rFonts w:ascii="Times New Roman" w:hAnsi="Times New Roman" w:cs="Times New Roman"/>
            <w:sz w:val="24"/>
            <w:szCs w:val="24"/>
          </w:rPr>
          <w:t>http://www.bis.org/publ/qtrpdf/r_qa1009.pdf#page=126</w:t>
        </w:r>
      </w:hyperlink>
    </w:p>
    <w:p w:rsidR="008461E2" w:rsidRPr="00A91E83" w:rsidRDefault="00E05E27"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hyperlink r:id="rId22" w:history="1">
        <w:r w:rsidR="008461E2" w:rsidRPr="00A91E83">
          <w:rPr>
            <w:rStyle w:val="Hipersaitas"/>
            <w:rFonts w:ascii="Times New Roman" w:hAnsi="Times New Roman" w:cs="Times New Roman"/>
            <w:sz w:val="24"/>
            <w:szCs w:val="24"/>
          </w:rPr>
          <w:t>http://www.economist.com/node/17414511</w:t>
        </w:r>
      </w:hyperlink>
    </w:p>
    <w:p w:rsidR="001D1AD8" w:rsidRPr="00A91E83" w:rsidRDefault="00E05E27" w:rsidP="001D1AD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hyperlink r:id="rId23" w:history="1">
        <w:r w:rsidR="001D1AD8" w:rsidRPr="00A91E83">
          <w:rPr>
            <w:rStyle w:val="Hipersaitas"/>
            <w:rFonts w:ascii="Times New Roman" w:hAnsi="Times New Roman" w:cs="Times New Roman"/>
            <w:sz w:val="24"/>
            <w:szCs w:val="24"/>
          </w:rPr>
          <w:t>http://www.iidraudimas.lt/lt/valstybes-imone-indeliu-ir-investiciju-draudimas/</w:t>
        </w:r>
      </w:hyperlink>
    </w:p>
    <w:p w:rsidR="008461E2" w:rsidRPr="00A91E83" w:rsidRDefault="00E05E27"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hyperlink r:id="rId24" w:history="1">
        <w:r w:rsidR="008461E2" w:rsidRPr="00A91E83">
          <w:rPr>
            <w:rStyle w:val="Hipersaitas"/>
            <w:rFonts w:ascii="Times New Roman" w:hAnsi="Times New Roman" w:cs="Times New Roman"/>
            <w:sz w:val="24"/>
            <w:szCs w:val="24"/>
          </w:rPr>
          <w:t>http://www.investopedia.com/terms/e/eurobond.asp</w:t>
        </w:r>
      </w:hyperlink>
    </w:p>
    <w:p w:rsidR="008461E2" w:rsidRPr="00A91E83" w:rsidRDefault="00E05E27"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hyperlink r:id="rId25" w:history="1">
        <w:r w:rsidR="008461E2" w:rsidRPr="00A91E83">
          <w:rPr>
            <w:rStyle w:val="Hipersaitas"/>
            <w:rFonts w:ascii="Times New Roman" w:hAnsi="Times New Roman" w:cs="Times New Roman"/>
            <w:sz w:val="24"/>
            <w:szCs w:val="24"/>
          </w:rPr>
          <w:t>http://www.nasdaqomxbaltic.com/market/?pg=members&amp;lang=lt</w:t>
        </w:r>
      </w:hyperlink>
    </w:p>
    <w:p w:rsidR="001D1AD8" w:rsidRPr="00A91E83" w:rsidRDefault="00E05E27" w:rsidP="001D1AD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hyperlink r:id="rId26" w:history="1">
        <w:r w:rsidR="001D1AD8" w:rsidRPr="00A91E83">
          <w:rPr>
            <w:rStyle w:val="Hipersaitas"/>
            <w:rFonts w:ascii="Times New Roman" w:hAnsi="Times New Roman" w:cs="Times New Roman"/>
            <w:sz w:val="24"/>
            <w:szCs w:val="24"/>
          </w:rPr>
          <w:t>http://www.nytimes.com/packages/html/national/200904_CREDITCRISIS/recipients.html</w:t>
        </w:r>
      </w:hyperlink>
    </w:p>
    <w:p w:rsidR="001D1AD8" w:rsidRPr="00A91E83" w:rsidRDefault="00E05E27" w:rsidP="001D1AD8">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hyperlink r:id="rId27" w:history="1">
        <w:r w:rsidR="001D1AD8" w:rsidRPr="00A91E83">
          <w:rPr>
            <w:rStyle w:val="Hipersaitas"/>
            <w:rFonts w:ascii="Times New Roman" w:hAnsi="Times New Roman" w:cs="Times New Roman"/>
            <w:sz w:val="24"/>
            <w:szCs w:val="24"/>
          </w:rPr>
          <w:t>http://www.prwatch.org/node/9121</w:t>
        </w:r>
      </w:hyperlink>
    </w:p>
    <w:p w:rsidR="008461E2" w:rsidRPr="00A91E83" w:rsidRDefault="00E05E27"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hyperlink r:id="rId28" w:history="1">
        <w:r w:rsidR="008461E2" w:rsidRPr="00A91E83">
          <w:rPr>
            <w:rStyle w:val="Hipersaitas"/>
            <w:rFonts w:ascii="Times New Roman" w:hAnsi="Times New Roman" w:cs="Times New Roman"/>
            <w:sz w:val="24"/>
            <w:szCs w:val="24"/>
          </w:rPr>
          <w:t>http://www.vat.lt/Default.asp?DL=L&amp;TopicID=51</w:t>
        </w:r>
      </w:hyperlink>
    </w:p>
    <w:p w:rsidR="001D1AD8" w:rsidRPr="00A91E83" w:rsidRDefault="00E05E27" w:rsidP="001D1AD8">
      <w:pPr>
        <w:pStyle w:val="Sraopastraipa"/>
        <w:numPr>
          <w:ilvl w:val="0"/>
          <w:numId w:val="17"/>
        </w:numPr>
        <w:tabs>
          <w:tab w:val="left" w:pos="851"/>
          <w:tab w:val="left" w:pos="1701"/>
        </w:tabs>
        <w:spacing w:after="0" w:line="360" w:lineRule="auto"/>
        <w:ind w:left="426" w:hanging="426"/>
        <w:jc w:val="both"/>
        <w:rPr>
          <w:rStyle w:val="Hipersaitas"/>
          <w:rFonts w:ascii="Times New Roman" w:hAnsi="Times New Roman" w:cs="Times New Roman"/>
          <w:color w:val="auto"/>
          <w:sz w:val="24"/>
          <w:szCs w:val="24"/>
          <w:u w:val="none"/>
        </w:rPr>
      </w:pPr>
      <w:hyperlink r:id="rId29" w:history="1">
        <w:r w:rsidR="001D1AD8" w:rsidRPr="00A91E83">
          <w:rPr>
            <w:rStyle w:val="Hipersaitas"/>
            <w:rFonts w:ascii="Times New Roman" w:hAnsi="Times New Roman" w:cs="Times New Roman"/>
            <w:sz w:val="24"/>
            <w:szCs w:val="24"/>
          </w:rPr>
          <w:t>www.isda.org</w:t>
        </w:r>
      </w:hyperlink>
    </w:p>
    <w:p w:rsidR="00621590" w:rsidRPr="00A91E83" w:rsidRDefault="00E05E27" w:rsidP="00621590">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hyperlink r:id="rId30" w:history="1">
        <w:r w:rsidR="00621590" w:rsidRPr="00A91E83">
          <w:rPr>
            <w:rStyle w:val="Hipersaitas"/>
            <w:rFonts w:ascii="Times New Roman" w:hAnsi="Times New Roman" w:cs="Times New Roman"/>
            <w:sz w:val="24"/>
            <w:szCs w:val="24"/>
          </w:rPr>
          <w:t>http://www.lrkt.lt/Prasymai/148_2010.htm</w:t>
        </w:r>
      </w:hyperlink>
      <w:r w:rsidR="00621590" w:rsidRPr="00A91E83">
        <w:rPr>
          <w:rFonts w:ascii="Times New Roman" w:hAnsi="Times New Roman" w:cs="Times New Roman"/>
          <w:sz w:val="24"/>
          <w:szCs w:val="24"/>
        </w:rPr>
        <w:t xml:space="preserve"> </w:t>
      </w:r>
    </w:p>
    <w:p w:rsidR="00621590" w:rsidRPr="00A91E83" w:rsidRDefault="00621590" w:rsidP="00621590">
      <w:pPr>
        <w:pStyle w:val="Sraopastraipa"/>
        <w:tabs>
          <w:tab w:val="left" w:pos="851"/>
          <w:tab w:val="left" w:pos="1701"/>
        </w:tabs>
        <w:spacing w:after="0" w:line="360" w:lineRule="auto"/>
        <w:ind w:left="426"/>
        <w:jc w:val="both"/>
        <w:rPr>
          <w:rFonts w:ascii="Times New Roman" w:hAnsi="Times New Roman" w:cs="Times New Roman"/>
          <w:sz w:val="24"/>
          <w:szCs w:val="24"/>
        </w:rPr>
      </w:pP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rPr>
      </w:pPr>
    </w:p>
    <w:p w:rsidR="008461E2" w:rsidRPr="00A91E83" w:rsidRDefault="008461E2" w:rsidP="008461E2">
      <w:pPr>
        <w:tabs>
          <w:tab w:val="left" w:pos="851"/>
          <w:tab w:val="left" w:pos="1701"/>
        </w:tabs>
        <w:spacing w:after="0" w:line="360" w:lineRule="auto"/>
        <w:jc w:val="center"/>
        <w:rPr>
          <w:rFonts w:ascii="Times New Roman" w:hAnsi="Times New Roman" w:cs="Times New Roman"/>
          <w:b/>
          <w:sz w:val="24"/>
          <w:szCs w:val="24"/>
        </w:rPr>
      </w:pPr>
      <w:r w:rsidRPr="00A91E83">
        <w:rPr>
          <w:rFonts w:ascii="Times New Roman" w:hAnsi="Times New Roman" w:cs="Times New Roman"/>
          <w:b/>
          <w:sz w:val="24"/>
          <w:szCs w:val="24"/>
        </w:rPr>
        <w:t>Kiti šaltiniai</w:t>
      </w: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rPr>
      </w:pPr>
    </w:p>
    <w:p w:rsidR="00C85134" w:rsidRPr="00A91E83" w:rsidRDefault="008461E2" w:rsidP="008461E2">
      <w:pPr>
        <w:pStyle w:val="Sraopastraipa"/>
        <w:numPr>
          <w:ilvl w:val="0"/>
          <w:numId w:val="17"/>
        </w:numPr>
        <w:tabs>
          <w:tab w:val="left" w:pos="851"/>
          <w:tab w:val="left" w:pos="1701"/>
        </w:tabs>
        <w:spacing w:after="0" w:line="360" w:lineRule="auto"/>
        <w:ind w:left="426" w:hanging="426"/>
        <w:jc w:val="both"/>
        <w:rPr>
          <w:rFonts w:ascii="Times New Roman" w:hAnsi="Times New Roman" w:cs="Times New Roman"/>
          <w:sz w:val="24"/>
          <w:szCs w:val="24"/>
        </w:rPr>
      </w:pPr>
      <w:proofErr w:type="spellStart"/>
      <w:r w:rsidRPr="00A91E83">
        <w:rPr>
          <w:rFonts w:ascii="Times New Roman" w:hAnsi="Times New Roman" w:cs="Times New Roman"/>
          <w:sz w:val="24"/>
          <w:szCs w:val="24"/>
        </w:rPr>
        <w:t>Talutis</w:t>
      </w:r>
      <w:proofErr w:type="spellEnd"/>
      <w:r w:rsidRPr="00A91E83">
        <w:rPr>
          <w:rFonts w:ascii="Times New Roman" w:hAnsi="Times New Roman" w:cs="Times New Roman"/>
          <w:sz w:val="24"/>
          <w:szCs w:val="24"/>
        </w:rPr>
        <w:t xml:space="preserve"> T. Finansinių priemonių ir jų rinkos teisė. Paskaitų medžiaga, 2010 </w:t>
      </w:r>
      <w:proofErr w:type="spellStart"/>
      <w:r w:rsidRPr="00A91E83">
        <w:rPr>
          <w:rFonts w:ascii="Times New Roman" w:hAnsi="Times New Roman" w:cs="Times New Roman"/>
          <w:sz w:val="24"/>
          <w:szCs w:val="24"/>
        </w:rPr>
        <w:t>m</w:t>
      </w:r>
      <w:proofErr w:type="spellEnd"/>
      <w:r w:rsidRPr="00A91E83">
        <w:rPr>
          <w:rFonts w:ascii="Times New Roman" w:hAnsi="Times New Roman" w:cs="Times New Roman"/>
          <w:sz w:val="24"/>
          <w:szCs w:val="24"/>
        </w:rPr>
        <w:t xml:space="preserve">., I tema – Įvadas. Šaltinis </w:t>
      </w:r>
      <w:hyperlink r:id="rId31" w:history="1">
        <w:r w:rsidRPr="00A91E83">
          <w:rPr>
            <w:rStyle w:val="Hipersaitas"/>
            <w:rFonts w:ascii="Times New Roman" w:hAnsi="Times New Roman" w:cs="Times New Roman"/>
            <w:sz w:val="24"/>
            <w:szCs w:val="24"/>
          </w:rPr>
          <w:t>http://ttalutis.home.mruni.eu/?page_id=226</w:t>
        </w:r>
      </w:hyperlink>
    </w:p>
    <w:p w:rsidR="00C85134" w:rsidRPr="00A91E83" w:rsidRDefault="00C85134">
      <w:pPr>
        <w:rPr>
          <w:rStyle w:val="Hipersaitas"/>
          <w:rFonts w:ascii="Times New Roman" w:hAnsi="Times New Roman" w:cs="Times New Roman"/>
          <w:sz w:val="24"/>
          <w:szCs w:val="24"/>
        </w:rPr>
      </w:pPr>
      <w:r w:rsidRPr="00A91E83">
        <w:rPr>
          <w:rStyle w:val="Hipersaitas"/>
          <w:rFonts w:ascii="Times New Roman" w:hAnsi="Times New Roman" w:cs="Times New Roman"/>
          <w:sz w:val="24"/>
          <w:szCs w:val="24"/>
        </w:rPr>
        <w:br w:type="page"/>
      </w:r>
    </w:p>
    <w:p w:rsidR="008461E2" w:rsidRPr="00A91E83" w:rsidRDefault="008461E2" w:rsidP="008461E2">
      <w:pPr>
        <w:pStyle w:val="Antrat1"/>
        <w:jc w:val="center"/>
        <w:rPr>
          <w:rFonts w:ascii="Times New Roman" w:hAnsi="Times New Roman" w:cs="Times New Roman"/>
          <w:sz w:val="24"/>
          <w:szCs w:val="24"/>
        </w:rPr>
      </w:pPr>
      <w:bookmarkStart w:id="49" w:name="_Toc280546482"/>
      <w:r w:rsidRPr="00A91E83">
        <w:rPr>
          <w:rFonts w:ascii="Times New Roman" w:hAnsi="Times New Roman" w:cs="Times New Roman"/>
          <w:sz w:val="24"/>
          <w:szCs w:val="24"/>
        </w:rPr>
        <w:lastRenderedPageBreak/>
        <w:t>SANTRAUKA</w:t>
      </w:r>
      <w:bookmarkEnd w:id="49"/>
    </w:p>
    <w:p w:rsidR="008461E2" w:rsidRPr="00A91E83" w:rsidRDefault="008461E2" w:rsidP="008461E2">
      <w:pPr>
        <w:tabs>
          <w:tab w:val="left" w:pos="851"/>
          <w:tab w:val="left" w:pos="1701"/>
        </w:tabs>
        <w:spacing w:after="0" w:line="360" w:lineRule="auto"/>
        <w:rPr>
          <w:rFonts w:ascii="Times New Roman" w:hAnsi="Times New Roman" w:cs="Times New Roman"/>
          <w:sz w:val="24"/>
          <w:szCs w:val="24"/>
        </w:rPr>
      </w:pP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b/>
          <w:sz w:val="24"/>
          <w:szCs w:val="24"/>
        </w:rPr>
        <w:tab/>
        <w:t>Reikšminiai žodžiai</w:t>
      </w:r>
      <w:r w:rsidRPr="00A91E83">
        <w:rPr>
          <w:rFonts w:ascii="Times New Roman" w:hAnsi="Times New Roman" w:cs="Times New Roman"/>
          <w:sz w:val="24"/>
          <w:szCs w:val="24"/>
        </w:rPr>
        <w:t xml:space="preserve">: išvestinės finansinės priemonės, </w:t>
      </w:r>
      <w:proofErr w:type="spellStart"/>
      <w:r w:rsidRPr="00A91E83">
        <w:rPr>
          <w:rFonts w:ascii="Times New Roman" w:hAnsi="Times New Roman" w:cs="Times New Roman"/>
          <w:sz w:val="24"/>
          <w:szCs w:val="24"/>
        </w:rPr>
        <w:t>užbiržiniai</w:t>
      </w:r>
      <w:proofErr w:type="spellEnd"/>
      <w:r w:rsidRPr="00A91E83">
        <w:rPr>
          <w:rFonts w:ascii="Times New Roman" w:hAnsi="Times New Roman" w:cs="Times New Roman"/>
          <w:sz w:val="24"/>
          <w:szCs w:val="24"/>
        </w:rPr>
        <w:t xml:space="preserve"> sandoriai, apsikeitimo sandoriai, ISDA sutartis, įskaitymas, užskaita, finansinis užstatas, nemokumas.</w:t>
      </w: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rPr>
      </w:pP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t>Pagrindinis baigiamojo magistrinio darbo tikslas – išnagrinėjus sandorius dėl išvestinių finansinių priemonių</w:t>
      </w:r>
      <w:r w:rsidR="00317C06" w:rsidRPr="00A91E83">
        <w:rPr>
          <w:rFonts w:ascii="Times New Roman" w:hAnsi="Times New Roman" w:cs="Times New Roman"/>
          <w:sz w:val="24"/>
          <w:szCs w:val="24"/>
        </w:rPr>
        <w:t xml:space="preserve"> sudaromus už biržos ribų</w:t>
      </w:r>
      <w:r w:rsidRPr="00A91E83">
        <w:rPr>
          <w:rFonts w:ascii="Times New Roman" w:hAnsi="Times New Roman" w:cs="Times New Roman"/>
          <w:sz w:val="24"/>
          <w:szCs w:val="24"/>
        </w:rPr>
        <w:t xml:space="preserve">, išanalizuoti </w:t>
      </w:r>
      <w:r w:rsidR="00317C06" w:rsidRPr="00A91E83">
        <w:rPr>
          <w:rFonts w:ascii="Times New Roman" w:hAnsi="Times New Roman" w:cs="Times New Roman"/>
          <w:sz w:val="24"/>
          <w:szCs w:val="24"/>
        </w:rPr>
        <w:t xml:space="preserve">užskaitos sampratą ir </w:t>
      </w:r>
      <w:r w:rsidRPr="00A91E83">
        <w:rPr>
          <w:rFonts w:ascii="Times New Roman" w:hAnsi="Times New Roman" w:cs="Times New Roman"/>
          <w:sz w:val="24"/>
          <w:szCs w:val="24"/>
        </w:rPr>
        <w:t xml:space="preserve">ISDA formoje numatytos užskaitos sąlygos taikymo galimybes Lietuvos bankroto kontekste </w:t>
      </w:r>
      <w:r w:rsidR="00317C06" w:rsidRPr="00A91E83">
        <w:rPr>
          <w:rFonts w:ascii="Times New Roman" w:hAnsi="Times New Roman" w:cs="Times New Roman"/>
          <w:sz w:val="24"/>
          <w:szCs w:val="24"/>
        </w:rPr>
        <w:t>bei</w:t>
      </w:r>
      <w:r w:rsidRPr="00A91E83">
        <w:rPr>
          <w:rFonts w:ascii="Times New Roman" w:hAnsi="Times New Roman" w:cs="Times New Roman"/>
          <w:sz w:val="24"/>
          <w:szCs w:val="24"/>
        </w:rPr>
        <w:t xml:space="preserve"> pateikti pasiūlymus, šalinančius teisinio reguliavimo trūkumus. Siekiant šio tikslo keliami uždaviniai sutampa su darbo pasirinkta struktūra, nes kiekvienas iškeltas tyrimo uždavinys nagrinėjamas atskiroje tyrimo dalyje.</w:t>
      </w: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t>Pirmoje tyri</w:t>
      </w:r>
      <w:r w:rsidR="00090997" w:rsidRPr="00A91E83">
        <w:rPr>
          <w:rFonts w:ascii="Times New Roman" w:hAnsi="Times New Roman" w:cs="Times New Roman"/>
          <w:sz w:val="24"/>
          <w:szCs w:val="24"/>
        </w:rPr>
        <w:t>mo dalyje nagrinėjami sandoriai</w:t>
      </w:r>
      <w:r w:rsidRPr="00A91E83">
        <w:rPr>
          <w:rFonts w:ascii="Times New Roman" w:hAnsi="Times New Roman" w:cs="Times New Roman"/>
          <w:sz w:val="24"/>
          <w:szCs w:val="24"/>
        </w:rPr>
        <w:t xml:space="preserve"> dėl išvestinių finansinių priemonių sudarytų už biržos ribų. Kadangi palūkanų normų, užsienio valiutos ir kredito apsikeitimo sandoriai sudaro daugiau nei 95% visų sandorių dėl išvestinių finansinių priemonių, tai ypatingas dėmesys skiriamas jų analizei. Atkleista</w:t>
      </w:r>
      <w:r w:rsidR="00090997" w:rsidRPr="00A91E83">
        <w:rPr>
          <w:rFonts w:ascii="Times New Roman" w:hAnsi="Times New Roman" w:cs="Times New Roman"/>
          <w:sz w:val="24"/>
          <w:szCs w:val="24"/>
        </w:rPr>
        <w:t>s</w:t>
      </w:r>
      <w:r w:rsidRPr="00A91E83">
        <w:rPr>
          <w:rFonts w:ascii="Times New Roman" w:hAnsi="Times New Roman" w:cs="Times New Roman"/>
          <w:sz w:val="24"/>
          <w:szCs w:val="24"/>
        </w:rPr>
        <w:t xml:space="preserve"> minėtų instrumentų nemokumo valdymo rizikos mechanizmas skiriasi nuo sandorių dėl išvestinių finansinių priemonių sudarytų biržoje. Biržos sandoriai </w:t>
      </w:r>
      <w:r w:rsidR="00DC218A" w:rsidRPr="00A91E83">
        <w:rPr>
          <w:rFonts w:ascii="Times New Roman" w:hAnsi="Times New Roman" w:cs="Times New Roman"/>
          <w:sz w:val="24"/>
          <w:szCs w:val="24"/>
        </w:rPr>
        <w:t>laikomi saugesni, nes</w:t>
      </w:r>
      <w:r w:rsidRPr="00A91E83">
        <w:rPr>
          <w:rFonts w:ascii="Times New Roman" w:hAnsi="Times New Roman" w:cs="Times New Roman"/>
          <w:sz w:val="24"/>
          <w:szCs w:val="24"/>
        </w:rPr>
        <w:t xml:space="preserve"> </w:t>
      </w:r>
      <w:r w:rsidR="00DC218A" w:rsidRPr="00A91E83">
        <w:rPr>
          <w:rFonts w:ascii="Times New Roman" w:hAnsi="Times New Roman" w:cs="Times New Roman"/>
          <w:sz w:val="24"/>
          <w:szCs w:val="24"/>
        </w:rPr>
        <w:t xml:space="preserve">užskaitos mechanizmas gali būti taikomas bankroto atveju. </w:t>
      </w:r>
      <w:r w:rsidRPr="00A91E83">
        <w:rPr>
          <w:rFonts w:ascii="Times New Roman" w:hAnsi="Times New Roman" w:cs="Times New Roman"/>
          <w:sz w:val="24"/>
          <w:szCs w:val="24"/>
        </w:rPr>
        <w:t xml:space="preserve">Taigi šis darbas </w:t>
      </w:r>
      <w:r w:rsidR="00B27436" w:rsidRPr="00A91E83">
        <w:rPr>
          <w:rFonts w:ascii="Times New Roman" w:hAnsi="Times New Roman" w:cs="Times New Roman"/>
          <w:sz w:val="24"/>
          <w:szCs w:val="24"/>
        </w:rPr>
        <w:t>pradedamos problemos nustatymu</w:t>
      </w:r>
      <w:r w:rsidRPr="00A91E83">
        <w:rPr>
          <w:rFonts w:ascii="Times New Roman" w:hAnsi="Times New Roman" w:cs="Times New Roman"/>
          <w:sz w:val="24"/>
          <w:szCs w:val="24"/>
        </w:rPr>
        <w:t xml:space="preserve">, jog finansinio užstato ir užskaitos mechanizmo nauda nėra pakankamai plačiai taikoma, todėl teisinis reguliavimas turi būti atitinkamai </w:t>
      </w:r>
      <w:r w:rsidR="00620193" w:rsidRPr="00A91E83">
        <w:rPr>
          <w:rFonts w:ascii="Times New Roman" w:hAnsi="Times New Roman" w:cs="Times New Roman"/>
          <w:sz w:val="24"/>
          <w:szCs w:val="24"/>
        </w:rPr>
        <w:t>modifikuotas</w:t>
      </w:r>
      <w:r w:rsidRPr="00A91E83">
        <w:rPr>
          <w:rFonts w:ascii="Times New Roman" w:hAnsi="Times New Roman" w:cs="Times New Roman"/>
          <w:sz w:val="24"/>
          <w:szCs w:val="24"/>
        </w:rPr>
        <w:t>.</w:t>
      </w:r>
    </w:p>
    <w:p w:rsidR="00594384" w:rsidRPr="00A91E83" w:rsidRDefault="008461E2" w:rsidP="008461E2">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t xml:space="preserve">Antra dalis pradedama įskaitymo apžvalga, </w:t>
      </w:r>
      <w:r w:rsidR="00BE4E4A" w:rsidRPr="00A91E83">
        <w:rPr>
          <w:rFonts w:ascii="Times New Roman" w:hAnsi="Times New Roman" w:cs="Times New Roman"/>
          <w:sz w:val="24"/>
          <w:szCs w:val="24"/>
        </w:rPr>
        <w:t xml:space="preserve">nemokumo kontekste, </w:t>
      </w:r>
      <w:r w:rsidRPr="00A91E83">
        <w:rPr>
          <w:rFonts w:ascii="Times New Roman" w:hAnsi="Times New Roman" w:cs="Times New Roman"/>
          <w:sz w:val="24"/>
          <w:szCs w:val="24"/>
        </w:rPr>
        <w:t xml:space="preserve">kuri ypatingai naudinga vėliau lyginant </w:t>
      </w:r>
      <w:r w:rsidR="00BE4E4A" w:rsidRPr="00A91E83">
        <w:rPr>
          <w:rFonts w:ascii="Times New Roman" w:hAnsi="Times New Roman" w:cs="Times New Roman"/>
          <w:sz w:val="24"/>
          <w:szCs w:val="24"/>
        </w:rPr>
        <w:t>įskaitymą ir užskaitos koncepciją</w:t>
      </w:r>
      <w:r w:rsidRPr="00A91E83">
        <w:rPr>
          <w:rFonts w:ascii="Times New Roman" w:hAnsi="Times New Roman" w:cs="Times New Roman"/>
          <w:sz w:val="24"/>
          <w:szCs w:val="24"/>
        </w:rPr>
        <w:t>. Specifinės užskaitos rūšys: mokėjimo užskaita, novacijos užskaita i</w:t>
      </w:r>
      <w:r w:rsidR="00BE4E4A" w:rsidRPr="00A91E83">
        <w:rPr>
          <w:rFonts w:ascii="Times New Roman" w:hAnsi="Times New Roman" w:cs="Times New Roman"/>
          <w:sz w:val="24"/>
          <w:szCs w:val="24"/>
        </w:rPr>
        <w:t>r baigiamoji užskaita atkleidžia</w:t>
      </w:r>
      <w:r w:rsidRPr="00A91E83">
        <w:rPr>
          <w:rFonts w:ascii="Times New Roman" w:hAnsi="Times New Roman" w:cs="Times New Roman"/>
          <w:sz w:val="24"/>
          <w:szCs w:val="24"/>
        </w:rPr>
        <w:t xml:space="preserve"> savitus bruožus, kurie paaiškina ne tik užskaitos teikiamą naudą, bet ir išr</w:t>
      </w:r>
      <w:r w:rsidR="00BE4E4A" w:rsidRPr="00A91E83">
        <w:rPr>
          <w:rFonts w:ascii="Times New Roman" w:hAnsi="Times New Roman" w:cs="Times New Roman"/>
          <w:sz w:val="24"/>
          <w:szCs w:val="24"/>
        </w:rPr>
        <w:t>yškina skirtumus nuo įskaitymo.</w:t>
      </w: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t>Trečioje dalyje nagrinėjama ISDA tipinė sutartis, kuri</w:t>
      </w:r>
      <w:r w:rsidR="00D52AAA" w:rsidRPr="00A91E83">
        <w:rPr>
          <w:rFonts w:ascii="Times New Roman" w:hAnsi="Times New Roman" w:cs="Times New Roman"/>
          <w:sz w:val="24"/>
          <w:szCs w:val="24"/>
        </w:rPr>
        <w:t>os struktūra reprezentuoja</w:t>
      </w:r>
      <w:r w:rsidRPr="00A91E83">
        <w:rPr>
          <w:rFonts w:ascii="Times New Roman" w:hAnsi="Times New Roman" w:cs="Times New Roman"/>
          <w:sz w:val="24"/>
          <w:szCs w:val="24"/>
        </w:rPr>
        <w:t xml:space="preserve"> geriausią rinkos praktiką dėl užskaitos sąlygos taikymo. </w:t>
      </w:r>
      <w:r w:rsidR="00D52AAA" w:rsidRPr="00A91E83">
        <w:rPr>
          <w:rFonts w:ascii="Times New Roman" w:hAnsi="Times New Roman" w:cs="Times New Roman"/>
          <w:sz w:val="24"/>
          <w:szCs w:val="24"/>
        </w:rPr>
        <w:t xml:space="preserve">ISDA vienos sutarties koncepcija </w:t>
      </w:r>
      <w:r w:rsidR="00A55822" w:rsidRPr="00A91E83">
        <w:rPr>
          <w:rFonts w:ascii="Times New Roman" w:hAnsi="Times New Roman" w:cs="Times New Roman"/>
          <w:sz w:val="24"/>
          <w:szCs w:val="24"/>
        </w:rPr>
        <w:t>ir prievolių įvykdymo užtikrinimo dokumentacija yra neatskiriamos dalys įgyvendinant efektyvų užskaitos taikymą.</w:t>
      </w: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rPr>
      </w:pPr>
      <w:r w:rsidRPr="00A91E83">
        <w:rPr>
          <w:rFonts w:ascii="Times New Roman" w:hAnsi="Times New Roman" w:cs="Times New Roman"/>
          <w:sz w:val="24"/>
          <w:szCs w:val="24"/>
        </w:rPr>
        <w:tab/>
        <w:t xml:space="preserve">Ketvirtoji dalis pradedama </w:t>
      </w:r>
      <w:r w:rsidR="00352672" w:rsidRPr="00A91E83">
        <w:rPr>
          <w:rFonts w:ascii="Times New Roman" w:hAnsi="Times New Roman" w:cs="Times New Roman"/>
          <w:sz w:val="24"/>
          <w:szCs w:val="24"/>
        </w:rPr>
        <w:t>FUSĮ</w:t>
      </w:r>
      <w:r w:rsidRPr="00A91E83">
        <w:rPr>
          <w:rFonts w:ascii="Times New Roman" w:hAnsi="Times New Roman" w:cs="Times New Roman"/>
          <w:sz w:val="24"/>
          <w:szCs w:val="24"/>
        </w:rPr>
        <w:t xml:space="preserve"> sąlygų analize, nes tik visiškas jų atitikimas gali nulemti garantuotą užskaitos mechanizmo taikymą, kai vienai iš šalių iškelta bankroto byla. </w:t>
      </w:r>
      <w:r w:rsidR="007B666E" w:rsidRPr="00A91E83">
        <w:rPr>
          <w:rFonts w:ascii="Times New Roman" w:hAnsi="Times New Roman" w:cs="Times New Roman"/>
          <w:sz w:val="24"/>
          <w:szCs w:val="24"/>
        </w:rPr>
        <w:t xml:space="preserve">Vėliau detaliai nagrinėjami baigiamosios užskaitos taikymo elementai bendrųjų bankroto normų atžvilgiu. Bendrųjų bankroto </w:t>
      </w:r>
      <w:r w:rsidR="003B2177" w:rsidRPr="00A91E83">
        <w:rPr>
          <w:rFonts w:ascii="Times New Roman" w:hAnsi="Times New Roman" w:cs="Times New Roman"/>
          <w:sz w:val="24"/>
          <w:szCs w:val="24"/>
        </w:rPr>
        <w:t>normos apr</w:t>
      </w:r>
      <w:r w:rsidR="00352672" w:rsidRPr="00A91E83">
        <w:rPr>
          <w:rFonts w:ascii="Times New Roman" w:hAnsi="Times New Roman" w:cs="Times New Roman"/>
          <w:sz w:val="24"/>
          <w:szCs w:val="24"/>
        </w:rPr>
        <w:t>iboja sutarties laisvės principą</w:t>
      </w:r>
      <w:r w:rsidR="003B2177" w:rsidRPr="00A91E83">
        <w:rPr>
          <w:rFonts w:ascii="Times New Roman" w:hAnsi="Times New Roman" w:cs="Times New Roman"/>
          <w:sz w:val="24"/>
          <w:szCs w:val="24"/>
        </w:rPr>
        <w:t xml:space="preserve">. </w:t>
      </w:r>
      <w:r w:rsidR="00352672" w:rsidRPr="00A91E83">
        <w:rPr>
          <w:rFonts w:ascii="Times New Roman" w:hAnsi="Times New Roman" w:cs="Times New Roman"/>
          <w:sz w:val="24"/>
          <w:szCs w:val="24"/>
        </w:rPr>
        <w:t>Todėl t</w:t>
      </w:r>
      <w:r w:rsidR="003B2177" w:rsidRPr="00A91E83">
        <w:rPr>
          <w:rFonts w:ascii="Times New Roman" w:hAnsi="Times New Roman" w:cs="Times New Roman"/>
          <w:sz w:val="24"/>
          <w:szCs w:val="24"/>
        </w:rPr>
        <w:t>yrime nagrinėjamos sutartinio užskaitos mechanizmo galiojimo ribos bankroto procese bei</w:t>
      </w:r>
      <w:r w:rsidR="00DB23E3" w:rsidRPr="00A91E83">
        <w:rPr>
          <w:rFonts w:ascii="Times New Roman" w:hAnsi="Times New Roman" w:cs="Times New Roman"/>
          <w:sz w:val="24"/>
          <w:szCs w:val="24"/>
        </w:rPr>
        <w:t xml:space="preserve"> </w:t>
      </w:r>
      <w:r w:rsidR="003B2177" w:rsidRPr="00A91E83">
        <w:rPr>
          <w:rFonts w:ascii="Times New Roman" w:hAnsi="Times New Roman" w:cs="Times New Roman"/>
          <w:i/>
          <w:sz w:val="24"/>
          <w:szCs w:val="24"/>
        </w:rPr>
        <w:t xml:space="preserve">a </w:t>
      </w:r>
      <w:proofErr w:type="spellStart"/>
      <w:r w:rsidR="003B2177" w:rsidRPr="00A91E83">
        <w:rPr>
          <w:rFonts w:ascii="Times New Roman" w:hAnsi="Times New Roman" w:cs="Times New Roman"/>
          <w:i/>
          <w:sz w:val="24"/>
          <w:szCs w:val="24"/>
        </w:rPr>
        <w:t>posteriori</w:t>
      </w:r>
      <w:proofErr w:type="spellEnd"/>
      <w:r w:rsidR="003B2177" w:rsidRPr="00A91E83">
        <w:rPr>
          <w:rFonts w:ascii="Times New Roman" w:hAnsi="Times New Roman" w:cs="Times New Roman"/>
          <w:sz w:val="24"/>
          <w:szCs w:val="24"/>
        </w:rPr>
        <w:t xml:space="preserve"> teisių gynimo būdai</w:t>
      </w:r>
      <w:r w:rsidR="00352672" w:rsidRPr="00A91E83">
        <w:rPr>
          <w:rFonts w:ascii="Times New Roman" w:hAnsi="Times New Roman" w:cs="Times New Roman"/>
          <w:sz w:val="24"/>
          <w:szCs w:val="24"/>
        </w:rPr>
        <w:t>, susiję su kreditorių lygiateisiškumo apsauga.</w:t>
      </w:r>
    </w:p>
    <w:p w:rsidR="008461E2" w:rsidRPr="00A91E83" w:rsidRDefault="008461E2">
      <w:pPr>
        <w:rPr>
          <w:rFonts w:ascii="Times New Roman" w:hAnsi="Times New Roman" w:cs="Times New Roman"/>
          <w:sz w:val="24"/>
          <w:szCs w:val="24"/>
        </w:rPr>
      </w:pPr>
      <w:r w:rsidRPr="00A91E83">
        <w:rPr>
          <w:rFonts w:ascii="Times New Roman" w:hAnsi="Times New Roman" w:cs="Times New Roman"/>
          <w:sz w:val="24"/>
          <w:szCs w:val="24"/>
        </w:rPr>
        <w:br w:type="page"/>
      </w:r>
    </w:p>
    <w:p w:rsidR="008461E2" w:rsidRPr="00A91E83" w:rsidRDefault="008461E2" w:rsidP="008461E2">
      <w:pPr>
        <w:pStyle w:val="Antrat1"/>
        <w:jc w:val="center"/>
        <w:rPr>
          <w:rFonts w:ascii="Times New Roman" w:hAnsi="Times New Roman" w:cs="Times New Roman"/>
          <w:sz w:val="24"/>
          <w:szCs w:val="24"/>
        </w:rPr>
      </w:pPr>
      <w:bookmarkStart w:id="50" w:name="_Toc280546483"/>
      <w:r w:rsidRPr="00A91E83">
        <w:rPr>
          <w:rFonts w:ascii="Times New Roman" w:hAnsi="Times New Roman" w:cs="Times New Roman"/>
          <w:sz w:val="24"/>
          <w:szCs w:val="24"/>
        </w:rPr>
        <w:lastRenderedPageBreak/>
        <w:t>SUMMARY</w:t>
      </w:r>
      <w:bookmarkEnd w:id="50"/>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rPr>
      </w:pP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lang w:val="en-US"/>
        </w:rPr>
      </w:pPr>
      <w:r w:rsidRPr="00A91E83">
        <w:rPr>
          <w:rFonts w:ascii="Times New Roman" w:hAnsi="Times New Roman" w:cs="Times New Roman"/>
          <w:b/>
          <w:sz w:val="24"/>
          <w:szCs w:val="24"/>
        </w:rPr>
        <w:tab/>
      </w:r>
      <w:r w:rsidRPr="00A91E83">
        <w:rPr>
          <w:rFonts w:ascii="Times New Roman" w:hAnsi="Times New Roman" w:cs="Times New Roman"/>
          <w:b/>
          <w:sz w:val="24"/>
          <w:szCs w:val="24"/>
          <w:lang w:val="en-US"/>
        </w:rPr>
        <w:t>Keywords:</w:t>
      </w:r>
      <w:r w:rsidRPr="00A91E83">
        <w:rPr>
          <w:rFonts w:ascii="Times New Roman" w:hAnsi="Times New Roman" w:cs="Times New Roman"/>
          <w:sz w:val="24"/>
          <w:szCs w:val="24"/>
          <w:lang w:val="en-US"/>
        </w:rPr>
        <w:t xml:space="preserve"> OTC, derivatives, swaps, ISDA agreement, set-off, netting, collateral, insolvency.</w:t>
      </w:r>
    </w:p>
    <w:p w:rsidR="00090997" w:rsidRPr="00A91E83" w:rsidRDefault="00090997" w:rsidP="008461E2">
      <w:pPr>
        <w:tabs>
          <w:tab w:val="left" w:pos="851"/>
          <w:tab w:val="left" w:pos="1701"/>
        </w:tabs>
        <w:spacing w:after="0" w:line="360" w:lineRule="auto"/>
        <w:jc w:val="both"/>
        <w:rPr>
          <w:rFonts w:ascii="Times New Roman" w:hAnsi="Times New Roman" w:cs="Times New Roman"/>
          <w:sz w:val="24"/>
          <w:szCs w:val="24"/>
          <w:lang w:val="en-US"/>
        </w:rPr>
      </w:pP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lang w:val="en-US"/>
        </w:rPr>
      </w:pPr>
      <w:r w:rsidRPr="00A91E83">
        <w:rPr>
          <w:rFonts w:ascii="Times New Roman" w:hAnsi="Times New Roman" w:cs="Times New Roman"/>
          <w:sz w:val="24"/>
          <w:szCs w:val="24"/>
          <w:lang w:val="en-US"/>
        </w:rPr>
        <w:tab/>
        <w:t>The main objective of this Master Thesis is legal analysis of netting concept and its application by using ISDA agreement in the context of Lithua</w:t>
      </w:r>
      <w:r w:rsidR="00E31A83" w:rsidRPr="00A91E83">
        <w:rPr>
          <w:rFonts w:ascii="Times New Roman" w:hAnsi="Times New Roman" w:cs="Times New Roman"/>
          <w:sz w:val="24"/>
          <w:szCs w:val="24"/>
          <w:lang w:val="en-US"/>
        </w:rPr>
        <w:t xml:space="preserve">nian insolvency law and to provide statutory law amendments related to the </w:t>
      </w:r>
      <w:r w:rsidR="00A54E67" w:rsidRPr="00A91E83">
        <w:rPr>
          <w:rFonts w:ascii="Times New Roman" w:hAnsi="Times New Roman" w:cs="Times New Roman"/>
          <w:sz w:val="24"/>
          <w:szCs w:val="24"/>
          <w:lang w:val="en-US"/>
        </w:rPr>
        <w:t xml:space="preserve">current drawbacks. </w:t>
      </w:r>
      <w:r w:rsidR="001B7C70" w:rsidRPr="00A91E83">
        <w:rPr>
          <w:rFonts w:ascii="Times New Roman" w:hAnsi="Times New Roman" w:cs="Times New Roman"/>
          <w:sz w:val="24"/>
          <w:szCs w:val="24"/>
          <w:lang w:val="en-US"/>
        </w:rPr>
        <w:t>Separate parts of the Master Thesis represent</w:t>
      </w:r>
      <w:r w:rsidRPr="00A91E83">
        <w:rPr>
          <w:rFonts w:ascii="Times New Roman" w:hAnsi="Times New Roman" w:cs="Times New Roman"/>
          <w:sz w:val="24"/>
          <w:szCs w:val="24"/>
          <w:lang w:val="en-US"/>
        </w:rPr>
        <w:t xml:space="preserve"> separate parts of analysis which allow clarifying and expl</w:t>
      </w:r>
      <w:r w:rsidR="00090997" w:rsidRPr="00A91E83">
        <w:rPr>
          <w:rFonts w:ascii="Times New Roman" w:hAnsi="Times New Roman" w:cs="Times New Roman"/>
          <w:sz w:val="24"/>
          <w:szCs w:val="24"/>
          <w:lang w:val="en-US"/>
        </w:rPr>
        <w:t xml:space="preserve">aining the </w:t>
      </w:r>
      <w:r w:rsidR="00336801" w:rsidRPr="00A91E83">
        <w:rPr>
          <w:rFonts w:ascii="Times New Roman" w:hAnsi="Times New Roman" w:cs="Times New Roman"/>
          <w:sz w:val="24"/>
          <w:szCs w:val="24"/>
          <w:lang w:val="en-US"/>
        </w:rPr>
        <w:t xml:space="preserve">specified </w:t>
      </w:r>
      <w:r w:rsidR="00090997" w:rsidRPr="00A91E83">
        <w:rPr>
          <w:rFonts w:ascii="Times New Roman" w:hAnsi="Times New Roman" w:cs="Times New Roman"/>
          <w:sz w:val="24"/>
          <w:szCs w:val="24"/>
          <w:lang w:val="en-US"/>
        </w:rPr>
        <w:t>objective.</w:t>
      </w: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lang w:val="en-US"/>
        </w:rPr>
      </w:pPr>
      <w:r w:rsidRPr="00A91E83">
        <w:rPr>
          <w:rFonts w:ascii="Times New Roman" w:hAnsi="Times New Roman" w:cs="Times New Roman"/>
          <w:sz w:val="24"/>
          <w:szCs w:val="24"/>
          <w:lang w:val="en-US"/>
        </w:rPr>
        <w:tab/>
        <w:t xml:space="preserve">The first part of the Master Thesis scrutinizes the OTC derivatives. Analysis of interest rate, </w:t>
      </w:r>
      <w:proofErr w:type="spellStart"/>
      <w:r w:rsidRPr="00A91E83">
        <w:rPr>
          <w:rFonts w:ascii="Times New Roman" w:hAnsi="Times New Roman" w:cs="Times New Roman"/>
          <w:sz w:val="24"/>
          <w:szCs w:val="24"/>
          <w:lang w:val="en-US"/>
        </w:rPr>
        <w:t>forex</w:t>
      </w:r>
      <w:proofErr w:type="spellEnd"/>
      <w:r w:rsidRPr="00A91E83">
        <w:rPr>
          <w:rFonts w:ascii="Times New Roman" w:hAnsi="Times New Roman" w:cs="Times New Roman"/>
          <w:sz w:val="24"/>
          <w:szCs w:val="24"/>
          <w:lang w:val="en-US"/>
        </w:rPr>
        <w:t xml:space="preserve"> and credit swaps, which comprise 95% of total derivatives market, reveals the most common features of the derivatives. Risk management system used by the exchange traded derivatives and OTC derivatives differ. Further analysis discloses the main differences that netting is compulsory for the exchange participants and due to that these transactions are treated as safer. The restricted application of netting for OTC derivatives formulates the main problem of this research. </w:t>
      </w:r>
      <w:r w:rsidR="009F637A" w:rsidRPr="00A91E83">
        <w:rPr>
          <w:rFonts w:ascii="Times New Roman" w:hAnsi="Times New Roman" w:cs="Times New Roman"/>
          <w:sz w:val="24"/>
          <w:szCs w:val="24"/>
          <w:lang w:val="en-US"/>
        </w:rPr>
        <w:t xml:space="preserve">In order to spread benefits of the netting, </w:t>
      </w:r>
      <w:r w:rsidRPr="00A91E83">
        <w:rPr>
          <w:rFonts w:ascii="Times New Roman" w:hAnsi="Times New Roman" w:cs="Times New Roman"/>
          <w:sz w:val="24"/>
          <w:szCs w:val="24"/>
          <w:lang w:val="en-US"/>
        </w:rPr>
        <w:t>the legal regulation</w:t>
      </w:r>
      <w:r w:rsidR="009F637A" w:rsidRPr="00A91E83">
        <w:rPr>
          <w:rFonts w:ascii="Times New Roman" w:hAnsi="Times New Roman" w:cs="Times New Roman"/>
          <w:sz w:val="24"/>
          <w:szCs w:val="24"/>
          <w:lang w:val="en-US"/>
        </w:rPr>
        <w:t>s have</w:t>
      </w:r>
      <w:r w:rsidRPr="00A91E83">
        <w:rPr>
          <w:rFonts w:ascii="Times New Roman" w:hAnsi="Times New Roman" w:cs="Times New Roman"/>
          <w:sz w:val="24"/>
          <w:szCs w:val="24"/>
          <w:lang w:val="en-US"/>
        </w:rPr>
        <w:t xml:space="preserve"> to be modified adequately.</w:t>
      </w: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lang w:val="en-US"/>
        </w:rPr>
      </w:pPr>
      <w:r w:rsidRPr="00A91E83">
        <w:rPr>
          <w:rFonts w:ascii="Times New Roman" w:hAnsi="Times New Roman" w:cs="Times New Roman"/>
          <w:sz w:val="24"/>
          <w:szCs w:val="24"/>
          <w:lang w:val="en-US"/>
        </w:rPr>
        <w:tab/>
        <w:t>Second part starts with analysis of</w:t>
      </w:r>
      <w:r w:rsidR="00D52AAA" w:rsidRPr="00A91E83">
        <w:rPr>
          <w:rFonts w:ascii="Times New Roman" w:hAnsi="Times New Roman" w:cs="Times New Roman"/>
          <w:sz w:val="24"/>
          <w:szCs w:val="24"/>
          <w:lang w:val="en-US"/>
        </w:rPr>
        <w:t xml:space="preserve"> set-off application in the insolvency </w:t>
      </w:r>
      <w:r w:rsidRPr="00A91E83">
        <w:rPr>
          <w:rFonts w:ascii="Times New Roman" w:hAnsi="Times New Roman" w:cs="Times New Roman"/>
          <w:sz w:val="24"/>
          <w:szCs w:val="24"/>
          <w:lang w:val="en-US"/>
        </w:rPr>
        <w:t xml:space="preserve">which is especially useful for the latter comparison with the concept of netting. Netting is scrutinized by </w:t>
      </w:r>
      <w:proofErr w:type="spellStart"/>
      <w:r w:rsidR="00D52AAA" w:rsidRPr="00A91E83">
        <w:rPr>
          <w:rFonts w:ascii="Times New Roman" w:hAnsi="Times New Roman" w:cs="Times New Roman"/>
          <w:sz w:val="24"/>
          <w:szCs w:val="24"/>
          <w:lang w:val="en-US"/>
        </w:rPr>
        <w:t>analysing</w:t>
      </w:r>
      <w:proofErr w:type="spellEnd"/>
      <w:r w:rsidRPr="00A91E83">
        <w:rPr>
          <w:rFonts w:ascii="Times New Roman" w:hAnsi="Times New Roman" w:cs="Times New Roman"/>
          <w:sz w:val="24"/>
          <w:szCs w:val="24"/>
          <w:lang w:val="en-US"/>
        </w:rPr>
        <w:t xml:space="preserve"> its implications and differences of certain types of netting, in particular settlement netting, novation netting and close-out netting. Different features allow assembling full apprehension of the netting concept and evidence the differences compared with set-off.</w:t>
      </w: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lang w:val="en-US"/>
        </w:rPr>
      </w:pPr>
      <w:r w:rsidRPr="00A91E83">
        <w:rPr>
          <w:rFonts w:ascii="Times New Roman" w:hAnsi="Times New Roman" w:cs="Times New Roman"/>
          <w:sz w:val="24"/>
          <w:szCs w:val="24"/>
          <w:lang w:val="en-US"/>
        </w:rPr>
        <w:tab/>
        <w:t xml:space="preserve">Third part concentrates on the ISDA agreement analysis, by examining the main parts of the documentation and concluding that specific structure has been shaped with regard to the codification of the best practice for the use of netting condition in the market. The ISDA as </w:t>
      </w:r>
      <w:r w:rsidR="00D52AAA" w:rsidRPr="00A91E83">
        <w:rPr>
          <w:rFonts w:ascii="Times New Roman" w:hAnsi="Times New Roman" w:cs="Times New Roman"/>
          <w:sz w:val="24"/>
          <w:szCs w:val="24"/>
          <w:lang w:val="en-US"/>
        </w:rPr>
        <w:t>Single</w:t>
      </w:r>
      <w:r w:rsidRPr="00A91E83">
        <w:rPr>
          <w:rFonts w:ascii="Times New Roman" w:hAnsi="Times New Roman" w:cs="Times New Roman"/>
          <w:sz w:val="24"/>
          <w:szCs w:val="24"/>
          <w:lang w:val="en-US"/>
        </w:rPr>
        <w:t xml:space="preserve"> Agreement concept and</w:t>
      </w:r>
      <w:r w:rsidR="00D52AAA" w:rsidRPr="00A91E83">
        <w:rPr>
          <w:rFonts w:ascii="Times New Roman" w:hAnsi="Times New Roman" w:cs="Times New Roman"/>
          <w:sz w:val="24"/>
          <w:szCs w:val="24"/>
          <w:lang w:val="en-US"/>
        </w:rPr>
        <w:t xml:space="preserve"> credit support documentation are</w:t>
      </w:r>
      <w:r w:rsidRPr="00A91E83">
        <w:rPr>
          <w:rFonts w:ascii="Times New Roman" w:hAnsi="Times New Roman" w:cs="Times New Roman"/>
          <w:sz w:val="24"/>
          <w:szCs w:val="24"/>
          <w:lang w:val="en-US"/>
        </w:rPr>
        <w:t xml:space="preserve"> undistinguishable part</w:t>
      </w:r>
      <w:r w:rsidR="00D52AAA" w:rsidRPr="00A91E83">
        <w:rPr>
          <w:rFonts w:ascii="Times New Roman" w:hAnsi="Times New Roman" w:cs="Times New Roman"/>
          <w:sz w:val="24"/>
          <w:szCs w:val="24"/>
          <w:lang w:val="en-US"/>
        </w:rPr>
        <w:t>s for</w:t>
      </w:r>
      <w:r w:rsidRPr="00A91E83">
        <w:rPr>
          <w:rFonts w:ascii="Times New Roman" w:hAnsi="Times New Roman" w:cs="Times New Roman"/>
          <w:sz w:val="24"/>
          <w:szCs w:val="24"/>
          <w:lang w:val="en-US"/>
        </w:rPr>
        <w:t xml:space="preserve"> the effective application of the netting condition.</w:t>
      </w:r>
    </w:p>
    <w:p w:rsidR="008461E2" w:rsidRPr="00A91E83" w:rsidRDefault="008461E2" w:rsidP="008461E2">
      <w:pPr>
        <w:tabs>
          <w:tab w:val="left" w:pos="851"/>
          <w:tab w:val="left" w:pos="1701"/>
        </w:tabs>
        <w:spacing w:after="0" w:line="360" w:lineRule="auto"/>
        <w:jc w:val="both"/>
        <w:rPr>
          <w:rFonts w:ascii="Times New Roman" w:hAnsi="Times New Roman" w:cs="Times New Roman"/>
          <w:sz w:val="24"/>
          <w:szCs w:val="24"/>
          <w:lang w:val="en-US"/>
        </w:rPr>
      </w:pPr>
      <w:r w:rsidRPr="00A91E83">
        <w:rPr>
          <w:rFonts w:ascii="Times New Roman" w:hAnsi="Times New Roman" w:cs="Times New Roman"/>
          <w:sz w:val="24"/>
          <w:szCs w:val="24"/>
          <w:lang w:val="en-US"/>
        </w:rPr>
        <w:tab/>
        <w:t xml:space="preserve">Fourth part also deals with issues of reconciliation the netting mechanism contained in ISDA agreement on one side and bankruptcy regime on the other. Only if all conditions </w:t>
      </w:r>
      <w:r w:rsidR="009560CC" w:rsidRPr="00A91E83">
        <w:rPr>
          <w:rFonts w:ascii="Times New Roman" w:hAnsi="Times New Roman" w:cs="Times New Roman"/>
          <w:sz w:val="24"/>
          <w:szCs w:val="24"/>
          <w:lang w:val="en-US"/>
        </w:rPr>
        <w:t>of financial</w:t>
      </w:r>
      <w:r w:rsidRPr="00A91E83">
        <w:rPr>
          <w:rFonts w:ascii="Times New Roman" w:hAnsi="Times New Roman" w:cs="Times New Roman"/>
          <w:sz w:val="24"/>
          <w:szCs w:val="24"/>
          <w:lang w:val="en-US"/>
        </w:rPr>
        <w:t xml:space="preserve"> collateral arrangements law of Republic of Lithuania are met the netting is available in the cases of insolvency. </w:t>
      </w:r>
      <w:r w:rsidR="007F4E34" w:rsidRPr="00A91E83">
        <w:rPr>
          <w:rFonts w:ascii="Times New Roman" w:hAnsi="Times New Roman" w:cs="Times New Roman"/>
          <w:sz w:val="24"/>
          <w:szCs w:val="24"/>
          <w:lang w:val="en-US"/>
        </w:rPr>
        <w:t xml:space="preserve">Later analysis draw boundaries of close-out netting condition validity in the insolvency. The principle of freedom of contract is limited by the peremptory regime of </w:t>
      </w:r>
      <w:r w:rsidR="00E231F7" w:rsidRPr="00A91E83">
        <w:rPr>
          <w:rFonts w:ascii="Times New Roman" w:hAnsi="Times New Roman" w:cs="Times New Roman"/>
          <w:sz w:val="24"/>
          <w:szCs w:val="24"/>
          <w:lang w:val="en-US"/>
        </w:rPr>
        <w:t>bankruptcy</w:t>
      </w:r>
      <w:r w:rsidR="007F4E34" w:rsidRPr="00A91E83">
        <w:rPr>
          <w:rFonts w:ascii="Times New Roman" w:hAnsi="Times New Roman" w:cs="Times New Roman"/>
          <w:sz w:val="24"/>
          <w:szCs w:val="24"/>
          <w:lang w:val="en-US"/>
        </w:rPr>
        <w:t xml:space="preserve"> law. </w:t>
      </w:r>
      <w:r w:rsidR="00954DEA" w:rsidRPr="00A91E83">
        <w:rPr>
          <w:rFonts w:ascii="Times New Roman" w:hAnsi="Times New Roman" w:cs="Times New Roman"/>
          <w:sz w:val="24"/>
          <w:szCs w:val="24"/>
          <w:lang w:val="en-US"/>
        </w:rPr>
        <w:t xml:space="preserve">Thus </w:t>
      </w:r>
      <w:r w:rsidR="00796C49" w:rsidRPr="00A91E83">
        <w:rPr>
          <w:rFonts w:ascii="Times New Roman" w:hAnsi="Times New Roman" w:cs="Times New Roman"/>
          <w:sz w:val="24"/>
          <w:szCs w:val="24"/>
          <w:lang w:val="en-US"/>
        </w:rPr>
        <w:t xml:space="preserve">hereunder </w:t>
      </w:r>
      <w:r w:rsidR="00954DEA" w:rsidRPr="00A91E83">
        <w:rPr>
          <w:rFonts w:ascii="Times New Roman" w:hAnsi="Times New Roman" w:cs="Times New Roman"/>
          <w:sz w:val="24"/>
          <w:szCs w:val="24"/>
          <w:lang w:val="en-US"/>
        </w:rPr>
        <w:t>i</w:t>
      </w:r>
      <w:r w:rsidR="007F4E34" w:rsidRPr="00A91E83">
        <w:rPr>
          <w:rFonts w:ascii="Times New Roman" w:hAnsi="Times New Roman" w:cs="Times New Roman"/>
          <w:sz w:val="24"/>
          <w:szCs w:val="24"/>
          <w:lang w:val="en-US"/>
        </w:rPr>
        <w:t xml:space="preserve">n addition providing the </w:t>
      </w:r>
      <w:r w:rsidR="007F4E34" w:rsidRPr="00A91E83">
        <w:rPr>
          <w:rFonts w:ascii="Times New Roman" w:hAnsi="Times New Roman" w:cs="Times New Roman"/>
          <w:i/>
          <w:sz w:val="24"/>
          <w:szCs w:val="24"/>
          <w:lang w:val="en-US"/>
        </w:rPr>
        <w:t>a posteriori</w:t>
      </w:r>
      <w:r w:rsidR="007F4E34" w:rsidRPr="00A91E83">
        <w:rPr>
          <w:rFonts w:ascii="Times New Roman" w:hAnsi="Times New Roman" w:cs="Times New Roman"/>
          <w:sz w:val="24"/>
          <w:szCs w:val="24"/>
          <w:lang w:val="en-US"/>
        </w:rPr>
        <w:t xml:space="preserve"> legal defense </w:t>
      </w:r>
      <w:proofErr w:type="gramStart"/>
      <w:r w:rsidR="009560CC" w:rsidRPr="00A91E83">
        <w:rPr>
          <w:rFonts w:ascii="Times New Roman" w:hAnsi="Times New Roman" w:cs="Times New Roman"/>
          <w:sz w:val="24"/>
          <w:szCs w:val="24"/>
          <w:lang w:val="en-US"/>
        </w:rPr>
        <w:t>measures‘ legal</w:t>
      </w:r>
      <w:proofErr w:type="gramEnd"/>
      <w:r w:rsidR="007F4E34" w:rsidRPr="00A91E83">
        <w:rPr>
          <w:rFonts w:ascii="Times New Roman" w:hAnsi="Times New Roman" w:cs="Times New Roman"/>
          <w:sz w:val="24"/>
          <w:szCs w:val="24"/>
          <w:lang w:val="en-US"/>
        </w:rPr>
        <w:t xml:space="preserve"> review which might be used in order to avoid the ma</w:t>
      </w:r>
      <w:r w:rsidR="00E231F7" w:rsidRPr="00A91E83">
        <w:rPr>
          <w:rFonts w:ascii="Times New Roman" w:hAnsi="Times New Roman" w:cs="Times New Roman"/>
          <w:sz w:val="24"/>
          <w:szCs w:val="24"/>
          <w:lang w:val="en-US"/>
        </w:rPr>
        <w:t>nife</w:t>
      </w:r>
      <w:r w:rsidR="007F4E34" w:rsidRPr="00A91E83">
        <w:rPr>
          <w:rFonts w:ascii="Times New Roman" w:hAnsi="Times New Roman" w:cs="Times New Roman"/>
          <w:sz w:val="24"/>
          <w:szCs w:val="24"/>
          <w:lang w:val="en-US"/>
        </w:rPr>
        <w:t>station of the law abuse u</w:t>
      </w:r>
      <w:r w:rsidR="009560CC" w:rsidRPr="00A91E83">
        <w:rPr>
          <w:rFonts w:ascii="Times New Roman" w:hAnsi="Times New Roman" w:cs="Times New Roman"/>
          <w:sz w:val="24"/>
          <w:szCs w:val="24"/>
          <w:lang w:val="en-US"/>
        </w:rPr>
        <w:t xml:space="preserve">pon the threshold of insolvency with regard to the </w:t>
      </w:r>
      <w:r w:rsidR="00C012CA" w:rsidRPr="00A91E83">
        <w:rPr>
          <w:rFonts w:ascii="Times New Roman" w:hAnsi="Times New Roman" w:cs="Times New Roman"/>
          <w:sz w:val="24"/>
          <w:szCs w:val="24"/>
          <w:lang w:val="en-US"/>
        </w:rPr>
        <w:t xml:space="preserve">protection of </w:t>
      </w:r>
      <w:r w:rsidR="009560CC" w:rsidRPr="00A91E83">
        <w:rPr>
          <w:rFonts w:ascii="Times New Roman" w:hAnsi="Times New Roman" w:cs="Times New Roman"/>
          <w:sz w:val="24"/>
          <w:szCs w:val="24"/>
          <w:lang w:val="en-US"/>
        </w:rPr>
        <w:t>equality of creditors.</w:t>
      </w:r>
    </w:p>
    <w:sectPr w:rsidR="008461E2" w:rsidRPr="00A91E83" w:rsidSect="00BC3EDB">
      <w:footerReference w:type="default" r:id="rId32"/>
      <w:pgSz w:w="11906" w:h="16838"/>
      <w:pgMar w:top="1134" w:right="851" w:bottom="1134"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E13" w:rsidRDefault="00A91E13" w:rsidP="000B1886">
      <w:pPr>
        <w:spacing w:after="0" w:line="240" w:lineRule="auto"/>
      </w:pPr>
      <w:r>
        <w:separator/>
      </w:r>
    </w:p>
  </w:endnote>
  <w:endnote w:type="continuationSeparator" w:id="0">
    <w:p w:rsidR="00A91E13" w:rsidRDefault="00A91E13" w:rsidP="000B1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85621200"/>
      <w:docPartObj>
        <w:docPartGallery w:val="Page Numbers (Bottom of Page)"/>
        <w:docPartUnique/>
      </w:docPartObj>
    </w:sdtPr>
    <w:sdtEndPr>
      <w:rPr>
        <w:noProof/>
      </w:rPr>
    </w:sdtEndPr>
    <w:sdtContent>
      <w:p w:rsidR="00A91E13" w:rsidRPr="005344BE" w:rsidRDefault="00A91E13">
        <w:pPr>
          <w:pStyle w:val="Porat"/>
          <w:jc w:val="right"/>
          <w:rPr>
            <w:rFonts w:ascii="Times New Roman" w:hAnsi="Times New Roman" w:cs="Times New Roman"/>
            <w:sz w:val="24"/>
            <w:szCs w:val="24"/>
          </w:rPr>
        </w:pPr>
        <w:r w:rsidRPr="005344BE">
          <w:rPr>
            <w:rFonts w:ascii="Times New Roman" w:hAnsi="Times New Roman" w:cs="Times New Roman"/>
            <w:sz w:val="24"/>
            <w:szCs w:val="24"/>
          </w:rPr>
          <w:fldChar w:fldCharType="begin"/>
        </w:r>
        <w:r w:rsidRPr="005344BE">
          <w:rPr>
            <w:rFonts w:ascii="Times New Roman" w:hAnsi="Times New Roman" w:cs="Times New Roman"/>
            <w:sz w:val="24"/>
            <w:szCs w:val="24"/>
          </w:rPr>
          <w:instrText xml:space="preserve"> PAGE   \* MERGEFORMAT </w:instrText>
        </w:r>
        <w:r w:rsidRPr="005344BE">
          <w:rPr>
            <w:rFonts w:ascii="Times New Roman" w:hAnsi="Times New Roman" w:cs="Times New Roman"/>
            <w:sz w:val="24"/>
            <w:szCs w:val="24"/>
          </w:rPr>
          <w:fldChar w:fldCharType="separate"/>
        </w:r>
        <w:r w:rsidR="00E05E27">
          <w:rPr>
            <w:rFonts w:ascii="Times New Roman" w:hAnsi="Times New Roman" w:cs="Times New Roman"/>
            <w:noProof/>
            <w:sz w:val="24"/>
            <w:szCs w:val="24"/>
          </w:rPr>
          <w:t>51</w:t>
        </w:r>
        <w:r w:rsidRPr="005344BE">
          <w:rPr>
            <w:rFonts w:ascii="Times New Roman" w:hAnsi="Times New Roman" w:cs="Times New Roman"/>
            <w:noProof/>
            <w:sz w:val="24"/>
            <w:szCs w:val="24"/>
          </w:rPr>
          <w:fldChar w:fldCharType="end"/>
        </w:r>
      </w:p>
    </w:sdtContent>
  </w:sdt>
  <w:p w:rsidR="00A91E13" w:rsidRPr="005344BE" w:rsidRDefault="00A91E13">
    <w:pPr>
      <w:pStyle w:val="Porat"/>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E13" w:rsidRDefault="00A91E13" w:rsidP="000B1886">
      <w:pPr>
        <w:spacing w:after="0" w:line="240" w:lineRule="auto"/>
      </w:pPr>
      <w:r>
        <w:separator/>
      </w:r>
    </w:p>
  </w:footnote>
  <w:footnote w:type="continuationSeparator" w:id="0">
    <w:p w:rsidR="00A91E13" w:rsidRDefault="00A91E13" w:rsidP="000B1886">
      <w:pPr>
        <w:spacing w:after="0" w:line="240" w:lineRule="auto"/>
      </w:pPr>
      <w:r>
        <w:continuationSeparator/>
      </w:r>
    </w:p>
  </w:footnote>
  <w:footnote w:id="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197.</w:t>
      </w:r>
    </w:p>
  </w:footnote>
  <w:footnote w:id="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Principles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international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insolvency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67.</w:t>
      </w:r>
    </w:p>
  </w:footnote>
  <w:footnote w:id="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Šaltinis </w:t>
      </w:r>
      <w:hyperlink r:id="rId1" w:history="1">
        <w:r w:rsidRPr="00A91E83">
          <w:rPr>
            <w:rStyle w:val="Hipersaitas"/>
            <w:rFonts w:ascii="Times New Roman" w:hAnsi="Times New Roman" w:cs="Times New Roman"/>
          </w:rPr>
          <w:t>www.isda.org</w:t>
        </w:r>
      </w:hyperlink>
      <w:r w:rsidRPr="00A91E83">
        <w:rPr>
          <w:rFonts w:ascii="Times New Roman" w:hAnsi="Times New Roman" w:cs="Times New Roman"/>
        </w:rPr>
        <w:t xml:space="preserve"> </w:t>
      </w:r>
    </w:p>
  </w:footnote>
  <w:footnote w:id="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Bergman</w:t>
      </w:r>
      <w:proofErr w:type="spellEnd"/>
      <w:r w:rsidRPr="00A91E83">
        <w:rPr>
          <w:rFonts w:ascii="Times New Roman" w:hAnsi="Times New Roman" w:cs="Times New Roman"/>
        </w:rPr>
        <w:t xml:space="preserve"> W.J., </w:t>
      </w:r>
      <w:proofErr w:type="spellStart"/>
      <w:r w:rsidRPr="00A91E83">
        <w:rPr>
          <w:rFonts w:ascii="Times New Roman" w:hAnsi="Times New Roman" w:cs="Times New Roman"/>
        </w:rPr>
        <w:t>Bliss</w:t>
      </w:r>
      <w:proofErr w:type="spellEnd"/>
      <w:r w:rsidRPr="00A91E83">
        <w:rPr>
          <w:rFonts w:ascii="Times New Roman" w:hAnsi="Times New Roman" w:cs="Times New Roman"/>
        </w:rPr>
        <w:t xml:space="preserve"> R.R., </w:t>
      </w:r>
      <w:proofErr w:type="spellStart"/>
      <w:r w:rsidRPr="00A91E83">
        <w:rPr>
          <w:rFonts w:ascii="Times New Roman" w:hAnsi="Times New Roman" w:cs="Times New Roman"/>
        </w:rPr>
        <w:t>Johnson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contracts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banks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economic</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implications</w:t>
      </w:r>
      <w:proofErr w:type="spellEnd"/>
      <w:r w:rsidRPr="00A91E83">
        <w:rPr>
          <w:rFonts w:ascii="Times New Roman" w:hAnsi="Times New Roman" w:cs="Times New Roman"/>
        </w:rPr>
        <w:t xml:space="preserve">. 2004, </w:t>
      </w:r>
      <w:proofErr w:type="spellStart"/>
      <w:r w:rsidRPr="00A91E83">
        <w:rPr>
          <w:rFonts w:ascii="Times New Roman" w:hAnsi="Times New Roman" w:cs="Times New Roman"/>
        </w:rPr>
        <w:t>p</w:t>
      </w:r>
      <w:proofErr w:type="spellEnd"/>
      <w:r w:rsidRPr="00A91E83">
        <w:rPr>
          <w:rFonts w:ascii="Times New Roman" w:hAnsi="Times New Roman" w:cs="Times New Roman"/>
        </w:rPr>
        <w:t xml:space="preserve">. 8. Šaltinis </w:t>
      </w:r>
      <w:hyperlink r:id="rId2" w:history="1">
        <w:r w:rsidRPr="00A91E83">
          <w:rPr>
            <w:rStyle w:val="Hipersaitas"/>
            <w:rFonts w:ascii="Times New Roman" w:hAnsi="Times New Roman" w:cs="Times New Roman"/>
          </w:rPr>
          <w:t>http://papers.ssrn.com/sol3/papers.cfm?abstract_id=505965</w:t>
        </w:r>
      </w:hyperlink>
    </w:p>
  </w:footnote>
  <w:footnote w:id="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Bowman</w:t>
      </w:r>
      <w:proofErr w:type="spellEnd"/>
      <w:r w:rsidRPr="00A91E83">
        <w:rPr>
          <w:rFonts w:ascii="Times New Roman" w:hAnsi="Times New Roman" w:cs="Times New Roman"/>
        </w:rPr>
        <w:t xml:space="preserve"> L. </w:t>
      </w:r>
      <w:proofErr w:type="spellStart"/>
      <w:r w:rsidRPr="00A91E83">
        <w:rPr>
          <w:rFonts w:ascii="Times New Roman" w:hAnsi="Times New Roman" w:cs="Times New Roman"/>
        </w:rPr>
        <w:t>Credit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default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swaps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dangerous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ground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Euromoney</w:t>
      </w:r>
      <w:proofErr w:type="spellEnd"/>
      <w:r w:rsidRPr="00A91E83">
        <w:rPr>
          <w:rFonts w:ascii="Times New Roman" w:hAnsi="Times New Roman" w:cs="Times New Roman"/>
        </w:rPr>
        <w:t xml:space="preserve">, 2008, </w:t>
      </w:r>
      <w:proofErr w:type="spellStart"/>
      <w:r w:rsidRPr="00A91E83">
        <w:rPr>
          <w:rFonts w:ascii="Times New Roman" w:hAnsi="Times New Roman" w:cs="Times New Roman"/>
        </w:rPr>
        <w:t>August</w:t>
      </w:r>
      <w:proofErr w:type="spellEnd"/>
      <w:r w:rsidRPr="00A91E83">
        <w:rPr>
          <w:rFonts w:ascii="Times New Roman" w:hAnsi="Times New Roman" w:cs="Times New Roman"/>
        </w:rPr>
        <w:t xml:space="preserve">. Šaltinis </w:t>
      </w:r>
      <w:hyperlink r:id="rId3" w:history="1">
        <w:r w:rsidRPr="00A91E83">
          <w:rPr>
            <w:rStyle w:val="Hipersaitas"/>
            <w:rFonts w:ascii="Times New Roman" w:hAnsi="Times New Roman" w:cs="Times New Roman"/>
          </w:rPr>
          <w:t>http://www.euromoney.com/Article/1990950/Credit-default-swaps-On-dangerous-ground.html</w:t>
        </w:r>
      </w:hyperlink>
    </w:p>
  </w:footnote>
  <w:footnote w:id="6">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Edwards</w:t>
      </w:r>
      <w:proofErr w:type="spellEnd"/>
      <w:r w:rsidRPr="00A91E83">
        <w:rPr>
          <w:rFonts w:ascii="Times New Roman" w:hAnsi="Times New Roman" w:cs="Times New Roman"/>
        </w:rPr>
        <w:t xml:space="preserve"> F.R., </w:t>
      </w:r>
      <w:proofErr w:type="spellStart"/>
      <w:r w:rsidRPr="00A91E83">
        <w:rPr>
          <w:rFonts w:ascii="Times New Roman" w:hAnsi="Times New Roman" w:cs="Times New Roman"/>
        </w:rPr>
        <w:t>Morrison</w:t>
      </w:r>
      <w:proofErr w:type="spellEnd"/>
      <w:r w:rsidRPr="00A91E83">
        <w:rPr>
          <w:rFonts w:ascii="Times New Roman" w:hAnsi="Times New Roman" w:cs="Times New Roman"/>
        </w:rPr>
        <w:t xml:space="preserve"> E.R.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bank</w:t>
      </w:r>
      <w:r>
        <w:rPr>
          <w:rFonts w:ascii="Times New Roman" w:hAnsi="Times New Roman" w:cs="Times New Roman"/>
        </w:rPr>
        <w:t>r</w:t>
      </w:r>
      <w:r w:rsidRPr="00A91E83">
        <w:rPr>
          <w:rFonts w:ascii="Times New Roman" w:hAnsi="Times New Roman" w:cs="Times New Roman"/>
        </w:rPr>
        <w:t>uptcy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code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why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special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treatment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Center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for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economic</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studies</w:t>
      </w:r>
      <w:proofErr w:type="spellEnd"/>
      <w:r w:rsidRPr="00A91E83">
        <w:rPr>
          <w:rFonts w:ascii="Times New Roman" w:hAnsi="Times New Roman" w:cs="Times New Roman"/>
        </w:rPr>
        <w:t xml:space="preserve">, WP </w:t>
      </w:r>
      <w:proofErr w:type="spellStart"/>
      <w:r w:rsidRPr="00A91E83">
        <w:rPr>
          <w:rFonts w:ascii="Times New Roman" w:hAnsi="Times New Roman" w:cs="Times New Roman"/>
        </w:rPr>
        <w:t>No</w:t>
      </w:r>
      <w:proofErr w:type="spellEnd"/>
      <w:r w:rsidRPr="00A91E83">
        <w:rPr>
          <w:rFonts w:ascii="Times New Roman" w:hAnsi="Times New Roman" w:cs="Times New Roman"/>
        </w:rPr>
        <w:t xml:space="preserve">. 28, </w:t>
      </w:r>
      <w:proofErr w:type="spellStart"/>
      <w:r w:rsidRPr="00A91E83">
        <w:rPr>
          <w:rFonts w:ascii="Times New Roman" w:hAnsi="Times New Roman" w:cs="Times New Roman"/>
        </w:rPr>
        <w:t>p</w:t>
      </w:r>
      <w:proofErr w:type="spellEnd"/>
      <w:r w:rsidRPr="00A91E83">
        <w:rPr>
          <w:rFonts w:ascii="Times New Roman" w:hAnsi="Times New Roman" w:cs="Times New Roman"/>
        </w:rPr>
        <w:t>. 7. Šaltinis</w:t>
      </w:r>
      <w:r w:rsidRPr="00A91E83">
        <w:rPr>
          <w:rFonts w:ascii="Times New Roman" w:hAnsi="Times New Roman" w:cs="Times New Roman"/>
          <w:iCs/>
          <w:color w:val="0000FF"/>
        </w:rPr>
        <w:t xml:space="preserve"> http://papers.ssrn.com/sol3/papers.cfm?abstract_id=589261</w:t>
      </w:r>
      <w:r w:rsidRPr="00A91E83">
        <w:rPr>
          <w:rFonts w:ascii="Times New Roman" w:hAnsi="Times New Roman" w:cs="Times New Roman"/>
        </w:rPr>
        <w:t xml:space="preserve"> </w:t>
      </w:r>
    </w:p>
  </w:footnote>
  <w:footnote w:id="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Controller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currency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administrator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national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banks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Quarterly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report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bank</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trading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activities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Second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quarter</w:t>
      </w:r>
      <w:proofErr w:type="spellEnd"/>
      <w:r w:rsidRPr="00A91E83">
        <w:rPr>
          <w:rFonts w:ascii="Times New Roman" w:hAnsi="Times New Roman" w:cs="Times New Roman"/>
        </w:rPr>
        <w:t xml:space="preserve">, 2010, </w:t>
      </w:r>
      <w:proofErr w:type="spellStart"/>
      <w:r w:rsidRPr="00A91E83">
        <w:rPr>
          <w:rFonts w:ascii="Times New Roman" w:hAnsi="Times New Roman" w:cs="Times New Roman"/>
        </w:rPr>
        <w:t>p</w:t>
      </w:r>
      <w:proofErr w:type="spellEnd"/>
      <w:r w:rsidRPr="00A91E83">
        <w:rPr>
          <w:rFonts w:ascii="Times New Roman" w:hAnsi="Times New Roman" w:cs="Times New Roman"/>
        </w:rPr>
        <w:t xml:space="preserve">. 8. Šaltinis </w:t>
      </w:r>
      <w:hyperlink r:id="rId4" w:history="1">
        <w:r w:rsidRPr="00A91E83">
          <w:rPr>
            <w:rStyle w:val="Hipersaitas"/>
            <w:rFonts w:ascii="Times New Roman" w:hAnsi="Times New Roman" w:cs="Times New Roman"/>
          </w:rPr>
          <w:t>http://www.occ.treas.gov/topics/capital-markets/financial-markets/trading/derivatives/dq210.pdf</w:t>
        </w:r>
      </w:hyperlink>
    </w:p>
  </w:footnote>
  <w:footnote w:id="8">
    <w:p w:rsidR="00A91E13" w:rsidRPr="00A91E83" w:rsidRDefault="00A91E13" w:rsidP="00621590">
      <w:pPr>
        <w:pStyle w:val="Puslapioinaostekstas"/>
        <w:tabs>
          <w:tab w:val="left" w:pos="2085"/>
        </w:tab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Mengle</w:t>
      </w:r>
      <w:proofErr w:type="spellEnd"/>
      <w:r w:rsidRPr="00A91E83">
        <w:rPr>
          <w:rFonts w:ascii="Times New Roman" w:hAnsi="Times New Roman" w:cs="Times New Roman"/>
        </w:rPr>
        <w:t xml:space="preserve"> D.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importance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close-out-netting.</w:t>
      </w:r>
      <w:proofErr w:type="spellEnd"/>
      <w:r w:rsidRPr="00A91E83">
        <w:rPr>
          <w:rFonts w:ascii="Times New Roman" w:hAnsi="Times New Roman" w:cs="Times New Roman"/>
        </w:rPr>
        <w:t xml:space="preserve"> ISDA </w:t>
      </w:r>
      <w:proofErr w:type="spellStart"/>
      <w:r w:rsidRPr="00A91E83">
        <w:rPr>
          <w:rFonts w:ascii="Times New Roman" w:hAnsi="Times New Roman" w:cs="Times New Roman"/>
        </w:rPr>
        <w:t>research</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notes</w:t>
      </w:r>
      <w:proofErr w:type="spellEnd"/>
      <w:r w:rsidRPr="00A91E83">
        <w:rPr>
          <w:rFonts w:ascii="Times New Roman" w:hAnsi="Times New Roman" w:cs="Times New Roman"/>
        </w:rPr>
        <w:t xml:space="preserve">, 2010, </w:t>
      </w:r>
      <w:proofErr w:type="spellStart"/>
      <w:r w:rsidRPr="00A91E83">
        <w:rPr>
          <w:rFonts w:ascii="Times New Roman" w:hAnsi="Times New Roman" w:cs="Times New Roman"/>
        </w:rPr>
        <w:t>number</w:t>
      </w:r>
      <w:proofErr w:type="spellEnd"/>
      <w:r w:rsidRPr="00A91E83">
        <w:rPr>
          <w:rFonts w:ascii="Times New Roman" w:hAnsi="Times New Roman" w:cs="Times New Roman"/>
        </w:rPr>
        <w:t xml:space="preserve"> 1, </w:t>
      </w:r>
      <w:proofErr w:type="spellStart"/>
      <w:r w:rsidRPr="00A91E83">
        <w:rPr>
          <w:rFonts w:ascii="Times New Roman" w:hAnsi="Times New Roman" w:cs="Times New Roman"/>
        </w:rPr>
        <w:t>p</w:t>
      </w:r>
      <w:proofErr w:type="spellEnd"/>
      <w:r w:rsidRPr="00A91E83">
        <w:rPr>
          <w:rFonts w:ascii="Times New Roman" w:hAnsi="Times New Roman" w:cs="Times New Roman"/>
        </w:rPr>
        <w:t>. 2.</w:t>
      </w:r>
    </w:p>
  </w:footnote>
  <w:footnote w:id="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European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Markets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Lawyers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Group</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Symposium</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standard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market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documentation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Lessons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learned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from</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current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crisis</w:t>
      </w:r>
      <w:proofErr w:type="spellEnd"/>
      <w:r w:rsidRPr="00A91E83">
        <w:rPr>
          <w:rFonts w:ascii="Times New Roman" w:hAnsi="Times New Roman" w:cs="Times New Roman"/>
        </w:rPr>
        <w:t xml:space="preserve">. 2010, </w:t>
      </w:r>
      <w:proofErr w:type="spellStart"/>
      <w:r w:rsidRPr="00A91E83">
        <w:rPr>
          <w:rFonts w:ascii="Times New Roman" w:hAnsi="Times New Roman" w:cs="Times New Roman"/>
        </w:rPr>
        <w:t>April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3.</w:t>
      </w:r>
    </w:p>
  </w:footnote>
  <w:footnote w:id="1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132.</w:t>
      </w:r>
    </w:p>
  </w:footnote>
  <w:footnote w:id="1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Didžiausią valstybinę paramą gavę bankai: </w:t>
      </w:r>
      <w:proofErr w:type="spellStart"/>
      <w:r w:rsidRPr="00A91E83">
        <w:rPr>
          <w:rFonts w:ascii="Times New Roman" w:hAnsi="Times New Roman" w:cs="Times New Roman"/>
        </w:rPr>
        <w:t>Wells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Fargo</w:t>
      </w:r>
      <w:proofErr w:type="spellEnd"/>
      <w:r w:rsidRPr="00A91E83">
        <w:rPr>
          <w:rFonts w:ascii="Times New Roman" w:hAnsi="Times New Roman" w:cs="Times New Roman"/>
        </w:rPr>
        <w:t xml:space="preserve"> </w:t>
      </w:r>
      <w:r w:rsidRPr="00A91E83">
        <w:rPr>
          <w:rFonts w:ascii="Times New Roman" w:hAnsi="Times New Roman" w:cs="Times New Roman"/>
          <w:lang w:val="en-GB"/>
        </w:rPr>
        <w:t>&amp; Co., Bank of America Corp., Goldman Sachs Group, JPMorgan Chase, Morgan Stanley, Citigroup </w:t>
      </w:r>
      <w:proofErr w:type="spellStart"/>
      <w:r w:rsidRPr="00A91E83">
        <w:rPr>
          <w:rFonts w:ascii="Times New Roman" w:hAnsi="Times New Roman" w:cs="Times New Roman"/>
          <w:lang w:val="en-GB"/>
        </w:rPr>
        <w:t>ir</w:t>
      </w:r>
      <w:proofErr w:type="spellEnd"/>
      <w:r w:rsidRPr="00A91E83">
        <w:rPr>
          <w:rFonts w:ascii="Times New Roman" w:hAnsi="Times New Roman" w:cs="Times New Roman"/>
          <w:lang w:val="en-GB"/>
        </w:rPr>
        <w:t> t.t. </w:t>
      </w:r>
      <w:r w:rsidRPr="00A91E83">
        <w:rPr>
          <w:rFonts w:ascii="Times New Roman" w:hAnsi="Times New Roman" w:cs="Times New Roman"/>
        </w:rPr>
        <w:t>Šaltinis </w:t>
      </w:r>
      <w:hyperlink r:id="rId5" w:history="1">
        <w:r w:rsidRPr="00A91E83">
          <w:rPr>
            <w:rStyle w:val="Hipersaitas"/>
            <w:rFonts w:ascii="Times New Roman" w:hAnsi="Times New Roman" w:cs="Times New Roman"/>
          </w:rPr>
          <w:t>http://www.nytimes.com/packages/html/national/200904_CREDITCRISIS/recipients.html</w:t>
        </w:r>
      </w:hyperlink>
    </w:p>
  </w:footnote>
  <w:footnote w:id="1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Lietuvos Respublikos indėlių ir įsipareigojimų investuotojams draudimo įstatymas // Valstybės žinios, 2002, </w:t>
      </w:r>
      <w:proofErr w:type="spellStart"/>
      <w:r w:rsidRPr="00A91E83">
        <w:rPr>
          <w:rFonts w:ascii="Times New Roman" w:hAnsi="Times New Roman" w:cs="Times New Roman"/>
        </w:rPr>
        <w:t>Nr</w:t>
      </w:r>
      <w:proofErr w:type="spellEnd"/>
      <w:r w:rsidRPr="00A91E83">
        <w:rPr>
          <w:rFonts w:ascii="Times New Roman" w:hAnsi="Times New Roman" w:cs="Times New Roman"/>
        </w:rPr>
        <w:t>. 65-2635.</w:t>
      </w:r>
    </w:p>
  </w:footnote>
  <w:footnote w:id="1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Lietuvoje jau buvo susidurta su problemomis išmokant indėlius AB Tauro bankui ir AB „</w:t>
      </w:r>
      <w:proofErr w:type="spellStart"/>
      <w:r w:rsidRPr="00A91E83">
        <w:rPr>
          <w:rFonts w:ascii="Times New Roman" w:hAnsi="Times New Roman" w:cs="Times New Roman"/>
        </w:rPr>
        <w:t>Litimpeks</w:t>
      </w:r>
      <w:proofErr w:type="spellEnd"/>
      <w:r w:rsidRPr="00A91E83">
        <w:rPr>
          <w:rFonts w:ascii="Times New Roman" w:hAnsi="Times New Roman" w:cs="Times New Roman"/>
        </w:rPr>
        <w:t xml:space="preserve">“ bankui, tai sunku įsivaizduoti koks problemų mastas būtų, jeigu sugriūtų visa bankų sistema. </w:t>
      </w:r>
      <w:proofErr w:type="spellStart"/>
      <w:r w:rsidRPr="00A91E83">
        <w:rPr>
          <w:rFonts w:ascii="Times New Roman" w:hAnsi="Times New Roman" w:cs="Times New Roman"/>
        </w:rPr>
        <w:t>Žr</w:t>
      </w:r>
      <w:proofErr w:type="spellEnd"/>
      <w:r w:rsidRPr="00A91E83">
        <w:rPr>
          <w:rFonts w:ascii="Times New Roman" w:hAnsi="Times New Roman" w:cs="Times New Roman"/>
        </w:rPr>
        <w:t xml:space="preserve">. plačiau </w:t>
      </w:r>
      <w:hyperlink r:id="rId6" w:history="1">
        <w:r w:rsidRPr="00A91E83">
          <w:rPr>
            <w:rStyle w:val="Hipersaitas"/>
            <w:rFonts w:ascii="Times New Roman" w:hAnsi="Times New Roman" w:cs="Times New Roman"/>
          </w:rPr>
          <w:t>http://www.iidraudimas.lt/lt/valstybes-imone-indeliu-ir-investiciju-draudimas/</w:t>
        </w:r>
      </w:hyperlink>
      <w:r w:rsidRPr="00A91E83">
        <w:rPr>
          <w:rFonts w:ascii="Times New Roman" w:hAnsi="Times New Roman" w:cs="Times New Roman"/>
        </w:rPr>
        <w:t xml:space="preserve"> Kitas pavyzdys, kad indėlininkai gali neatgauti kompensacijos įvyko Islandijoje. Šaltinis </w:t>
      </w:r>
      <w:hyperlink r:id="rId7" w:history="1">
        <w:r w:rsidRPr="00A91E83">
          <w:rPr>
            <w:rStyle w:val="Hipersaitas"/>
            <w:rFonts w:ascii="Times New Roman" w:hAnsi="Times New Roman" w:cs="Times New Roman"/>
          </w:rPr>
          <w:t>http://vz.lt/2/straipsnis/2010/01/05/Islandija_stabdo_indeliu_kompensacija_uzsienieciams2</w:t>
        </w:r>
      </w:hyperlink>
    </w:p>
  </w:footnote>
  <w:footnote w:id="1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Šaltinis </w:t>
      </w:r>
      <w:hyperlink r:id="rId8" w:history="1">
        <w:r w:rsidRPr="00A91E83">
          <w:rPr>
            <w:rStyle w:val="Hipersaitas"/>
            <w:rFonts w:ascii="Times New Roman" w:hAnsi="Times New Roman" w:cs="Times New Roman"/>
          </w:rPr>
          <w:t>http://www.prwatch.org/node/9121</w:t>
        </w:r>
      </w:hyperlink>
    </w:p>
  </w:footnote>
  <w:footnote w:id="15">
    <w:p w:rsidR="00A91E13" w:rsidRPr="00A91E83" w:rsidRDefault="00A91E13" w:rsidP="00621590">
      <w:pPr>
        <w:autoSpaceDE w:val="0"/>
        <w:autoSpaceDN w:val="0"/>
        <w:adjustRightInd w:val="0"/>
        <w:spacing w:after="0" w:line="240" w:lineRule="auto"/>
        <w:jc w:val="both"/>
        <w:rPr>
          <w:rFonts w:ascii="Times New Roman" w:hAnsi="Times New Roman" w:cs="Times New Roman"/>
          <w:sz w:val="20"/>
          <w:szCs w:val="20"/>
        </w:rPr>
      </w:pPr>
      <w:r w:rsidRPr="00A91E83">
        <w:rPr>
          <w:rStyle w:val="Puslapioinaosnuoroda"/>
          <w:rFonts w:ascii="Times New Roman" w:hAnsi="Times New Roman" w:cs="Times New Roman"/>
          <w:sz w:val="20"/>
          <w:szCs w:val="20"/>
        </w:rPr>
        <w:footnoteRef/>
      </w:r>
      <w:r w:rsidRPr="00A91E83">
        <w:rPr>
          <w:rFonts w:ascii="Times New Roman" w:hAnsi="Times New Roman" w:cs="Times New Roman"/>
          <w:sz w:val="20"/>
          <w:szCs w:val="20"/>
        </w:rPr>
        <w:t xml:space="preserve"> Pasaulio BVP 2009 </w:t>
      </w:r>
      <w:proofErr w:type="spellStart"/>
      <w:r w:rsidRPr="00A91E83">
        <w:rPr>
          <w:rFonts w:ascii="Times New Roman" w:hAnsi="Times New Roman" w:cs="Times New Roman"/>
          <w:sz w:val="20"/>
          <w:szCs w:val="20"/>
        </w:rPr>
        <w:t>m</w:t>
      </w:r>
      <w:proofErr w:type="spellEnd"/>
      <w:r w:rsidRPr="00A91E83">
        <w:rPr>
          <w:rFonts w:ascii="Times New Roman" w:hAnsi="Times New Roman" w:cs="Times New Roman"/>
          <w:sz w:val="20"/>
          <w:szCs w:val="20"/>
        </w:rPr>
        <w:t xml:space="preserve">. buvo apie 57 trilijonus dolerių, o nominali </w:t>
      </w:r>
      <w:proofErr w:type="spellStart"/>
      <w:r w:rsidRPr="00A91E83">
        <w:rPr>
          <w:rFonts w:ascii="Times New Roman" w:hAnsi="Times New Roman" w:cs="Times New Roman"/>
          <w:sz w:val="20"/>
          <w:szCs w:val="20"/>
        </w:rPr>
        <w:t>užbiržinių</w:t>
      </w:r>
      <w:proofErr w:type="spellEnd"/>
      <w:r w:rsidRPr="00A91E83">
        <w:rPr>
          <w:rFonts w:ascii="Times New Roman" w:hAnsi="Times New Roman" w:cs="Times New Roman"/>
          <w:sz w:val="20"/>
          <w:szCs w:val="20"/>
        </w:rPr>
        <w:t xml:space="preserve"> sandorių vertė 2009 </w:t>
      </w:r>
      <w:proofErr w:type="spellStart"/>
      <w:r w:rsidRPr="00A91E83">
        <w:rPr>
          <w:rFonts w:ascii="Times New Roman" w:hAnsi="Times New Roman" w:cs="Times New Roman"/>
          <w:sz w:val="20"/>
          <w:szCs w:val="20"/>
        </w:rPr>
        <w:t>m</w:t>
      </w:r>
      <w:proofErr w:type="spellEnd"/>
      <w:r w:rsidRPr="00A91E83">
        <w:rPr>
          <w:rFonts w:ascii="Times New Roman" w:hAnsi="Times New Roman" w:cs="Times New Roman"/>
          <w:sz w:val="20"/>
          <w:szCs w:val="20"/>
        </w:rPr>
        <w:t>. sudarė 603 trilijonus. Pastarieji duomenys siejami su pagrindinių sandorių verte (</w:t>
      </w:r>
      <w:proofErr w:type="spellStart"/>
      <w:r w:rsidRPr="00A91E83">
        <w:rPr>
          <w:rFonts w:ascii="Times New Roman" w:hAnsi="Times New Roman" w:cs="Times New Roman"/>
          <w:sz w:val="20"/>
          <w:szCs w:val="20"/>
        </w:rPr>
        <w:t>angl</w:t>
      </w:r>
      <w:proofErr w:type="spellEnd"/>
      <w:r w:rsidRPr="00A91E83">
        <w:rPr>
          <w:rFonts w:ascii="Times New Roman" w:hAnsi="Times New Roman" w:cs="Times New Roman"/>
          <w:sz w:val="20"/>
          <w:szCs w:val="20"/>
        </w:rPr>
        <w:t>.</w:t>
      </w:r>
      <w:r w:rsidRPr="00A91E83">
        <w:rPr>
          <w:rFonts w:ascii="Times New Roman" w:hAnsi="Times New Roman" w:cs="Times New Roman"/>
          <w:i/>
          <w:sz w:val="20"/>
          <w:szCs w:val="20"/>
        </w:rPr>
        <w:t xml:space="preserve"> </w:t>
      </w:r>
      <w:proofErr w:type="spellStart"/>
      <w:r w:rsidRPr="00A91E83">
        <w:rPr>
          <w:rFonts w:ascii="Times New Roman" w:hAnsi="Times New Roman" w:cs="Times New Roman"/>
          <w:i/>
          <w:sz w:val="20"/>
          <w:szCs w:val="20"/>
        </w:rPr>
        <w:t>notional</w:t>
      </w:r>
      <w:proofErr w:type="spellEnd"/>
      <w:r w:rsidRPr="00A91E83">
        <w:rPr>
          <w:rFonts w:ascii="Times New Roman" w:hAnsi="Times New Roman" w:cs="Times New Roman"/>
          <w:i/>
          <w:sz w:val="20"/>
          <w:szCs w:val="20"/>
        </w:rPr>
        <w:t xml:space="preserve"> </w:t>
      </w:r>
      <w:proofErr w:type="spellStart"/>
      <w:r w:rsidRPr="00A91E83">
        <w:rPr>
          <w:rFonts w:ascii="Times New Roman" w:hAnsi="Times New Roman" w:cs="Times New Roman"/>
          <w:i/>
          <w:sz w:val="20"/>
          <w:szCs w:val="20"/>
        </w:rPr>
        <w:t>amount</w:t>
      </w:r>
      <w:proofErr w:type="spellEnd"/>
      <w:r w:rsidRPr="00A91E83">
        <w:rPr>
          <w:rFonts w:ascii="Times New Roman" w:hAnsi="Times New Roman" w:cs="Times New Roman"/>
          <w:sz w:val="20"/>
          <w:szCs w:val="20"/>
        </w:rPr>
        <w:t xml:space="preserve">). Sudarant </w:t>
      </w:r>
      <w:proofErr w:type="spellStart"/>
      <w:r w:rsidRPr="00A91E83">
        <w:rPr>
          <w:rFonts w:ascii="Times New Roman" w:hAnsi="Times New Roman" w:cs="Times New Roman"/>
          <w:sz w:val="20"/>
          <w:szCs w:val="20"/>
        </w:rPr>
        <w:t>pvz</w:t>
      </w:r>
      <w:proofErr w:type="spellEnd"/>
      <w:r w:rsidRPr="00A91E83">
        <w:rPr>
          <w:rFonts w:ascii="Times New Roman" w:hAnsi="Times New Roman" w:cs="Times New Roman"/>
          <w:sz w:val="20"/>
          <w:szCs w:val="20"/>
        </w:rPr>
        <w:t xml:space="preserve">.: palūkanų apsikeitimo sandorį, pagrindinė suma, t. y. obligacijos ar paskolos vertė, naudojama apskaičiuoti palūkanoms, tačiau sandorio metu pagrindine suma šalys nesikeičia. Todėl pateiktos statistikos tik 6% </w:t>
      </w:r>
      <w:r w:rsidRPr="00A91E83">
        <w:rPr>
          <w:rFonts w:ascii="Times New Roman" w:hAnsi="Times New Roman" w:cs="Times New Roman"/>
          <w:sz w:val="20"/>
          <w:szCs w:val="20"/>
          <w:lang w:eastAsia="ja-JP"/>
        </w:rPr>
        <w:t>pagrindinės sumos iš tikrųjų yra išvestinių finansinių priemonių tikroji rizikos imtis. Šaltinis </w:t>
      </w:r>
      <w:hyperlink r:id="rId9" w:anchor="page=126" w:history="1">
        <w:r w:rsidRPr="00A91E83">
          <w:rPr>
            <w:rStyle w:val="Hipersaitas"/>
            <w:rFonts w:ascii="Times New Roman" w:hAnsi="Times New Roman" w:cs="Times New Roman"/>
            <w:sz w:val="20"/>
            <w:szCs w:val="20"/>
          </w:rPr>
          <w:t>http://www.bis.org/publ/qtrpdf/r_qa1009.pdf#page=126</w:t>
        </w:r>
      </w:hyperlink>
    </w:p>
  </w:footnote>
  <w:footnote w:id="16">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Lietuvos Respublikos valstybės skolos įstatymas 2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13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1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Lietuvos Respublikos finansinių priemonių rinkų įstatymas 3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4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FUSĮ 2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7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18">
    <w:p w:rsidR="00A91E13" w:rsidRPr="00A91E83" w:rsidRDefault="00A91E13" w:rsidP="00621590">
      <w:pPr>
        <w:autoSpaceDE w:val="0"/>
        <w:autoSpaceDN w:val="0"/>
        <w:adjustRightInd w:val="0"/>
        <w:spacing w:after="0" w:line="240" w:lineRule="auto"/>
        <w:jc w:val="both"/>
        <w:rPr>
          <w:rFonts w:ascii="Times New Roman" w:hAnsi="Times New Roman" w:cs="Times New Roman"/>
          <w:sz w:val="20"/>
          <w:szCs w:val="20"/>
        </w:rPr>
      </w:pPr>
      <w:r w:rsidRPr="00A91E83">
        <w:rPr>
          <w:rStyle w:val="Puslapioinaosnuoroda"/>
          <w:rFonts w:ascii="Times New Roman" w:hAnsi="Times New Roman" w:cs="Times New Roman"/>
          <w:sz w:val="20"/>
          <w:szCs w:val="20"/>
        </w:rPr>
        <w:footnoteRef/>
      </w:r>
      <w:r w:rsidRPr="00A91E83">
        <w:rPr>
          <w:rFonts w:ascii="Times New Roman" w:hAnsi="Times New Roman" w:cs="Times New Roman"/>
          <w:sz w:val="20"/>
          <w:szCs w:val="20"/>
        </w:rPr>
        <w:t xml:space="preserve"> Vertybinių popierių komisijos 2004 </w:t>
      </w:r>
      <w:proofErr w:type="spellStart"/>
      <w:r w:rsidRPr="00A91E83">
        <w:rPr>
          <w:rFonts w:ascii="Times New Roman" w:hAnsi="Times New Roman" w:cs="Times New Roman"/>
          <w:sz w:val="20"/>
          <w:szCs w:val="20"/>
        </w:rPr>
        <w:t>m</w:t>
      </w:r>
      <w:proofErr w:type="spellEnd"/>
      <w:r w:rsidRPr="00A91E83">
        <w:rPr>
          <w:rFonts w:ascii="Times New Roman" w:hAnsi="Times New Roman" w:cs="Times New Roman"/>
          <w:sz w:val="20"/>
          <w:szCs w:val="20"/>
        </w:rPr>
        <w:t xml:space="preserve">. lapkričio 5 </w:t>
      </w:r>
      <w:proofErr w:type="spellStart"/>
      <w:r w:rsidRPr="00A91E83">
        <w:rPr>
          <w:rFonts w:ascii="Times New Roman" w:hAnsi="Times New Roman" w:cs="Times New Roman"/>
          <w:sz w:val="20"/>
          <w:szCs w:val="20"/>
        </w:rPr>
        <w:t>d</w:t>
      </w:r>
      <w:proofErr w:type="spellEnd"/>
      <w:r w:rsidRPr="00A91E83">
        <w:rPr>
          <w:rFonts w:ascii="Times New Roman" w:hAnsi="Times New Roman" w:cs="Times New Roman"/>
          <w:sz w:val="20"/>
          <w:szCs w:val="20"/>
        </w:rPr>
        <w:t xml:space="preserve">. nutarimas </w:t>
      </w:r>
      <w:proofErr w:type="spellStart"/>
      <w:r w:rsidRPr="00A91E83">
        <w:rPr>
          <w:rFonts w:ascii="Times New Roman" w:hAnsi="Times New Roman" w:cs="Times New Roman"/>
          <w:sz w:val="20"/>
          <w:szCs w:val="20"/>
        </w:rPr>
        <w:t>Nr</w:t>
      </w:r>
      <w:proofErr w:type="spellEnd"/>
      <w:r w:rsidRPr="00A91E83">
        <w:rPr>
          <w:rFonts w:ascii="Times New Roman" w:hAnsi="Times New Roman" w:cs="Times New Roman"/>
          <w:sz w:val="20"/>
          <w:szCs w:val="20"/>
        </w:rPr>
        <w:t xml:space="preserve">. 20 dėl kolektyvinio investavimo subjektų išvestinių finansinių priemonių naudojimo ir susijusių </w:t>
      </w:r>
      <w:proofErr w:type="spellStart"/>
      <w:r w:rsidRPr="00A91E83">
        <w:rPr>
          <w:rFonts w:ascii="Times New Roman" w:hAnsi="Times New Roman" w:cs="Times New Roman"/>
          <w:sz w:val="20"/>
          <w:szCs w:val="20"/>
        </w:rPr>
        <w:t>rizikų</w:t>
      </w:r>
      <w:proofErr w:type="spellEnd"/>
      <w:r w:rsidRPr="00A91E83">
        <w:rPr>
          <w:rFonts w:ascii="Times New Roman" w:hAnsi="Times New Roman" w:cs="Times New Roman"/>
          <w:sz w:val="20"/>
          <w:szCs w:val="20"/>
        </w:rPr>
        <w:t xml:space="preserve"> vertinimo tvarkos metodikos patvirtinimo 4.6 </w:t>
      </w:r>
      <w:proofErr w:type="spellStart"/>
      <w:r w:rsidRPr="00A91E83">
        <w:rPr>
          <w:rFonts w:ascii="Times New Roman" w:hAnsi="Times New Roman" w:cs="Times New Roman"/>
          <w:sz w:val="20"/>
          <w:szCs w:val="20"/>
        </w:rPr>
        <w:t>p</w:t>
      </w:r>
      <w:proofErr w:type="spellEnd"/>
      <w:r w:rsidRPr="00A91E83">
        <w:rPr>
          <w:rFonts w:ascii="Times New Roman" w:hAnsi="Times New Roman" w:cs="Times New Roman"/>
          <w:sz w:val="20"/>
          <w:szCs w:val="20"/>
        </w:rPr>
        <w:t xml:space="preserve">.; Apskaitos instituto direktoriaus 2007 </w:t>
      </w:r>
      <w:proofErr w:type="spellStart"/>
      <w:r w:rsidRPr="00A91E83">
        <w:rPr>
          <w:rFonts w:ascii="Times New Roman" w:hAnsi="Times New Roman" w:cs="Times New Roman"/>
          <w:sz w:val="20"/>
          <w:szCs w:val="20"/>
        </w:rPr>
        <w:t>m</w:t>
      </w:r>
      <w:proofErr w:type="spellEnd"/>
      <w:r w:rsidRPr="00A91E83">
        <w:rPr>
          <w:rFonts w:ascii="Times New Roman" w:hAnsi="Times New Roman" w:cs="Times New Roman"/>
          <w:sz w:val="20"/>
          <w:szCs w:val="20"/>
        </w:rPr>
        <w:t xml:space="preserve">. rugsėjo 17 </w:t>
      </w:r>
      <w:proofErr w:type="spellStart"/>
      <w:r w:rsidRPr="00A91E83">
        <w:rPr>
          <w:rFonts w:ascii="Times New Roman" w:hAnsi="Times New Roman" w:cs="Times New Roman"/>
          <w:sz w:val="20"/>
          <w:szCs w:val="20"/>
        </w:rPr>
        <w:t>d</w:t>
      </w:r>
      <w:proofErr w:type="spellEnd"/>
      <w:r w:rsidRPr="00A91E83">
        <w:rPr>
          <w:rFonts w:ascii="Times New Roman" w:hAnsi="Times New Roman" w:cs="Times New Roman"/>
          <w:sz w:val="20"/>
          <w:szCs w:val="20"/>
        </w:rPr>
        <w:t xml:space="preserve">. įsakymas </w:t>
      </w:r>
      <w:proofErr w:type="spellStart"/>
      <w:r w:rsidRPr="00A91E83">
        <w:rPr>
          <w:rFonts w:ascii="Times New Roman" w:hAnsi="Times New Roman" w:cs="Times New Roman"/>
          <w:sz w:val="20"/>
          <w:szCs w:val="20"/>
        </w:rPr>
        <w:t>Nr</w:t>
      </w:r>
      <w:proofErr w:type="spellEnd"/>
      <w:r w:rsidRPr="00A91E83">
        <w:rPr>
          <w:rFonts w:ascii="Times New Roman" w:hAnsi="Times New Roman" w:cs="Times New Roman"/>
          <w:sz w:val="20"/>
          <w:szCs w:val="20"/>
        </w:rPr>
        <w:t xml:space="preserve">. VAS-6 dėl 26-ojo verslo apskaitos standarto „Išvestinės finansinės priemonės“ tvirtinimo II </w:t>
      </w:r>
      <w:proofErr w:type="spellStart"/>
      <w:r w:rsidRPr="00A91E83">
        <w:rPr>
          <w:rFonts w:ascii="Times New Roman" w:hAnsi="Times New Roman" w:cs="Times New Roman"/>
          <w:sz w:val="20"/>
          <w:szCs w:val="20"/>
        </w:rPr>
        <w:t>skr</w:t>
      </w:r>
      <w:proofErr w:type="spellEnd"/>
      <w:r w:rsidRPr="00A91E83">
        <w:rPr>
          <w:rFonts w:ascii="Times New Roman" w:hAnsi="Times New Roman" w:cs="Times New Roman"/>
          <w:sz w:val="20"/>
          <w:szCs w:val="20"/>
        </w:rPr>
        <w:t>.</w:t>
      </w:r>
    </w:p>
  </w:footnote>
  <w:footnote w:id="1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Talutis</w:t>
      </w:r>
      <w:proofErr w:type="spellEnd"/>
      <w:r w:rsidRPr="00A91E83">
        <w:rPr>
          <w:rFonts w:ascii="Times New Roman" w:hAnsi="Times New Roman" w:cs="Times New Roman"/>
        </w:rPr>
        <w:t xml:space="preserve"> T. Finansinių priemonių ir jų rinkos teisė. Paskaitų medžiaga, 2010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I tema – Įvadas. Šaltinis </w:t>
      </w:r>
      <w:hyperlink r:id="rId10" w:history="1">
        <w:r w:rsidRPr="00A91E83">
          <w:rPr>
            <w:rStyle w:val="Hipersaitas"/>
            <w:rFonts w:ascii="Times New Roman" w:hAnsi="Times New Roman" w:cs="Times New Roman"/>
          </w:rPr>
          <w:t>http://ttalutis.home.mruni.eu/?page_id=226</w:t>
        </w:r>
      </w:hyperlink>
    </w:p>
  </w:footnote>
  <w:footnote w:id="2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McDonald</w:t>
      </w:r>
      <w:proofErr w:type="spellEnd"/>
      <w:r w:rsidRPr="00A91E83">
        <w:rPr>
          <w:rFonts w:ascii="Times New Roman" w:hAnsi="Times New Roman" w:cs="Times New Roman"/>
        </w:rPr>
        <w:t xml:space="preserve"> R.L.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markets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Boston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Addison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Wesley</w:t>
      </w:r>
      <w:proofErr w:type="spellEnd"/>
      <w:r w:rsidRPr="00A91E83">
        <w:rPr>
          <w:rFonts w:ascii="Times New Roman" w:hAnsi="Times New Roman" w:cs="Times New Roman"/>
        </w:rPr>
        <w:t xml:space="preserve">, 2006, </w:t>
      </w:r>
      <w:proofErr w:type="spellStart"/>
      <w:r w:rsidRPr="00A91E83">
        <w:rPr>
          <w:rFonts w:ascii="Times New Roman" w:hAnsi="Times New Roman" w:cs="Times New Roman"/>
        </w:rPr>
        <w:t>p</w:t>
      </w:r>
      <w:proofErr w:type="spellEnd"/>
      <w:r w:rsidRPr="00A91E83">
        <w:rPr>
          <w:rFonts w:ascii="Times New Roman" w:hAnsi="Times New Roman" w:cs="Times New Roman"/>
        </w:rPr>
        <w:t>. 1.</w:t>
      </w:r>
    </w:p>
  </w:footnote>
  <w:footnote w:id="2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Partnoy</w:t>
      </w:r>
      <w:proofErr w:type="spellEnd"/>
      <w:r w:rsidRPr="00A91E83">
        <w:rPr>
          <w:rFonts w:ascii="Times New Roman" w:hAnsi="Times New Roman" w:cs="Times New Roman"/>
        </w:rPr>
        <w:t xml:space="preserve"> F. </w:t>
      </w:r>
      <w:proofErr w:type="spellStart"/>
      <w:r w:rsidRPr="00A91E83">
        <w:rPr>
          <w:rFonts w:ascii="Times New Roman" w:hAnsi="Times New Roman" w:cs="Times New Roman"/>
        </w:rPr>
        <w:t>Adding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to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corporate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mix</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Georgia</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Review</w:t>
      </w:r>
      <w:proofErr w:type="spellEnd"/>
      <w:r w:rsidRPr="00A91E83">
        <w:rPr>
          <w:rFonts w:ascii="Times New Roman" w:hAnsi="Times New Roman" w:cs="Times New Roman"/>
        </w:rPr>
        <w:t xml:space="preserve">, 2000, </w:t>
      </w:r>
      <w:proofErr w:type="spellStart"/>
      <w:r w:rsidRPr="00A91E83">
        <w:rPr>
          <w:rFonts w:ascii="Times New Roman" w:hAnsi="Times New Roman" w:cs="Times New Roman"/>
        </w:rPr>
        <w:t>Volume</w:t>
      </w:r>
      <w:proofErr w:type="spellEnd"/>
      <w:r w:rsidRPr="00A91E83">
        <w:rPr>
          <w:rFonts w:ascii="Times New Roman" w:hAnsi="Times New Roman" w:cs="Times New Roman"/>
        </w:rPr>
        <w:t xml:space="preserve"> 34, </w:t>
      </w:r>
      <w:proofErr w:type="spellStart"/>
      <w:r w:rsidRPr="00A91E83">
        <w:rPr>
          <w:rFonts w:ascii="Times New Roman" w:hAnsi="Times New Roman" w:cs="Times New Roman"/>
        </w:rPr>
        <w:t>p</w:t>
      </w:r>
      <w:proofErr w:type="spellEnd"/>
      <w:r w:rsidRPr="00A91E83">
        <w:rPr>
          <w:rFonts w:ascii="Times New Roman" w:hAnsi="Times New Roman" w:cs="Times New Roman"/>
        </w:rPr>
        <w:t>. 601.</w:t>
      </w:r>
    </w:p>
  </w:footnote>
  <w:footnote w:id="2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Lubben</w:t>
      </w:r>
      <w:proofErr w:type="spellEnd"/>
      <w:r w:rsidRPr="00A91E83">
        <w:rPr>
          <w:rFonts w:ascii="Times New Roman" w:hAnsi="Times New Roman" w:cs="Times New Roman"/>
        </w:rPr>
        <w:t xml:space="preserve"> S.J.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bankruptcy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flawed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case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for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special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treatment</w:t>
      </w:r>
      <w:proofErr w:type="spellEnd"/>
      <w:r w:rsidRPr="00A91E83">
        <w:rPr>
          <w:rFonts w:ascii="Times New Roman" w:hAnsi="Times New Roman" w:cs="Times New Roman"/>
        </w:rPr>
        <w:t xml:space="preserve">. 2009, </w:t>
      </w:r>
      <w:proofErr w:type="spellStart"/>
      <w:r w:rsidRPr="00A91E83">
        <w:rPr>
          <w:rFonts w:ascii="Times New Roman" w:hAnsi="Times New Roman" w:cs="Times New Roman"/>
        </w:rPr>
        <w:t>UoP</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Journal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Business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Volume</w:t>
      </w:r>
      <w:proofErr w:type="spellEnd"/>
      <w:r w:rsidRPr="00A91E83">
        <w:rPr>
          <w:rFonts w:ascii="Times New Roman" w:hAnsi="Times New Roman" w:cs="Times New Roman"/>
        </w:rPr>
        <w:t xml:space="preserve"> 12, </w:t>
      </w:r>
      <w:proofErr w:type="spellStart"/>
      <w:r w:rsidRPr="00A91E83">
        <w:rPr>
          <w:rFonts w:ascii="Times New Roman" w:hAnsi="Times New Roman" w:cs="Times New Roman"/>
        </w:rPr>
        <w:t>p</w:t>
      </w:r>
      <w:proofErr w:type="spellEnd"/>
      <w:r w:rsidRPr="00A91E83">
        <w:rPr>
          <w:rFonts w:ascii="Times New Roman" w:hAnsi="Times New Roman" w:cs="Times New Roman"/>
        </w:rPr>
        <w:t>. 73.</w:t>
      </w:r>
    </w:p>
  </w:footnote>
  <w:footnote w:id="2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197.</w:t>
      </w:r>
    </w:p>
  </w:footnote>
  <w:footnote w:id="2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Kolb</w:t>
      </w:r>
      <w:proofErr w:type="spellEnd"/>
      <w:r w:rsidRPr="00A91E83">
        <w:rPr>
          <w:rFonts w:ascii="Times New Roman" w:hAnsi="Times New Roman" w:cs="Times New Roman"/>
        </w:rPr>
        <w:t xml:space="preserve"> R.W., </w:t>
      </w:r>
      <w:proofErr w:type="spellStart"/>
      <w:r w:rsidRPr="00A91E83">
        <w:rPr>
          <w:rFonts w:ascii="Times New Roman" w:hAnsi="Times New Roman" w:cs="Times New Roman"/>
        </w:rPr>
        <w:t>Overdahl</w:t>
      </w:r>
      <w:proofErr w:type="spellEnd"/>
      <w:r w:rsidRPr="00A91E83">
        <w:rPr>
          <w:rFonts w:ascii="Times New Roman" w:hAnsi="Times New Roman" w:cs="Times New Roman"/>
        </w:rPr>
        <w:t xml:space="preserve"> J.A.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York</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Wiley</w:t>
      </w:r>
      <w:proofErr w:type="spellEnd"/>
      <w:r w:rsidRPr="00A91E83">
        <w:rPr>
          <w:rFonts w:ascii="Times New Roman" w:hAnsi="Times New Roman" w:cs="Times New Roman"/>
        </w:rPr>
        <w:t xml:space="preserve">, 3rd </w:t>
      </w:r>
      <w:proofErr w:type="spellStart"/>
      <w:r w:rsidRPr="00A91E83">
        <w:rPr>
          <w:rFonts w:ascii="Times New Roman" w:hAnsi="Times New Roman" w:cs="Times New Roman"/>
        </w:rPr>
        <w:t>edition</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1.</w:t>
      </w:r>
    </w:p>
  </w:footnote>
  <w:footnote w:id="2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Šis simetriškumas yra šiek tiek iškreipiamas, nes dėl naujo sandorio sudarymo prašomos-siūlomos rinkos kainos skirtumas (</w:t>
      </w:r>
      <w:proofErr w:type="spellStart"/>
      <w:r w:rsidRPr="00A91E83">
        <w:rPr>
          <w:rFonts w:ascii="Times New Roman" w:hAnsi="Times New Roman" w:cs="Times New Roman"/>
        </w:rPr>
        <w:t>angl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i/>
        </w:rPr>
        <w:t>bid-ask</w:t>
      </w:r>
      <w:proofErr w:type="spellEnd"/>
      <w:r w:rsidRPr="00A91E83">
        <w:rPr>
          <w:rFonts w:ascii="Times New Roman" w:hAnsi="Times New Roman" w:cs="Times New Roman"/>
          <w:i/>
        </w:rPr>
        <w:t xml:space="preserve"> </w:t>
      </w:r>
      <w:proofErr w:type="spellStart"/>
      <w:r w:rsidRPr="00A91E83">
        <w:rPr>
          <w:rFonts w:ascii="Times New Roman" w:hAnsi="Times New Roman" w:cs="Times New Roman"/>
          <w:i/>
        </w:rPr>
        <w:t>spread</w:t>
      </w:r>
      <w:proofErr w:type="spellEnd"/>
      <w:r w:rsidRPr="00A91E83">
        <w:rPr>
          <w:rFonts w:ascii="Times New Roman" w:hAnsi="Times New Roman" w:cs="Times New Roman"/>
        </w:rPr>
        <w:t>) neleidžia nuostolio / pelno laikyti absoliučiai simetrišku, tačiau doktrinoje modeliuojant pavyzdžius šio praktinio aspekto dažnai nepaisoma.</w:t>
      </w:r>
    </w:p>
  </w:footnote>
  <w:footnote w:id="26">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Gooch</w:t>
      </w:r>
      <w:proofErr w:type="spellEnd"/>
      <w:r w:rsidRPr="00A91E83">
        <w:rPr>
          <w:rFonts w:ascii="Times New Roman" w:hAnsi="Times New Roman" w:cs="Times New Roman"/>
        </w:rPr>
        <w:t xml:space="preserve"> A.C., </w:t>
      </w:r>
      <w:proofErr w:type="spellStart"/>
      <w:r w:rsidRPr="00A91E83">
        <w:rPr>
          <w:rFonts w:ascii="Times New Roman" w:hAnsi="Times New Roman" w:cs="Times New Roman"/>
        </w:rPr>
        <w:t>Klein</w:t>
      </w:r>
      <w:proofErr w:type="spellEnd"/>
      <w:r w:rsidRPr="00A91E83">
        <w:rPr>
          <w:rFonts w:ascii="Times New Roman" w:hAnsi="Times New Roman" w:cs="Times New Roman"/>
        </w:rPr>
        <w:t xml:space="preserve"> L.B. </w:t>
      </w:r>
      <w:proofErr w:type="spellStart"/>
      <w:r w:rsidRPr="00A91E83">
        <w:rPr>
          <w:rFonts w:ascii="Times New Roman" w:hAnsi="Times New Roman" w:cs="Times New Roman"/>
        </w:rPr>
        <w:t>Documentation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for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Euromoney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Books</w:t>
      </w:r>
      <w:proofErr w:type="spellEnd"/>
      <w:r w:rsidRPr="00A91E83">
        <w:rPr>
          <w:rFonts w:ascii="Times New Roman" w:hAnsi="Times New Roman" w:cs="Times New Roman"/>
        </w:rPr>
        <w:t xml:space="preserve">, 4th </w:t>
      </w:r>
      <w:proofErr w:type="spellStart"/>
      <w:r w:rsidRPr="00A91E83">
        <w:rPr>
          <w:rFonts w:ascii="Times New Roman" w:hAnsi="Times New Roman" w:cs="Times New Roman"/>
        </w:rPr>
        <w:t>edition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Volume</w:t>
      </w:r>
      <w:proofErr w:type="spellEnd"/>
      <w:r w:rsidRPr="00A91E83">
        <w:rPr>
          <w:rFonts w:ascii="Times New Roman" w:hAnsi="Times New Roman" w:cs="Times New Roman"/>
        </w:rPr>
        <w:t xml:space="preserve"> I, 2004, </w:t>
      </w:r>
      <w:proofErr w:type="spellStart"/>
      <w:r w:rsidRPr="00A91E83">
        <w:rPr>
          <w:rFonts w:ascii="Times New Roman" w:hAnsi="Times New Roman" w:cs="Times New Roman"/>
        </w:rPr>
        <w:t>p</w:t>
      </w:r>
      <w:proofErr w:type="spellEnd"/>
      <w:r w:rsidRPr="00A91E83">
        <w:rPr>
          <w:rFonts w:ascii="Times New Roman" w:hAnsi="Times New Roman" w:cs="Times New Roman"/>
        </w:rPr>
        <w:t>. 219.</w:t>
      </w:r>
    </w:p>
  </w:footnote>
  <w:footnote w:id="2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Laikoma, kad pasaulyje egzistuoja mažiausiai 30 vertybinių popierių biržų, kuriuose prekiaujama išvestinėmis finansinėmis priemonėmis.</w:t>
      </w:r>
    </w:p>
  </w:footnote>
  <w:footnote w:id="2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Juozapavičienė</w:t>
      </w:r>
      <w:proofErr w:type="spellEnd"/>
      <w:r w:rsidRPr="00A91E83">
        <w:rPr>
          <w:rFonts w:ascii="Times New Roman" w:hAnsi="Times New Roman" w:cs="Times New Roman"/>
        </w:rPr>
        <w:t xml:space="preserve"> A. Išvestiniai instrumentai tarptautinėse finansų rinkose. Kaunas: Technologija, 2006, p.38.</w:t>
      </w:r>
    </w:p>
  </w:footnote>
  <w:footnote w:id="2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i/>
        </w:rPr>
        <w:t>ibid</w:t>
      </w:r>
      <w:proofErr w:type="spellEnd"/>
      <w:r w:rsidRPr="00A91E83">
        <w:rPr>
          <w:rFonts w:ascii="Times New Roman" w:hAnsi="Times New Roman" w:cs="Times New Roman"/>
        </w:rPr>
        <w:t>.</w:t>
      </w:r>
    </w:p>
  </w:footnote>
  <w:footnote w:id="3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43.</w:t>
      </w:r>
    </w:p>
  </w:footnote>
  <w:footnote w:id="3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Šaltinis </w:t>
      </w:r>
      <w:hyperlink r:id="rId11" w:history="1">
        <w:r w:rsidRPr="00A91E83">
          <w:rPr>
            <w:rStyle w:val="Hipersaitas"/>
            <w:rFonts w:ascii="Times New Roman" w:hAnsi="Times New Roman" w:cs="Times New Roman"/>
          </w:rPr>
          <w:t>http://bis.org/statistics/otcder/dt1920a.pdf</w:t>
        </w:r>
      </w:hyperlink>
      <w:r w:rsidRPr="00A91E83">
        <w:rPr>
          <w:rFonts w:ascii="Times New Roman" w:hAnsi="Times New Roman" w:cs="Times New Roman"/>
        </w:rPr>
        <w:t xml:space="preserve"> </w:t>
      </w:r>
    </w:p>
  </w:footnote>
  <w:footnote w:id="3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Virš 15</w:t>
      </w:r>
      <w:r w:rsidRPr="00A91E83">
        <w:rPr>
          <w:rFonts w:ascii="Times New Roman" w:hAnsi="Times New Roman" w:cs="Times New Roman"/>
          <w:lang w:val="en-GB"/>
        </w:rPr>
        <w:t xml:space="preserve">% </w:t>
      </w:r>
      <w:proofErr w:type="spellStart"/>
      <w:r w:rsidRPr="00A91E83">
        <w:rPr>
          <w:rFonts w:ascii="Times New Roman" w:hAnsi="Times New Roman" w:cs="Times New Roman"/>
          <w:lang w:val="en-GB"/>
        </w:rPr>
        <w:t>vis</w:t>
      </w:r>
      <w:proofErr w:type="spellEnd"/>
      <w:r w:rsidRPr="00A91E83">
        <w:rPr>
          <w:rFonts w:ascii="Times New Roman" w:hAnsi="Times New Roman" w:cs="Times New Roman"/>
        </w:rPr>
        <w:t>ų ne biržoje sudaromų sandorių rinkos dalies.</w:t>
      </w:r>
    </w:p>
  </w:footnote>
  <w:footnote w:id="3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Daugiau nei 20%.</w:t>
      </w:r>
    </w:p>
  </w:footnote>
  <w:footnote w:id="3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Dėl Kinijos piktnaudžiavimo susilpnėjusiu juaniu, vėl pasigirsta kalbų apie naująją valiutos kursų struktūrą, kartais vadinamą </w:t>
      </w:r>
      <w:proofErr w:type="spellStart"/>
      <w:r w:rsidRPr="00A91E83">
        <w:rPr>
          <w:rFonts w:ascii="Times New Roman" w:hAnsi="Times New Roman" w:cs="Times New Roman"/>
        </w:rPr>
        <w:t>Bretton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Woods</w:t>
      </w:r>
      <w:proofErr w:type="spellEnd"/>
      <w:r w:rsidRPr="00A91E83">
        <w:rPr>
          <w:rFonts w:ascii="Times New Roman" w:hAnsi="Times New Roman" w:cs="Times New Roman"/>
        </w:rPr>
        <w:t xml:space="preserve"> 2. Šaltinis </w:t>
      </w:r>
      <w:hyperlink r:id="rId12" w:history="1">
        <w:r w:rsidRPr="00A91E83">
          <w:rPr>
            <w:rStyle w:val="Hipersaitas"/>
            <w:rFonts w:ascii="Times New Roman" w:hAnsi="Times New Roman" w:cs="Times New Roman"/>
          </w:rPr>
          <w:t>http://www.economist.com/node/17414511</w:t>
        </w:r>
      </w:hyperlink>
    </w:p>
  </w:footnote>
  <w:footnote w:id="3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198.</w:t>
      </w:r>
    </w:p>
  </w:footnote>
  <w:footnote w:id="36">
    <w:p w:rsidR="00A91E13" w:rsidRPr="00A91E83" w:rsidRDefault="00A91E13" w:rsidP="00621590">
      <w:pPr>
        <w:autoSpaceDE w:val="0"/>
        <w:autoSpaceDN w:val="0"/>
        <w:adjustRightInd w:val="0"/>
        <w:spacing w:after="0" w:line="240" w:lineRule="auto"/>
        <w:jc w:val="both"/>
        <w:rPr>
          <w:rFonts w:ascii="Times New Roman" w:hAnsi="Times New Roman" w:cs="Times New Roman"/>
          <w:sz w:val="20"/>
          <w:szCs w:val="20"/>
        </w:rPr>
      </w:pPr>
      <w:r w:rsidRPr="00A91E83">
        <w:rPr>
          <w:rStyle w:val="Puslapioinaosnuoroda"/>
          <w:rFonts w:ascii="Times New Roman" w:hAnsi="Times New Roman" w:cs="Times New Roman"/>
          <w:sz w:val="20"/>
          <w:szCs w:val="20"/>
        </w:rPr>
        <w:footnoteRef/>
      </w:r>
      <w:r w:rsidRPr="00A91E83">
        <w:rPr>
          <w:rFonts w:ascii="Times New Roman" w:hAnsi="Times New Roman" w:cs="Times New Roman"/>
          <w:sz w:val="20"/>
          <w:szCs w:val="20"/>
        </w:rPr>
        <w:t> Tarptautinių atsiskaitymų banko statistika. </w:t>
      </w:r>
      <w:r w:rsidRPr="00A91E83">
        <w:rPr>
          <w:rFonts w:ascii="Times New Roman" w:hAnsi="Times New Roman" w:cs="Times New Roman"/>
          <w:sz w:val="20"/>
          <w:szCs w:val="20"/>
          <w:lang w:eastAsia="ja-JP"/>
        </w:rPr>
        <w:t>Šaltinis </w:t>
      </w:r>
      <w:hyperlink r:id="rId13" w:anchor="page=126" w:history="1">
        <w:r w:rsidRPr="00A91E83">
          <w:rPr>
            <w:rStyle w:val="Hipersaitas"/>
            <w:rFonts w:ascii="Times New Roman" w:hAnsi="Times New Roman" w:cs="Times New Roman"/>
            <w:sz w:val="20"/>
            <w:szCs w:val="20"/>
          </w:rPr>
          <w:t>http://www.bis.org/publ/qtrpdf/r_qa1009.pdf#page=126</w:t>
        </w:r>
      </w:hyperlink>
    </w:p>
  </w:footnote>
  <w:footnote w:id="37">
    <w:p w:rsidR="00A91E13" w:rsidRPr="00A91E83" w:rsidRDefault="00A91E13" w:rsidP="00621590">
      <w:pPr>
        <w:autoSpaceDE w:val="0"/>
        <w:autoSpaceDN w:val="0"/>
        <w:adjustRightInd w:val="0"/>
        <w:spacing w:after="0" w:line="240" w:lineRule="auto"/>
        <w:jc w:val="both"/>
        <w:rPr>
          <w:rFonts w:ascii="Times New Roman" w:hAnsi="Times New Roman" w:cs="Times New Roman"/>
          <w:sz w:val="20"/>
          <w:szCs w:val="20"/>
        </w:rPr>
      </w:pPr>
      <w:r w:rsidRPr="00A91E83">
        <w:rPr>
          <w:rStyle w:val="Puslapioinaosnuoroda"/>
          <w:rFonts w:ascii="Times New Roman" w:hAnsi="Times New Roman" w:cs="Times New Roman"/>
          <w:sz w:val="20"/>
          <w:szCs w:val="20"/>
        </w:rPr>
        <w:footnoteRef/>
      </w:r>
      <w:r w:rsidRPr="00A91E83">
        <w:rPr>
          <w:rFonts w:ascii="Times New Roman" w:hAnsi="Times New Roman" w:cs="Times New Roman"/>
          <w:sz w:val="20"/>
          <w:szCs w:val="20"/>
        </w:rPr>
        <w:t> </w:t>
      </w:r>
      <w:proofErr w:type="spellStart"/>
      <w:r w:rsidRPr="00A91E83">
        <w:rPr>
          <w:rFonts w:ascii="Times New Roman" w:hAnsi="Times New Roman" w:cs="Times New Roman"/>
          <w:i/>
          <w:sz w:val="20"/>
          <w:szCs w:val="20"/>
        </w:rPr>
        <w:t>ibid</w:t>
      </w:r>
      <w:proofErr w:type="spellEnd"/>
      <w:r w:rsidRPr="00A91E83">
        <w:rPr>
          <w:rFonts w:ascii="Times New Roman" w:hAnsi="Times New Roman" w:cs="Times New Roman"/>
          <w:sz w:val="20"/>
          <w:szCs w:val="20"/>
        </w:rPr>
        <w:t>.</w:t>
      </w:r>
    </w:p>
  </w:footnote>
  <w:footnote w:id="3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Išankstinis sandoris bendrąja prasme suprantamas, kaip susitarimas tarp šalių pirkti ar parduoti tam tikrą turtą nustatytu laiku sandorio sudarymo metu sutarta kaina.</w:t>
      </w:r>
    </w:p>
  </w:footnote>
  <w:footnote w:id="3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Juozapavičienė</w:t>
      </w:r>
      <w:proofErr w:type="spellEnd"/>
      <w:r w:rsidRPr="00A91E83">
        <w:rPr>
          <w:rFonts w:ascii="Times New Roman" w:hAnsi="Times New Roman" w:cs="Times New Roman"/>
        </w:rPr>
        <w:t xml:space="preserve"> A. Išvestiniai instrumentai tarptautinėse finansų rinkose. Kaunas: Technologija, 2006, p.110.</w:t>
      </w:r>
    </w:p>
  </w:footnote>
  <w:footnote w:id="4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Ateities sandoris, tai standartizuotas sandoris sudarytas tarp šalių pirkti, parduoti standartizuotą kiekį ir standartizuotos kokybės turto, standartizuotą dieną ateityje. Šie sandoriai yra sudarinėjami biržoje. </w:t>
      </w:r>
    </w:p>
  </w:footnote>
  <w:footnote w:id="4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Juozapavičienė</w:t>
      </w:r>
      <w:proofErr w:type="spellEnd"/>
      <w:r w:rsidRPr="00A91E83">
        <w:rPr>
          <w:rFonts w:ascii="Times New Roman" w:hAnsi="Times New Roman" w:cs="Times New Roman"/>
        </w:rPr>
        <w:t xml:space="preserve"> A. Išvestiniai instrumentai tarptautinėse finansų rinkose. Kaunas: Technologija, 2006, p.110.</w:t>
      </w:r>
    </w:p>
  </w:footnote>
  <w:footnote w:id="4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199.</w:t>
      </w:r>
    </w:p>
  </w:footnote>
  <w:footnote w:id="4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Cheng</w:t>
      </w:r>
      <w:proofErr w:type="spellEnd"/>
      <w:r w:rsidRPr="00A91E83">
        <w:rPr>
          <w:rFonts w:ascii="Times New Roman" w:hAnsi="Times New Roman" w:cs="Times New Roman"/>
        </w:rPr>
        <w:t xml:space="preserve"> R.L. </w:t>
      </w:r>
      <w:proofErr w:type="spellStart"/>
      <w:r w:rsidRPr="00A91E83">
        <w:rPr>
          <w:rFonts w:ascii="Times New Roman" w:hAnsi="Times New Roman" w:cs="Times New Roman"/>
        </w:rPr>
        <w:t>Legal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doctrine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restricting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secondary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market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interest</w:t>
      </w:r>
      <w:proofErr w:type="spellEnd"/>
      <w:r w:rsidRPr="00A91E83">
        <w:rPr>
          <w:rFonts w:ascii="Times New Roman" w:hAnsi="Times New Roman" w:cs="Times New Roman"/>
        </w:rPr>
        <w:t xml:space="preserve"> rate </w:t>
      </w:r>
      <w:proofErr w:type="spellStart"/>
      <w:r w:rsidRPr="00A91E83">
        <w:rPr>
          <w:rFonts w:ascii="Times New Roman" w:hAnsi="Times New Roman" w:cs="Times New Roman"/>
        </w:rPr>
        <w:t>swaps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Transnational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2010, </w:t>
      </w:r>
      <w:proofErr w:type="spellStart"/>
      <w:r w:rsidRPr="00A91E83">
        <w:rPr>
          <w:rFonts w:ascii="Times New Roman" w:hAnsi="Times New Roman" w:cs="Times New Roman"/>
        </w:rPr>
        <w:t>p</w:t>
      </w:r>
      <w:proofErr w:type="spellEnd"/>
      <w:r w:rsidRPr="00A91E83">
        <w:rPr>
          <w:rFonts w:ascii="Times New Roman" w:hAnsi="Times New Roman" w:cs="Times New Roman"/>
        </w:rPr>
        <w:t>. 313.</w:t>
      </w:r>
    </w:p>
  </w:footnote>
  <w:footnote w:id="4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200.</w:t>
      </w:r>
    </w:p>
  </w:footnote>
  <w:footnote w:id="4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Euroobligacijos – tai skolos vertybiniai popieriai, kuriuos vyriausybės bei įmonės išleidžia užsienio valiuta tarptautinėse rinkose. </w:t>
      </w:r>
      <w:proofErr w:type="spellStart"/>
      <w:r w:rsidRPr="00A91E83">
        <w:rPr>
          <w:rFonts w:ascii="Times New Roman" w:hAnsi="Times New Roman" w:cs="Times New Roman"/>
        </w:rPr>
        <w:t>Žr</w:t>
      </w:r>
      <w:proofErr w:type="spellEnd"/>
      <w:r w:rsidRPr="00A91E83">
        <w:rPr>
          <w:rFonts w:ascii="Times New Roman" w:hAnsi="Times New Roman" w:cs="Times New Roman"/>
        </w:rPr>
        <w:t xml:space="preserve">. plačiau </w:t>
      </w:r>
      <w:hyperlink r:id="rId14" w:history="1">
        <w:r w:rsidRPr="00A91E83">
          <w:rPr>
            <w:rStyle w:val="Hipersaitas"/>
            <w:rFonts w:ascii="Times New Roman" w:hAnsi="Times New Roman" w:cs="Times New Roman"/>
          </w:rPr>
          <w:t>http://www.investopedia.com/terms/e/eurobond.asp</w:t>
        </w:r>
      </w:hyperlink>
    </w:p>
  </w:footnote>
  <w:footnote w:id="46">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Mikuckienė</w:t>
      </w:r>
      <w:proofErr w:type="spellEnd"/>
      <w:r w:rsidRPr="00A91E83">
        <w:rPr>
          <w:rFonts w:ascii="Times New Roman" w:hAnsi="Times New Roman" w:cs="Times New Roman"/>
        </w:rPr>
        <w:t xml:space="preserve"> V. Bankroto bylų nagrinėjimo teisme ypatumai. Disertacija. Vilnius. Mykolo </w:t>
      </w:r>
      <w:proofErr w:type="spellStart"/>
      <w:r w:rsidRPr="00A91E83">
        <w:rPr>
          <w:rFonts w:ascii="Times New Roman" w:hAnsi="Times New Roman" w:cs="Times New Roman"/>
        </w:rPr>
        <w:t>Romerio</w:t>
      </w:r>
      <w:proofErr w:type="spellEnd"/>
      <w:r w:rsidRPr="00A91E83">
        <w:rPr>
          <w:rFonts w:ascii="Times New Roman" w:hAnsi="Times New Roman" w:cs="Times New Roman"/>
        </w:rPr>
        <w:t xml:space="preserve"> universitetas, 2007, </w:t>
      </w:r>
      <w:proofErr w:type="spellStart"/>
      <w:r w:rsidRPr="00A91E83">
        <w:rPr>
          <w:rFonts w:ascii="Times New Roman" w:hAnsi="Times New Roman" w:cs="Times New Roman"/>
        </w:rPr>
        <w:t>p</w:t>
      </w:r>
      <w:proofErr w:type="spellEnd"/>
      <w:r w:rsidRPr="00A91E83">
        <w:rPr>
          <w:rFonts w:ascii="Times New Roman" w:hAnsi="Times New Roman" w:cs="Times New Roman"/>
        </w:rPr>
        <w:t>. 134.</w:t>
      </w:r>
    </w:p>
  </w:footnote>
  <w:footnote w:id="47">
    <w:p w:rsidR="00A91E13" w:rsidRPr="00A91E83" w:rsidRDefault="00A91E13" w:rsidP="00621590">
      <w:pPr>
        <w:pStyle w:val="Puslapioinaostekstas"/>
        <w:jc w:val="both"/>
        <w:rPr>
          <w:rFonts w:ascii="Times New Roman" w:hAnsi="Times New Roman" w:cs="Times New Roman"/>
          <w:lang w:val="en-GB"/>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Brandes</w:t>
      </w:r>
      <w:proofErr w:type="spellEnd"/>
      <w:r w:rsidRPr="00A91E83">
        <w:rPr>
          <w:rFonts w:ascii="Times New Roman" w:hAnsi="Times New Roman" w:cs="Times New Roman"/>
        </w:rPr>
        <w:t xml:space="preserve"> A.J. A </w:t>
      </w:r>
      <w:proofErr w:type="spellStart"/>
      <w:r w:rsidRPr="00A91E83">
        <w:rPr>
          <w:rFonts w:ascii="Times New Roman" w:hAnsi="Times New Roman" w:cs="Times New Roman"/>
        </w:rPr>
        <w:t>better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way</w:t>
      </w:r>
      <w:proofErr w:type="spellEnd"/>
      <w:r w:rsidRPr="00A91E83">
        <w:rPr>
          <w:rFonts w:ascii="Times New Roman" w:hAnsi="Times New Roman" w:cs="Times New Roman"/>
        </w:rPr>
        <w:t xml:space="preserve"> to </w:t>
      </w:r>
      <w:proofErr w:type="spellStart"/>
      <w:r w:rsidRPr="00A91E83">
        <w:rPr>
          <w:rFonts w:ascii="Times New Roman" w:hAnsi="Times New Roman" w:cs="Times New Roman"/>
        </w:rPr>
        <w:t>understand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speculative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use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credit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default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swaps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Stanford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Journal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Business</w:t>
      </w:r>
      <w:proofErr w:type="spellEnd"/>
      <w:r w:rsidRPr="00A91E83">
        <w:rPr>
          <w:rFonts w:ascii="Times New Roman" w:hAnsi="Times New Roman" w:cs="Times New Roman"/>
        </w:rPr>
        <w:t xml:space="preserve"> </w:t>
      </w:r>
      <w:r w:rsidRPr="00A91E83">
        <w:rPr>
          <w:rFonts w:ascii="Times New Roman" w:hAnsi="Times New Roman" w:cs="Times New Roman"/>
          <w:lang w:val="en-GB"/>
        </w:rPr>
        <w:t>&amp; Finance, 2009, Volume 14, p. 268.</w:t>
      </w:r>
    </w:p>
  </w:footnote>
  <w:footnote w:id="48">
    <w:p w:rsidR="00A91E13" w:rsidRPr="00A91E83" w:rsidRDefault="00A91E13" w:rsidP="00621590">
      <w:pPr>
        <w:pStyle w:val="Default"/>
        <w:jc w:val="both"/>
        <w:rPr>
          <w:sz w:val="20"/>
          <w:szCs w:val="20"/>
        </w:rPr>
      </w:pPr>
      <w:r w:rsidRPr="00A91E83">
        <w:rPr>
          <w:rStyle w:val="Puslapioinaosnuoroda"/>
          <w:sz w:val="20"/>
          <w:szCs w:val="20"/>
        </w:rPr>
        <w:footnoteRef/>
      </w:r>
      <w:r w:rsidRPr="00A91E83">
        <w:rPr>
          <w:sz w:val="20"/>
          <w:szCs w:val="20"/>
        </w:rPr>
        <w:t xml:space="preserve"> </w:t>
      </w:r>
      <w:proofErr w:type="spellStart"/>
      <w:r w:rsidRPr="00A91E83">
        <w:rPr>
          <w:sz w:val="20"/>
          <w:szCs w:val="20"/>
        </w:rPr>
        <w:t>Raunig</w:t>
      </w:r>
      <w:proofErr w:type="spellEnd"/>
      <w:r w:rsidRPr="00A91E83">
        <w:rPr>
          <w:sz w:val="20"/>
          <w:szCs w:val="20"/>
        </w:rPr>
        <w:t xml:space="preserve"> B., </w:t>
      </w:r>
      <w:proofErr w:type="spellStart"/>
      <w:r w:rsidRPr="00A91E83">
        <w:rPr>
          <w:sz w:val="20"/>
          <w:szCs w:val="20"/>
        </w:rPr>
        <w:t>Scheicher</w:t>
      </w:r>
      <w:proofErr w:type="spellEnd"/>
      <w:r w:rsidRPr="00A91E83">
        <w:rPr>
          <w:sz w:val="20"/>
          <w:szCs w:val="20"/>
        </w:rPr>
        <w:t xml:space="preserve"> M. A </w:t>
      </w:r>
      <w:proofErr w:type="spellStart"/>
      <w:r w:rsidRPr="00A91E83">
        <w:rPr>
          <w:sz w:val="20"/>
          <w:szCs w:val="20"/>
        </w:rPr>
        <w:t>value</w:t>
      </w:r>
      <w:proofErr w:type="spellEnd"/>
      <w:r w:rsidRPr="00A91E83">
        <w:rPr>
          <w:sz w:val="20"/>
          <w:szCs w:val="20"/>
        </w:rPr>
        <w:t xml:space="preserve"> at risk </w:t>
      </w:r>
      <w:proofErr w:type="spellStart"/>
      <w:r w:rsidRPr="00A91E83">
        <w:rPr>
          <w:sz w:val="20"/>
          <w:szCs w:val="20"/>
        </w:rPr>
        <w:t>analysis</w:t>
      </w:r>
      <w:proofErr w:type="spellEnd"/>
      <w:r w:rsidRPr="00A91E83">
        <w:rPr>
          <w:sz w:val="20"/>
          <w:szCs w:val="20"/>
        </w:rPr>
        <w:t xml:space="preserve"> </w:t>
      </w:r>
      <w:proofErr w:type="spellStart"/>
      <w:r w:rsidRPr="00A91E83">
        <w:rPr>
          <w:sz w:val="20"/>
          <w:szCs w:val="20"/>
        </w:rPr>
        <w:t>of</w:t>
      </w:r>
      <w:proofErr w:type="spellEnd"/>
      <w:r w:rsidRPr="00A91E83">
        <w:rPr>
          <w:sz w:val="20"/>
          <w:szCs w:val="20"/>
        </w:rPr>
        <w:t xml:space="preserve"> </w:t>
      </w:r>
      <w:proofErr w:type="spellStart"/>
      <w:r w:rsidRPr="00A91E83">
        <w:rPr>
          <w:sz w:val="20"/>
          <w:szCs w:val="20"/>
        </w:rPr>
        <w:t>credit</w:t>
      </w:r>
      <w:proofErr w:type="spellEnd"/>
      <w:r w:rsidRPr="00A91E83">
        <w:rPr>
          <w:sz w:val="20"/>
          <w:szCs w:val="20"/>
        </w:rPr>
        <w:t xml:space="preserve"> </w:t>
      </w:r>
      <w:proofErr w:type="spellStart"/>
      <w:r w:rsidRPr="00A91E83">
        <w:rPr>
          <w:sz w:val="20"/>
          <w:szCs w:val="20"/>
        </w:rPr>
        <w:t>default</w:t>
      </w:r>
      <w:proofErr w:type="spellEnd"/>
      <w:r w:rsidRPr="00A91E83">
        <w:rPr>
          <w:sz w:val="20"/>
          <w:szCs w:val="20"/>
        </w:rPr>
        <w:t xml:space="preserve"> </w:t>
      </w:r>
      <w:proofErr w:type="spellStart"/>
      <w:r w:rsidRPr="00A91E83">
        <w:rPr>
          <w:sz w:val="20"/>
          <w:szCs w:val="20"/>
        </w:rPr>
        <w:t>swaps</w:t>
      </w:r>
      <w:proofErr w:type="spellEnd"/>
      <w:r w:rsidRPr="00A91E83">
        <w:rPr>
          <w:sz w:val="20"/>
          <w:szCs w:val="20"/>
        </w:rPr>
        <w:t xml:space="preserve">. </w:t>
      </w:r>
      <w:proofErr w:type="spellStart"/>
      <w:r w:rsidRPr="00A91E83">
        <w:rPr>
          <w:sz w:val="20"/>
          <w:szCs w:val="20"/>
        </w:rPr>
        <w:t>Europe</w:t>
      </w:r>
      <w:proofErr w:type="spellEnd"/>
      <w:r w:rsidRPr="00A91E83">
        <w:rPr>
          <w:sz w:val="20"/>
          <w:szCs w:val="20"/>
        </w:rPr>
        <w:t xml:space="preserve"> </w:t>
      </w:r>
      <w:proofErr w:type="spellStart"/>
      <w:r w:rsidRPr="00A91E83">
        <w:rPr>
          <w:sz w:val="20"/>
          <w:szCs w:val="20"/>
        </w:rPr>
        <w:t>Central</w:t>
      </w:r>
      <w:proofErr w:type="spellEnd"/>
      <w:r w:rsidRPr="00A91E83">
        <w:rPr>
          <w:sz w:val="20"/>
          <w:szCs w:val="20"/>
        </w:rPr>
        <w:t xml:space="preserve"> </w:t>
      </w:r>
      <w:proofErr w:type="spellStart"/>
      <w:r w:rsidRPr="00A91E83">
        <w:rPr>
          <w:sz w:val="20"/>
          <w:szCs w:val="20"/>
        </w:rPr>
        <w:t>Bank</w:t>
      </w:r>
      <w:proofErr w:type="spellEnd"/>
      <w:r w:rsidRPr="00A91E83">
        <w:rPr>
          <w:sz w:val="20"/>
          <w:szCs w:val="20"/>
        </w:rPr>
        <w:t xml:space="preserve">, 2008, </w:t>
      </w:r>
      <w:proofErr w:type="spellStart"/>
      <w:r w:rsidRPr="00A91E83">
        <w:rPr>
          <w:sz w:val="20"/>
          <w:szCs w:val="20"/>
        </w:rPr>
        <w:t>Working</w:t>
      </w:r>
      <w:proofErr w:type="spellEnd"/>
      <w:r w:rsidRPr="00A91E83">
        <w:rPr>
          <w:sz w:val="20"/>
          <w:szCs w:val="20"/>
        </w:rPr>
        <w:t xml:space="preserve"> </w:t>
      </w:r>
      <w:proofErr w:type="spellStart"/>
      <w:r w:rsidRPr="00A91E83">
        <w:rPr>
          <w:sz w:val="20"/>
          <w:szCs w:val="20"/>
        </w:rPr>
        <w:t>Paper</w:t>
      </w:r>
      <w:proofErr w:type="spellEnd"/>
      <w:r w:rsidRPr="00A91E83">
        <w:rPr>
          <w:sz w:val="20"/>
          <w:szCs w:val="20"/>
        </w:rPr>
        <w:t xml:space="preserve"> </w:t>
      </w:r>
      <w:proofErr w:type="spellStart"/>
      <w:r w:rsidRPr="00A91E83">
        <w:rPr>
          <w:sz w:val="20"/>
          <w:szCs w:val="20"/>
        </w:rPr>
        <w:t>No</w:t>
      </w:r>
      <w:proofErr w:type="spellEnd"/>
      <w:r w:rsidRPr="00A91E83">
        <w:rPr>
          <w:sz w:val="20"/>
          <w:szCs w:val="20"/>
        </w:rPr>
        <w:t xml:space="preserve">. 968, </w:t>
      </w:r>
      <w:proofErr w:type="spellStart"/>
      <w:r w:rsidRPr="00A91E83">
        <w:rPr>
          <w:sz w:val="20"/>
          <w:szCs w:val="20"/>
        </w:rPr>
        <w:t>p</w:t>
      </w:r>
      <w:proofErr w:type="spellEnd"/>
      <w:r w:rsidRPr="00A91E83">
        <w:rPr>
          <w:sz w:val="20"/>
          <w:szCs w:val="20"/>
        </w:rPr>
        <w:t>. 6.</w:t>
      </w:r>
    </w:p>
  </w:footnote>
  <w:footnote w:id="4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r w:rsidRPr="00A91E83">
        <w:rPr>
          <w:rFonts w:ascii="Times New Roman" w:hAnsi="Times New Roman" w:cs="Times New Roman"/>
          <w:color w:val="000000"/>
        </w:rPr>
        <w:t>Gali būti ne tik trečiosios šalies nemokumas, bet ir atskiros prievolės nevykdymas, kaip apibrėžtas įvykis, kuris aktyvuoja išmoką.</w:t>
      </w:r>
    </w:p>
  </w:footnote>
  <w:footnote w:id="5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Robinson</w:t>
      </w:r>
      <w:proofErr w:type="spellEnd"/>
      <w:r w:rsidRPr="00A91E83">
        <w:rPr>
          <w:rFonts w:ascii="Times New Roman" w:hAnsi="Times New Roman" w:cs="Times New Roman"/>
        </w:rPr>
        <w:t xml:space="preserve"> T. </w:t>
      </w:r>
      <w:proofErr w:type="spellStart"/>
      <w:r w:rsidRPr="00A91E83">
        <w:rPr>
          <w:rFonts w:ascii="Times New Roman" w:hAnsi="Times New Roman" w:cs="Times New Roman"/>
        </w:rPr>
        <w:t>Credit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Default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Swaps</w:t>
      </w:r>
      <w:proofErr w:type="spellEnd"/>
      <w:r w:rsidRPr="00A91E83">
        <w:rPr>
          <w:rFonts w:ascii="Times New Roman" w:hAnsi="Times New Roman" w:cs="Times New Roman"/>
        </w:rPr>
        <w:t xml:space="preserve">. Šaltinis </w:t>
      </w:r>
      <w:hyperlink r:id="rId15" w:history="1">
        <w:r w:rsidRPr="00A91E83">
          <w:rPr>
            <w:rStyle w:val="Hipersaitas"/>
            <w:rFonts w:ascii="Times New Roman" w:hAnsi="Times New Roman" w:cs="Times New Roman"/>
          </w:rPr>
          <w:t>http://www.trim.co.uk/CreditDefaultSwaps.pdf</w:t>
        </w:r>
      </w:hyperlink>
    </w:p>
  </w:footnote>
  <w:footnote w:id="5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Ayadi</w:t>
      </w:r>
      <w:proofErr w:type="spellEnd"/>
      <w:r w:rsidRPr="00A91E83">
        <w:rPr>
          <w:rFonts w:ascii="Times New Roman" w:hAnsi="Times New Roman" w:cs="Times New Roman"/>
        </w:rPr>
        <w:t xml:space="preserve"> R., </w:t>
      </w:r>
      <w:proofErr w:type="spellStart"/>
      <w:r w:rsidRPr="00A91E83">
        <w:rPr>
          <w:rFonts w:ascii="Times New Roman" w:hAnsi="Times New Roman" w:cs="Times New Roman"/>
        </w:rPr>
        <w:t>Behr</w:t>
      </w:r>
      <w:proofErr w:type="spellEnd"/>
      <w:r w:rsidRPr="00A91E83">
        <w:rPr>
          <w:rFonts w:ascii="Times New Roman" w:hAnsi="Times New Roman" w:cs="Times New Roman"/>
        </w:rPr>
        <w:t xml:space="preserve"> P.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necessity</w:t>
      </w:r>
      <w:proofErr w:type="spellEnd"/>
      <w:r w:rsidRPr="00A91E83">
        <w:rPr>
          <w:rFonts w:ascii="Times New Roman" w:hAnsi="Times New Roman" w:cs="Times New Roman"/>
        </w:rPr>
        <w:t xml:space="preserve"> to </w:t>
      </w:r>
      <w:proofErr w:type="spellStart"/>
      <w:r w:rsidRPr="00A91E83">
        <w:rPr>
          <w:rFonts w:ascii="Times New Roman" w:hAnsi="Times New Roman" w:cs="Times New Roman"/>
        </w:rPr>
        <w:t>regulate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credit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markets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Journal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Banking</w:t>
      </w:r>
      <w:proofErr w:type="spellEnd"/>
      <w:r w:rsidRPr="00A91E83">
        <w:rPr>
          <w:rFonts w:ascii="Times New Roman" w:hAnsi="Times New Roman" w:cs="Times New Roman"/>
        </w:rPr>
        <w:t xml:space="preserve"> Regulation, 2009, Volume 10, p. 189. Šaltinis </w:t>
      </w:r>
      <w:hyperlink r:id="rId16" w:history="1">
        <w:r w:rsidRPr="00A91E83">
          <w:rPr>
            <w:rStyle w:val="Hipersaitas"/>
            <w:rFonts w:ascii="Times New Roman" w:hAnsi="Times New Roman" w:cs="Times New Roman"/>
          </w:rPr>
          <w:t>http://www.palgravejournals.com/jbr/journal/v10/n3/full/jbr20093a.html</w:t>
        </w:r>
      </w:hyperlink>
    </w:p>
  </w:footnote>
  <w:footnote w:id="5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Bowman</w:t>
      </w:r>
      <w:proofErr w:type="spellEnd"/>
      <w:r w:rsidRPr="00A91E83">
        <w:rPr>
          <w:rFonts w:ascii="Times New Roman" w:hAnsi="Times New Roman" w:cs="Times New Roman"/>
        </w:rPr>
        <w:t xml:space="preserve"> L. </w:t>
      </w:r>
      <w:proofErr w:type="spellStart"/>
      <w:r w:rsidRPr="00A91E83">
        <w:rPr>
          <w:rFonts w:ascii="Times New Roman" w:hAnsi="Times New Roman" w:cs="Times New Roman"/>
        </w:rPr>
        <w:t>Credit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default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swaps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dangerous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ground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Euromoney</w:t>
      </w:r>
      <w:proofErr w:type="spellEnd"/>
      <w:r w:rsidRPr="00A91E83">
        <w:rPr>
          <w:rFonts w:ascii="Times New Roman" w:hAnsi="Times New Roman" w:cs="Times New Roman"/>
        </w:rPr>
        <w:t xml:space="preserve">, 2008, </w:t>
      </w:r>
      <w:proofErr w:type="spellStart"/>
      <w:r w:rsidRPr="00A91E83">
        <w:rPr>
          <w:rFonts w:ascii="Times New Roman" w:hAnsi="Times New Roman" w:cs="Times New Roman"/>
        </w:rPr>
        <w:t>August</w:t>
      </w:r>
      <w:proofErr w:type="spellEnd"/>
      <w:r w:rsidRPr="00A91E83">
        <w:rPr>
          <w:rFonts w:ascii="Times New Roman" w:hAnsi="Times New Roman" w:cs="Times New Roman"/>
        </w:rPr>
        <w:t xml:space="preserve">. Šaltinis </w:t>
      </w:r>
      <w:hyperlink r:id="rId17" w:history="1">
        <w:r w:rsidRPr="00A91E83">
          <w:rPr>
            <w:rStyle w:val="Hipersaitas"/>
            <w:rFonts w:ascii="Times New Roman" w:hAnsi="Times New Roman" w:cs="Times New Roman"/>
          </w:rPr>
          <w:t>http://www.euromoney.com/Article/1990950/Credit-default-swaps-On-dangerous-ground.html?single=true</w:t>
        </w:r>
      </w:hyperlink>
    </w:p>
  </w:footnote>
  <w:footnote w:id="5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Sarra</w:t>
      </w:r>
      <w:proofErr w:type="spellEnd"/>
      <w:r w:rsidRPr="00A91E83">
        <w:rPr>
          <w:rFonts w:ascii="Times New Roman" w:hAnsi="Times New Roman" w:cs="Times New Roman"/>
        </w:rPr>
        <w:t xml:space="preserve"> J. </w:t>
      </w:r>
      <w:proofErr w:type="spellStart"/>
      <w:r w:rsidRPr="00A91E83">
        <w:rPr>
          <w:rFonts w:ascii="Times New Roman" w:hAnsi="Times New Roman" w:cs="Times New Roman"/>
        </w:rPr>
        <w:t>Dancing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deux</w:t>
      </w:r>
      <w:proofErr w:type="spellEnd"/>
      <w:r w:rsidRPr="00A91E83">
        <w:rPr>
          <w:rFonts w:ascii="Times New Roman" w:hAnsi="Times New Roman" w:cs="Times New Roman"/>
        </w:rPr>
        <w:t xml:space="preserve"> pas,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crisis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lessons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for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corporate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governance</w:t>
      </w:r>
      <w:proofErr w:type="spellEnd"/>
      <w:r w:rsidRPr="00A91E83">
        <w:rPr>
          <w:rFonts w:ascii="Times New Roman" w:hAnsi="Times New Roman" w:cs="Times New Roman"/>
        </w:rPr>
        <w:t xml:space="preserve">. UNSW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Journal</w:t>
      </w:r>
      <w:proofErr w:type="spellEnd"/>
      <w:r w:rsidRPr="00A91E83">
        <w:rPr>
          <w:rFonts w:ascii="Times New Roman" w:hAnsi="Times New Roman" w:cs="Times New Roman"/>
        </w:rPr>
        <w:t xml:space="preserve"> 2009, </w:t>
      </w:r>
      <w:proofErr w:type="spellStart"/>
      <w:r w:rsidRPr="00A91E83">
        <w:rPr>
          <w:rFonts w:ascii="Times New Roman" w:hAnsi="Times New Roman" w:cs="Times New Roman"/>
        </w:rPr>
        <w:t>Volume</w:t>
      </w:r>
      <w:proofErr w:type="spellEnd"/>
      <w:r w:rsidRPr="00A91E83">
        <w:rPr>
          <w:rFonts w:ascii="Times New Roman" w:hAnsi="Times New Roman" w:cs="Times New Roman"/>
        </w:rPr>
        <w:t xml:space="preserve"> 32(2), </w:t>
      </w:r>
      <w:proofErr w:type="spellStart"/>
      <w:r w:rsidRPr="00A91E83">
        <w:rPr>
          <w:rFonts w:ascii="Times New Roman" w:hAnsi="Times New Roman" w:cs="Times New Roman"/>
        </w:rPr>
        <w:t>p</w:t>
      </w:r>
      <w:proofErr w:type="spellEnd"/>
      <w:r w:rsidRPr="00A91E83">
        <w:rPr>
          <w:rFonts w:ascii="Times New Roman" w:hAnsi="Times New Roman" w:cs="Times New Roman"/>
        </w:rPr>
        <w:t>. 454.</w:t>
      </w:r>
    </w:p>
  </w:footnote>
  <w:footnote w:id="5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Apie 80 procentų kredito išvestinių finansinių priemonių sudaroma kertant valstybių sieną. </w:t>
      </w:r>
      <w:proofErr w:type="spellStart"/>
      <w:r w:rsidRPr="00A91E83">
        <w:rPr>
          <w:rFonts w:ascii="Times New Roman" w:hAnsi="Times New Roman" w:cs="Times New Roman"/>
        </w:rPr>
        <w:t>FitchRatings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Global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credit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survey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indices</w:t>
      </w:r>
      <w:proofErr w:type="spellEnd"/>
      <w:r w:rsidRPr="00A91E83">
        <w:rPr>
          <w:rFonts w:ascii="Times New Roman" w:hAnsi="Times New Roman" w:cs="Times New Roman"/>
        </w:rPr>
        <w:t xml:space="preserve"> dominate </w:t>
      </w:r>
      <w:proofErr w:type="spellStart"/>
      <w:r w:rsidRPr="00A91E83">
        <w:rPr>
          <w:rFonts w:ascii="Times New Roman" w:hAnsi="Times New Roman" w:cs="Times New Roman"/>
        </w:rPr>
        <w:t>growth</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banks</w:t>
      </w:r>
      <w:proofErr w:type="spellEnd"/>
      <w:r w:rsidRPr="00A91E83">
        <w:rPr>
          <w:rFonts w:ascii="Times New Roman" w:hAnsi="Times New Roman" w:cs="Times New Roman"/>
        </w:rPr>
        <w:t xml:space="preserve">‘ risk </w:t>
      </w:r>
      <w:proofErr w:type="spellStart"/>
      <w:r w:rsidRPr="00A91E83">
        <w:rPr>
          <w:rFonts w:ascii="Times New Roman" w:hAnsi="Times New Roman" w:cs="Times New Roman"/>
        </w:rPr>
        <w:t>position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shifts</w:t>
      </w:r>
      <w:proofErr w:type="spellEnd"/>
      <w:r w:rsidRPr="00A91E83">
        <w:rPr>
          <w:rFonts w:ascii="Times New Roman" w:hAnsi="Times New Roman" w:cs="Times New Roman"/>
        </w:rPr>
        <w:t>. 2006 (</w:t>
      </w:r>
      <w:proofErr w:type="spellStart"/>
      <w:r w:rsidRPr="00A91E83">
        <w:rPr>
          <w:rFonts w:ascii="Times New Roman" w:hAnsi="Times New Roman" w:cs="Times New Roman"/>
        </w:rPr>
        <w:t>Septmeber</w:t>
      </w:r>
      <w:proofErr w:type="spellEnd"/>
      <w:r w:rsidRPr="00A91E83">
        <w:rPr>
          <w:rFonts w:ascii="Times New Roman" w:hAnsi="Times New Roman" w:cs="Times New Roman"/>
        </w:rPr>
        <w:t>).</w:t>
      </w:r>
    </w:p>
  </w:footnote>
  <w:footnote w:id="5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Ayadi</w:t>
      </w:r>
      <w:proofErr w:type="spellEnd"/>
      <w:r w:rsidRPr="00A91E83">
        <w:rPr>
          <w:rFonts w:ascii="Times New Roman" w:hAnsi="Times New Roman" w:cs="Times New Roman"/>
        </w:rPr>
        <w:t xml:space="preserve"> R., </w:t>
      </w:r>
      <w:proofErr w:type="spellStart"/>
      <w:r w:rsidRPr="00A91E83">
        <w:rPr>
          <w:rFonts w:ascii="Times New Roman" w:hAnsi="Times New Roman" w:cs="Times New Roman"/>
        </w:rPr>
        <w:t>Behr</w:t>
      </w:r>
      <w:proofErr w:type="spellEnd"/>
      <w:r w:rsidRPr="00A91E83">
        <w:rPr>
          <w:rFonts w:ascii="Times New Roman" w:hAnsi="Times New Roman" w:cs="Times New Roman"/>
        </w:rPr>
        <w:t xml:space="preserve"> P.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necessity</w:t>
      </w:r>
      <w:proofErr w:type="spellEnd"/>
      <w:r w:rsidRPr="00A91E83">
        <w:rPr>
          <w:rFonts w:ascii="Times New Roman" w:hAnsi="Times New Roman" w:cs="Times New Roman"/>
        </w:rPr>
        <w:t xml:space="preserve"> to </w:t>
      </w:r>
      <w:proofErr w:type="spellStart"/>
      <w:r w:rsidRPr="00A91E83">
        <w:rPr>
          <w:rFonts w:ascii="Times New Roman" w:hAnsi="Times New Roman" w:cs="Times New Roman"/>
        </w:rPr>
        <w:t>regulate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credit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markets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Journal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Banking</w:t>
      </w:r>
      <w:proofErr w:type="spellEnd"/>
      <w:r w:rsidRPr="00A91E83">
        <w:rPr>
          <w:rFonts w:ascii="Times New Roman" w:hAnsi="Times New Roman" w:cs="Times New Roman"/>
        </w:rPr>
        <w:t xml:space="preserve"> Regulation, 2009, Volume 10, p. 186. Šaltinis </w:t>
      </w:r>
      <w:hyperlink r:id="rId18" w:history="1">
        <w:r w:rsidRPr="00A91E83">
          <w:rPr>
            <w:rStyle w:val="Hipersaitas"/>
            <w:rFonts w:ascii="Times New Roman" w:hAnsi="Times New Roman" w:cs="Times New Roman"/>
          </w:rPr>
          <w:t>http://www.palgravejournals.com/jbr/journal/v10/n3/full/jbr20093a.html</w:t>
        </w:r>
      </w:hyperlink>
    </w:p>
  </w:footnote>
  <w:footnote w:id="56">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Bowman</w:t>
      </w:r>
      <w:proofErr w:type="spellEnd"/>
      <w:r w:rsidRPr="00A91E83">
        <w:rPr>
          <w:rFonts w:ascii="Times New Roman" w:hAnsi="Times New Roman" w:cs="Times New Roman"/>
        </w:rPr>
        <w:t xml:space="preserve"> L. </w:t>
      </w:r>
      <w:proofErr w:type="spellStart"/>
      <w:r w:rsidRPr="00A91E83">
        <w:rPr>
          <w:rFonts w:ascii="Times New Roman" w:hAnsi="Times New Roman" w:cs="Times New Roman"/>
        </w:rPr>
        <w:t>Credit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default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swaps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dangerous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ground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Euromoney</w:t>
      </w:r>
      <w:proofErr w:type="spellEnd"/>
      <w:r w:rsidRPr="00A91E83">
        <w:rPr>
          <w:rFonts w:ascii="Times New Roman" w:hAnsi="Times New Roman" w:cs="Times New Roman"/>
        </w:rPr>
        <w:t xml:space="preserve">, 2008, </w:t>
      </w:r>
      <w:proofErr w:type="spellStart"/>
      <w:r w:rsidRPr="00A91E83">
        <w:rPr>
          <w:rFonts w:ascii="Times New Roman" w:hAnsi="Times New Roman" w:cs="Times New Roman"/>
        </w:rPr>
        <w:t>August</w:t>
      </w:r>
      <w:proofErr w:type="spellEnd"/>
      <w:r w:rsidRPr="00A91E83">
        <w:rPr>
          <w:rFonts w:ascii="Times New Roman" w:hAnsi="Times New Roman" w:cs="Times New Roman"/>
        </w:rPr>
        <w:t xml:space="preserve">. Šaltinis </w:t>
      </w:r>
      <w:hyperlink r:id="rId19" w:history="1">
        <w:r w:rsidRPr="00A91E83">
          <w:rPr>
            <w:rStyle w:val="Hipersaitas"/>
            <w:rFonts w:ascii="Times New Roman" w:hAnsi="Times New Roman" w:cs="Times New Roman"/>
          </w:rPr>
          <w:t>http://www.euromoney.com/Article/1990950/Credit-default-swaps-On-dangerous-ground.html</w:t>
        </w:r>
      </w:hyperlink>
    </w:p>
  </w:footnote>
  <w:footnote w:id="5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198.</w:t>
      </w:r>
    </w:p>
  </w:footnote>
  <w:footnote w:id="5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Bartolini</w:t>
      </w:r>
      <w:proofErr w:type="spellEnd"/>
      <w:r w:rsidRPr="00A91E83">
        <w:rPr>
          <w:rFonts w:ascii="Times New Roman" w:hAnsi="Times New Roman" w:cs="Times New Roman"/>
        </w:rPr>
        <w:t xml:space="preserve"> L. </w:t>
      </w:r>
      <w:proofErr w:type="spellStart"/>
      <w:r w:rsidRPr="00A91E83">
        <w:rPr>
          <w:rFonts w:ascii="Times New Roman" w:hAnsi="Times New Roman" w:cs="Times New Roman"/>
        </w:rPr>
        <w:t>Foreign</w:t>
      </w:r>
      <w:proofErr w:type="spellEnd"/>
      <w:r w:rsidRPr="00A91E83">
        <w:rPr>
          <w:rFonts w:ascii="Times New Roman" w:hAnsi="Times New Roman" w:cs="Times New Roman"/>
        </w:rPr>
        <w:t xml:space="preserve"> </w:t>
      </w:r>
      <w:proofErr w:type="spellStart"/>
      <w:r>
        <w:rPr>
          <w:rFonts w:ascii="Times New Roman" w:hAnsi="Times New Roman" w:cs="Times New Roman"/>
        </w:rPr>
        <w:t>e</w:t>
      </w:r>
      <w:r w:rsidRPr="00A91E83">
        <w:rPr>
          <w:rFonts w:ascii="Times New Roman" w:hAnsi="Times New Roman" w:cs="Times New Roman"/>
        </w:rPr>
        <w:t>xchange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swaps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England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Economic</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Review</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Second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Quarter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12.</w:t>
      </w:r>
    </w:p>
  </w:footnote>
  <w:footnote w:id="5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Juozapavičienė</w:t>
      </w:r>
      <w:proofErr w:type="spellEnd"/>
      <w:r w:rsidRPr="00A91E83">
        <w:rPr>
          <w:rFonts w:ascii="Times New Roman" w:hAnsi="Times New Roman" w:cs="Times New Roman"/>
        </w:rPr>
        <w:t xml:space="preserve"> A. Išvestiniai instrumentai tarptautinėse finansų rinkose. Kaunas: Technologija, 2006, p.65.</w:t>
      </w:r>
    </w:p>
  </w:footnote>
  <w:footnote w:id="6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Das</w:t>
      </w:r>
      <w:proofErr w:type="spellEnd"/>
      <w:r w:rsidRPr="00A91E83">
        <w:rPr>
          <w:rFonts w:ascii="Times New Roman" w:hAnsi="Times New Roman" w:cs="Times New Roman"/>
        </w:rPr>
        <w:t xml:space="preserve"> S. </w:t>
      </w:r>
      <w:proofErr w:type="spellStart"/>
      <w:r w:rsidRPr="00A91E83">
        <w:rPr>
          <w:rFonts w:ascii="Times New Roman" w:hAnsi="Times New Roman" w:cs="Times New Roman"/>
        </w:rPr>
        <w:t>Swaps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North</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Ryde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John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Wiley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Sons</w:t>
      </w:r>
      <w:proofErr w:type="spellEnd"/>
      <w:r w:rsidRPr="00A91E83">
        <w:rPr>
          <w:rFonts w:ascii="Times New Roman" w:hAnsi="Times New Roman" w:cs="Times New Roman"/>
        </w:rPr>
        <w:t xml:space="preserve">, 2nd </w:t>
      </w:r>
      <w:proofErr w:type="spellStart"/>
      <w:r w:rsidRPr="00A91E83">
        <w:rPr>
          <w:rFonts w:ascii="Times New Roman" w:hAnsi="Times New Roman" w:cs="Times New Roman"/>
        </w:rPr>
        <w:t>ed</w:t>
      </w:r>
      <w:proofErr w:type="spellEnd"/>
      <w:r w:rsidRPr="00A91E83">
        <w:rPr>
          <w:rFonts w:ascii="Times New Roman" w:hAnsi="Times New Roman" w:cs="Times New Roman"/>
        </w:rPr>
        <w:t xml:space="preserve">., 1994, </w:t>
      </w:r>
      <w:proofErr w:type="spellStart"/>
      <w:r w:rsidRPr="00A91E83">
        <w:rPr>
          <w:rFonts w:ascii="Times New Roman" w:hAnsi="Times New Roman" w:cs="Times New Roman"/>
        </w:rPr>
        <w:t>p</w:t>
      </w:r>
      <w:proofErr w:type="spellEnd"/>
      <w:r w:rsidRPr="00A91E83">
        <w:rPr>
          <w:rFonts w:ascii="Times New Roman" w:hAnsi="Times New Roman" w:cs="Times New Roman"/>
        </w:rPr>
        <w:t>. 14.</w:t>
      </w:r>
    </w:p>
  </w:footnote>
  <w:footnote w:id="6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Juozapavičienė</w:t>
      </w:r>
      <w:proofErr w:type="spellEnd"/>
      <w:r w:rsidRPr="00A91E83">
        <w:rPr>
          <w:rFonts w:ascii="Times New Roman" w:hAnsi="Times New Roman" w:cs="Times New Roman"/>
        </w:rPr>
        <w:t xml:space="preserve"> A. Išvestiniai instrumentai tarptautinėse finansų rinkose. Kaunas: Technologija, 2006, p.66.</w:t>
      </w:r>
    </w:p>
  </w:footnote>
  <w:footnote w:id="6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44.</w:t>
      </w:r>
    </w:p>
  </w:footnote>
  <w:footnote w:id="6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Baba</w:t>
      </w:r>
      <w:proofErr w:type="spellEnd"/>
      <w:r>
        <w:rPr>
          <w:rFonts w:ascii="Times New Roman" w:hAnsi="Times New Roman" w:cs="Times New Roman"/>
        </w:rPr>
        <w:t xml:space="preserve"> N., </w:t>
      </w:r>
      <w:proofErr w:type="spellStart"/>
      <w:r>
        <w:rPr>
          <w:rFonts w:ascii="Times New Roman" w:hAnsi="Times New Roman" w:cs="Times New Roman"/>
        </w:rPr>
        <w:t>Packer</w:t>
      </w:r>
      <w:proofErr w:type="spellEnd"/>
      <w:r>
        <w:rPr>
          <w:rFonts w:ascii="Times New Roman" w:hAnsi="Times New Roman" w:cs="Times New Roman"/>
        </w:rPr>
        <w:t xml:space="preserve"> F., Nagano T.</w:t>
      </w:r>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spillover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money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market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turbulence</w:t>
      </w:r>
      <w:proofErr w:type="spellEnd"/>
      <w:r w:rsidRPr="00A91E83">
        <w:rPr>
          <w:rFonts w:ascii="Times New Roman" w:hAnsi="Times New Roman" w:cs="Times New Roman"/>
        </w:rPr>
        <w:t xml:space="preserve"> to FX </w:t>
      </w:r>
      <w:proofErr w:type="spellStart"/>
      <w:r w:rsidRPr="00A91E83">
        <w:rPr>
          <w:rFonts w:ascii="Times New Roman" w:hAnsi="Times New Roman" w:cs="Times New Roman"/>
        </w:rPr>
        <w:t>swap</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cross-currency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swap</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markets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Bank</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for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international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settlements</w:t>
      </w:r>
      <w:proofErr w:type="spellEnd"/>
      <w:r w:rsidRPr="00A91E83">
        <w:rPr>
          <w:rFonts w:ascii="Times New Roman" w:hAnsi="Times New Roman" w:cs="Times New Roman"/>
        </w:rPr>
        <w:t xml:space="preserve">. 2008, </w:t>
      </w:r>
      <w:proofErr w:type="spellStart"/>
      <w:r w:rsidRPr="00A91E83">
        <w:rPr>
          <w:rFonts w:ascii="Times New Roman" w:hAnsi="Times New Roman" w:cs="Times New Roman"/>
        </w:rPr>
        <w:t>March</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Quarterly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Review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76.</w:t>
      </w:r>
    </w:p>
  </w:footnote>
  <w:footnote w:id="6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Barkbu</w:t>
      </w:r>
      <w:proofErr w:type="spellEnd"/>
      <w:r w:rsidRPr="00A91E83">
        <w:rPr>
          <w:rFonts w:ascii="Times New Roman" w:hAnsi="Times New Roman" w:cs="Times New Roman"/>
        </w:rPr>
        <w:t xml:space="preserve"> B.B., </w:t>
      </w:r>
      <w:proofErr w:type="spellStart"/>
      <w:r w:rsidRPr="00A91E83">
        <w:rPr>
          <w:rFonts w:ascii="Times New Roman" w:hAnsi="Times New Roman" w:cs="Times New Roman"/>
        </w:rPr>
        <w:t>Ong</w:t>
      </w:r>
      <w:proofErr w:type="spellEnd"/>
      <w:r w:rsidRPr="00A91E83">
        <w:rPr>
          <w:rFonts w:ascii="Times New Roman" w:hAnsi="Times New Roman" w:cs="Times New Roman"/>
        </w:rPr>
        <w:t xml:space="preserve"> L.L. FX </w:t>
      </w:r>
      <w:proofErr w:type="spellStart"/>
      <w:r w:rsidRPr="00A91E83">
        <w:rPr>
          <w:rFonts w:ascii="Times New Roman" w:hAnsi="Times New Roman" w:cs="Times New Roman"/>
        </w:rPr>
        <w:t>swaps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implications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for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economy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stability</w:t>
      </w:r>
      <w:proofErr w:type="spellEnd"/>
      <w:r w:rsidRPr="00A91E83">
        <w:rPr>
          <w:rFonts w:ascii="Times New Roman" w:hAnsi="Times New Roman" w:cs="Times New Roman"/>
        </w:rPr>
        <w:t xml:space="preserve">. 2010, </w:t>
      </w:r>
      <w:proofErr w:type="spellStart"/>
      <w:r w:rsidRPr="00A91E83">
        <w:rPr>
          <w:rFonts w:ascii="Times New Roman" w:hAnsi="Times New Roman" w:cs="Times New Roman"/>
        </w:rPr>
        <w:t>International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Monetary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Fund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Working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Paper</w:t>
      </w:r>
      <w:proofErr w:type="spellEnd"/>
      <w:r w:rsidRPr="00A91E83">
        <w:rPr>
          <w:rFonts w:ascii="Times New Roman" w:hAnsi="Times New Roman" w:cs="Times New Roman"/>
        </w:rPr>
        <w:t xml:space="preserve">, WP/010/55, </w:t>
      </w:r>
      <w:proofErr w:type="spellStart"/>
      <w:r w:rsidRPr="00A91E83">
        <w:rPr>
          <w:rFonts w:ascii="Times New Roman" w:hAnsi="Times New Roman" w:cs="Times New Roman"/>
        </w:rPr>
        <w:t>p</w:t>
      </w:r>
      <w:proofErr w:type="spellEnd"/>
      <w:r w:rsidRPr="00A91E83">
        <w:rPr>
          <w:rFonts w:ascii="Times New Roman" w:hAnsi="Times New Roman" w:cs="Times New Roman"/>
        </w:rPr>
        <w:t>. 12.</w:t>
      </w:r>
    </w:p>
  </w:footnote>
  <w:footnote w:id="6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Pykhtin</w:t>
      </w:r>
      <w:proofErr w:type="spellEnd"/>
      <w:r w:rsidRPr="00A91E83">
        <w:rPr>
          <w:rFonts w:ascii="Times New Roman" w:hAnsi="Times New Roman" w:cs="Times New Roman"/>
        </w:rPr>
        <w:t xml:space="preserve"> M., </w:t>
      </w:r>
      <w:proofErr w:type="spellStart"/>
      <w:r w:rsidRPr="00A91E83">
        <w:rPr>
          <w:rFonts w:ascii="Times New Roman" w:hAnsi="Times New Roman" w:cs="Times New Roman"/>
        </w:rPr>
        <w:t>Zhu</w:t>
      </w:r>
      <w:proofErr w:type="spellEnd"/>
      <w:r w:rsidRPr="00A91E83">
        <w:rPr>
          <w:rFonts w:ascii="Times New Roman" w:hAnsi="Times New Roman" w:cs="Times New Roman"/>
        </w:rPr>
        <w:t xml:space="preserve"> S. A </w:t>
      </w:r>
      <w:proofErr w:type="spellStart"/>
      <w:r w:rsidRPr="00A91E83">
        <w:rPr>
          <w:rFonts w:ascii="Times New Roman" w:hAnsi="Times New Roman" w:cs="Times New Roman"/>
        </w:rPr>
        <w:t>Guide</w:t>
      </w:r>
      <w:proofErr w:type="spellEnd"/>
      <w:r w:rsidRPr="00A91E83">
        <w:rPr>
          <w:rFonts w:ascii="Times New Roman" w:hAnsi="Times New Roman" w:cs="Times New Roman"/>
        </w:rPr>
        <w:t xml:space="preserve"> to </w:t>
      </w:r>
      <w:proofErr w:type="spellStart"/>
      <w:r w:rsidRPr="00A91E83">
        <w:rPr>
          <w:rFonts w:ascii="Times New Roman" w:hAnsi="Times New Roman" w:cs="Times New Roman"/>
        </w:rPr>
        <w:t>modelling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counterparty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credit</w:t>
      </w:r>
      <w:proofErr w:type="spellEnd"/>
      <w:r w:rsidRPr="00A91E83">
        <w:rPr>
          <w:rFonts w:ascii="Times New Roman" w:hAnsi="Times New Roman" w:cs="Times New Roman"/>
        </w:rPr>
        <w:t xml:space="preserve"> risk. </w:t>
      </w:r>
      <w:proofErr w:type="spellStart"/>
      <w:r w:rsidRPr="00A91E83">
        <w:rPr>
          <w:rFonts w:ascii="Times New Roman" w:hAnsi="Times New Roman" w:cs="Times New Roman"/>
        </w:rPr>
        <w:t>Global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Association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Risk </w:t>
      </w:r>
      <w:proofErr w:type="spellStart"/>
      <w:r w:rsidRPr="00A91E83">
        <w:rPr>
          <w:rFonts w:ascii="Times New Roman" w:hAnsi="Times New Roman" w:cs="Times New Roman"/>
        </w:rPr>
        <w:t>Professionals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issue</w:t>
      </w:r>
      <w:proofErr w:type="spellEnd"/>
      <w:r w:rsidRPr="00A91E83">
        <w:rPr>
          <w:rFonts w:ascii="Times New Roman" w:hAnsi="Times New Roman" w:cs="Times New Roman"/>
        </w:rPr>
        <w:t xml:space="preserve"> 37, 2007, </w:t>
      </w:r>
      <w:proofErr w:type="spellStart"/>
      <w:r w:rsidRPr="00A91E83">
        <w:rPr>
          <w:rFonts w:ascii="Times New Roman" w:hAnsi="Times New Roman" w:cs="Times New Roman"/>
        </w:rPr>
        <w:t>p</w:t>
      </w:r>
      <w:proofErr w:type="spellEnd"/>
      <w:r w:rsidRPr="00A91E83">
        <w:rPr>
          <w:rFonts w:ascii="Times New Roman" w:hAnsi="Times New Roman" w:cs="Times New Roman"/>
        </w:rPr>
        <w:t>. 16.</w:t>
      </w:r>
    </w:p>
  </w:footnote>
  <w:footnote w:id="66">
    <w:p w:rsidR="00A91E13" w:rsidRPr="00A91E83" w:rsidRDefault="00A91E13" w:rsidP="00621590">
      <w:pPr>
        <w:autoSpaceDE w:val="0"/>
        <w:autoSpaceDN w:val="0"/>
        <w:adjustRightInd w:val="0"/>
        <w:spacing w:after="0" w:line="240" w:lineRule="auto"/>
        <w:jc w:val="both"/>
        <w:rPr>
          <w:rFonts w:ascii="Times New Roman" w:hAnsi="Times New Roman" w:cs="Times New Roman"/>
          <w:sz w:val="20"/>
          <w:szCs w:val="20"/>
        </w:rPr>
      </w:pPr>
      <w:r w:rsidRPr="00A91E83">
        <w:rPr>
          <w:rStyle w:val="Puslapioinaosnuoroda"/>
          <w:rFonts w:ascii="Times New Roman" w:hAnsi="Times New Roman" w:cs="Times New Roman"/>
          <w:sz w:val="20"/>
          <w:szCs w:val="20"/>
        </w:rPr>
        <w:footnoteRef/>
      </w:r>
      <w:r w:rsidRPr="00A91E83">
        <w:rPr>
          <w:rFonts w:ascii="Times New Roman" w:hAnsi="Times New Roman" w:cs="Times New Roman"/>
          <w:sz w:val="20"/>
          <w:szCs w:val="20"/>
        </w:rPr>
        <w:t xml:space="preserve"> Tarpuskaitos namų terminas suprantamas kaip „kliringo namai“, kur pastarasis apibūdintas 2 </w:t>
      </w:r>
      <w:proofErr w:type="spellStart"/>
      <w:r w:rsidRPr="00A91E83">
        <w:rPr>
          <w:rFonts w:ascii="Times New Roman" w:hAnsi="Times New Roman" w:cs="Times New Roman"/>
          <w:sz w:val="20"/>
          <w:szCs w:val="20"/>
        </w:rPr>
        <w:t>str</w:t>
      </w:r>
      <w:proofErr w:type="spellEnd"/>
      <w:r w:rsidRPr="00A91E83">
        <w:rPr>
          <w:rFonts w:ascii="Times New Roman" w:hAnsi="Times New Roman" w:cs="Times New Roman"/>
          <w:sz w:val="20"/>
          <w:szCs w:val="20"/>
        </w:rPr>
        <w:t xml:space="preserve">. 10 </w:t>
      </w:r>
      <w:proofErr w:type="spellStart"/>
      <w:r w:rsidRPr="00A91E83">
        <w:rPr>
          <w:rFonts w:ascii="Times New Roman" w:hAnsi="Times New Roman" w:cs="Times New Roman"/>
          <w:sz w:val="20"/>
          <w:szCs w:val="20"/>
        </w:rPr>
        <w:t>d</w:t>
      </w:r>
      <w:proofErr w:type="spellEnd"/>
      <w:r w:rsidRPr="00A91E83">
        <w:rPr>
          <w:rFonts w:ascii="Times New Roman" w:hAnsi="Times New Roman" w:cs="Times New Roman"/>
          <w:sz w:val="20"/>
          <w:szCs w:val="20"/>
        </w:rPr>
        <w:t>. Lietuvos Respublikos atsiskaitymų baigtinumo mokėjimo ir vertybinių popierių atsiskaitymo sistemose įstatymas.</w:t>
      </w:r>
    </w:p>
  </w:footnote>
  <w:footnote w:id="6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Nasdaq OMX Vilnius biržoje šiuo metu yra 33 biržos nariai. Šaltinis </w:t>
      </w:r>
      <w:hyperlink r:id="rId20" w:history="1">
        <w:r w:rsidRPr="00A91E83">
          <w:rPr>
            <w:rStyle w:val="Hipersaitas"/>
            <w:rFonts w:ascii="Times New Roman" w:hAnsi="Times New Roman" w:cs="Times New Roman"/>
          </w:rPr>
          <w:t>http://www.nasdaqomxbaltic.com/market/?pg=members&amp;lang=lt</w:t>
        </w:r>
      </w:hyperlink>
      <w:r w:rsidRPr="00A91E83">
        <w:rPr>
          <w:rFonts w:ascii="Times New Roman" w:hAnsi="Times New Roman" w:cs="Times New Roman"/>
        </w:rPr>
        <w:t xml:space="preserve"> </w:t>
      </w:r>
    </w:p>
  </w:footnote>
  <w:footnote w:id="6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187.</w:t>
      </w:r>
    </w:p>
  </w:footnote>
  <w:footnote w:id="6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214.</w:t>
      </w:r>
    </w:p>
  </w:footnote>
  <w:footnote w:id="70">
    <w:p w:rsidR="00A91E13" w:rsidRPr="00A91E83" w:rsidRDefault="00A91E13" w:rsidP="0057464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187.</w:t>
      </w:r>
    </w:p>
  </w:footnote>
  <w:footnote w:id="7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214.</w:t>
      </w:r>
    </w:p>
  </w:footnote>
  <w:footnote w:id="72">
    <w:p w:rsidR="00A91E13" w:rsidRPr="00A91E83" w:rsidRDefault="00A91E13">
      <w:pPr>
        <w:pStyle w:val="Puslapioinaostekstas"/>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Žr</w:t>
      </w:r>
      <w:proofErr w:type="spellEnd"/>
      <w:r w:rsidRPr="00A91E83">
        <w:rPr>
          <w:rFonts w:ascii="Times New Roman" w:hAnsi="Times New Roman" w:cs="Times New Roman"/>
        </w:rPr>
        <w:t xml:space="preserve">. įvade pateiktame grafike </w:t>
      </w:r>
      <w:proofErr w:type="spellStart"/>
      <w:r w:rsidRPr="00A91E83">
        <w:rPr>
          <w:rFonts w:ascii="Times New Roman" w:hAnsi="Times New Roman" w:cs="Times New Roman"/>
        </w:rPr>
        <w:t>nr</w:t>
      </w:r>
      <w:proofErr w:type="spellEnd"/>
      <w:r w:rsidRPr="00A91E83">
        <w:rPr>
          <w:rFonts w:ascii="Times New Roman" w:hAnsi="Times New Roman" w:cs="Times New Roman"/>
        </w:rPr>
        <w:t>. 1, iliustruotą statistiką dėl užskaitos efektyvumo, mažinant nemokumo riziką.</w:t>
      </w:r>
    </w:p>
  </w:footnote>
  <w:footnote w:id="7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Blair</w:t>
      </w:r>
      <w:proofErr w:type="spellEnd"/>
      <w:r w:rsidRPr="00A91E83">
        <w:rPr>
          <w:rFonts w:ascii="Times New Roman" w:hAnsi="Times New Roman" w:cs="Times New Roman"/>
        </w:rPr>
        <w:t xml:space="preserve"> M., </w:t>
      </w:r>
      <w:proofErr w:type="spellStart"/>
      <w:r w:rsidRPr="00A91E83">
        <w:rPr>
          <w:rFonts w:ascii="Times New Roman" w:hAnsi="Times New Roman" w:cs="Times New Roman"/>
        </w:rPr>
        <w:t>Walker</w:t>
      </w:r>
      <w:proofErr w:type="spellEnd"/>
      <w:r w:rsidRPr="00A91E83">
        <w:rPr>
          <w:rFonts w:ascii="Times New Roman" w:hAnsi="Times New Roman" w:cs="Times New Roman"/>
        </w:rPr>
        <w:t xml:space="preserve"> G.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markets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Pr>
          <w:rFonts w:ascii="Times New Roman" w:hAnsi="Times New Roman" w:cs="Times New Roman"/>
        </w:rPr>
        <w:t>e</w:t>
      </w:r>
      <w:r w:rsidRPr="00A91E83">
        <w:rPr>
          <w:rFonts w:ascii="Times New Roman" w:hAnsi="Times New Roman" w:cs="Times New Roman"/>
        </w:rPr>
        <w:t>xchange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York</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Oxford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University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Press</w:t>
      </w:r>
      <w:proofErr w:type="spellEnd"/>
      <w:r w:rsidRPr="00A91E83">
        <w:rPr>
          <w:rFonts w:ascii="Times New Roman" w:hAnsi="Times New Roman" w:cs="Times New Roman"/>
        </w:rPr>
        <w:t>, 2007, p.26.</w:t>
      </w:r>
    </w:p>
  </w:footnote>
  <w:footnote w:id="74">
    <w:p w:rsidR="00A91E13" w:rsidRPr="00A91E83" w:rsidRDefault="00A91E13" w:rsidP="00621590">
      <w:pPr>
        <w:autoSpaceDE w:val="0"/>
        <w:autoSpaceDN w:val="0"/>
        <w:adjustRightInd w:val="0"/>
        <w:spacing w:after="0" w:line="240" w:lineRule="auto"/>
        <w:jc w:val="both"/>
        <w:rPr>
          <w:rFonts w:ascii="Times New Roman" w:hAnsi="Times New Roman" w:cs="Times New Roman"/>
          <w:sz w:val="20"/>
          <w:szCs w:val="20"/>
        </w:rPr>
      </w:pPr>
      <w:r w:rsidRPr="00A91E83">
        <w:rPr>
          <w:rStyle w:val="Puslapioinaosnuoroda"/>
          <w:rFonts w:ascii="Times New Roman" w:hAnsi="Times New Roman" w:cs="Times New Roman"/>
          <w:sz w:val="20"/>
          <w:szCs w:val="20"/>
        </w:rPr>
        <w:footnoteRef/>
      </w:r>
      <w:r w:rsidRPr="00A91E83">
        <w:rPr>
          <w:rFonts w:ascii="Times New Roman" w:hAnsi="Times New Roman" w:cs="Times New Roman"/>
          <w:sz w:val="20"/>
          <w:szCs w:val="20"/>
        </w:rPr>
        <w:t xml:space="preserve"> Europos Parlamento ir Tarybos 1998 </w:t>
      </w:r>
      <w:proofErr w:type="spellStart"/>
      <w:r w:rsidRPr="00A91E83">
        <w:rPr>
          <w:rFonts w:ascii="Times New Roman" w:hAnsi="Times New Roman" w:cs="Times New Roman"/>
          <w:sz w:val="20"/>
          <w:szCs w:val="20"/>
        </w:rPr>
        <w:t>m</w:t>
      </w:r>
      <w:proofErr w:type="spellEnd"/>
      <w:r w:rsidRPr="00A91E83">
        <w:rPr>
          <w:rFonts w:ascii="Times New Roman" w:hAnsi="Times New Roman" w:cs="Times New Roman"/>
          <w:sz w:val="20"/>
          <w:szCs w:val="20"/>
        </w:rPr>
        <w:t xml:space="preserve">. kovo 19 </w:t>
      </w:r>
      <w:proofErr w:type="spellStart"/>
      <w:r w:rsidRPr="00A91E83">
        <w:rPr>
          <w:rFonts w:ascii="Times New Roman" w:hAnsi="Times New Roman" w:cs="Times New Roman"/>
          <w:sz w:val="20"/>
          <w:szCs w:val="20"/>
        </w:rPr>
        <w:t>d</w:t>
      </w:r>
      <w:proofErr w:type="spellEnd"/>
      <w:r w:rsidRPr="00A91E83">
        <w:rPr>
          <w:rFonts w:ascii="Times New Roman" w:hAnsi="Times New Roman" w:cs="Times New Roman"/>
          <w:sz w:val="20"/>
          <w:szCs w:val="20"/>
        </w:rPr>
        <w:t>. direktyva 98/26/EB „Dėl atsiskaitymų baigtinumo mokėjimo ir vertybinių popierių atsiskaitymo sistemose“.</w:t>
      </w:r>
    </w:p>
  </w:footnote>
  <w:footnote w:id="7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Lietuvos Respublikos atsiskaitymų baigtinumo mokėjimo ir vertybinių popierių atsiskaitymo sistemose įstatymas 7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1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76">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Laurinavičius, K. Direktyvos 2002/47/EB Dėl finansinio užstato susitarimų įgyvendinimas Lietuvos teisėje. Pinigų studijos 2004, </w:t>
      </w:r>
      <w:proofErr w:type="spellStart"/>
      <w:r w:rsidRPr="00A91E83">
        <w:rPr>
          <w:rFonts w:ascii="Times New Roman" w:hAnsi="Times New Roman" w:cs="Times New Roman"/>
        </w:rPr>
        <w:t>Nr</w:t>
      </w:r>
      <w:proofErr w:type="spellEnd"/>
      <w:r w:rsidRPr="00A91E83">
        <w:rPr>
          <w:rFonts w:ascii="Times New Roman" w:hAnsi="Times New Roman" w:cs="Times New Roman"/>
        </w:rPr>
        <w:t xml:space="preserve">. 3, </w:t>
      </w:r>
      <w:proofErr w:type="spellStart"/>
      <w:r w:rsidRPr="00A91E83">
        <w:rPr>
          <w:rFonts w:ascii="Times New Roman" w:hAnsi="Times New Roman" w:cs="Times New Roman"/>
        </w:rPr>
        <w:t>p</w:t>
      </w:r>
      <w:proofErr w:type="spellEnd"/>
      <w:r w:rsidRPr="00A91E83">
        <w:rPr>
          <w:rFonts w:ascii="Times New Roman" w:hAnsi="Times New Roman" w:cs="Times New Roman"/>
        </w:rPr>
        <w:t>. 20.</w:t>
      </w:r>
    </w:p>
  </w:footnote>
  <w:footnote w:id="77">
    <w:p w:rsidR="00A91E13" w:rsidRPr="00A91E83" w:rsidRDefault="00A91E13" w:rsidP="000540E1">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260.</w:t>
      </w:r>
    </w:p>
  </w:footnote>
  <w:footnote w:id="7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Bowman</w:t>
      </w:r>
      <w:proofErr w:type="spellEnd"/>
      <w:r w:rsidRPr="00A91E83">
        <w:rPr>
          <w:rFonts w:ascii="Times New Roman" w:hAnsi="Times New Roman" w:cs="Times New Roman"/>
        </w:rPr>
        <w:t xml:space="preserve"> L. </w:t>
      </w:r>
      <w:proofErr w:type="spellStart"/>
      <w:r w:rsidRPr="00A91E83">
        <w:rPr>
          <w:rFonts w:ascii="Times New Roman" w:hAnsi="Times New Roman" w:cs="Times New Roman"/>
        </w:rPr>
        <w:t>Deri</w:t>
      </w:r>
      <w:r>
        <w:rPr>
          <w:rFonts w:ascii="Times New Roman" w:hAnsi="Times New Roman" w:cs="Times New Roman"/>
        </w:rPr>
        <w:t>vatives</w:t>
      </w:r>
      <w:proofErr w:type="spellEnd"/>
      <w:r>
        <w:rPr>
          <w:rFonts w:ascii="Times New Roman" w:hAnsi="Times New Roman" w:cs="Times New Roman"/>
        </w:rPr>
        <w:t xml:space="preserve">: EU </w:t>
      </w:r>
      <w:proofErr w:type="spellStart"/>
      <w:r>
        <w:rPr>
          <w:rFonts w:ascii="Times New Roman" w:hAnsi="Times New Roman" w:cs="Times New Roman"/>
        </w:rPr>
        <w:t>policymaker</w:t>
      </w:r>
      <w:proofErr w:type="spellEnd"/>
      <w:r>
        <w:rPr>
          <w:rFonts w:ascii="Times New Roman" w:hAnsi="Times New Roman" w:cs="Times New Roman"/>
        </w:rPr>
        <w:t xml:space="preserve"> </w:t>
      </w:r>
      <w:proofErr w:type="spellStart"/>
      <w:r>
        <w:rPr>
          <w:rFonts w:ascii="Times New Roman" w:hAnsi="Times New Roman" w:cs="Times New Roman"/>
        </w:rPr>
        <w:t>hints</w:t>
      </w:r>
      <w:proofErr w:type="spellEnd"/>
      <w:r>
        <w:rPr>
          <w:rFonts w:ascii="Times New Roman" w:hAnsi="Times New Roman" w:cs="Times New Roman"/>
        </w:rPr>
        <w:t xml:space="preserve"> at</w:t>
      </w:r>
      <w:r w:rsidRPr="00A91E83">
        <w:rPr>
          <w:rFonts w:ascii="Times New Roman" w:hAnsi="Times New Roman" w:cs="Times New Roman"/>
        </w:rPr>
        <w:t xml:space="preserve"> OTC </w:t>
      </w:r>
      <w:proofErr w:type="spellStart"/>
      <w:r w:rsidRPr="00A91E83">
        <w:rPr>
          <w:rFonts w:ascii="Times New Roman" w:hAnsi="Times New Roman" w:cs="Times New Roman"/>
        </w:rPr>
        <w:t>rethink</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Euromoney</w:t>
      </w:r>
      <w:proofErr w:type="spellEnd"/>
      <w:r w:rsidRPr="00A91E83">
        <w:rPr>
          <w:rFonts w:ascii="Times New Roman" w:hAnsi="Times New Roman" w:cs="Times New Roman"/>
        </w:rPr>
        <w:t xml:space="preserve">, 2010, </w:t>
      </w:r>
      <w:proofErr w:type="spellStart"/>
      <w:r w:rsidRPr="00A91E83">
        <w:rPr>
          <w:rFonts w:ascii="Times New Roman" w:hAnsi="Times New Roman" w:cs="Times New Roman"/>
        </w:rPr>
        <w:t>July</w:t>
      </w:r>
      <w:proofErr w:type="spellEnd"/>
      <w:r w:rsidRPr="00A91E83">
        <w:rPr>
          <w:rFonts w:ascii="Times New Roman" w:hAnsi="Times New Roman" w:cs="Times New Roman"/>
        </w:rPr>
        <w:t xml:space="preserve">. Šaltinis </w:t>
      </w:r>
      <w:hyperlink r:id="rId21" w:history="1">
        <w:r w:rsidRPr="00A91E83">
          <w:rPr>
            <w:rStyle w:val="Hipersaitas"/>
            <w:rFonts w:ascii="Times New Roman" w:hAnsi="Times New Roman" w:cs="Times New Roman"/>
          </w:rPr>
          <w:t>http://www.euromoney.com/Article/2626619/Derivatives-EU-policymaker-hints-at-OTC-rethink.html</w:t>
        </w:r>
      </w:hyperlink>
    </w:p>
  </w:footnote>
  <w:footnote w:id="7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LAT CBS teisėjų kolegijos 2007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gruodžio 21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3K-3-593/2007.</w:t>
      </w:r>
    </w:p>
  </w:footnote>
  <w:footnote w:id="8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LAT CBS teisėjų kolegijos 2009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birželio 26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xml:space="preserve">. 3K-3-293/2009; LAT CBS teisėjų kolegijos 2010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vasario 1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xml:space="preserve">. 3K-3-18/2010; LAT CBS teisėjų kolegijos 2002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gegužės 8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xml:space="preserve">. 3K-3-699/2002; LAT CBS teisėjų kolegijos 2010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balandžio 19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xml:space="preserve">. 3K-3-179/2010; LAT CBS teisėjų kolegijos 2006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gruodžio 11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xml:space="preserve">. 3K-3-624/2006; LAT CBS teisėjų kolegijos 2010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sausio 4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3K-3-9/2010.</w:t>
      </w:r>
    </w:p>
  </w:footnote>
  <w:footnote w:id="8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Lietuvos Respublikos civilinis kodeksas // Valstybės žinios, 2000, </w:t>
      </w:r>
      <w:proofErr w:type="spellStart"/>
      <w:r w:rsidRPr="00A91E83">
        <w:rPr>
          <w:rFonts w:ascii="Times New Roman" w:hAnsi="Times New Roman" w:cs="Times New Roman"/>
        </w:rPr>
        <w:t>Nr</w:t>
      </w:r>
      <w:proofErr w:type="spellEnd"/>
      <w:r w:rsidRPr="00A91E83">
        <w:rPr>
          <w:rFonts w:ascii="Times New Roman" w:hAnsi="Times New Roman" w:cs="Times New Roman"/>
        </w:rPr>
        <w:t>. 74-2262.</w:t>
      </w:r>
    </w:p>
  </w:footnote>
  <w:footnote w:id="8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Lietuvos Respublikos įmonių restruktūrizavimo įstatymas // Valstybės žinios, 2001, </w:t>
      </w:r>
      <w:proofErr w:type="spellStart"/>
      <w:r w:rsidRPr="00A91E83">
        <w:rPr>
          <w:rFonts w:ascii="Times New Roman" w:hAnsi="Times New Roman" w:cs="Times New Roman"/>
        </w:rPr>
        <w:t>Nr</w:t>
      </w:r>
      <w:proofErr w:type="spellEnd"/>
      <w:r w:rsidRPr="00A91E83">
        <w:rPr>
          <w:rFonts w:ascii="Times New Roman" w:hAnsi="Times New Roman" w:cs="Times New Roman"/>
        </w:rPr>
        <w:t>. 31-1012.</w:t>
      </w:r>
    </w:p>
  </w:footnote>
  <w:footnote w:id="83">
    <w:p w:rsidR="00A91E13" w:rsidRPr="00A91E83" w:rsidRDefault="00A91E13" w:rsidP="00621590">
      <w:pPr>
        <w:autoSpaceDE w:val="0"/>
        <w:autoSpaceDN w:val="0"/>
        <w:adjustRightInd w:val="0"/>
        <w:spacing w:after="0" w:line="240" w:lineRule="auto"/>
        <w:jc w:val="both"/>
        <w:rPr>
          <w:rFonts w:ascii="Times New Roman" w:hAnsi="Times New Roman" w:cs="Times New Roman"/>
          <w:sz w:val="20"/>
          <w:szCs w:val="20"/>
        </w:rPr>
      </w:pPr>
      <w:r w:rsidRPr="00A91E83">
        <w:rPr>
          <w:rStyle w:val="Puslapioinaosnuoroda"/>
          <w:rFonts w:ascii="Times New Roman" w:hAnsi="Times New Roman" w:cs="Times New Roman"/>
          <w:sz w:val="20"/>
          <w:szCs w:val="20"/>
        </w:rPr>
        <w:footnoteRef/>
      </w:r>
      <w:r w:rsidRPr="00A91E83">
        <w:rPr>
          <w:rFonts w:ascii="Times New Roman" w:hAnsi="Times New Roman" w:cs="Times New Roman"/>
          <w:sz w:val="20"/>
          <w:szCs w:val="20"/>
        </w:rPr>
        <w:t xml:space="preserve"> Mikelėnas V., Mizaras V., Vileita A., et. </w:t>
      </w:r>
      <w:proofErr w:type="spellStart"/>
      <w:r w:rsidRPr="00A91E83">
        <w:rPr>
          <w:rFonts w:ascii="Times New Roman" w:hAnsi="Times New Roman" w:cs="Times New Roman"/>
          <w:sz w:val="20"/>
          <w:szCs w:val="20"/>
        </w:rPr>
        <w:t>al</w:t>
      </w:r>
      <w:proofErr w:type="spellEnd"/>
      <w:r w:rsidRPr="00A91E83">
        <w:rPr>
          <w:rFonts w:ascii="Times New Roman" w:hAnsi="Times New Roman" w:cs="Times New Roman"/>
          <w:sz w:val="20"/>
          <w:szCs w:val="20"/>
        </w:rPr>
        <w:t xml:space="preserve">. Lietuvos Respublikos civilinio kodekso komentaras. Šeštoji knyga. Prievolių teisė. Vilnius: </w:t>
      </w:r>
      <w:proofErr w:type="spellStart"/>
      <w:r w:rsidRPr="00A91E83">
        <w:rPr>
          <w:rFonts w:ascii="Times New Roman" w:hAnsi="Times New Roman" w:cs="Times New Roman"/>
          <w:sz w:val="20"/>
          <w:szCs w:val="20"/>
        </w:rPr>
        <w:t>Justitia</w:t>
      </w:r>
      <w:proofErr w:type="spellEnd"/>
      <w:r w:rsidRPr="00A91E83">
        <w:rPr>
          <w:rFonts w:ascii="Times New Roman" w:hAnsi="Times New Roman" w:cs="Times New Roman"/>
          <w:sz w:val="20"/>
          <w:szCs w:val="20"/>
        </w:rPr>
        <w:t xml:space="preserve">, 2001, </w:t>
      </w:r>
      <w:proofErr w:type="spellStart"/>
      <w:r w:rsidRPr="00A91E83">
        <w:rPr>
          <w:rFonts w:ascii="Times New Roman" w:hAnsi="Times New Roman" w:cs="Times New Roman"/>
          <w:sz w:val="20"/>
          <w:szCs w:val="20"/>
        </w:rPr>
        <w:t>p</w:t>
      </w:r>
      <w:proofErr w:type="spellEnd"/>
      <w:r w:rsidRPr="00A91E83">
        <w:rPr>
          <w:rFonts w:ascii="Times New Roman" w:hAnsi="Times New Roman" w:cs="Times New Roman"/>
          <w:sz w:val="20"/>
          <w:szCs w:val="20"/>
        </w:rPr>
        <w:t>. 180</w:t>
      </w:r>
    </w:p>
  </w:footnote>
  <w:footnote w:id="8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bookmarkStart w:id="13" w:name="n4_35"/>
      <w:r w:rsidRPr="00A91E83">
        <w:rPr>
          <w:rFonts w:ascii="Times New Roman" w:hAnsi="Times New Roman" w:cs="Times New Roman"/>
        </w:rPr>
        <w:fldChar w:fldCharType="begin"/>
      </w:r>
      <w:r w:rsidRPr="00A91E83">
        <w:rPr>
          <w:rFonts w:ascii="Times New Roman" w:hAnsi="Times New Roman" w:cs="Times New Roman"/>
        </w:rPr>
        <w:instrText xml:space="preserve"> HYPERLINK "http://www.infolex.lt/ta/118980" \o "Lietuvos Respublikos įmonių bankroto įstatymas [ĮBĮ2001]" \t "_blank" </w:instrText>
      </w:r>
      <w:r w:rsidRPr="00A91E83">
        <w:rPr>
          <w:rFonts w:ascii="Times New Roman" w:hAnsi="Times New Roman" w:cs="Times New Roman"/>
        </w:rPr>
        <w:fldChar w:fldCharType="separate"/>
      </w:r>
      <w:r w:rsidRPr="00A91E83">
        <w:rPr>
          <w:rFonts w:ascii="Times New Roman" w:hAnsi="Times New Roman" w:cs="Times New Roman"/>
        </w:rPr>
        <w:t>ĮBĮ</w:t>
      </w:r>
      <w:r w:rsidRPr="00A91E83">
        <w:rPr>
          <w:rFonts w:ascii="Times New Roman" w:hAnsi="Times New Roman" w:cs="Times New Roman"/>
        </w:rPr>
        <w:fldChar w:fldCharType="end"/>
      </w:r>
      <w:bookmarkStart w:id="14" w:name="pn4_35"/>
      <w:bookmarkStart w:id="15" w:name="n4_36"/>
      <w:bookmarkEnd w:id="13"/>
      <w:bookmarkEnd w:id="14"/>
      <w:r w:rsidRPr="00A91E83">
        <w:rPr>
          <w:rFonts w:ascii="Times New Roman" w:hAnsi="Times New Roman" w:cs="Times New Roman"/>
        </w:rPr>
        <w:t xml:space="preserve"> </w:t>
      </w:r>
      <w:hyperlink r:id="rId22" w:tgtFrame="_blank" w:tooltip="Bankroto bylos iškėlimas teisme" w:history="1">
        <w:r w:rsidRPr="00A91E83">
          <w:rPr>
            <w:rFonts w:ascii="Times New Roman" w:hAnsi="Times New Roman" w:cs="Times New Roman"/>
          </w:rPr>
          <w:t>10</w:t>
        </w:r>
      </w:hyperlink>
      <w:bookmarkStart w:id="16" w:name="pn4_36"/>
      <w:bookmarkEnd w:id="15"/>
      <w:bookmarkEnd w:id="16"/>
      <w:r w:rsidRPr="00A91E83">
        <w:rPr>
          <w:rFonts w:ascii="Times New Roman" w:hAnsi="Times New Roman" w:cs="Times New Roman"/>
        </w:rPr>
        <w:t xml:space="preserve"> straipsnio 7 dalis 3 punktas</w:t>
      </w:r>
    </w:p>
  </w:footnote>
  <w:footnote w:id="85">
    <w:p w:rsidR="00A91E13" w:rsidRPr="00A91E83" w:rsidRDefault="00A91E13" w:rsidP="00621590">
      <w:pPr>
        <w:pStyle w:val="Puslapioinaostekstas"/>
        <w:tabs>
          <w:tab w:val="left" w:pos="851"/>
        </w:tab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LAT CBS teisėjų kolegijos 2004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spalio 11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3K-3-538/2004.</w:t>
      </w:r>
    </w:p>
  </w:footnote>
  <w:footnote w:id="86">
    <w:p w:rsidR="00A91E13" w:rsidRPr="00A91E83" w:rsidRDefault="00A91E13" w:rsidP="006E2EC9">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LAT CBS teisėjų kolegijos 2008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gegužės 27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3K-3-226/2008.</w:t>
      </w:r>
    </w:p>
  </w:footnote>
  <w:footnote w:id="8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Kavalnė</w:t>
      </w:r>
      <w:proofErr w:type="spellEnd"/>
      <w:r w:rsidRPr="00A91E83">
        <w:rPr>
          <w:rFonts w:ascii="Times New Roman" w:hAnsi="Times New Roman" w:cs="Times New Roman"/>
        </w:rPr>
        <w:t xml:space="preserve"> S. Finansinio užstato davėjo nemokumas: teorinės ir praktinės problemos. Disertacija. Vilnius. Mykolo </w:t>
      </w:r>
      <w:proofErr w:type="spellStart"/>
      <w:r w:rsidRPr="00A91E83">
        <w:rPr>
          <w:rFonts w:ascii="Times New Roman" w:hAnsi="Times New Roman" w:cs="Times New Roman"/>
        </w:rPr>
        <w:t>Romerio</w:t>
      </w:r>
      <w:proofErr w:type="spellEnd"/>
      <w:r w:rsidRPr="00A91E83">
        <w:rPr>
          <w:rFonts w:ascii="Times New Roman" w:hAnsi="Times New Roman" w:cs="Times New Roman"/>
        </w:rPr>
        <w:t xml:space="preserve"> universitetas, 2009, </w:t>
      </w:r>
      <w:proofErr w:type="spellStart"/>
      <w:r w:rsidRPr="00A91E83">
        <w:rPr>
          <w:rFonts w:ascii="Times New Roman" w:hAnsi="Times New Roman" w:cs="Times New Roman"/>
        </w:rPr>
        <w:t>p</w:t>
      </w:r>
      <w:proofErr w:type="spellEnd"/>
      <w:r w:rsidRPr="00A91E83">
        <w:rPr>
          <w:rFonts w:ascii="Times New Roman" w:hAnsi="Times New Roman" w:cs="Times New Roman"/>
        </w:rPr>
        <w:t>. 86.</w:t>
      </w:r>
    </w:p>
  </w:footnote>
  <w:footnote w:id="8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LAT CBS teisėjų kolegijos 2000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birželio 6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xml:space="preserve">. 3K-3-568/2000; LAT CBS teisėjų kolegijos 2004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rugsėjo 27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xml:space="preserve">. 3K-3-484/2004; LAT CBS teisėjų kolegijos 2006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spalio 24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3K-3-529/2006.</w:t>
      </w:r>
    </w:p>
  </w:footnote>
  <w:footnote w:id="8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Kavalnė</w:t>
      </w:r>
      <w:proofErr w:type="spellEnd"/>
      <w:r w:rsidRPr="00A91E83">
        <w:rPr>
          <w:rFonts w:ascii="Times New Roman" w:hAnsi="Times New Roman" w:cs="Times New Roman"/>
        </w:rPr>
        <w:t xml:space="preserve"> S. Finansinio užstato davėjo nemokumas: teorinės ir praktinės problemos. Disertacija. Vilnius. Mykolo </w:t>
      </w:r>
      <w:proofErr w:type="spellStart"/>
      <w:r w:rsidRPr="00A91E83">
        <w:rPr>
          <w:rFonts w:ascii="Times New Roman" w:hAnsi="Times New Roman" w:cs="Times New Roman"/>
        </w:rPr>
        <w:t>Romerio</w:t>
      </w:r>
      <w:proofErr w:type="spellEnd"/>
      <w:r w:rsidRPr="00A91E83">
        <w:rPr>
          <w:rFonts w:ascii="Times New Roman" w:hAnsi="Times New Roman" w:cs="Times New Roman"/>
        </w:rPr>
        <w:t xml:space="preserve"> universitetas, 2009, </w:t>
      </w:r>
      <w:proofErr w:type="spellStart"/>
      <w:r w:rsidRPr="00A91E83">
        <w:rPr>
          <w:rFonts w:ascii="Times New Roman" w:hAnsi="Times New Roman" w:cs="Times New Roman"/>
        </w:rPr>
        <w:t>p</w:t>
      </w:r>
      <w:proofErr w:type="spellEnd"/>
      <w:r w:rsidRPr="00A91E83">
        <w:rPr>
          <w:rFonts w:ascii="Times New Roman" w:hAnsi="Times New Roman" w:cs="Times New Roman"/>
        </w:rPr>
        <w:t>. 85.</w:t>
      </w:r>
    </w:p>
  </w:footnote>
  <w:footnote w:id="90">
    <w:p w:rsidR="00A91E13" w:rsidRPr="00A91E83" w:rsidRDefault="00A91E13" w:rsidP="00621590">
      <w:pPr>
        <w:pStyle w:val="Puslapioinaostekstas"/>
        <w:tabs>
          <w:tab w:val="left" w:pos="851"/>
        </w:tab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LAT CBS išplėstinės teisėjų kolegijos 2001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kovo 13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3K-7-95/2001.</w:t>
      </w:r>
    </w:p>
  </w:footnote>
  <w:footnote w:id="9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26.</w:t>
      </w:r>
    </w:p>
  </w:footnote>
  <w:footnote w:id="9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Ambrasienė</w:t>
      </w:r>
      <w:proofErr w:type="spellEnd"/>
      <w:r w:rsidRPr="00A91E83">
        <w:rPr>
          <w:rFonts w:ascii="Times New Roman" w:hAnsi="Times New Roman" w:cs="Times New Roman"/>
        </w:rPr>
        <w:t xml:space="preserve"> D., Baranauskas E., </w:t>
      </w:r>
      <w:proofErr w:type="spellStart"/>
      <w:r w:rsidRPr="00A91E83">
        <w:rPr>
          <w:rFonts w:ascii="Times New Roman" w:hAnsi="Times New Roman" w:cs="Times New Roman"/>
        </w:rPr>
        <w:t>Bublienė</w:t>
      </w:r>
      <w:proofErr w:type="spellEnd"/>
      <w:r w:rsidRPr="00A91E83">
        <w:rPr>
          <w:rFonts w:ascii="Times New Roman" w:hAnsi="Times New Roman" w:cs="Times New Roman"/>
        </w:rPr>
        <w:t xml:space="preserve"> D. et </w:t>
      </w:r>
      <w:proofErr w:type="spellStart"/>
      <w:r w:rsidRPr="00A91E83">
        <w:rPr>
          <w:rFonts w:ascii="Times New Roman" w:hAnsi="Times New Roman" w:cs="Times New Roman"/>
        </w:rPr>
        <w:t>al</w:t>
      </w:r>
      <w:proofErr w:type="spellEnd"/>
      <w:r w:rsidRPr="00A91E83">
        <w:rPr>
          <w:rFonts w:ascii="Times New Roman" w:hAnsi="Times New Roman" w:cs="Times New Roman"/>
        </w:rPr>
        <w:t xml:space="preserve">. Civilinė teisė. Prievolių teisė. Vilnius: Mykolo </w:t>
      </w:r>
      <w:proofErr w:type="spellStart"/>
      <w:r w:rsidRPr="00A91E83">
        <w:rPr>
          <w:rFonts w:ascii="Times New Roman" w:hAnsi="Times New Roman" w:cs="Times New Roman"/>
        </w:rPr>
        <w:t>Romerio</w:t>
      </w:r>
      <w:proofErr w:type="spellEnd"/>
      <w:r w:rsidRPr="00A91E83">
        <w:rPr>
          <w:rFonts w:ascii="Times New Roman" w:hAnsi="Times New Roman" w:cs="Times New Roman"/>
        </w:rPr>
        <w:t xml:space="preserve"> universiteto Leidybos centras, 2006, </w:t>
      </w:r>
      <w:proofErr w:type="spellStart"/>
      <w:r w:rsidRPr="00A91E83">
        <w:rPr>
          <w:rFonts w:ascii="Times New Roman" w:hAnsi="Times New Roman" w:cs="Times New Roman"/>
        </w:rPr>
        <w:t>p</w:t>
      </w:r>
      <w:proofErr w:type="spellEnd"/>
      <w:r w:rsidRPr="00A91E83">
        <w:rPr>
          <w:rFonts w:ascii="Times New Roman" w:hAnsi="Times New Roman" w:cs="Times New Roman"/>
        </w:rPr>
        <w:t>. 96.</w:t>
      </w:r>
    </w:p>
  </w:footnote>
  <w:footnote w:id="9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LAT konsultacija bankroto bylų nagrinėjimo klausimais 1997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birželio 19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9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26.</w:t>
      </w:r>
    </w:p>
  </w:footnote>
  <w:footnote w:id="9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Europos Parlamento ir Tarybos 1998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kovo 19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direktyva 98/26/EB „Dėl atsiskaitymų baigtinumo mokėjimo ir vertybinių popierių atsiskaitymo sistemose“ 2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(k) </w:t>
      </w:r>
      <w:proofErr w:type="spellStart"/>
      <w:r w:rsidRPr="00A91E83">
        <w:rPr>
          <w:rFonts w:ascii="Times New Roman" w:hAnsi="Times New Roman" w:cs="Times New Roman"/>
        </w:rPr>
        <w:t>p</w:t>
      </w:r>
      <w:proofErr w:type="spellEnd"/>
      <w:r w:rsidRPr="00A91E83">
        <w:rPr>
          <w:rFonts w:ascii="Times New Roman" w:hAnsi="Times New Roman" w:cs="Times New Roman"/>
        </w:rPr>
        <w:t>.</w:t>
      </w:r>
    </w:p>
  </w:footnote>
  <w:footnote w:id="96">
    <w:p w:rsidR="00A91E13" w:rsidRPr="00A91E83" w:rsidRDefault="00A91E13" w:rsidP="00621590">
      <w:pPr>
        <w:autoSpaceDE w:val="0"/>
        <w:autoSpaceDN w:val="0"/>
        <w:adjustRightInd w:val="0"/>
        <w:spacing w:after="0" w:line="240" w:lineRule="auto"/>
        <w:jc w:val="both"/>
        <w:rPr>
          <w:rFonts w:ascii="Times New Roman" w:hAnsi="Times New Roman" w:cs="Times New Roman"/>
          <w:sz w:val="20"/>
          <w:szCs w:val="20"/>
        </w:rPr>
      </w:pPr>
      <w:r w:rsidRPr="00A91E83">
        <w:rPr>
          <w:rStyle w:val="Puslapioinaosnuoroda"/>
          <w:rFonts w:ascii="Times New Roman" w:hAnsi="Times New Roman" w:cs="Times New Roman"/>
          <w:sz w:val="20"/>
          <w:szCs w:val="20"/>
        </w:rPr>
        <w:footnoteRef/>
      </w:r>
      <w:r w:rsidRPr="00A91E83">
        <w:rPr>
          <w:rFonts w:ascii="Times New Roman" w:hAnsi="Times New Roman" w:cs="Times New Roman"/>
          <w:sz w:val="20"/>
          <w:szCs w:val="20"/>
        </w:rPr>
        <w:t xml:space="preserve"> Lietuvos Respublikos atsiskaitymų baigtinumo mokėjimo ir vertybinių popierių atsiskaitymo sistemose įstatymas  2 </w:t>
      </w:r>
      <w:proofErr w:type="spellStart"/>
      <w:r w:rsidRPr="00A91E83">
        <w:rPr>
          <w:rFonts w:ascii="Times New Roman" w:hAnsi="Times New Roman" w:cs="Times New Roman"/>
          <w:sz w:val="20"/>
          <w:szCs w:val="20"/>
        </w:rPr>
        <w:t>str</w:t>
      </w:r>
      <w:proofErr w:type="spellEnd"/>
      <w:r w:rsidRPr="00A91E83">
        <w:rPr>
          <w:rFonts w:ascii="Times New Roman" w:hAnsi="Times New Roman" w:cs="Times New Roman"/>
          <w:sz w:val="20"/>
          <w:szCs w:val="20"/>
        </w:rPr>
        <w:t xml:space="preserve">. 7 </w:t>
      </w:r>
      <w:proofErr w:type="spellStart"/>
      <w:r w:rsidRPr="00A91E83">
        <w:rPr>
          <w:rFonts w:ascii="Times New Roman" w:hAnsi="Times New Roman" w:cs="Times New Roman"/>
          <w:sz w:val="20"/>
          <w:szCs w:val="20"/>
        </w:rPr>
        <w:t>d</w:t>
      </w:r>
      <w:proofErr w:type="spellEnd"/>
      <w:r w:rsidRPr="00A91E83">
        <w:rPr>
          <w:rFonts w:ascii="Times New Roman" w:hAnsi="Times New Roman" w:cs="Times New Roman"/>
          <w:sz w:val="20"/>
          <w:szCs w:val="20"/>
        </w:rPr>
        <w:t>.</w:t>
      </w:r>
    </w:p>
  </w:footnote>
  <w:footnote w:id="9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Europos Parlamento ir Tarybos 2002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birželio 6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direktyva 2002/47/EB „Dėl susitarimų dėl finansinio įkaito“ 2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1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 </w:t>
      </w:r>
      <w:proofErr w:type="spellStart"/>
      <w:r w:rsidRPr="00A91E83">
        <w:rPr>
          <w:rFonts w:ascii="Times New Roman" w:hAnsi="Times New Roman" w:cs="Times New Roman"/>
        </w:rPr>
        <w:t>p</w:t>
      </w:r>
      <w:proofErr w:type="spellEnd"/>
      <w:r w:rsidRPr="00A91E83">
        <w:rPr>
          <w:rFonts w:ascii="Times New Roman" w:hAnsi="Times New Roman" w:cs="Times New Roman"/>
        </w:rPr>
        <w:t>.</w:t>
      </w:r>
    </w:p>
  </w:footnote>
  <w:footnote w:id="9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FUSĮ 2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5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9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Pvz</w:t>
      </w:r>
      <w:proofErr w:type="spellEnd"/>
      <w:r w:rsidRPr="00A91E83">
        <w:rPr>
          <w:rFonts w:ascii="Times New Roman" w:hAnsi="Times New Roman" w:cs="Times New Roman"/>
        </w:rPr>
        <w:t xml:space="preserve">.: Europos Parlamento ir Tarybos 2001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balandžio 4 </w:t>
      </w:r>
      <w:proofErr w:type="spellStart"/>
      <w:r w:rsidRPr="00A91E83">
        <w:rPr>
          <w:rFonts w:ascii="Times New Roman" w:hAnsi="Times New Roman" w:cs="Times New Roman"/>
        </w:rPr>
        <w:t>d</w:t>
      </w:r>
      <w:proofErr w:type="spellEnd"/>
      <w:r w:rsidRPr="00A91E83">
        <w:rPr>
          <w:rFonts w:ascii="Times New Roman" w:hAnsi="Times New Roman" w:cs="Times New Roman"/>
        </w:rPr>
        <w:t>. direktyva 2001/24/EB „Dėl kredito įstaigų reorganizavimo ir likvidavimo“ bei įgyvendinantįjį teisės aktą Lietuvos Respublikos bankų įstatymą.</w:t>
      </w:r>
    </w:p>
  </w:footnote>
  <w:footnote w:id="10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464.</w:t>
      </w:r>
    </w:p>
  </w:footnote>
  <w:footnote w:id="10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Goode</w:t>
      </w:r>
      <w:proofErr w:type="spellEnd"/>
      <w:r w:rsidRPr="00A91E83">
        <w:rPr>
          <w:rFonts w:ascii="Times New Roman" w:hAnsi="Times New Roman" w:cs="Times New Roman"/>
        </w:rPr>
        <w:t xml:space="preserve"> R. </w:t>
      </w:r>
      <w:proofErr w:type="spellStart"/>
      <w:r w:rsidRPr="00A91E83">
        <w:rPr>
          <w:rFonts w:ascii="Times New Roman" w:hAnsi="Times New Roman" w:cs="Times New Roman"/>
        </w:rPr>
        <w:t>Principles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corporate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insolvency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2005, </w:t>
      </w:r>
      <w:proofErr w:type="spellStart"/>
      <w:r w:rsidRPr="00A91E83">
        <w:rPr>
          <w:rFonts w:ascii="Times New Roman" w:hAnsi="Times New Roman" w:cs="Times New Roman"/>
        </w:rPr>
        <w:t>p</w:t>
      </w:r>
      <w:proofErr w:type="spellEnd"/>
      <w:r w:rsidRPr="00A91E83">
        <w:rPr>
          <w:rFonts w:ascii="Times New Roman" w:hAnsi="Times New Roman" w:cs="Times New Roman"/>
        </w:rPr>
        <w:t>. 217.</w:t>
      </w:r>
    </w:p>
  </w:footnote>
  <w:footnote w:id="10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464.</w:t>
      </w:r>
    </w:p>
  </w:footnote>
  <w:footnote w:id="10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Kavalnė</w:t>
      </w:r>
      <w:proofErr w:type="spellEnd"/>
      <w:r w:rsidRPr="00A91E83">
        <w:rPr>
          <w:rFonts w:ascii="Times New Roman" w:hAnsi="Times New Roman" w:cs="Times New Roman"/>
        </w:rPr>
        <w:t xml:space="preserve"> S. Finansinio užstato davėjo nemokumas: teorinės ir praktinės problemos. Disertacija. Vilnius. Mykolo </w:t>
      </w:r>
      <w:proofErr w:type="spellStart"/>
      <w:r w:rsidRPr="00A91E83">
        <w:rPr>
          <w:rFonts w:ascii="Times New Roman" w:hAnsi="Times New Roman" w:cs="Times New Roman"/>
        </w:rPr>
        <w:t>Romerio</w:t>
      </w:r>
      <w:proofErr w:type="spellEnd"/>
      <w:r w:rsidRPr="00A91E83">
        <w:rPr>
          <w:rFonts w:ascii="Times New Roman" w:hAnsi="Times New Roman" w:cs="Times New Roman"/>
        </w:rPr>
        <w:t xml:space="preserve"> universitetas, 2009, </w:t>
      </w:r>
      <w:proofErr w:type="spellStart"/>
      <w:r w:rsidRPr="00A91E83">
        <w:rPr>
          <w:rFonts w:ascii="Times New Roman" w:hAnsi="Times New Roman" w:cs="Times New Roman"/>
        </w:rPr>
        <w:t>p</w:t>
      </w:r>
      <w:proofErr w:type="spellEnd"/>
      <w:r w:rsidRPr="00A91E83">
        <w:rPr>
          <w:rFonts w:ascii="Times New Roman" w:hAnsi="Times New Roman" w:cs="Times New Roman"/>
        </w:rPr>
        <w:t>. 81.</w:t>
      </w:r>
    </w:p>
  </w:footnote>
  <w:footnote w:id="10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Goode</w:t>
      </w:r>
      <w:proofErr w:type="spellEnd"/>
      <w:r w:rsidRPr="00A91E83">
        <w:rPr>
          <w:rFonts w:ascii="Times New Roman" w:hAnsi="Times New Roman" w:cs="Times New Roman"/>
        </w:rPr>
        <w:t xml:space="preserve"> R. </w:t>
      </w:r>
      <w:proofErr w:type="spellStart"/>
      <w:r w:rsidRPr="00A91E83">
        <w:rPr>
          <w:rFonts w:ascii="Times New Roman" w:hAnsi="Times New Roman" w:cs="Times New Roman"/>
        </w:rPr>
        <w:t>Principles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corporate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insolvency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2005, </w:t>
      </w:r>
      <w:proofErr w:type="spellStart"/>
      <w:r w:rsidRPr="00A91E83">
        <w:rPr>
          <w:rFonts w:ascii="Times New Roman" w:hAnsi="Times New Roman" w:cs="Times New Roman"/>
        </w:rPr>
        <w:t>p</w:t>
      </w:r>
      <w:proofErr w:type="spellEnd"/>
      <w:r w:rsidRPr="00A91E83">
        <w:rPr>
          <w:rFonts w:ascii="Times New Roman" w:hAnsi="Times New Roman" w:cs="Times New Roman"/>
        </w:rPr>
        <w:t>. 217.</w:t>
      </w:r>
    </w:p>
  </w:footnote>
  <w:footnote w:id="10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Kartais dar išskiriama daugiašalė užskaita (</w:t>
      </w:r>
      <w:proofErr w:type="spellStart"/>
      <w:r w:rsidRPr="00A91E83">
        <w:rPr>
          <w:rFonts w:ascii="Times New Roman" w:hAnsi="Times New Roman" w:cs="Times New Roman"/>
        </w:rPr>
        <w:t>angl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i/>
        </w:rPr>
        <w:t>multilateral</w:t>
      </w:r>
      <w:proofErr w:type="spellEnd"/>
      <w:r w:rsidRPr="00A91E83">
        <w:rPr>
          <w:rFonts w:ascii="Times New Roman" w:hAnsi="Times New Roman" w:cs="Times New Roman"/>
          <w:i/>
        </w:rPr>
        <w:t xml:space="preserve"> </w:t>
      </w:r>
      <w:proofErr w:type="spellStart"/>
      <w:r w:rsidRPr="00A91E83">
        <w:rPr>
          <w:rFonts w:ascii="Times New Roman" w:hAnsi="Times New Roman" w:cs="Times New Roman"/>
          <w:i/>
        </w:rPr>
        <w:t>netting</w:t>
      </w:r>
      <w:proofErr w:type="spellEnd"/>
      <w:r w:rsidRPr="00A91E83">
        <w:rPr>
          <w:rFonts w:ascii="Times New Roman" w:hAnsi="Times New Roman" w:cs="Times New Roman"/>
        </w:rPr>
        <w:t>). Dėl darbo apimties plačiau ši užskaitos rūšis nebus aptarinėjama, nes ji naudoja tokį pat mechanizmą, kaip ir tyrime aptariamos užskaitos rūšys, tik taikymas išplečiamas, nes  įtraukiamos kelios šalys.</w:t>
      </w:r>
    </w:p>
  </w:footnote>
  <w:footnote w:id="106">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13.</w:t>
      </w:r>
    </w:p>
  </w:footnote>
  <w:footnote w:id="10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469.</w:t>
      </w:r>
    </w:p>
  </w:footnote>
  <w:footnote w:id="10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Shea</w:t>
      </w:r>
      <w:proofErr w:type="spellEnd"/>
      <w:r w:rsidRPr="00A91E83">
        <w:rPr>
          <w:rFonts w:ascii="Times New Roman" w:hAnsi="Times New Roman" w:cs="Times New Roman"/>
        </w:rPr>
        <w:t xml:space="preserve"> T.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usefulness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agreements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Journal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International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Banking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1991, 6(4), </w:t>
      </w:r>
      <w:proofErr w:type="spellStart"/>
      <w:r w:rsidRPr="00A91E83">
        <w:rPr>
          <w:rFonts w:ascii="Times New Roman" w:hAnsi="Times New Roman" w:cs="Times New Roman"/>
        </w:rPr>
        <w:t>pp</w:t>
      </w:r>
      <w:proofErr w:type="spellEnd"/>
      <w:r w:rsidRPr="00A91E83">
        <w:rPr>
          <w:rFonts w:ascii="Times New Roman" w:hAnsi="Times New Roman" w:cs="Times New Roman"/>
        </w:rPr>
        <w:t>. 132-138.</w:t>
      </w:r>
    </w:p>
  </w:footnote>
  <w:footnote w:id="10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15.</w:t>
      </w:r>
    </w:p>
  </w:footnote>
  <w:footnote w:id="11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i/>
        </w:rPr>
        <w:t>Ibid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pp</w:t>
      </w:r>
      <w:proofErr w:type="spellEnd"/>
      <w:r w:rsidRPr="00A91E83">
        <w:rPr>
          <w:rFonts w:ascii="Times New Roman" w:hAnsi="Times New Roman" w:cs="Times New Roman"/>
        </w:rPr>
        <w:t>. 17-18.</w:t>
      </w:r>
    </w:p>
  </w:footnote>
  <w:footnote w:id="11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Kavalnė</w:t>
      </w:r>
      <w:proofErr w:type="spellEnd"/>
      <w:r w:rsidRPr="00A91E83">
        <w:rPr>
          <w:rFonts w:ascii="Times New Roman" w:hAnsi="Times New Roman" w:cs="Times New Roman"/>
        </w:rPr>
        <w:t xml:space="preserve"> S. Finansinio užstato davėjo nemokumas: teorinės ir praktinės problemos. Disertacija. Vilnius. Mykolo </w:t>
      </w:r>
      <w:proofErr w:type="spellStart"/>
      <w:r w:rsidRPr="00A91E83">
        <w:rPr>
          <w:rFonts w:ascii="Times New Roman" w:hAnsi="Times New Roman" w:cs="Times New Roman"/>
        </w:rPr>
        <w:t>Romerio</w:t>
      </w:r>
      <w:proofErr w:type="spellEnd"/>
      <w:r w:rsidRPr="00A91E83">
        <w:rPr>
          <w:rFonts w:ascii="Times New Roman" w:hAnsi="Times New Roman" w:cs="Times New Roman"/>
        </w:rPr>
        <w:t xml:space="preserve"> universitetas, 2009, </w:t>
      </w:r>
      <w:proofErr w:type="spellStart"/>
      <w:r w:rsidRPr="00A91E83">
        <w:rPr>
          <w:rFonts w:ascii="Times New Roman" w:hAnsi="Times New Roman" w:cs="Times New Roman"/>
        </w:rPr>
        <w:t>p</w:t>
      </w:r>
      <w:proofErr w:type="spellEnd"/>
      <w:r w:rsidRPr="00A91E83">
        <w:rPr>
          <w:rFonts w:ascii="Times New Roman" w:hAnsi="Times New Roman" w:cs="Times New Roman"/>
        </w:rPr>
        <w:t xml:space="preserve">. 82, cituoja </w:t>
      </w:r>
      <w:proofErr w:type="spellStart"/>
      <w:r w:rsidRPr="00A91E83">
        <w:rPr>
          <w:rFonts w:ascii="Times New Roman" w:hAnsi="Times New Roman" w:cs="Times New Roman"/>
        </w:rPr>
        <w:t>Keijser</w:t>
      </w:r>
      <w:proofErr w:type="spellEnd"/>
      <w:r w:rsidRPr="00A91E83">
        <w:rPr>
          <w:rFonts w:ascii="Times New Roman" w:hAnsi="Times New Roman" w:cs="Times New Roman"/>
        </w:rPr>
        <w:t xml:space="preserve"> T.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collateral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arrangements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European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collateral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directive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considered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from</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property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insolvency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perspective</w:t>
      </w:r>
      <w:proofErr w:type="spellEnd"/>
      <w:r w:rsidRPr="00A91E83">
        <w:rPr>
          <w:rFonts w:ascii="Times New Roman" w:hAnsi="Times New Roman" w:cs="Times New Roman"/>
        </w:rPr>
        <w:t xml:space="preserve">. – </w:t>
      </w:r>
      <w:proofErr w:type="spellStart"/>
      <w:r w:rsidRPr="00A91E83">
        <w:rPr>
          <w:rFonts w:ascii="Times New Roman" w:hAnsi="Times New Roman" w:cs="Times New Roman"/>
        </w:rPr>
        <w:t>Kluwer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Series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Business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Volume</w:t>
      </w:r>
      <w:proofErr w:type="spellEnd"/>
      <w:r w:rsidRPr="00A91E83">
        <w:rPr>
          <w:rFonts w:ascii="Times New Roman" w:hAnsi="Times New Roman" w:cs="Times New Roman"/>
        </w:rPr>
        <w:t xml:space="preserve"> 9, 2006, </w:t>
      </w:r>
      <w:proofErr w:type="spellStart"/>
      <w:r w:rsidRPr="00A91E83">
        <w:rPr>
          <w:rFonts w:ascii="Times New Roman" w:hAnsi="Times New Roman" w:cs="Times New Roman"/>
        </w:rPr>
        <w:t>p</w:t>
      </w:r>
      <w:proofErr w:type="spellEnd"/>
      <w:r w:rsidRPr="00A91E83">
        <w:rPr>
          <w:rFonts w:ascii="Times New Roman" w:hAnsi="Times New Roman" w:cs="Times New Roman"/>
        </w:rPr>
        <w:t>. 81.</w:t>
      </w:r>
    </w:p>
  </w:footnote>
  <w:footnote w:id="11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LAT CBS plenarinės teisėjų kolegijos 2004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birželio 29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xml:space="preserve">. 3K-P-346/2004. Dėl CK 6.217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5 </w:t>
      </w:r>
      <w:proofErr w:type="spellStart"/>
      <w:r w:rsidRPr="00A91E83">
        <w:rPr>
          <w:rFonts w:ascii="Times New Roman" w:hAnsi="Times New Roman" w:cs="Times New Roman"/>
        </w:rPr>
        <w:t>d</w:t>
      </w:r>
      <w:proofErr w:type="spellEnd"/>
      <w:r w:rsidRPr="00A91E83">
        <w:rPr>
          <w:rFonts w:ascii="Times New Roman" w:hAnsi="Times New Roman" w:cs="Times New Roman"/>
        </w:rPr>
        <w:t>. taikymo.</w:t>
      </w:r>
    </w:p>
  </w:footnote>
  <w:footnote w:id="11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European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Markets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Lawyers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Group</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regulation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close-out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member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states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European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Union</w:t>
      </w:r>
      <w:proofErr w:type="spellEnd"/>
      <w:r w:rsidRPr="00A91E83">
        <w:rPr>
          <w:rFonts w:ascii="Times New Roman" w:hAnsi="Times New Roman" w:cs="Times New Roman"/>
        </w:rPr>
        <w:t xml:space="preserve">. 2005, </w:t>
      </w:r>
      <w:proofErr w:type="spellStart"/>
      <w:r w:rsidRPr="00A91E83">
        <w:rPr>
          <w:rFonts w:ascii="Times New Roman" w:hAnsi="Times New Roman" w:cs="Times New Roman"/>
        </w:rPr>
        <w:t>October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4.</w:t>
      </w:r>
    </w:p>
  </w:footnote>
  <w:footnote w:id="11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Shea</w:t>
      </w:r>
      <w:proofErr w:type="spellEnd"/>
      <w:r w:rsidRPr="00A91E83">
        <w:rPr>
          <w:rFonts w:ascii="Times New Roman" w:hAnsi="Times New Roman" w:cs="Times New Roman"/>
        </w:rPr>
        <w:t xml:space="preserve"> T.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Basle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Committee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Consultative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Paper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Journal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International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Banking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1993, 8(8), 314-317.</w:t>
      </w:r>
    </w:p>
  </w:footnote>
  <w:footnote w:id="11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467.</w:t>
      </w:r>
    </w:p>
  </w:footnote>
  <w:footnote w:id="116">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16.</w:t>
      </w:r>
    </w:p>
  </w:footnote>
  <w:footnote w:id="11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468.</w:t>
      </w:r>
    </w:p>
  </w:footnote>
  <w:footnote w:id="11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Mikelėnas V., Mizaras V., Vileita A., et. </w:t>
      </w:r>
      <w:proofErr w:type="spellStart"/>
      <w:r w:rsidRPr="00A91E83">
        <w:rPr>
          <w:rFonts w:ascii="Times New Roman" w:hAnsi="Times New Roman" w:cs="Times New Roman"/>
        </w:rPr>
        <w:t>al</w:t>
      </w:r>
      <w:proofErr w:type="spellEnd"/>
      <w:r w:rsidRPr="00A91E83">
        <w:rPr>
          <w:rFonts w:ascii="Times New Roman" w:hAnsi="Times New Roman" w:cs="Times New Roman"/>
        </w:rPr>
        <w:t xml:space="preserve">. Lietuvos Respublikos civilinio kodekso komentaras. Šeštoji knyga. Prievolių teisė. Vilnius: </w:t>
      </w:r>
      <w:proofErr w:type="spellStart"/>
      <w:r w:rsidRPr="00A91E83">
        <w:rPr>
          <w:rFonts w:ascii="Times New Roman" w:hAnsi="Times New Roman" w:cs="Times New Roman"/>
        </w:rPr>
        <w:t>Justitia</w:t>
      </w:r>
      <w:proofErr w:type="spellEnd"/>
      <w:r w:rsidRPr="00A91E83">
        <w:rPr>
          <w:rFonts w:ascii="Times New Roman" w:hAnsi="Times New Roman" w:cs="Times New Roman"/>
        </w:rPr>
        <w:t xml:space="preserve">, 2001, </w:t>
      </w:r>
      <w:proofErr w:type="spellStart"/>
      <w:r w:rsidRPr="00A91E83">
        <w:rPr>
          <w:rFonts w:ascii="Times New Roman" w:hAnsi="Times New Roman" w:cs="Times New Roman"/>
        </w:rPr>
        <w:t>p</w:t>
      </w:r>
      <w:proofErr w:type="spellEnd"/>
      <w:r w:rsidRPr="00A91E83">
        <w:rPr>
          <w:rFonts w:ascii="Times New Roman" w:hAnsi="Times New Roman" w:cs="Times New Roman"/>
        </w:rPr>
        <w:t xml:space="preserve">. 181; </w:t>
      </w:r>
      <w:proofErr w:type="spellStart"/>
      <w:r w:rsidRPr="00A91E83">
        <w:rPr>
          <w:rFonts w:ascii="Times New Roman" w:hAnsi="Times New Roman" w:cs="Times New Roman"/>
        </w:rPr>
        <w:t>Ambrasienė</w:t>
      </w:r>
      <w:proofErr w:type="spellEnd"/>
      <w:r w:rsidRPr="00A91E83">
        <w:rPr>
          <w:rFonts w:ascii="Times New Roman" w:hAnsi="Times New Roman" w:cs="Times New Roman"/>
        </w:rPr>
        <w:t xml:space="preserve"> D., Baranauskas E., </w:t>
      </w:r>
      <w:proofErr w:type="spellStart"/>
      <w:r w:rsidRPr="00A91E83">
        <w:rPr>
          <w:rFonts w:ascii="Times New Roman" w:hAnsi="Times New Roman" w:cs="Times New Roman"/>
        </w:rPr>
        <w:t>Bublienė</w:t>
      </w:r>
      <w:proofErr w:type="spellEnd"/>
      <w:r w:rsidRPr="00A91E83">
        <w:rPr>
          <w:rFonts w:ascii="Times New Roman" w:hAnsi="Times New Roman" w:cs="Times New Roman"/>
        </w:rPr>
        <w:t xml:space="preserve"> D. et </w:t>
      </w:r>
      <w:proofErr w:type="spellStart"/>
      <w:r w:rsidRPr="00A91E83">
        <w:rPr>
          <w:rFonts w:ascii="Times New Roman" w:hAnsi="Times New Roman" w:cs="Times New Roman"/>
        </w:rPr>
        <w:t>al</w:t>
      </w:r>
      <w:proofErr w:type="spellEnd"/>
      <w:r w:rsidRPr="00A91E83">
        <w:rPr>
          <w:rFonts w:ascii="Times New Roman" w:hAnsi="Times New Roman" w:cs="Times New Roman"/>
        </w:rPr>
        <w:t xml:space="preserve">. Civilinė teisė. Prievolių teisė. Vilnius: Mykolo </w:t>
      </w:r>
      <w:proofErr w:type="spellStart"/>
      <w:r w:rsidRPr="00A91E83">
        <w:rPr>
          <w:rFonts w:ascii="Times New Roman" w:hAnsi="Times New Roman" w:cs="Times New Roman"/>
        </w:rPr>
        <w:t>Romerio</w:t>
      </w:r>
      <w:proofErr w:type="spellEnd"/>
      <w:r w:rsidRPr="00A91E83">
        <w:rPr>
          <w:rFonts w:ascii="Times New Roman" w:hAnsi="Times New Roman" w:cs="Times New Roman"/>
        </w:rPr>
        <w:t xml:space="preserve"> universiteto Leidybos centras, 2006, p.97.</w:t>
      </w:r>
    </w:p>
  </w:footnote>
  <w:footnote w:id="11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Miliukas E. Novacija: teorija ir praktika. </w:t>
      </w:r>
      <w:proofErr w:type="spellStart"/>
      <w:r w:rsidRPr="00A91E83">
        <w:rPr>
          <w:rFonts w:ascii="Times New Roman" w:hAnsi="Times New Roman" w:cs="Times New Roman"/>
        </w:rPr>
        <w:t>Justitia</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Nr</w:t>
      </w:r>
      <w:proofErr w:type="spellEnd"/>
      <w:r w:rsidRPr="00A91E83">
        <w:rPr>
          <w:rFonts w:ascii="Times New Roman" w:hAnsi="Times New Roman" w:cs="Times New Roman"/>
        </w:rPr>
        <w:t xml:space="preserve">. 4 (68), </w:t>
      </w:r>
      <w:proofErr w:type="spellStart"/>
      <w:r w:rsidRPr="00A91E83">
        <w:rPr>
          <w:rFonts w:ascii="Times New Roman" w:hAnsi="Times New Roman" w:cs="Times New Roman"/>
        </w:rPr>
        <w:t>p</w:t>
      </w:r>
      <w:proofErr w:type="spellEnd"/>
      <w:r w:rsidRPr="00A91E83">
        <w:rPr>
          <w:rFonts w:ascii="Times New Roman" w:hAnsi="Times New Roman" w:cs="Times New Roman"/>
        </w:rPr>
        <w:t>. 28.</w:t>
      </w:r>
    </w:p>
  </w:footnote>
  <w:footnote w:id="12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xml:space="preserve">. 322 ir </w:t>
      </w:r>
      <w:proofErr w:type="spellStart"/>
      <w:r w:rsidRPr="00A91E83">
        <w:rPr>
          <w:rFonts w:ascii="Times New Roman" w:hAnsi="Times New Roman" w:cs="Times New Roman"/>
        </w:rPr>
        <w:t>p</w:t>
      </w:r>
      <w:proofErr w:type="spellEnd"/>
      <w:r w:rsidRPr="00A91E83">
        <w:rPr>
          <w:rFonts w:ascii="Times New Roman" w:hAnsi="Times New Roman" w:cs="Times New Roman"/>
        </w:rPr>
        <w:t>. 468.</w:t>
      </w:r>
    </w:p>
  </w:footnote>
  <w:footnote w:id="12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Goode</w:t>
      </w:r>
      <w:proofErr w:type="spellEnd"/>
      <w:r w:rsidRPr="00A91E83">
        <w:rPr>
          <w:rFonts w:ascii="Times New Roman" w:hAnsi="Times New Roman" w:cs="Times New Roman"/>
        </w:rPr>
        <w:t xml:space="preserve"> R. </w:t>
      </w:r>
      <w:proofErr w:type="spellStart"/>
      <w:r w:rsidRPr="00A91E83">
        <w:rPr>
          <w:rFonts w:ascii="Times New Roman" w:hAnsi="Times New Roman" w:cs="Times New Roman"/>
        </w:rPr>
        <w:t>Principles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corporate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insolvency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2005, </w:t>
      </w:r>
      <w:proofErr w:type="spellStart"/>
      <w:r w:rsidRPr="00A91E83">
        <w:rPr>
          <w:rFonts w:ascii="Times New Roman" w:hAnsi="Times New Roman" w:cs="Times New Roman"/>
        </w:rPr>
        <w:t>p</w:t>
      </w:r>
      <w:proofErr w:type="spellEnd"/>
      <w:r w:rsidRPr="00A91E83">
        <w:rPr>
          <w:rFonts w:ascii="Times New Roman" w:hAnsi="Times New Roman" w:cs="Times New Roman"/>
        </w:rPr>
        <w:t>. 218.</w:t>
      </w:r>
    </w:p>
  </w:footnote>
  <w:footnote w:id="122">
    <w:p w:rsidR="00A91E13" w:rsidRPr="00A91E83" w:rsidRDefault="00A91E13" w:rsidP="00621590">
      <w:pPr>
        <w:pStyle w:val="Puslapioinaostekstas"/>
        <w:tabs>
          <w:tab w:val="left" w:pos="2085"/>
        </w:tab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Mengle</w:t>
      </w:r>
      <w:proofErr w:type="spellEnd"/>
      <w:r w:rsidRPr="00A91E83">
        <w:rPr>
          <w:rFonts w:ascii="Times New Roman" w:hAnsi="Times New Roman" w:cs="Times New Roman"/>
        </w:rPr>
        <w:t xml:space="preserve"> D.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importance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close-out-netting.</w:t>
      </w:r>
      <w:proofErr w:type="spellEnd"/>
      <w:r w:rsidRPr="00A91E83">
        <w:rPr>
          <w:rFonts w:ascii="Times New Roman" w:hAnsi="Times New Roman" w:cs="Times New Roman"/>
        </w:rPr>
        <w:t xml:space="preserve"> ISDA </w:t>
      </w:r>
      <w:proofErr w:type="spellStart"/>
      <w:r w:rsidRPr="00A91E83">
        <w:rPr>
          <w:rFonts w:ascii="Times New Roman" w:hAnsi="Times New Roman" w:cs="Times New Roman"/>
        </w:rPr>
        <w:t>research</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notes</w:t>
      </w:r>
      <w:proofErr w:type="spellEnd"/>
      <w:r w:rsidRPr="00A91E83">
        <w:rPr>
          <w:rFonts w:ascii="Times New Roman" w:hAnsi="Times New Roman" w:cs="Times New Roman"/>
        </w:rPr>
        <w:t xml:space="preserve">, 2010, </w:t>
      </w:r>
      <w:proofErr w:type="spellStart"/>
      <w:r w:rsidRPr="00A91E83">
        <w:rPr>
          <w:rFonts w:ascii="Times New Roman" w:hAnsi="Times New Roman" w:cs="Times New Roman"/>
        </w:rPr>
        <w:t>number</w:t>
      </w:r>
      <w:proofErr w:type="spellEnd"/>
      <w:r w:rsidRPr="00A91E83">
        <w:rPr>
          <w:rFonts w:ascii="Times New Roman" w:hAnsi="Times New Roman" w:cs="Times New Roman"/>
        </w:rPr>
        <w:t xml:space="preserve"> 1, </w:t>
      </w:r>
      <w:proofErr w:type="spellStart"/>
      <w:r w:rsidRPr="00A91E83">
        <w:rPr>
          <w:rFonts w:ascii="Times New Roman" w:hAnsi="Times New Roman" w:cs="Times New Roman"/>
        </w:rPr>
        <w:t>p</w:t>
      </w:r>
      <w:proofErr w:type="spellEnd"/>
      <w:r w:rsidRPr="00A91E83">
        <w:rPr>
          <w:rFonts w:ascii="Times New Roman" w:hAnsi="Times New Roman" w:cs="Times New Roman"/>
        </w:rPr>
        <w:t>. 1.</w:t>
      </w:r>
    </w:p>
  </w:footnote>
  <w:footnote w:id="12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8</w:t>
      </w:r>
    </w:p>
  </w:footnote>
  <w:footnote w:id="12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Didžiausią valstybinę paramą gavę bankai: </w:t>
      </w:r>
      <w:proofErr w:type="spellStart"/>
      <w:r w:rsidRPr="00A91E83">
        <w:rPr>
          <w:rFonts w:ascii="Times New Roman" w:hAnsi="Times New Roman" w:cs="Times New Roman"/>
        </w:rPr>
        <w:t>Wells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Fargo</w:t>
      </w:r>
      <w:proofErr w:type="spellEnd"/>
      <w:r w:rsidRPr="00A91E83">
        <w:rPr>
          <w:rFonts w:ascii="Times New Roman" w:hAnsi="Times New Roman" w:cs="Times New Roman"/>
        </w:rPr>
        <w:t xml:space="preserve"> </w:t>
      </w:r>
      <w:r w:rsidRPr="00A91E83">
        <w:rPr>
          <w:rFonts w:ascii="Times New Roman" w:hAnsi="Times New Roman" w:cs="Times New Roman"/>
          <w:lang w:val="en-GB"/>
        </w:rPr>
        <w:t>&amp; Co., Bank of America Corp., Goldman Sachs Group, JPMorgan Chase, Morgan Stanley, Citigroup </w:t>
      </w:r>
      <w:proofErr w:type="spellStart"/>
      <w:r w:rsidRPr="00A91E83">
        <w:rPr>
          <w:rFonts w:ascii="Times New Roman" w:hAnsi="Times New Roman" w:cs="Times New Roman"/>
          <w:lang w:val="en-GB"/>
        </w:rPr>
        <w:t>ir</w:t>
      </w:r>
      <w:proofErr w:type="spellEnd"/>
      <w:r w:rsidRPr="00A91E83">
        <w:rPr>
          <w:rFonts w:ascii="Times New Roman" w:hAnsi="Times New Roman" w:cs="Times New Roman"/>
          <w:lang w:val="en-GB"/>
        </w:rPr>
        <w:t> t.t. </w:t>
      </w:r>
      <w:r w:rsidRPr="00A91E83">
        <w:rPr>
          <w:rFonts w:ascii="Times New Roman" w:hAnsi="Times New Roman" w:cs="Times New Roman"/>
        </w:rPr>
        <w:t>Šaltinis </w:t>
      </w:r>
      <w:hyperlink r:id="rId23" w:history="1">
        <w:r w:rsidRPr="00A91E83">
          <w:rPr>
            <w:rStyle w:val="Hipersaitas"/>
            <w:rFonts w:ascii="Times New Roman" w:hAnsi="Times New Roman" w:cs="Times New Roman"/>
          </w:rPr>
          <w:t>http://www.nytimes.com/packages/html/national/200904_CREDITCRISIS/recipients.html</w:t>
        </w:r>
      </w:hyperlink>
    </w:p>
  </w:footnote>
  <w:footnote w:id="12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Lietuvos Respublikos indėlių ir įsipareigojimų investuotojams draudimo įstatymas // Valstybės žinios, 2002, </w:t>
      </w:r>
      <w:proofErr w:type="spellStart"/>
      <w:r w:rsidRPr="00A91E83">
        <w:rPr>
          <w:rFonts w:ascii="Times New Roman" w:hAnsi="Times New Roman" w:cs="Times New Roman"/>
        </w:rPr>
        <w:t>Nr</w:t>
      </w:r>
      <w:proofErr w:type="spellEnd"/>
      <w:r w:rsidRPr="00A91E83">
        <w:rPr>
          <w:rFonts w:ascii="Times New Roman" w:hAnsi="Times New Roman" w:cs="Times New Roman"/>
        </w:rPr>
        <w:t>. 65-2635.</w:t>
      </w:r>
    </w:p>
  </w:footnote>
  <w:footnote w:id="126">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Lietuvoje jau buvo susidurta su problemomis išmokant indėlius AB Tauro bankui ir AB „</w:t>
      </w:r>
      <w:proofErr w:type="spellStart"/>
      <w:r w:rsidRPr="00A91E83">
        <w:rPr>
          <w:rFonts w:ascii="Times New Roman" w:hAnsi="Times New Roman" w:cs="Times New Roman"/>
        </w:rPr>
        <w:t>Litimpeks</w:t>
      </w:r>
      <w:proofErr w:type="spellEnd"/>
      <w:r w:rsidRPr="00A91E83">
        <w:rPr>
          <w:rFonts w:ascii="Times New Roman" w:hAnsi="Times New Roman" w:cs="Times New Roman"/>
        </w:rPr>
        <w:t xml:space="preserve">“ bankui, tai sunku įsivaizduoti koks problemų mastas būtų, jeigu sugriūtų visa bankų sistema. </w:t>
      </w:r>
      <w:proofErr w:type="spellStart"/>
      <w:r w:rsidRPr="00A91E83">
        <w:rPr>
          <w:rFonts w:ascii="Times New Roman" w:hAnsi="Times New Roman" w:cs="Times New Roman"/>
        </w:rPr>
        <w:t>Žr</w:t>
      </w:r>
      <w:proofErr w:type="spellEnd"/>
      <w:r w:rsidRPr="00A91E83">
        <w:rPr>
          <w:rFonts w:ascii="Times New Roman" w:hAnsi="Times New Roman" w:cs="Times New Roman"/>
        </w:rPr>
        <w:t xml:space="preserve">. plačiau </w:t>
      </w:r>
      <w:hyperlink r:id="rId24" w:history="1">
        <w:r w:rsidRPr="00A91E83">
          <w:rPr>
            <w:rStyle w:val="Hipersaitas"/>
            <w:rFonts w:ascii="Times New Roman" w:hAnsi="Times New Roman" w:cs="Times New Roman"/>
          </w:rPr>
          <w:t>http://www.iidraudimas.lt/lt/valstybes-imone-indeliu-ir-investiciju-draudimas/</w:t>
        </w:r>
      </w:hyperlink>
      <w:r w:rsidRPr="00A91E83">
        <w:rPr>
          <w:rFonts w:ascii="Times New Roman" w:hAnsi="Times New Roman" w:cs="Times New Roman"/>
        </w:rPr>
        <w:t xml:space="preserve"> Kitas pavyzdys, kad indėlininkai gali neatgauti kompensacijos įvyko Islandijoje. Šaltinis </w:t>
      </w:r>
      <w:hyperlink r:id="rId25" w:history="1">
        <w:r w:rsidRPr="00A91E83">
          <w:rPr>
            <w:rStyle w:val="Hipersaitas"/>
            <w:rFonts w:ascii="Times New Roman" w:hAnsi="Times New Roman" w:cs="Times New Roman"/>
          </w:rPr>
          <w:t>http://vz.lt/2/straipsnis/2010/01/05/Islandija_stabdo_indeliu_kompensacija_uzsienieciams2</w:t>
        </w:r>
      </w:hyperlink>
    </w:p>
  </w:footnote>
  <w:footnote w:id="12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Shea</w:t>
      </w:r>
      <w:proofErr w:type="spellEnd"/>
      <w:r w:rsidRPr="00A91E83">
        <w:rPr>
          <w:rFonts w:ascii="Times New Roman" w:hAnsi="Times New Roman" w:cs="Times New Roman"/>
        </w:rPr>
        <w:t xml:space="preserve"> T.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Basle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Committee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Consultative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Paper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Journal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International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Banking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1993, 8(8), 314-317.</w:t>
      </w:r>
    </w:p>
  </w:footnote>
  <w:footnote w:id="12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464.</w:t>
      </w:r>
    </w:p>
  </w:footnote>
  <w:footnote w:id="12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Lietuvos apeliacinio teismo CBS teisėjų kolegijos 2009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spalio 8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2-1035/2009.</w:t>
      </w:r>
    </w:p>
  </w:footnote>
  <w:footnote w:id="13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Norkus R., </w:t>
      </w:r>
      <w:proofErr w:type="spellStart"/>
      <w:r w:rsidRPr="00A91E83">
        <w:rPr>
          <w:rFonts w:ascii="Times New Roman" w:hAnsi="Times New Roman" w:cs="Times New Roman"/>
        </w:rPr>
        <w:t>Kavalnė</w:t>
      </w:r>
      <w:proofErr w:type="spellEnd"/>
      <w:r w:rsidRPr="00A91E83">
        <w:rPr>
          <w:rFonts w:ascii="Times New Roman" w:hAnsi="Times New Roman" w:cs="Times New Roman"/>
        </w:rPr>
        <w:t xml:space="preserve"> S. </w:t>
      </w:r>
      <w:proofErr w:type="spellStart"/>
      <w:r w:rsidRPr="00A91E83">
        <w:rPr>
          <w:rFonts w:ascii="Times New Roman" w:hAnsi="Times New Roman" w:cs="Times New Roman"/>
        </w:rPr>
        <w:t>Mikuckienė</w:t>
      </w:r>
      <w:proofErr w:type="spellEnd"/>
      <w:r w:rsidRPr="00A91E83">
        <w:rPr>
          <w:rFonts w:ascii="Times New Roman" w:hAnsi="Times New Roman" w:cs="Times New Roman"/>
        </w:rPr>
        <w:t xml:space="preserve"> V. Bankroto teisė. Vilnius: </w:t>
      </w:r>
      <w:proofErr w:type="spellStart"/>
      <w:r w:rsidRPr="00A91E83">
        <w:rPr>
          <w:rFonts w:ascii="Times New Roman" w:hAnsi="Times New Roman" w:cs="Times New Roman"/>
        </w:rPr>
        <w:t>Justitia</w:t>
      </w:r>
      <w:proofErr w:type="spellEnd"/>
      <w:r w:rsidRPr="00A91E83">
        <w:rPr>
          <w:rFonts w:ascii="Times New Roman" w:hAnsi="Times New Roman" w:cs="Times New Roman"/>
        </w:rPr>
        <w:t xml:space="preserve">, 2009, </w:t>
      </w:r>
      <w:proofErr w:type="spellStart"/>
      <w:r w:rsidRPr="00A91E83">
        <w:rPr>
          <w:rFonts w:ascii="Times New Roman" w:hAnsi="Times New Roman" w:cs="Times New Roman"/>
        </w:rPr>
        <w:t>p</w:t>
      </w:r>
      <w:proofErr w:type="spellEnd"/>
      <w:r w:rsidRPr="00A91E83">
        <w:rPr>
          <w:rFonts w:ascii="Times New Roman" w:hAnsi="Times New Roman" w:cs="Times New Roman"/>
        </w:rPr>
        <w:t>. 258.</w:t>
      </w:r>
    </w:p>
  </w:footnote>
  <w:footnote w:id="13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8.</w:t>
      </w:r>
    </w:p>
  </w:footnote>
  <w:footnote w:id="13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i/>
        </w:rPr>
        <w:t>ibid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9.</w:t>
      </w:r>
    </w:p>
  </w:footnote>
  <w:footnote w:id="13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217.</w:t>
      </w:r>
    </w:p>
  </w:footnote>
  <w:footnote w:id="13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i/>
        </w:rPr>
        <w:t>ibid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218.</w:t>
      </w:r>
    </w:p>
  </w:footnote>
  <w:footnote w:id="13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Plačiau </w:t>
      </w:r>
      <w:proofErr w:type="spellStart"/>
      <w:r w:rsidRPr="00A91E83">
        <w:rPr>
          <w:rFonts w:ascii="Times New Roman" w:hAnsi="Times New Roman" w:cs="Times New Roman"/>
        </w:rPr>
        <w:t>žr</w:t>
      </w:r>
      <w:proofErr w:type="spellEnd"/>
      <w:r w:rsidRPr="00A91E83">
        <w:rPr>
          <w:rFonts w:ascii="Times New Roman" w:hAnsi="Times New Roman" w:cs="Times New Roman"/>
        </w:rPr>
        <w:t xml:space="preserve">. </w:t>
      </w:r>
      <w:hyperlink r:id="rId26" w:history="1">
        <w:r w:rsidRPr="00A91E83">
          <w:rPr>
            <w:rStyle w:val="Hipersaitas"/>
            <w:rFonts w:ascii="Times New Roman" w:hAnsi="Times New Roman" w:cs="Times New Roman"/>
          </w:rPr>
          <w:t>www.isda.org</w:t>
        </w:r>
      </w:hyperlink>
      <w:r w:rsidRPr="00A91E83">
        <w:rPr>
          <w:rFonts w:ascii="Times New Roman" w:hAnsi="Times New Roman" w:cs="Times New Roman"/>
        </w:rPr>
        <w:t xml:space="preserve"> </w:t>
      </w:r>
    </w:p>
  </w:footnote>
  <w:footnote w:id="136">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Gengatharen</w:t>
      </w:r>
      <w:proofErr w:type="spellEnd"/>
      <w:r w:rsidRPr="00A91E83">
        <w:rPr>
          <w:rFonts w:ascii="Times New Roman" w:hAnsi="Times New Roman" w:cs="Times New Roman"/>
        </w:rPr>
        <w:t xml:space="preserve">, R.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regulation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Kluwer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international</w:t>
      </w:r>
      <w:proofErr w:type="spellEnd"/>
      <w:r w:rsidRPr="00A91E83">
        <w:rPr>
          <w:rFonts w:ascii="Times New Roman" w:hAnsi="Times New Roman" w:cs="Times New Roman"/>
        </w:rPr>
        <w:t xml:space="preserve">, 2001, </w:t>
      </w:r>
      <w:proofErr w:type="spellStart"/>
      <w:r w:rsidRPr="00A91E83">
        <w:rPr>
          <w:rFonts w:ascii="Times New Roman" w:hAnsi="Times New Roman" w:cs="Times New Roman"/>
        </w:rPr>
        <w:t>p</w:t>
      </w:r>
      <w:proofErr w:type="spellEnd"/>
      <w:r w:rsidRPr="00A91E83">
        <w:rPr>
          <w:rFonts w:ascii="Times New Roman" w:hAnsi="Times New Roman" w:cs="Times New Roman"/>
        </w:rPr>
        <w:t>. 30.</w:t>
      </w:r>
    </w:p>
  </w:footnote>
  <w:footnote w:id="13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Verčiant </w:t>
      </w:r>
      <w:proofErr w:type="spellStart"/>
      <w:r w:rsidRPr="00A91E83">
        <w:rPr>
          <w:rFonts w:ascii="Times New Roman" w:hAnsi="Times New Roman" w:cs="Times New Roman"/>
        </w:rPr>
        <w:t>angl</w:t>
      </w:r>
      <w:proofErr w:type="spellEnd"/>
      <w:r w:rsidRPr="00A91E83">
        <w:rPr>
          <w:rFonts w:ascii="Times New Roman" w:hAnsi="Times New Roman" w:cs="Times New Roman"/>
        </w:rPr>
        <w:t xml:space="preserve">. terminą </w:t>
      </w:r>
      <w:proofErr w:type="spellStart"/>
      <w:r w:rsidRPr="00A91E83">
        <w:rPr>
          <w:rFonts w:ascii="Times New Roman" w:hAnsi="Times New Roman" w:cs="Times New Roman"/>
        </w:rPr>
        <w:t>Master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Agreement</w:t>
      </w:r>
      <w:proofErr w:type="spellEnd"/>
      <w:r w:rsidRPr="00A91E83">
        <w:rPr>
          <w:rFonts w:ascii="Times New Roman" w:hAnsi="Times New Roman" w:cs="Times New Roman"/>
        </w:rPr>
        <w:t xml:space="preserve"> pasirinktas atitikmuo „Pagrindiniai susitarimas“, o ne „generalinė sutartis“, ar tiesiog „standartinis susitarimas“. Tokį pasirinkimą nulėmė Lietuvos Respublikos f</w:t>
      </w:r>
      <w:r>
        <w:rPr>
          <w:rFonts w:ascii="Times New Roman" w:hAnsi="Times New Roman" w:cs="Times New Roman"/>
        </w:rPr>
        <w:t>inansinių užtikrinimo susitarimų</w:t>
      </w:r>
      <w:r w:rsidRPr="00A91E83">
        <w:rPr>
          <w:rFonts w:ascii="Times New Roman" w:hAnsi="Times New Roman" w:cs="Times New Roman"/>
        </w:rPr>
        <w:t xml:space="preserve"> įstatymo 2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8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vartojama sąvoka. </w:t>
      </w:r>
    </w:p>
  </w:footnote>
  <w:footnote w:id="13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ISDA </w:t>
      </w:r>
      <w:proofErr w:type="spellStart"/>
      <w:r w:rsidRPr="00A91E83">
        <w:rPr>
          <w:rFonts w:ascii="Times New Roman" w:hAnsi="Times New Roman" w:cs="Times New Roman"/>
        </w:rPr>
        <w:t>Multi-currency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Master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Agreement</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section</w:t>
      </w:r>
      <w:proofErr w:type="spellEnd"/>
      <w:r w:rsidRPr="00A91E83">
        <w:rPr>
          <w:rFonts w:ascii="Times New Roman" w:hAnsi="Times New Roman" w:cs="Times New Roman"/>
        </w:rPr>
        <w:t xml:space="preserve"> 1(a).</w:t>
      </w:r>
    </w:p>
  </w:footnote>
  <w:footnote w:id="13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Idėja panaudota remiantis A.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pateikta analogija. Šaltinis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95.</w:t>
      </w:r>
    </w:p>
  </w:footnote>
  <w:footnote w:id="14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Longworth</w:t>
      </w:r>
      <w:proofErr w:type="spellEnd"/>
      <w:r w:rsidRPr="00A91E83">
        <w:rPr>
          <w:rFonts w:ascii="Times New Roman" w:hAnsi="Times New Roman" w:cs="Times New Roman"/>
        </w:rPr>
        <w:t xml:space="preserve"> D.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role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margin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requirements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haircuts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procyclicality</w:t>
      </w:r>
      <w:proofErr w:type="spellEnd"/>
      <w:r w:rsidRPr="00A91E83">
        <w:rPr>
          <w:rFonts w:ascii="Times New Roman" w:hAnsi="Times New Roman" w:cs="Times New Roman"/>
        </w:rPr>
        <w:t xml:space="preserve">. CGFS Papers </w:t>
      </w:r>
      <w:proofErr w:type="spellStart"/>
      <w:r w:rsidRPr="00A91E83">
        <w:rPr>
          <w:rFonts w:ascii="Times New Roman" w:hAnsi="Times New Roman" w:cs="Times New Roman"/>
        </w:rPr>
        <w:t>No</w:t>
      </w:r>
      <w:proofErr w:type="spellEnd"/>
      <w:r w:rsidRPr="00A91E83">
        <w:rPr>
          <w:rFonts w:ascii="Times New Roman" w:hAnsi="Times New Roman" w:cs="Times New Roman"/>
        </w:rPr>
        <w:t xml:space="preserve"> 36, 2010, </w:t>
      </w:r>
      <w:proofErr w:type="spellStart"/>
      <w:r w:rsidRPr="00A91E83">
        <w:rPr>
          <w:rFonts w:ascii="Times New Roman" w:hAnsi="Times New Roman" w:cs="Times New Roman"/>
        </w:rPr>
        <w:t>p</w:t>
      </w:r>
      <w:proofErr w:type="spellEnd"/>
      <w:r w:rsidRPr="00A91E83">
        <w:rPr>
          <w:rFonts w:ascii="Times New Roman" w:hAnsi="Times New Roman" w:cs="Times New Roman"/>
        </w:rPr>
        <w:t>. 5.</w:t>
      </w:r>
    </w:p>
  </w:footnote>
  <w:footnote w:id="14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125.</w:t>
      </w:r>
    </w:p>
  </w:footnote>
  <w:footnote w:id="14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ISDA </w:t>
      </w:r>
      <w:proofErr w:type="spellStart"/>
      <w:r w:rsidRPr="00A91E83">
        <w:rPr>
          <w:rFonts w:ascii="Times New Roman" w:hAnsi="Times New Roman" w:cs="Times New Roman"/>
        </w:rPr>
        <w:t>Multi-currency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Master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Agreement</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section</w:t>
      </w:r>
      <w:proofErr w:type="spellEnd"/>
      <w:r w:rsidRPr="00A91E83">
        <w:rPr>
          <w:rFonts w:ascii="Times New Roman" w:hAnsi="Times New Roman" w:cs="Times New Roman"/>
        </w:rPr>
        <w:t xml:space="preserve"> 1(c).</w:t>
      </w:r>
    </w:p>
  </w:footnote>
  <w:footnote w:id="14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222.</w:t>
      </w:r>
    </w:p>
  </w:footnote>
  <w:footnote w:id="14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468.</w:t>
      </w:r>
    </w:p>
  </w:footnote>
  <w:footnote w:id="14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ISDA </w:t>
      </w:r>
      <w:proofErr w:type="spellStart"/>
      <w:r w:rsidRPr="00A91E83">
        <w:rPr>
          <w:rFonts w:ascii="Times New Roman" w:hAnsi="Times New Roman" w:cs="Times New Roman"/>
        </w:rPr>
        <w:t>Multi-currency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Master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Agreement</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section</w:t>
      </w:r>
      <w:proofErr w:type="spellEnd"/>
      <w:r w:rsidRPr="00A91E83">
        <w:rPr>
          <w:rFonts w:ascii="Times New Roman" w:hAnsi="Times New Roman" w:cs="Times New Roman"/>
        </w:rPr>
        <w:t xml:space="preserve"> 1(c).</w:t>
      </w:r>
    </w:p>
  </w:footnote>
  <w:footnote w:id="146">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i/>
        </w:rPr>
        <w:t>ibid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section</w:t>
      </w:r>
      <w:proofErr w:type="spellEnd"/>
      <w:r w:rsidRPr="00A91E83">
        <w:rPr>
          <w:rFonts w:ascii="Times New Roman" w:hAnsi="Times New Roman" w:cs="Times New Roman"/>
        </w:rPr>
        <w:t xml:space="preserve"> 2(c).</w:t>
      </w:r>
    </w:p>
  </w:footnote>
  <w:footnote w:id="14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ISDA Schedule to </w:t>
      </w:r>
      <w:proofErr w:type="spellStart"/>
      <w:r w:rsidRPr="00A91E83">
        <w:rPr>
          <w:rFonts w:ascii="Times New Roman" w:hAnsi="Times New Roman" w:cs="Times New Roman"/>
        </w:rPr>
        <w:t>Master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Agreement</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section</w:t>
      </w:r>
      <w:proofErr w:type="spellEnd"/>
      <w:r w:rsidRPr="00A91E83">
        <w:rPr>
          <w:rFonts w:ascii="Times New Roman" w:hAnsi="Times New Roman" w:cs="Times New Roman"/>
        </w:rPr>
        <w:t xml:space="preserve"> 4(i).</w:t>
      </w:r>
    </w:p>
  </w:footnote>
  <w:footnote w:id="14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Mengle</w:t>
      </w:r>
      <w:proofErr w:type="spellEnd"/>
      <w:r w:rsidRPr="00A91E83">
        <w:rPr>
          <w:rFonts w:ascii="Times New Roman" w:hAnsi="Times New Roman" w:cs="Times New Roman"/>
        </w:rPr>
        <w:t xml:space="preserve"> D.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importance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close-out-netting.</w:t>
      </w:r>
      <w:proofErr w:type="spellEnd"/>
      <w:r w:rsidRPr="00A91E83">
        <w:rPr>
          <w:rFonts w:ascii="Times New Roman" w:hAnsi="Times New Roman" w:cs="Times New Roman"/>
        </w:rPr>
        <w:t xml:space="preserve"> ISDA </w:t>
      </w:r>
      <w:proofErr w:type="spellStart"/>
      <w:r w:rsidRPr="00A91E83">
        <w:rPr>
          <w:rFonts w:ascii="Times New Roman" w:hAnsi="Times New Roman" w:cs="Times New Roman"/>
        </w:rPr>
        <w:t>research</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notes</w:t>
      </w:r>
      <w:proofErr w:type="spellEnd"/>
      <w:r w:rsidRPr="00A91E83">
        <w:rPr>
          <w:rFonts w:ascii="Times New Roman" w:hAnsi="Times New Roman" w:cs="Times New Roman"/>
        </w:rPr>
        <w:t xml:space="preserve">, 2010, </w:t>
      </w:r>
      <w:proofErr w:type="spellStart"/>
      <w:r w:rsidRPr="00A91E83">
        <w:rPr>
          <w:rFonts w:ascii="Times New Roman" w:hAnsi="Times New Roman" w:cs="Times New Roman"/>
        </w:rPr>
        <w:t>number</w:t>
      </w:r>
      <w:proofErr w:type="spellEnd"/>
      <w:r w:rsidRPr="00A91E83">
        <w:rPr>
          <w:rFonts w:ascii="Times New Roman" w:hAnsi="Times New Roman" w:cs="Times New Roman"/>
        </w:rPr>
        <w:t xml:space="preserve"> 1, </w:t>
      </w:r>
      <w:proofErr w:type="spellStart"/>
      <w:r w:rsidRPr="00A91E83">
        <w:rPr>
          <w:rFonts w:ascii="Times New Roman" w:hAnsi="Times New Roman" w:cs="Times New Roman"/>
        </w:rPr>
        <w:t>p</w:t>
      </w:r>
      <w:proofErr w:type="spellEnd"/>
      <w:r w:rsidRPr="00A91E83">
        <w:rPr>
          <w:rFonts w:ascii="Times New Roman" w:hAnsi="Times New Roman" w:cs="Times New Roman"/>
        </w:rPr>
        <w:t>. 2.</w:t>
      </w:r>
    </w:p>
  </w:footnote>
  <w:footnote w:id="14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Gooch</w:t>
      </w:r>
      <w:proofErr w:type="spellEnd"/>
      <w:r w:rsidRPr="00A91E83">
        <w:rPr>
          <w:rFonts w:ascii="Times New Roman" w:hAnsi="Times New Roman" w:cs="Times New Roman"/>
        </w:rPr>
        <w:t xml:space="preserve"> A.C., </w:t>
      </w:r>
      <w:proofErr w:type="spellStart"/>
      <w:r w:rsidRPr="00A91E83">
        <w:rPr>
          <w:rFonts w:ascii="Times New Roman" w:hAnsi="Times New Roman" w:cs="Times New Roman"/>
        </w:rPr>
        <w:t>Klein</w:t>
      </w:r>
      <w:proofErr w:type="spellEnd"/>
      <w:r w:rsidRPr="00A91E83">
        <w:rPr>
          <w:rFonts w:ascii="Times New Roman" w:hAnsi="Times New Roman" w:cs="Times New Roman"/>
        </w:rPr>
        <w:t xml:space="preserve"> L.B. </w:t>
      </w:r>
      <w:proofErr w:type="spellStart"/>
      <w:r w:rsidRPr="00A91E83">
        <w:rPr>
          <w:rFonts w:ascii="Times New Roman" w:hAnsi="Times New Roman" w:cs="Times New Roman"/>
        </w:rPr>
        <w:t>Documentation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for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Euromoney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Books</w:t>
      </w:r>
      <w:proofErr w:type="spellEnd"/>
      <w:r w:rsidRPr="00A91E83">
        <w:rPr>
          <w:rFonts w:ascii="Times New Roman" w:hAnsi="Times New Roman" w:cs="Times New Roman"/>
        </w:rPr>
        <w:t xml:space="preserve">, 4th </w:t>
      </w:r>
      <w:proofErr w:type="spellStart"/>
      <w:r w:rsidRPr="00A91E83">
        <w:rPr>
          <w:rFonts w:ascii="Times New Roman" w:hAnsi="Times New Roman" w:cs="Times New Roman"/>
        </w:rPr>
        <w:t>edition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Volume</w:t>
      </w:r>
      <w:proofErr w:type="spellEnd"/>
      <w:r w:rsidRPr="00A91E83">
        <w:rPr>
          <w:rFonts w:ascii="Times New Roman" w:hAnsi="Times New Roman" w:cs="Times New Roman"/>
        </w:rPr>
        <w:t xml:space="preserve"> II, 2004, </w:t>
      </w:r>
      <w:proofErr w:type="spellStart"/>
      <w:r w:rsidRPr="00A91E83">
        <w:rPr>
          <w:rFonts w:ascii="Times New Roman" w:hAnsi="Times New Roman" w:cs="Times New Roman"/>
        </w:rPr>
        <w:t>p</w:t>
      </w:r>
      <w:proofErr w:type="spellEnd"/>
      <w:r w:rsidRPr="00A91E83">
        <w:rPr>
          <w:rFonts w:ascii="Times New Roman" w:hAnsi="Times New Roman" w:cs="Times New Roman"/>
        </w:rPr>
        <w:t>. 808.</w:t>
      </w:r>
    </w:p>
  </w:footnote>
  <w:footnote w:id="15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i/>
        </w:rPr>
        <w:t>ibid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809.</w:t>
      </w:r>
    </w:p>
  </w:footnote>
  <w:footnote w:id="15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Gooch</w:t>
      </w:r>
      <w:proofErr w:type="spellEnd"/>
      <w:r w:rsidRPr="00A91E83">
        <w:rPr>
          <w:rFonts w:ascii="Times New Roman" w:hAnsi="Times New Roman" w:cs="Times New Roman"/>
        </w:rPr>
        <w:t xml:space="preserve">, A.C., </w:t>
      </w:r>
      <w:proofErr w:type="spellStart"/>
      <w:r w:rsidRPr="00A91E83">
        <w:rPr>
          <w:rFonts w:ascii="Times New Roman" w:hAnsi="Times New Roman" w:cs="Times New Roman"/>
        </w:rPr>
        <w:t>Klein</w:t>
      </w:r>
      <w:proofErr w:type="spellEnd"/>
      <w:r w:rsidRPr="00A91E83">
        <w:rPr>
          <w:rFonts w:ascii="Times New Roman" w:hAnsi="Times New Roman" w:cs="Times New Roman"/>
        </w:rPr>
        <w:t xml:space="preserve">, L.B. </w:t>
      </w:r>
      <w:proofErr w:type="spellStart"/>
      <w:r w:rsidRPr="00A91E83">
        <w:rPr>
          <w:rFonts w:ascii="Times New Roman" w:hAnsi="Times New Roman" w:cs="Times New Roman"/>
        </w:rPr>
        <w:t>Documentation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for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master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agreement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supplement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Euromoney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Books</w:t>
      </w:r>
      <w:proofErr w:type="spellEnd"/>
      <w:r w:rsidRPr="00A91E83">
        <w:rPr>
          <w:rFonts w:ascii="Times New Roman" w:hAnsi="Times New Roman" w:cs="Times New Roman"/>
        </w:rPr>
        <w:t xml:space="preserve">, 2004, </w:t>
      </w:r>
      <w:proofErr w:type="spellStart"/>
      <w:r w:rsidRPr="00A91E83">
        <w:rPr>
          <w:rFonts w:ascii="Times New Roman" w:hAnsi="Times New Roman" w:cs="Times New Roman"/>
        </w:rPr>
        <w:t>p</w:t>
      </w:r>
      <w:proofErr w:type="spellEnd"/>
      <w:r w:rsidRPr="00A91E83">
        <w:rPr>
          <w:rFonts w:ascii="Times New Roman" w:hAnsi="Times New Roman" w:cs="Times New Roman"/>
        </w:rPr>
        <w:t>. 28.</w:t>
      </w:r>
    </w:p>
  </w:footnote>
  <w:footnote w:id="15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ISDA </w:t>
      </w:r>
      <w:proofErr w:type="spellStart"/>
      <w:r w:rsidRPr="00A91E83">
        <w:rPr>
          <w:rFonts w:ascii="Times New Roman" w:hAnsi="Times New Roman" w:cs="Times New Roman"/>
        </w:rPr>
        <w:t>Multi-currency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Master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Agreement</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sections</w:t>
      </w:r>
      <w:proofErr w:type="spellEnd"/>
      <w:r w:rsidRPr="00A91E83">
        <w:rPr>
          <w:rFonts w:ascii="Times New Roman" w:hAnsi="Times New Roman" w:cs="Times New Roman"/>
        </w:rPr>
        <w:t xml:space="preserve"> 5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6.</w:t>
      </w:r>
    </w:p>
  </w:footnote>
  <w:footnote w:id="15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141.</w:t>
      </w:r>
    </w:p>
  </w:footnote>
  <w:footnote w:id="15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Gooch</w:t>
      </w:r>
      <w:proofErr w:type="spellEnd"/>
      <w:r w:rsidRPr="00A91E83">
        <w:rPr>
          <w:rFonts w:ascii="Times New Roman" w:hAnsi="Times New Roman" w:cs="Times New Roman"/>
        </w:rPr>
        <w:t xml:space="preserve"> A.C., </w:t>
      </w:r>
      <w:proofErr w:type="spellStart"/>
      <w:r w:rsidRPr="00A91E83">
        <w:rPr>
          <w:rFonts w:ascii="Times New Roman" w:hAnsi="Times New Roman" w:cs="Times New Roman"/>
        </w:rPr>
        <w:t>Klein</w:t>
      </w:r>
      <w:proofErr w:type="spellEnd"/>
      <w:r w:rsidRPr="00A91E83">
        <w:rPr>
          <w:rFonts w:ascii="Times New Roman" w:hAnsi="Times New Roman" w:cs="Times New Roman"/>
        </w:rPr>
        <w:t xml:space="preserve"> L.B. </w:t>
      </w:r>
      <w:proofErr w:type="spellStart"/>
      <w:r w:rsidRPr="00A91E83">
        <w:rPr>
          <w:rFonts w:ascii="Times New Roman" w:hAnsi="Times New Roman" w:cs="Times New Roman"/>
        </w:rPr>
        <w:t>Documentation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for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Euromoney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Books</w:t>
      </w:r>
      <w:proofErr w:type="spellEnd"/>
      <w:r w:rsidRPr="00A91E83">
        <w:rPr>
          <w:rFonts w:ascii="Times New Roman" w:hAnsi="Times New Roman" w:cs="Times New Roman"/>
        </w:rPr>
        <w:t xml:space="preserve">, 4th </w:t>
      </w:r>
      <w:proofErr w:type="spellStart"/>
      <w:r w:rsidRPr="00A91E83">
        <w:rPr>
          <w:rFonts w:ascii="Times New Roman" w:hAnsi="Times New Roman" w:cs="Times New Roman"/>
        </w:rPr>
        <w:t>edition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Volume</w:t>
      </w:r>
      <w:proofErr w:type="spellEnd"/>
      <w:r w:rsidRPr="00A91E83">
        <w:rPr>
          <w:rFonts w:ascii="Times New Roman" w:hAnsi="Times New Roman" w:cs="Times New Roman"/>
        </w:rPr>
        <w:t xml:space="preserve"> I, 2004, </w:t>
      </w:r>
      <w:proofErr w:type="spellStart"/>
      <w:r w:rsidRPr="00A91E83">
        <w:rPr>
          <w:rFonts w:ascii="Times New Roman" w:hAnsi="Times New Roman" w:cs="Times New Roman"/>
        </w:rPr>
        <w:t>p</w:t>
      </w:r>
      <w:proofErr w:type="spellEnd"/>
      <w:r w:rsidRPr="00A91E83">
        <w:rPr>
          <w:rFonts w:ascii="Times New Roman" w:hAnsi="Times New Roman" w:cs="Times New Roman"/>
        </w:rPr>
        <w:t>. 225.</w:t>
      </w:r>
    </w:p>
  </w:footnote>
  <w:footnote w:id="15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143.</w:t>
      </w:r>
    </w:p>
  </w:footnote>
  <w:footnote w:id="156">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ISDA </w:t>
      </w:r>
      <w:proofErr w:type="spellStart"/>
      <w:r w:rsidRPr="00A91E83">
        <w:rPr>
          <w:rFonts w:ascii="Times New Roman" w:hAnsi="Times New Roman" w:cs="Times New Roman"/>
        </w:rPr>
        <w:t>Multi-currency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Master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Agreement</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section</w:t>
      </w:r>
      <w:proofErr w:type="spellEnd"/>
      <w:r w:rsidRPr="00A91E83">
        <w:rPr>
          <w:rFonts w:ascii="Times New Roman" w:hAnsi="Times New Roman" w:cs="Times New Roman"/>
        </w:rPr>
        <w:t xml:space="preserve"> 5(a)(vii).</w:t>
      </w:r>
    </w:p>
  </w:footnote>
  <w:footnote w:id="15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European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Markets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Lawyers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Group</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Symposium</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standard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market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documentation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Lessons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learned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from</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current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crisis</w:t>
      </w:r>
      <w:proofErr w:type="spellEnd"/>
      <w:r w:rsidRPr="00A91E83">
        <w:rPr>
          <w:rFonts w:ascii="Times New Roman" w:hAnsi="Times New Roman" w:cs="Times New Roman"/>
        </w:rPr>
        <w:t xml:space="preserve">. 2010, </w:t>
      </w:r>
      <w:proofErr w:type="spellStart"/>
      <w:r w:rsidRPr="00A91E83">
        <w:rPr>
          <w:rFonts w:ascii="Times New Roman" w:hAnsi="Times New Roman" w:cs="Times New Roman"/>
        </w:rPr>
        <w:t>April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3.</w:t>
      </w:r>
    </w:p>
  </w:footnote>
  <w:footnote w:id="15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ĮBĮ 9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4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15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Pvz</w:t>
      </w:r>
      <w:proofErr w:type="spellEnd"/>
      <w:r w:rsidRPr="00A91E83">
        <w:rPr>
          <w:rFonts w:ascii="Times New Roman" w:hAnsi="Times New Roman" w:cs="Times New Roman"/>
        </w:rPr>
        <w:t>.: 2010-01-21 gautas pareiškimas dėl bankroto bylos iškėlimo UAB „</w:t>
      </w:r>
      <w:proofErr w:type="spellStart"/>
      <w:r w:rsidRPr="00A91E83">
        <w:rPr>
          <w:rFonts w:ascii="Times New Roman" w:hAnsi="Times New Roman" w:cs="Times New Roman"/>
        </w:rPr>
        <w:t>Logistus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Transport</w:t>
      </w:r>
      <w:proofErr w:type="spellEnd"/>
      <w:r w:rsidRPr="00A91E83">
        <w:rPr>
          <w:rFonts w:ascii="Times New Roman" w:hAnsi="Times New Roman" w:cs="Times New Roman"/>
        </w:rPr>
        <w:t xml:space="preserve">“, o 2010-02-02 iškelta bankroto byla. Šaltinis </w:t>
      </w:r>
      <w:hyperlink r:id="rId27" w:history="1">
        <w:r w:rsidRPr="00A91E83">
          <w:rPr>
            <w:rStyle w:val="Hipersaitas"/>
            <w:rFonts w:ascii="Times New Roman" w:hAnsi="Times New Roman" w:cs="Times New Roman"/>
          </w:rPr>
          <w:t>http://www.vat.lt/Default.asp?DL=L&amp;TopicID=51</w:t>
        </w:r>
      </w:hyperlink>
    </w:p>
  </w:footnote>
  <w:footnote w:id="16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Gooch</w:t>
      </w:r>
      <w:proofErr w:type="spellEnd"/>
      <w:r w:rsidRPr="00A91E83">
        <w:rPr>
          <w:rFonts w:ascii="Times New Roman" w:hAnsi="Times New Roman" w:cs="Times New Roman"/>
        </w:rPr>
        <w:t xml:space="preserve"> A.C., </w:t>
      </w:r>
      <w:proofErr w:type="spellStart"/>
      <w:r w:rsidRPr="00A91E83">
        <w:rPr>
          <w:rFonts w:ascii="Times New Roman" w:hAnsi="Times New Roman" w:cs="Times New Roman"/>
        </w:rPr>
        <w:t>Klein</w:t>
      </w:r>
      <w:proofErr w:type="spellEnd"/>
      <w:r w:rsidRPr="00A91E83">
        <w:rPr>
          <w:rFonts w:ascii="Times New Roman" w:hAnsi="Times New Roman" w:cs="Times New Roman"/>
        </w:rPr>
        <w:t xml:space="preserve"> L.B. </w:t>
      </w:r>
      <w:proofErr w:type="spellStart"/>
      <w:r w:rsidRPr="00A91E83">
        <w:rPr>
          <w:rFonts w:ascii="Times New Roman" w:hAnsi="Times New Roman" w:cs="Times New Roman"/>
        </w:rPr>
        <w:t>Documentation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for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master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agreement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supplement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Euromoney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Books</w:t>
      </w:r>
      <w:proofErr w:type="spellEnd"/>
      <w:r w:rsidRPr="00A91E83">
        <w:rPr>
          <w:rFonts w:ascii="Times New Roman" w:hAnsi="Times New Roman" w:cs="Times New Roman"/>
        </w:rPr>
        <w:t xml:space="preserve">, 2004, </w:t>
      </w:r>
      <w:proofErr w:type="spellStart"/>
      <w:r w:rsidRPr="00A91E83">
        <w:rPr>
          <w:rFonts w:ascii="Times New Roman" w:hAnsi="Times New Roman" w:cs="Times New Roman"/>
        </w:rPr>
        <w:t>p</w:t>
      </w:r>
      <w:proofErr w:type="spellEnd"/>
      <w:r w:rsidRPr="00A91E83">
        <w:rPr>
          <w:rFonts w:ascii="Times New Roman" w:hAnsi="Times New Roman" w:cs="Times New Roman"/>
        </w:rPr>
        <w:t>. 40.</w:t>
      </w:r>
    </w:p>
  </w:footnote>
  <w:footnote w:id="16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Pvz</w:t>
      </w:r>
      <w:proofErr w:type="spellEnd"/>
      <w:r w:rsidRPr="00A91E83">
        <w:rPr>
          <w:rFonts w:ascii="Times New Roman" w:hAnsi="Times New Roman" w:cs="Times New Roman"/>
        </w:rPr>
        <w:t xml:space="preserve">. iškeliant </w:t>
      </w:r>
      <w:proofErr w:type="spellStart"/>
      <w:r w:rsidRPr="00A91E83">
        <w:rPr>
          <w:rFonts w:ascii="Times New Roman" w:hAnsi="Times New Roman" w:cs="Times New Roman"/>
        </w:rPr>
        <w:t>banktoto</w:t>
      </w:r>
      <w:proofErr w:type="spellEnd"/>
      <w:r w:rsidRPr="00A91E83">
        <w:rPr>
          <w:rFonts w:ascii="Times New Roman" w:hAnsi="Times New Roman" w:cs="Times New Roman"/>
        </w:rPr>
        <w:t xml:space="preserve"> bylą bankams, tačiau Lietuvoje ĮBĮ 5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nenumatyta, kad priežiūros institucija galėtų iškelti bankroto bylą. Vis dėlto bankų įstatyme nurodyta, jog tik esant priežiūros institucijos išvadai dėl banko nemokumo gali būti iškelta bankroto byla (84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2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16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ISDA </w:t>
      </w:r>
      <w:proofErr w:type="spellStart"/>
      <w:r w:rsidRPr="00A91E83">
        <w:rPr>
          <w:rFonts w:ascii="Times New Roman" w:hAnsi="Times New Roman" w:cs="Times New Roman"/>
        </w:rPr>
        <w:t>Multi-currency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Master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Agreement</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section</w:t>
      </w:r>
      <w:proofErr w:type="spellEnd"/>
      <w:r w:rsidRPr="00A91E83">
        <w:rPr>
          <w:rFonts w:ascii="Times New Roman" w:hAnsi="Times New Roman" w:cs="Times New Roman"/>
        </w:rPr>
        <w:t xml:space="preserve"> 6(a).</w:t>
      </w:r>
    </w:p>
  </w:footnote>
  <w:footnote w:id="16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Šaltinis </w:t>
      </w:r>
      <w:hyperlink r:id="rId28" w:history="1">
        <w:r w:rsidRPr="00A91E83">
          <w:rPr>
            <w:rStyle w:val="Hipersaitas"/>
            <w:rFonts w:ascii="Times New Roman" w:hAnsi="Times New Roman" w:cs="Times New Roman"/>
          </w:rPr>
          <w:t>http://riskinstitute.ch/94AddOnDoc5.htm</w:t>
        </w:r>
      </w:hyperlink>
      <w:r w:rsidRPr="00A91E83">
        <w:rPr>
          <w:rFonts w:ascii="Times New Roman" w:hAnsi="Times New Roman" w:cs="Times New Roman"/>
        </w:rPr>
        <w:t xml:space="preserve"> </w:t>
      </w:r>
    </w:p>
  </w:footnote>
  <w:footnote w:id="16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238.</w:t>
      </w:r>
    </w:p>
  </w:footnote>
  <w:footnote w:id="16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European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Markets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Lawyers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Group</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Symposium</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standard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market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documentation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Lessons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learned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from</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current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crisis</w:t>
      </w:r>
      <w:proofErr w:type="spellEnd"/>
      <w:r w:rsidRPr="00A91E83">
        <w:rPr>
          <w:rFonts w:ascii="Times New Roman" w:hAnsi="Times New Roman" w:cs="Times New Roman"/>
        </w:rPr>
        <w:t xml:space="preserve">. 2010, </w:t>
      </w:r>
      <w:proofErr w:type="spellStart"/>
      <w:r w:rsidRPr="00A91E83">
        <w:rPr>
          <w:rFonts w:ascii="Times New Roman" w:hAnsi="Times New Roman" w:cs="Times New Roman"/>
        </w:rPr>
        <w:t>April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28.</w:t>
      </w:r>
    </w:p>
  </w:footnote>
  <w:footnote w:id="166">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Bliss</w:t>
      </w:r>
      <w:proofErr w:type="spellEnd"/>
      <w:r w:rsidRPr="00A91E83">
        <w:rPr>
          <w:rFonts w:ascii="Times New Roman" w:hAnsi="Times New Roman" w:cs="Times New Roman"/>
        </w:rPr>
        <w:t xml:space="preserve">, R.R., </w:t>
      </w:r>
      <w:proofErr w:type="spellStart"/>
      <w:r w:rsidRPr="00A91E83">
        <w:rPr>
          <w:rFonts w:ascii="Times New Roman" w:hAnsi="Times New Roman" w:cs="Times New Roman"/>
        </w:rPr>
        <w:t>Kaufman</w:t>
      </w:r>
      <w:proofErr w:type="spellEnd"/>
      <w:r w:rsidRPr="00A91E83">
        <w:rPr>
          <w:rFonts w:ascii="Times New Roman" w:hAnsi="Times New Roman" w:cs="Times New Roman"/>
        </w:rPr>
        <w:t xml:space="preserve">, G.G.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systemic</w:t>
      </w:r>
      <w:proofErr w:type="spellEnd"/>
      <w:r w:rsidRPr="00A91E83">
        <w:rPr>
          <w:rFonts w:ascii="Times New Roman" w:hAnsi="Times New Roman" w:cs="Times New Roman"/>
        </w:rPr>
        <w:t xml:space="preserve"> risk: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collateral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close-out.</w:t>
      </w:r>
      <w:proofErr w:type="spellEnd"/>
      <w:r w:rsidRPr="00A91E83">
        <w:rPr>
          <w:rFonts w:ascii="Times New Roman" w:hAnsi="Times New Roman" w:cs="Times New Roman"/>
        </w:rPr>
        <w:t xml:space="preserve"> 2005, p 9.</w:t>
      </w:r>
    </w:p>
  </w:footnote>
  <w:footnote w:id="16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ISDA </w:t>
      </w:r>
      <w:proofErr w:type="spellStart"/>
      <w:r w:rsidRPr="00A91E83">
        <w:rPr>
          <w:rFonts w:ascii="Times New Roman" w:hAnsi="Times New Roman" w:cs="Times New Roman"/>
        </w:rPr>
        <w:t>Multi-currency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Master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Agreement</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section</w:t>
      </w:r>
      <w:proofErr w:type="spellEnd"/>
      <w:r w:rsidRPr="00A91E83">
        <w:rPr>
          <w:rFonts w:ascii="Times New Roman" w:hAnsi="Times New Roman" w:cs="Times New Roman"/>
        </w:rPr>
        <w:t xml:space="preserve"> 6(d).</w:t>
      </w:r>
    </w:p>
  </w:footnote>
  <w:footnote w:id="16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ISDA </w:t>
      </w:r>
      <w:proofErr w:type="spellStart"/>
      <w:r w:rsidRPr="00A91E83">
        <w:rPr>
          <w:rFonts w:ascii="Times New Roman" w:hAnsi="Times New Roman" w:cs="Times New Roman"/>
        </w:rPr>
        <w:t>Multi-currency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Master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Agreement</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section</w:t>
      </w:r>
      <w:proofErr w:type="spellEnd"/>
      <w:r w:rsidRPr="00A91E83">
        <w:rPr>
          <w:rFonts w:ascii="Times New Roman" w:hAnsi="Times New Roman" w:cs="Times New Roman"/>
        </w:rPr>
        <w:t xml:space="preserve"> 6(e).</w:t>
      </w:r>
    </w:p>
  </w:footnote>
  <w:footnote w:id="16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Pvz</w:t>
      </w:r>
      <w:proofErr w:type="spellEnd"/>
      <w:r w:rsidRPr="00A91E83">
        <w:rPr>
          <w:rFonts w:ascii="Times New Roman" w:hAnsi="Times New Roman" w:cs="Times New Roman"/>
        </w:rPr>
        <w:t xml:space="preserve">.: bankas su klientu sudarė bendrą kreditavimo sutartį sujungdamas visus kliento kreditus į vieną. (Šaltinis: </w:t>
      </w:r>
      <w:proofErr w:type="spellStart"/>
      <w:r w:rsidRPr="00A91E83">
        <w:rPr>
          <w:rFonts w:ascii="Times New Roman" w:hAnsi="Times New Roman" w:cs="Times New Roman"/>
        </w:rPr>
        <w:t>Ambrasienė</w:t>
      </w:r>
      <w:proofErr w:type="spellEnd"/>
      <w:r w:rsidRPr="00A91E83">
        <w:rPr>
          <w:rFonts w:ascii="Times New Roman" w:hAnsi="Times New Roman" w:cs="Times New Roman"/>
        </w:rPr>
        <w:t xml:space="preserve"> D., Baranauskas E., </w:t>
      </w:r>
      <w:proofErr w:type="spellStart"/>
      <w:r w:rsidRPr="00A91E83">
        <w:rPr>
          <w:rFonts w:ascii="Times New Roman" w:hAnsi="Times New Roman" w:cs="Times New Roman"/>
        </w:rPr>
        <w:t>Bublienė</w:t>
      </w:r>
      <w:proofErr w:type="spellEnd"/>
      <w:r w:rsidRPr="00A91E83">
        <w:rPr>
          <w:rFonts w:ascii="Times New Roman" w:hAnsi="Times New Roman" w:cs="Times New Roman"/>
        </w:rPr>
        <w:t xml:space="preserve"> D. et </w:t>
      </w:r>
      <w:proofErr w:type="spellStart"/>
      <w:r w:rsidRPr="00A91E83">
        <w:rPr>
          <w:rFonts w:ascii="Times New Roman" w:hAnsi="Times New Roman" w:cs="Times New Roman"/>
        </w:rPr>
        <w:t>al</w:t>
      </w:r>
      <w:proofErr w:type="spellEnd"/>
      <w:r w:rsidRPr="00A91E83">
        <w:rPr>
          <w:rFonts w:ascii="Times New Roman" w:hAnsi="Times New Roman" w:cs="Times New Roman"/>
        </w:rPr>
        <w:t xml:space="preserve">. Civilinė teisė. Prievolių teisė. Vilnius: Mykolo </w:t>
      </w:r>
      <w:proofErr w:type="spellStart"/>
      <w:r w:rsidRPr="00A91E83">
        <w:rPr>
          <w:rFonts w:ascii="Times New Roman" w:hAnsi="Times New Roman" w:cs="Times New Roman"/>
        </w:rPr>
        <w:t>Romerio</w:t>
      </w:r>
      <w:proofErr w:type="spellEnd"/>
      <w:r w:rsidRPr="00A91E83">
        <w:rPr>
          <w:rFonts w:ascii="Times New Roman" w:hAnsi="Times New Roman" w:cs="Times New Roman"/>
        </w:rPr>
        <w:t xml:space="preserve"> universiteto Leidybos centras, 2006, </w:t>
      </w:r>
      <w:proofErr w:type="spellStart"/>
      <w:r w:rsidRPr="00A91E83">
        <w:rPr>
          <w:rFonts w:ascii="Times New Roman" w:hAnsi="Times New Roman" w:cs="Times New Roman"/>
        </w:rPr>
        <w:t>p</w:t>
      </w:r>
      <w:proofErr w:type="spellEnd"/>
      <w:r w:rsidRPr="00A91E83">
        <w:rPr>
          <w:rFonts w:ascii="Times New Roman" w:hAnsi="Times New Roman" w:cs="Times New Roman"/>
        </w:rPr>
        <w:t>. 97).</w:t>
      </w:r>
    </w:p>
  </w:footnote>
  <w:footnote w:id="17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Allen</w:t>
      </w:r>
      <w:proofErr w:type="spellEnd"/>
      <w:r w:rsidRPr="00A91E83">
        <w:rPr>
          <w:rFonts w:ascii="Times New Roman" w:hAnsi="Times New Roman" w:cs="Times New Roman"/>
        </w:rPr>
        <w:t xml:space="preserve"> </w:t>
      </w:r>
      <w:r w:rsidRPr="00A91E83">
        <w:rPr>
          <w:rFonts w:ascii="Times New Roman" w:hAnsi="Times New Roman" w:cs="Times New Roman"/>
          <w:lang w:val="en-GB"/>
        </w:rPr>
        <w:t xml:space="preserve">&amp; </w:t>
      </w:r>
      <w:proofErr w:type="spellStart"/>
      <w:r w:rsidRPr="00A91E83">
        <w:rPr>
          <w:rFonts w:ascii="Times New Roman" w:hAnsi="Times New Roman" w:cs="Times New Roman"/>
          <w:lang w:val="en-GB"/>
        </w:rPr>
        <w:t>Overy</w:t>
      </w:r>
      <w:proofErr w:type="spellEnd"/>
      <w:r w:rsidRPr="00A91E83">
        <w:rPr>
          <w:rFonts w:ascii="Times New Roman" w:hAnsi="Times New Roman" w:cs="Times New Roman"/>
          <w:lang w:val="en-GB"/>
        </w:rPr>
        <w:t xml:space="preserve">. </w:t>
      </w:r>
      <w:proofErr w:type="gramStart"/>
      <w:r w:rsidRPr="00A91E83">
        <w:rPr>
          <w:rFonts w:ascii="Times New Roman" w:hAnsi="Times New Roman" w:cs="Times New Roman"/>
          <w:lang w:val="en-GB"/>
        </w:rPr>
        <w:t>An introduction to the documentation of OTC derivatives.</w:t>
      </w:r>
      <w:proofErr w:type="gramEnd"/>
      <w:r w:rsidRPr="00A91E83">
        <w:rPr>
          <w:rFonts w:ascii="Times New Roman" w:hAnsi="Times New Roman" w:cs="Times New Roman"/>
          <w:lang w:val="en-GB"/>
        </w:rPr>
        <w:t xml:space="preserve"> ICM</w:t>
      </w:r>
      <w:proofErr w:type="gramStart"/>
      <w:r w:rsidRPr="00A91E83">
        <w:rPr>
          <w:rFonts w:ascii="Times New Roman" w:hAnsi="Times New Roman" w:cs="Times New Roman"/>
          <w:lang w:val="en-GB"/>
        </w:rPr>
        <w:t>:581317.3</w:t>
      </w:r>
      <w:proofErr w:type="gramEnd"/>
      <w:r w:rsidRPr="00A91E83">
        <w:rPr>
          <w:rFonts w:ascii="Times New Roman" w:hAnsi="Times New Roman" w:cs="Times New Roman"/>
          <w:lang w:val="en-GB"/>
        </w:rPr>
        <w:t xml:space="preserve">. </w:t>
      </w:r>
      <w:proofErr w:type="gramStart"/>
      <w:r w:rsidRPr="00A91E83">
        <w:rPr>
          <w:rFonts w:ascii="Times New Roman" w:hAnsi="Times New Roman" w:cs="Times New Roman"/>
          <w:lang w:val="en-GB"/>
        </w:rPr>
        <w:t>2002, p. 2.</w:t>
      </w:r>
      <w:proofErr w:type="gramEnd"/>
      <w:r w:rsidRPr="00A91E83">
        <w:rPr>
          <w:rFonts w:ascii="Times New Roman" w:hAnsi="Times New Roman" w:cs="Times New Roman"/>
          <w:lang w:val="en-GB"/>
        </w:rPr>
        <w:t xml:space="preserve"> </w:t>
      </w:r>
      <w:r w:rsidRPr="00A91E83">
        <w:rPr>
          <w:rFonts w:ascii="Times New Roman" w:hAnsi="Times New Roman" w:cs="Times New Roman"/>
        </w:rPr>
        <w:t xml:space="preserve">Šaltinis </w:t>
      </w:r>
      <w:hyperlink r:id="rId29" w:history="1">
        <w:r w:rsidRPr="00A91E83">
          <w:rPr>
            <w:rStyle w:val="Hipersaitas"/>
            <w:rFonts w:ascii="Times New Roman" w:hAnsi="Times New Roman" w:cs="Times New Roman"/>
          </w:rPr>
          <w:t>http://www.isda.org/educat/pdf/ten-themes.pdf</w:t>
        </w:r>
      </w:hyperlink>
    </w:p>
  </w:footnote>
  <w:footnote w:id="17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ISDA </w:t>
      </w:r>
      <w:proofErr w:type="spellStart"/>
      <w:r w:rsidRPr="00A91E83">
        <w:rPr>
          <w:rFonts w:ascii="Times New Roman" w:hAnsi="Times New Roman" w:cs="Times New Roman"/>
        </w:rPr>
        <w:t>collateral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steering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committee</w:t>
      </w:r>
      <w:proofErr w:type="spellEnd"/>
      <w:r w:rsidRPr="00A91E83">
        <w:rPr>
          <w:rFonts w:ascii="Times New Roman" w:hAnsi="Times New Roman" w:cs="Times New Roman"/>
        </w:rPr>
        <w:t xml:space="preserve">. Best </w:t>
      </w:r>
      <w:proofErr w:type="spellStart"/>
      <w:r w:rsidRPr="00A91E83">
        <w:rPr>
          <w:rFonts w:ascii="Times New Roman" w:hAnsi="Times New Roman" w:cs="Times New Roman"/>
        </w:rPr>
        <w:t>practices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for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OTC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collateral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process</w:t>
      </w:r>
      <w:proofErr w:type="spellEnd"/>
      <w:r w:rsidRPr="00A91E83">
        <w:rPr>
          <w:rFonts w:ascii="Times New Roman" w:hAnsi="Times New Roman" w:cs="Times New Roman"/>
        </w:rPr>
        <w:t xml:space="preserve">. 2010, </w:t>
      </w:r>
      <w:proofErr w:type="spellStart"/>
      <w:r w:rsidRPr="00A91E83">
        <w:rPr>
          <w:rFonts w:ascii="Times New Roman" w:hAnsi="Times New Roman" w:cs="Times New Roman"/>
        </w:rPr>
        <w:t>June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6-7.</w:t>
      </w:r>
    </w:p>
  </w:footnote>
  <w:footnote w:id="172">
    <w:p w:rsidR="00A91E13" w:rsidRPr="00A91E83" w:rsidRDefault="00A91E13" w:rsidP="00621590">
      <w:pPr>
        <w:autoSpaceDE w:val="0"/>
        <w:autoSpaceDN w:val="0"/>
        <w:adjustRightInd w:val="0"/>
        <w:spacing w:after="0" w:line="240" w:lineRule="auto"/>
        <w:jc w:val="both"/>
        <w:rPr>
          <w:rFonts w:ascii="Times New Roman" w:hAnsi="Times New Roman" w:cs="Times New Roman"/>
          <w:sz w:val="20"/>
          <w:szCs w:val="20"/>
        </w:rPr>
      </w:pPr>
      <w:r w:rsidRPr="00A91E83">
        <w:rPr>
          <w:rStyle w:val="Puslapioinaosnuoroda"/>
          <w:rFonts w:ascii="Times New Roman" w:hAnsi="Times New Roman" w:cs="Times New Roman"/>
          <w:sz w:val="20"/>
          <w:szCs w:val="20"/>
        </w:rPr>
        <w:footnoteRef/>
      </w:r>
      <w:r w:rsidRPr="00A91E83">
        <w:rPr>
          <w:rFonts w:ascii="Times New Roman" w:hAnsi="Times New Roman" w:cs="Times New Roman"/>
          <w:sz w:val="20"/>
          <w:szCs w:val="20"/>
        </w:rPr>
        <w:t xml:space="preserve"> Laurinavičius K. Direktyvos 2002/47/EB Dėl finansinio užstato susitarimų įgyvendinimas Lietuvos teisėje. Pinigų studijos 2004, </w:t>
      </w:r>
      <w:proofErr w:type="spellStart"/>
      <w:r w:rsidRPr="00A91E83">
        <w:rPr>
          <w:rFonts w:ascii="Times New Roman" w:hAnsi="Times New Roman" w:cs="Times New Roman"/>
          <w:sz w:val="20"/>
          <w:szCs w:val="20"/>
        </w:rPr>
        <w:t>Nr</w:t>
      </w:r>
      <w:proofErr w:type="spellEnd"/>
      <w:r w:rsidRPr="00A91E83">
        <w:rPr>
          <w:rFonts w:ascii="Times New Roman" w:hAnsi="Times New Roman" w:cs="Times New Roman"/>
          <w:sz w:val="20"/>
          <w:szCs w:val="20"/>
        </w:rPr>
        <w:t xml:space="preserve">. 3, </w:t>
      </w:r>
      <w:proofErr w:type="spellStart"/>
      <w:r w:rsidRPr="00A91E83">
        <w:rPr>
          <w:rFonts w:ascii="Times New Roman" w:hAnsi="Times New Roman" w:cs="Times New Roman"/>
          <w:sz w:val="20"/>
          <w:szCs w:val="20"/>
        </w:rPr>
        <w:t>p</w:t>
      </w:r>
      <w:proofErr w:type="spellEnd"/>
      <w:r w:rsidRPr="00A91E83">
        <w:rPr>
          <w:rFonts w:ascii="Times New Roman" w:hAnsi="Times New Roman" w:cs="Times New Roman"/>
          <w:sz w:val="20"/>
          <w:szCs w:val="20"/>
        </w:rPr>
        <w:t>. 20, cituojama</w:t>
      </w:r>
      <w:r w:rsidRPr="00A91E83">
        <w:rPr>
          <w:rFonts w:ascii="Times New Roman" w:hAnsi="Times New Roman" w:cs="Times New Roman"/>
          <w:color w:val="231F20"/>
          <w:sz w:val="20"/>
          <w:szCs w:val="20"/>
        </w:rPr>
        <w:t xml:space="preserve"> iš </w:t>
      </w:r>
      <w:proofErr w:type="spellStart"/>
      <w:r w:rsidRPr="00A91E83">
        <w:rPr>
          <w:rFonts w:ascii="Times New Roman" w:hAnsi="Times New Roman" w:cs="Times New Roman"/>
          <w:color w:val="231F20"/>
          <w:sz w:val="20"/>
          <w:szCs w:val="20"/>
        </w:rPr>
        <w:t>Committee</w:t>
      </w:r>
      <w:proofErr w:type="spellEnd"/>
      <w:r w:rsidRPr="00A91E83">
        <w:rPr>
          <w:rFonts w:ascii="Times New Roman" w:hAnsi="Times New Roman" w:cs="Times New Roman"/>
          <w:color w:val="231F20"/>
          <w:sz w:val="20"/>
          <w:szCs w:val="20"/>
        </w:rPr>
        <w:t xml:space="preserve"> </w:t>
      </w:r>
      <w:proofErr w:type="spellStart"/>
      <w:r w:rsidRPr="00A91E83">
        <w:rPr>
          <w:rFonts w:ascii="Times New Roman" w:hAnsi="Times New Roman" w:cs="Times New Roman"/>
          <w:color w:val="231F20"/>
          <w:sz w:val="20"/>
          <w:szCs w:val="20"/>
        </w:rPr>
        <w:t>on</w:t>
      </w:r>
      <w:proofErr w:type="spellEnd"/>
      <w:r w:rsidRPr="00A91E83">
        <w:rPr>
          <w:rFonts w:ascii="Times New Roman" w:hAnsi="Times New Roman" w:cs="Times New Roman"/>
          <w:color w:val="231F20"/>
          <w:sz w:val="20"/>
          <w:szCs w:val="20"/>
        </w:rPr>
        <w:t xml:space="preserve"> </w:t>
      </w:r>
      <w:proofErr w:type="spellStart"/>
      <w:r w:rsidRPr="00A91E83">
        <w:rPr>
          <w:rFonts w:ascii="Times New Roman" w:hAnsi="Times New Roman" w:cs="Times New Roman"/>
          <w:color w:val="231F20"/>
          <w:sz w:val="20"/>
          <w:szCs w:val="20"/>
        </w:rPr>
        <w:t>Payment</w:t>
      </w:r>
      <w:proofErr w:type="spellEnd"/>
      <w:r w:rsidRPr="00A91E83">
        <w:rPr>
          <w:rFonts w:ascii="Times New Roman" w:hAnsi="Times New Roman" w:cs="Times New Roman"/>
          <w:color w:val="231F20"/>
          <w:sz w:val="20"/>
          <w:szCs w:val="20"/>
        </w:rPr>
        <w:t xml:space="preserve"> </w:t>
      </w:r>
      <w:proofErr w:type="spellStart"/>
      <w:r w:rsidRPr="00A91E83">
        <w:rPr>
          <w:rFonts w:ascii="Times New Roman" w:hAnsi="Times New Roman" w:cs="Times New Roman"/>
          <w:color w:val="231F20"/>
          <w:sz w:val="20"/>
          <w:szCs w:val="20"/>
        </w:rPr>
        <w:t>and</w:t>
      </w:r>
      <w:proofErr w:type="spellEnd"/>
      <w:r w:rsidRPr="00A91E83">
        <w:rPr>
          <w:rFonts w:ascii="Times New Roman" w:hAnsi="Times New Roman" w:cs="Times New Roman"/>
          <w:color w:val="231F20"/>
          <w:sz w:val="20"/>
          <w:szCs w:val="20"/>
        </w:rPr>
        <w:t xml:space="preserve"> </w:t>
      </w:r>
      <w:proofErr w:type="spellStart"/>
      <w:r w:rsidRPr="00A91E83">
        <w:rPr>
          <w:rFonts w:ascii="Times New Roman" w:hAnsi="Times New Roman" w:cs="Times New Roman"/>
          <w:color w:val="231F20"/>
          <w:sz w:val="20"/>
          <w:szCs w:val="20"/>
        </w:rPr>
        <w:t>Settlement</w:t>
      </w:r>
      <w:proofErr w:type="spellEnd"/>
      <w:r w:rsidRPr="00A91E83">
        <w:rPr>
          <w:rFonts w:ascii="Times New Roman" w:hAnsi="Times New Roman" w:cs="Times New Roman"/>
          <w:color w:val="231F20"/>
          <w:sz w:val="20"/>
          <w:szCs w:val="20"/>
        </w:rPr>
        <w:t xml:space="preserve"> </w:t>
      </w:r>
      <w:proofErr w:type="spellStart"/>
      <w:r w:rsidRPr="00A91E83">
        <w:rPr>
          <w:rFonts w:ascii="Times New Roman" w:hAnsi="Times New Roman" w:cs="Times New Roman"/>
          <w:color w:val="231F20"/>
          <w:sz w:val="20"/>
          <w:szCs w:val="20"/>
        </w:rPr>
        <w:t>Systems</w:t>
      </w:r>
      <w:proofErr w:type="spellEnd"/>
      <w:r w:rsidRPr="00A91E83">
        <w:rPr>
          <w:rFonts w:ascii="Times New Roman" w:hAnsi="Times New Roman" w:cs="Times New Roman"/>
          <w:color w:val="231F20"/>
          <w:sz w:val="20"/>
          <w:szCs w:val="20"/>
        </w:rPr>
        <w:t xml:space="preserve"> (CPSS) 2003: A </w:t>
      </w:r>
      <w:proofErr w:type="spellStart"/>
      <w:r w:rsidRPr="00A91E83">
        <w:rPr>
          <w:rFonts w:ascii="Times New Roman" w:hAnsi="Times New Roman" w:cs="Times New Roman"/>
          <w:color w:val="231F20"/>
          <w:sz w:val="20"/>
          <w:szCs w:val="20"/>
        </w:rPr>
        <w:t>Glossary</w:t>
      </w:r>
      <w:proofErr w:type="spellEnd"/>
      <w:r w:rsidRPr="00A91E83">
        <w:rPr>
          <w:rFonts w:ascii="Times New Roman" w:hAnsi="Times New Roman" w:cs="Times New Roman"/>
          <w:color w:val="231F20"/>
          <w:sz w:val="20"/>
          <w:szCs w:val="20"/>
        </w:rPr>
        <w:t xml:space="preserve"> </w:t>
      </w:r>
      <w:proofErr w:type="spellStart"/>
      <w:r w:rsidRPr="00A91E83">
        <w:rPr>
          <w:rFonts w:ascii="Times New Roman" w:hAnsi="Times New Roman" w:cs="Times New Roman"/>
          <w:color w:val="231F20"/>
          <w:sz w:val="20"/>
          <w:szCs w:val="20"/>
        </w:rPr>
        <w:t>of</w:t>
      </w:r>
      <w:proofErr w:type="spellEnd"/>
      <w:r w:rsidRPr="00A91E83">
        <w:rPr>
          <w:rFonts w:ascii="Times New Roman" w:hAnsi="Times New Roman" w:cs="Times New Roman"/>
          <w:color w:val="231F20"/>
          <w:sz w:val="20"/>
          <w:szCs w:val="20"/>
        </w:rPr>
        <w:t xml:space="preserve"> </w:t>
      </w:r>
      <w:proofErr w:type="spellStart"/>
      <w:r w:rsidRPr="00A91E83">
        <w:rPr>
          <w:rFonts w:ascii="Times New Roman" w:hAnsi="Times New Roman" w:cs="Times New Roman"/>
          <w:color w:val="231F20"/>
          <w:sz w:val="20"/>
          <w:szCs w:val="20"/>
        </w:rPr>
        <w:t>Terms</w:t>
      </w:r>
      <w:proofErr w:type="spellEnd"/>
      <w:r w:rsidRPr="00A91E83">
        <w:rPr>
          <w:rFonts w:ascii="Times New Roman" w:hAnsi="Times New Roman" w:cs="Times New Roman"/>
          <w:color w:val="231F20"/>
          <w:sz w:val="20"/>
          <w:szCs w:val="20"/>
        </w:rPr>
        <w:t xml:space="preserve"> </w:t>
      </w:r>
      <w:proofErr w:type="spellStart"/>
      <w:r w:rsidRPr="00A91E83">
        <w:rPr>
          <w:rFonts w:ascii="Times New Roman" w:hAnsi="Times New Roman" w:cs="Times New Roman"/>
          <w:color w:val="231F20"/>
          <w:sz w:val="20"/>
          <w:szCs w:val="20"/>
        </w:rPr>
        <w:t>Used</w:t>
      </w:r>
      <w:proofErr w:type="spellEnd"/>
      <w:r w:rsidRPr="00A91E83">
        <w:rPr>
          <w:rFonts w:ascii="Times New Roman" w:hAnsi="Times New Roman" w:cs="Times New Roman"/>
          <w:color w:val="231F20"/>
          <w:sz w:val="20"/>
          <w:szCs w:val="20"/>
        </w:rPr>
        <w:t xml:space="preserve"> </w:t>
      </w:r>
      <w:proofErr w:type="spellStart"/>
      <w:r w:rsidRPr="00A91E83">
        <w:rPr>
          <w:rFonts w:ascii="Times New Roman" w:hAnsi="Times New Roman" w:cs="Times New Roman"/>
          <w:color w:val="231F20"/>
          <w:sz w:val="20"/>
          <w:szCs w:val="20"/>
        </w:rPr>
        <w:t>in</w:t>
      </w:r>
      <w:proofErr w:type="spellEnd"/>
      <w:r w:rsidRPr="00A91E83">
        <w:rPr>
          <w:rFonts w:ascii="Times New Roman" w:hAnsi="Times New Roman" w:cs="Times New Roman"/>
          <w:color w:val="231F20"/>
          <w:sz w:val="20"/>
          <w:szCs w:val="20"/>
        </w:rPr>
        <w:t xml:space="preserve"> </w:t>
      </w:r>
      <w:proofErr w:type="spellStart"/>
      <w:r w:rsidRPr="00A91E83">
        <w:rPr>
          <w:rFonts w:ascii="Times New Roman" w:hAnsi="Times New Roman" w:cs="Times New Roman"/>
          <w:color w:val="231F20"/>
          <w:sz w:val="20"/>
          <w:szCs w:val="20"/>
        </w:rPr>
        <w:t>Payments</w:t>
      </w:r>
      <w:proofErr w:type="spellEnd"/>
      <w:r w:rsidRPr="00A91E83">
        <w:rPr>
          <w:rFonts w:ascii="Times New Roman" w:hAnsi="Times New Roman" w:cs="Times New Roman"/>
          <w:color w:val="231F20"/>
          <w:sz w:val="20"/>
          <w:szCs w:val="20"/>
        </w:rPr>
        <w:t xml:space="preserve"> </w:t>
      </w:r>
      <w:proofErr w:type="spellStart"/>
      <w:r w:rsidRPr="00A91E83">
        <w:rPr>
          <w:rFonts w:ascii="Times New Roman" w:hAnsi="Times New Roman" w:cs="Times New Roman"/>
          <w:color w:val="231F20"/>
          <w:sz w:val="20"/>
          <w:szCs w:val="20"/>
        </w:rPr>
        <w:t>and</w:t>
      </w:r>
      <w:proofErr w:type="spellEnd"/>
      <w:r w:rsidRPr="00A91E83">
        <w:rPr>
          <w:rFonts w:ascii="Times New Roman" w:hAnsi="Times New Roman" w:cs="Times New Roman"/>
          <w:color w:val="231F20"/>
          <w:sz w:val="20"/>
          <w:szCs w:val="20"/>
        </w:rPr>
        <w:t xml:space="preserve"> </w:t>
      </w:r>
      <w:proofErr w:type="spellStart"/>
      <w:r w:rsidRPr="00A91E83">
        <w:rPr>
          <w:rFonts w:ascii="Times New Roman" w:hAnsi="Times New Roman" w:cs="Times New Roman"/>
          <w:color w:val="231F20"/>
          <w:sz w:val="20"/>
          <w:szCs w:val="20"/>
        </w:rPr>
        <w:t>Settlement</w:t>
      </w:r>
      <w:proofErr w:type="spellEnd"/>
      <w:r w:rsidRPr="00A91E83">
        <w:rPr>
          <w:rFonts w:ascii="Times New Roman" w:hAnsi="Times New Roman" w:cs="Times New Roman"/>
          <w:color w:val="231F20"/>
          <w:sz w:val="20"/>
          <w:szCs w:val="20"/>
        </w:rPr>
        <w:t xml:space="preserve"> </w:t>
      </w:r>
      <w:proofErr w:type="spellStart"/>
      <w:r w:rsidRPr="00A91E83">
        <w:rPr>
          <w:rFonts w:ascii="Times New Roman" w:hAnsi="Times New Roman" w:cs="Times New Roman"/>
          <w:color w:val="231F20"/>
          <w:sz w:val="20"/>
          <w:szCs w:val="20"/>
        </w:rPr>
        <w:t>Systems</w:t>
      </w:r>
      <w:proofErr w:type="spellEnd"/>
      <w:r w:rsidRPr="00A91E83">
        <w:rPr>
          <w:rFonts w:ascii="Times New Roman" w:hAnsi="Times New Roman" w:cs="Times New Roman"/>
          <w:color w:val="231F20"/>
          <w:sz w:val="20"/>
          <w:szCs w:val="20"/>
        </w:rPr>
        <w:t xml:space="preserve">. </w:t>
      </w:r>
      <w:proofErr w:type="spellStart"/>
      <w:r w:rsidRPr="00A91E83">
        <w:rPr>
          <w:rFonts w:ascii="Times New Roman" w:hAnsi="Times New Roman" w:cs="Times New Roman"/>
          <w:color w:val="231F20"/>
          <w:sz w:val="20"/>
          <w:szCs w:val="20"/>
        </w:rPr>
        <w:t>Bank</w:t>
      </w:r>
      <w:proofErr w:type="spellEnd"/>
      <w:r w:rsidRPr="00A91E83">
        <w:rPr>
          <w:rFonts w:ascii="Times New Roman" w:hAnsi="Times New Roman" w:cs="Times New Roman"/>
          <w:color w:val="231F20"/>
          <w:sz w:val="20"/>
          <w:szCs w:val="20"/>
        </w:rPr>
        <w:t xml:space="preserve"> </w:t>
      </w:r>
      <w:proofErr w:type="spellStart"/>
      <w:r w:rsidRPr="00A91E83">
        <w:rPr>
          <w:rFonts w:ascii="Times New Roman" w:hAnsi="Times New Roman" w:cs="Times New Roman"/>
          <w:color w:val="231F20"/>
          <w:sz w:val="20"/>
          <w:szCs w:val="20"/>
        </w:rPr>
        <w:t>for</w:t>
      </w:r>
      <w:proofErr w:type="spellEnd"/>
      <w:r w:rsidRPr="00A91E83">
        <w:rPr>
          <w:rFonts w:ascii="Times New Roman" w:hAnsi="Times New Roman" w:cs="Times New Roman"/>
          <w:color w:val="231F20"/>
          <w:sz w:val="20"/>
          <w:szCs w:val="20"/>
        </w:rPr>
        <w:t xml:space="preserve"> </w:t>
      </w:r>
      <w:proofErr w:type="spellStart"/>
      <w:r w:rsidRPr="00A91E83">
        <w:rPr>
          <w:rFonts w:ascii="Times New Roman" w:hAnsi="Times New Roman" w:cs="Times New Roman"/>
          <w:color w:val="231F20"/>
          <w:sz w:val="20"/>
          <w:szCs w:val="20"/>
        </w:rPr>
        <w:t>International</w:t>
      </w:r>
      <w:proofErr w:type="spellEnd"/>
      <w:r w:rsidRPr="00A91E83">
        <w:rPr>
          <w:rFonts w:ascii="Times New Roman" w:hAnsi="Times New Roman" w:cs="Times New Roman"/>
          <w:color w:val="231F20"/>
          <w:sz w:val="20"/>
          <w:szCs w:val="20"/>
        </w:rPr>
        <w:t xml:space="preserve"> </w:t>
      </w:r>
      <w:proofErr w:type="spellStart"/>
      <w:r w:rsidRPr="00A91E83">
        <w:rPr>
          <w:rFonts w:ascii="Times New Roman" w:hAnsi="Times New Roman" w:cs="Times New Roman"/>
          <w:color w:val="231F20"/>
          <w:sz w:val="20"/>
          <w:szCs w:val="20"/>
        </w:rPr>
        <w:t>Settlements</w:t>
      </w:r>
      <w:proofErr w:type="spellEnd"/>
      <w:r w:rsidRPr="00A91E83">
        <w:rPr>
          <w:rFonts w:ascii="Times New Roman" w:hAnsi="Times New Roman" w:cs="Times New Roman"/>
          <w:color w:val="231F20"/>
          <w:sz w:val="20"/>
          <w:szCs w:val="20"/>
        </w:rPr>
        <w:t>.</w:t>
      </w:r>
    </w:p>
  </w:footnote>
  <w:footnote w:id="17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443.</w:t>
      </w:r>
    </w:p>
  </w:footnote>
  <w:footnote w:id="17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Gooch</w:t>
      </w:r>
      <w:proofErr w:type="spellEnd"/>
      <w:r w:rsidRPr="00A91E83">
        <w:rPr>
          <w:rFonts w:ascii="Times New Roman" w:hAnsi="Times New Roman" w:cs="Times New Roman"/>
        </w:rPr>
        <w:t xml:space="preserve"> A.C., </w:t>
      </w:r>
      <w:proofErr w:type="spellStart"/>
      <w:r w:rsidRPr="00A91E83">
        <w:rPr>
          <w:rFonts w:ascii="Times New Roman" w:hAnsi="Times New Roman" w:cs="Times New Roman"/>
        </w:rPr>
        <w:t>Klein</w:t>
      </w:r>
      <w:proofErr w:type="spellEnd"/>
      <w:r w:rsidRPr="00A91E83">
        <w:rPr>
          <w:rFonts w:ascii="Times New Roman" w:hAnsi="Times New Roman" w:cs="Times New Roman"/>
        </w:rPr>
        <w:t xml:space="preserve"> L.B. </w:t>
      </w:r>
      <w:proofErr w:type="spellStart"/>
      <w:r w:rsidRPr="00A91E83">
        <w:rPr>
          <w:rFonts w:ascii="Times New Roman" w:hAnsi="Times New Roman" w:cs="Times New Roman"/>
        </w:rPr>
        <w:t>Documentation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for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Euromoney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Books</w:t>
      </w:r>
      <w:proofErr w:type="spellEnd"/>
      <w:r w:rsidRPr="00A91E83">
        <w:rPr>
          <w:rFonts w:ascii="Times New Roman" w:hAnsi="Times New Roman" w:cs="Times New Roman"/>
        </w:rPr>
        <w:t xml:space="preserve">, 4th </w:t>
      </w:r>
      <w:proofErr w:type="spellStart"/>
      <w:r w:rsidRPr="00A91E83">
        <w:rPr>
          <w:rFonts w:ascii="Times New Roman" w:hAnsi="Times New Roman" w:cs="Times New Roman"/>
        </w:rPr>
        <w:t>edition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Volume</w:t>
      </w:r>
      <w:proofErr w:type="spellEnd"/>
      <w:r w:rsidRPr="00A91E83">
        <w:rPr>
          <w:rFonts w:ascii="Times New Roman" w:hAnsi="Times New Roman" w:cs="Times New Roman"/>
        </w:rPr>
        <w:t xml:space="preserve"> II, 2004, </w:t>
      </w:r>
      <w:proofErr w:type="spellStart"/>
      <w:r w:rsidRPr="00A91E83">
        <w:rPr>
          <w:rFonts w:ascii="Times New Roman" w:hAnsi="Times New Roman" w:cs="Times New Roman"/>
        </w:rPr>
        <w:t>p</w:t>
      </w:r>
      <w:proofErr w:type="spellEnd"/>
      <w:r w:rsidRPr="00A91E83">
        <w:rPr>
          <w:rFonts w:ascii="Times New Roman" w:hAnsi="Times New Roman" w:cs="Times New Roman"/>
        </w:rPr>
        <w:t>. 1061-1062.</w:t>
      </w:r>
    </w:p>
  </w:footnote>
  <w:footnote w:id="17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ISDA, </w:t>
      </w:r>
      <w:proofErr w:type="spellStart"/>
      <w:r w:rsidRPr="00A91E83">
        <w:rPr>
          <w:rFonts w:ascii="Times New Roman" w:hAnsi="Times New Roman" w:cs="Times New Roman"/>
        </w:rPr>
        <w:t>Credit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Support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Annex</w:t>
      </w:r>
      <w:proofErr w:type="spellEnd"/>
      <w:r w:rsidRPr="00A91E83">
        <w:rPr>
          <w:rFonts w:ascii="Times New Roman" w:hAnsi="Times New Roman" w:cs="Times New Roman"/>
        </w:rPr>
        <w:t xml:space="preserve"> (ISDA, 1995).</w:t>
      </w:r>
    </w:p>
  </w:footnote>
  <w:footnote w:id="176">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Lietuvos teisinio reguliavimo ir finansinio užtikrinimo susitarimo perduodant nuosavybės teisę detali analizė pateikiama nagrinėjant FUSĮ taikymo </w:t>
      </w:r>
      <w:proofErr w:type="spellStart"/>
      <w:r w:rsidRPr="00A91E83">
        <w:rPr>
          <w:rFonts w:ascii="Times New Roman" w:hAnsi="Times New Roman" w:cs="Times New Roman"/>
        </w:rPr>
        <w:t>sąlgas</w:t>
      </w:r>
      <w:proofErr w:type="spellEnd"/>
      <w:r w:rsidRPr="00A91E83">
        <w:rPr>
          <w:rFonts w:ascii="Times New Roman" w:hAnsi="Times New Roman" w:cs="Times New Roman"/>
        </w:rPr>
        <w:t xml:space="preserve"> (plačiau </w:t>
      </w:r>
      <w:proofErr w:type="spellStart"/>
      <w:r w:rsidRPr="00A91E83">
        <w:rPr>
          <w:rFonts w:ascii="Times New Roman" w:hAnsi="Times New Roman" w:cs="Times New Roman"/>
        </w:rPr>
        <w:t>žr</w:t>
      </w:r>
      <w:proofErr w:type="spellEnd"/>
      <w:r w:rsidRPr="00A91E83">
        <w:rPr>
          <w:rFonts w:ascii="Times New Roman" w:hAnsi="Times New Roman" w:cs="Times New Roman"/>
        </w:rPr>
        <w:t>. 4.1.3).</w:t>
      </w:r>
    </w:p>
  </w:footnote>
  <w:footnote w:id="17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Gooch</w:t>
      </w:r>
      <w:proofErr w:type="spellEnd"/>
      <w:r w:rsidRPr="00A91E83">
        <w:rPr>
          <w:rFonts w:ascii="Times New Roman" w:hAnsi="Times New Roman" w:cs="Times New Roman"/>
        </w:rPr>
        <w:t xml:space="preserve"> A.C., </w:t>
      </w:r>
      <w:proofErr w:type="spellStart"/>
      <w:r w:rsidRPr="00A91E83">
        <w:rPr>
          <w:rFonts w:ascii="Times New Roman" w:hAnsi="Times New Roman" w:cs="Times New Roman"/>
        </w:rPr>
        <w:t>Klein</w:t>
      </w:r>
      <w:proofErr w:type="spellEnd"/>
      <w:r w:rsidRPr="00A91E83">
        <w:rPr>
          <w:rFonts w:ascii="Times New Roman" w:hAnsi="Times New Roman" w:cs="Times New Roman"/>
        </w:rPr>
        <w:t xml:space="preserve"> L.B. </w:t>
      </w:r>
      <w:proofErr w:type="spellStart"/>
      <w:r w:rsidRPr="00A91E83">
        <w:rPr>
          <w:rFonts w:ascii="Times New Roman" w:hAnsi="Times New Roman" w:cs="Times New Roman"/>
        </w:rPr>
        <w:t>Documentation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for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Euromoney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Books</w:t>
      </w:r>
      <w:proofErr w:type="spellEnd"/>
      <w:r w:rsidRPr="00A91E83">
        <w:rPr>
          <w:rFonts w:ascii="Times New Roman" w:hAnsi="Times New Roman" w:cs="Times New Roman"/>
        </w:rPr>
        <w:t xml:space="preserve">, 4th </w:t>
      </w:r>
      <w:proofErr w:type="spellStart"/>
      <w:r w:rsidRPr="00A91E83">
        <w:rPr>
          <w:rFonts w:ascii="Times New Roman" w:hAnsi="Times New Roman" w:cs="Times New Roman"/>
        </w:rPr>
        <w:t>edition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Volume</w:t>
      </w:r>
      <w:proofErr w:type="spellEnd"/>
      <w:r w:rsidRPr="00A91E83">
        <w:rPr>
          <w:rFonts w:ascii="Times New Roman" w:hAnsi="Times New Roman" w:cs="Times New Roman"/>
        </w:rPr>
        <w:t xml:space="preserve"> II, 2004, </w:t>
      </w:r>
      <w:proofErr w:type="spellStart"/>
      <w:r w:rsidRPr="00A91E83">
        <w:rPr>
          <w:rFonts w:ascii="Times New Roman" w:hAnsi="Times New Roman" w:cs="Times New Roman"/>
        </w:rPr>
        <w:t>p</w:t>
      </w:r>
      <w:proofErr w:type="spellEnd"/>
      <w:r w:rsidRPr="00A91E83">
        <w:rPr>
          <w:rFonts w:ascii="Times New Roman" w:hAnsi="Times New Roman" w:cs="Times New Roman"/>
        </w:rPr>
        <w:t>. 1059.</w:t>
      </w:r>
    </w:p>
  </w:footnote>
  <w:footnote w:id="17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ISDA, </w:t>
      </w:r>
      <w:proofErr w:type="spellStart"/>
      <w:r w:rsidRPr="00A91E83">
        <w:rPr>
          <w:rFonts w:ascii="Times New Roman" w:hAnsi="Times New Roman" w:cs="Times New Roman"/>
        </w:rPr>
        <w:t>Credit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Support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Annex</w:t>
      </w:r>
      <w:proofErr w:type="spellEnd"/>
      <w:r w:rsidRPr="00A91E83">
        <w:rPr>
          <w:rFonts w:ascii="Times New Roman" w:hAnsi="Times New Roman" w:cs="Times New Roman"/>
        </w:rPr>
        <w:t xml:space="preserve"> (ISDA, 1995), para. 2(a).</w:t>
      </w:r>
    </w:p>
  </w:footnote>
  <w:footnote w:id="17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185.</w:t>
      </w:r>
    </w:p>
  </w:footnote>
  <w:footnote w:id="18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i/>
        </w:rPr>
        <w:t>ibid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447.</w:t>
      </w:r>
    </w:p>
  </w:footnote>
  <w:footnote w:id="18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Ypač populiarus ne bendrovių, o vyriausybių obligacijos, nes pagal bendrą taisyklę jų vertė stabilesnė ir nemokumo rizika mažesnė.</w:t>
      </w:r>
    </w:p>
  </w:footnote>
  <w:footnote w:id="18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446.</w:t>
      </w:r>
    </w:p>
  </w:footnote>
  <w:footnote w:id="18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447.</w:t>
      </w:r>
    </w:p>
  </w:footnote>
  <w:footnote w:id="18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i/>
        </w:rPr>
        <w:t>ibid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412.</w:t>
      </w:r>
    </w:p>
  </w:footnote>
  <w:footnote w:id="18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FUSĮ 12 </w:t>
      </w:r>
      <w:proofErr w:type="spellStart"/>
      <w:r w:rsidRPr="00A91E83">
        <w:rPr>
          <w:rFonts w:ascii="Times New Roman" w:hAnsi="Times New Roman" w:cs="Times New Roman"/>
        </w:rPr>
        <w:t>str</w:t>
      </w:r>
      <w:proofErr w:type="spellEnd"/>
      <w:r w:rsidRPr="00A91E83">
        <w:rPr>
          <w:rFonts w:ascii="Times New Roman" w:hAnsi="Times New Roman" w:cs="Times New Roman"/>
        </w:rPr>
        <w:t>.</w:t>
      </w:r>
    </w:p>
  </w:footnote>
  <w:footnote w:id="186">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ĮBĮ 1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4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18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FUSĮ 3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2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18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European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Markets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Lawyers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Group</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Protection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for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bilateral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insolvency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agreements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under</w:t>
      </w:r>
      <w:proofErr w:type="spellEnd"/>
      <w:r w:rsidRPr="00A91E83">
        <w:rPr>
          <w:rFonts w:ascii="Times New Roman" w:hAnsi="Times New Roman" w:cs="Times New Roman"/>
        </w:rPr>
        <w:t xml:space="preserve"> EC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2004, </w:t>
      </w:r>
      <w:proofErr w:type="spellStart"/>
      <w:r w:rsidRPr="00A91E83">
        <w:rPr>
          <w:rFonts w:ascii="Times New Roman" w:hAnsi="Times New Roman" w:cs="Times New Roman"/>
        </w:rPr>
        <w:t>October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42.</w:t>
      </w:r>
    </w:p>
  </w:footnote>
  <w:footnote w:id="18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FUSĮ 3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2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9 </w:t>
      </w:r>
      <w:proofErr w:type="spellStart"/>
      <w:r w:rsidRPr="00A91E83">
        <w:rPr>
          <w:rFonts w:ascii="Times New Roman" w:hAnsi="Times New Roman" w:cs="Times New Roman"/>
        </w:rPr>
        <w:t>p</w:t>
      </w:r>
      <w:proofErr w:type="spellEnd"/>
      <w:r w:rsidRPr="00A91E83">
        <w:rPr>
          <w:rFonts w:ascii="Times New Roman" w:hAnsi="Times New Roman" w:cs="Times New Roman"/>
        </w:rPr>
        <w:t>.</w:t>
      </w:r>
    </w:p>
  </w:footnote>
  <w:footnote w:id="19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Komisijos ataskaita Europos Parlamentui ir Tarybai. Direktyvos dėl susitarimų dėl finansinio įkaito (2002/47/EB) vertinimo ataskaita. COM (2006) 833 galutinis, 2006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gruodžio 20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8.</w:t>
      </w:r>
    </w:p>
  </w:footnote>
  <w:footnote w:id="19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LAT CBS teisėjų kolegijos 2010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lapkričio 30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xml:space="preserve">. 3K-3-483/2010. Šaltinis </w:t>
      </w:r>
      <w:hyperlink r:id="rId30" w:history="1">
        <w:r w:rsidRPr="00A91E83">
          <w:rPr>
            <w:rStyle w:val="Hipersaitas"/>
            <w:rFonts w:ascii="Times New Roman" w:hAnsi="Times New Roman" w:cs="Times New Roman"/>
          </w:rPr>
          <w:t>http://www.lrkt.lt/Prasymai/148_2010.htm</w:t>
        </w:r>
      </w:hyperlink>
      <w:r w:rsidRPr="00A91E83">
        <w:rPr>
          <w:rFonts w:ascii="Times New Roman" w:hAnsi="Times New Roman" w:cs="Times New Roman"/>
        </w:rPr>
        <w:t xml:space="preserve"> </w:t>
      </w:r>
    </w:p>
  </w:footnote>
  <w:footnote w:id="19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Kavalnė</w:t>
      </w:r>
      <w:proofErr w:type="spellEnd"/>
      <w:r w:rsidRPr="00A91E83">
        <w:rPr>
          <w:rFonts w:ascii="Times New Roman" w:hAnsi="Times New Roman" w:cs="Times New Roman"/>
        </w:rPr>
        <w:t xml:space="preserve"> S. Finansinio užstato davėjo nemokumas: teorinės ir praktinės problemos. Disertacija. Vilnius. Mykolo </w:t>
      </w:r>
      <w:proofErr w:type="spellStart"/>
      <w:r w:rsidRPr="00A91E83">
        <w:rPr>
          <w:rFonts w:ascii="Times New Roman" w:hAnsi="Times New Roman" w:cs="Times New Roman"/>
        </w:rPr>
        <w:t>Romerio</w:t>
      </w:r>
      <w:proofErr w:type="spellEnd"/>
      <w:r w:rsidRPr="00A91E83">
        <w:rPr>
          <w:rFonts w:ascii="Times New Roman" w:hAnsi="Times New Roman" w:cs="Times New Roman"/>
        </w:rPr>
        <w:t xml:space="preserve"> universitetas, 2009, </w:t>
      </w:r>
      <w:proofErr w:type="spellStart"/>
      <w:r w:rsidRPr="00A91E83">
        <w:rPr>
          <w:rFonts w:ascii="Times New Roman" w:hAnsi="Times New Roman" w:cs="Times New Roman"/>
        </w:rPr>
        <w:t>p</w:t>
      </w:r>
      <w:proofErr w:type="spellEnd"/>
      <w:r w:rsidRPr="00A91E83">
        <w:rPr>
          <w:rFonts w:ascii="Times New Roman" w:hAnsi="Times New Roman" w:cs="Times New Roman"/>
        </w:rPr>
        <w:t>. 36.</w:t>
      </w:r>
    </w:p>
  </w:footnote>
  <w:footnote w:id="19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i/>
        </w:rPr>
        <w:t>ibid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20.</w:t>
      </w:r>
    </w:p>
  </w:footnote>
  <w:footnote w:id="19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FUSĮ 2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9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ir 10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19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CK 6.70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1 </w:t>
      </w:r>
      <w:proofErr w:type="spellStart"/>
      <w:r w:rsidRPr="00A91E83">
        <w:rPr>
          <w:rFonts w:ascii="Times New Roman" w:hAnsi="Times New Roman" w:cs="Times New Roman"/>
        </w:rPr>
        <w:t>d</w:t>
      </w:r>
      <w:proofErr w:type="spellEnd"/>
      <w:r w:rsidRPr="00A91E83">
        <w:rPr>
          <w:rFonts w:ascii="Times New Roman" w:hAnsi="Times New Roman" w:cs="Times New Roman"/>
        </w:rPr>
        <w:t>.; XII skyrius „Įkeitimas.“</w:t>
      </w:r>
    </w:p>
  </w:footnote>
  <w:footnote w:id="196">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LAT CBS teisėjų kolegijos 2009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liepos 10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3K-3-291/2009.</w:t>
      </w:r>
    </w:p>
  </w:footnote>
  <w:footnote w:id="19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FUSĮ 9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2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19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FUSĮ 8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1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19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FUSĮ 6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1-2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20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FUSĮ 11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1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20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Kavalnė</w:t>
      </w:r>
      <w:proofErr w:type="spellEnd"/>
      <w:r w:rsidRPr="00A91E83">
        <w:rPr>
          <w:rFonts w:ascii="Times New Roman" w:hAnsi="Times New Roman" w:cs="Times New Roman"/>
        </w:rPr>
        <w:t xml:space="preserve"> S. Finansinio užstato davėjo nemokumas: teorinės ir praktinės problemos. Disertacija. Vilnius. Mykolo </w:t>
      </w:r>
      <w:proofErr w:type="spellStart"/>
      <w:r w:rsidRPr="00A91E83">
        <w:rPr>
          <w:rFonts w:ascii="Times New Roman" w:hAnsi="Times New Roman" w:cs="Times New Roman"/>
        </w:rPr>
        <w:t>Romerio</w:t>
      </w:r>
      <w:proofErr w:type="spellEnd"/>
      <w:r w:rsidRPr="00A91E83">
        <w:rPr>
          <w:rFonts w:ascii="Times New Roman" w:hAnsi="Times New Roman" w:cs="Times New Roman"/>
        </w:rPr>
        <w:t xml:space="preserve"> universitetas, 2009, </w:t>
      </w:r>
      <w:proofErr w:type="spellStart"/>
      <w:r w:rsidRPr="00A91E83">
        <w:rPr>
          <w:rFonts w:ascii="Times New Roman" w:hAnsi="Times New Roman" w:cs="Times New Roman"/>
        </w:rPr>
        <w:t>pp</w:t>
      </w:r>
      <w:proofErr w:type="spellEnd"/>
      <w:r w:rsidRPr="00A91E83">
        <w:rPr>
          <w:rFonts w:ascii="Times New Roman" w:hAnsi="Times New Roman" w:cs="Times New Roman"/>
        </w:rPr>
        <w:t>. 24-25.</w:t>
      </w:r>
    </w:p>
  </w:footnote>
  <w:footnote w:id="20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FUSĮ 4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2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20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Komisijos ataskaita Europos Parlamentui ir Tarybai. Direktyvos dėl susitarimų dėl finansinio įkaito (2002/47/EB) vertinimo ataskaita. COM (2006) 833 galutinis, 2006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gruodžio 20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6.</w:t>
      </w:r>
    </w:p>
  </w:footnote>
  <w:footnote w:id="20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r w:rsidRPr="00A91E83">
        <w:rPr>
          <w:rFonts w:ascii="Times New Roman" w:hAnsi="Times New Roman" w:cs="Times New Roman"/>
          <w:bCs/>
        </w:rPr>
        <w:t xml:space="preserve">Europos Parlamento ir Tarybos 2009 gegužės 6 </w:t>
      </w:r>
      <w:proofErr w:type="spellStart"/>
      <w:r w:rsidRPr="00A91E83">
        <w:rPr>
          <w:rFonts w:ascii="Times New Roman" w:hAnsi="Times New Roman" w:cs="Times New Roman"/>
          <w:bCs/>
        </w:rPr>
        <w:t>d</w:t>
      </w:r>
      <w:proofErr w:type="spellEnd"/>
      <w:r w:rsidRPr="00A91E83">
        <w:rPr>
          <w:rFonts w:ascii="Times New Roman" w:hAnsi="Times New Roman" w:cs="Times New Roman"/>
          <w:bCs/>
        </w:rPr>
        <w:t xml:space="preserve">. direktyvą 2009/44/EB, kuri nuo 2009 birželio 10 </w:t>
      </w:r>
      <w:proofErr w:type="spellStart"/>
      <w:r w:rsidRPr="00A91E83">
        <w:rPr>
          <w:rFonts w:ascii="Times New Roman" w:hAnsi="Times New Roman" w:cs="Times New Roman"/>
          <w:bCs/>
        </w:rPr>
        <w:t>d</w:t>
      </w:r>
      <w:proofErr w:type="spellEnd"/>
      <w:r w:rsidRPr="00A91E83">
        <w:rPr>
          <w:rFonts w:ascii="Times New Roman" w:hAnsi="Times New Roman" w:cs="Times New Roman"/>
          <w:bCs/>
        </w:rPr>
        <w:t>. iš dalies pakeitė Įkaito direktyvą.</w:t>
      </w:r>
    </w:p>
  </w:footnote>
  <w:footnote w:id="20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r w:rsidRPr="00A91E83">
        <w:rPr>
          <w:rFonts w:ascii="Times New Roman" w:hAnsi="Times New Roman" w:cs="Times New Roman"/>
          <w:bCs/>
        </w:rPr>
        <w:t xml:space="preserve">2010 </w:t>
      </w:r>
      <w:proofErr w:type="spellStart"/>
      <w:r w:rsidRPr="00A91E83">
        <w:rPr>
          <w:rFonts w:ascii="Times New Roman" w:hAnsi="Times New Roman" w:cs="Times New Roman"/>
          <w:bCs/>
        </w:rPr>
        <w:t>m</w:t>
      </w:r>
      <w:proofErr w:type="spellEnd"/>
      <w:r w:rsidRPr="00A91E83">
        <w:rPr>
          <w:rFonts w:ascii="Times New Roman" w:hAnsi="Times New Roman" w:cs="Times New Roman"/>
          <w:bCs/>
        </w:rPr>
        <w:t xml:space="preserve">. liepos 28 </w:t>
      </w:r>
      <w:proofErr w:type="spellStart"/>
      <w:r w:rsidRPr="00A91E83">
        <w:rPr>
          <w:rFonts w:ascii="Times New Roman" w:hAnsi="Times New Roman" w:cs="Times New Roman"/>
          <w:bCs/>
        </w:rPr>
        <w:t>d</w:t>
      </w:r>
      <w:proofErr w:type="spellEnd"/>
      <w:r w:rsidRPr="00A91E83">
        <w:rPr>
          <w:rFonts w:ascii="Times New Roman" w:hAnsi="Times New Roman" w:cs="Times New Roman"/>
          <w:bCs/>
        </w:rPr>
        <w:t>. įregistruotas FUSĮ projektas su minėtu pakeitimu.</w:t>
      </w:r>
    </w:p>
  </w:footnote>
  <w:footnote w:id="206">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LAT CBS teisėjų kolegijos 2009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liepos 10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3K-3-291/2009.</w:t>
      </w:r>
    </w:p>
  </w:footnote>
  <w:footnote w:id="20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CK 4.213</w:t>
      </w:r>
      <w:r>
        <w:rPr>
          <w:rFonts w:ascii="Times New Roman" w:hAnsi="Times New Roman" w:cs="Times New Roman"/>
        </w:rPr>
        <w:t>.</w:t>
      </w:r>
    </w:p>
  </w:footnote>
  <w:footnote w:id="20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Kavalnė</w:t>
      </w:r>
      <w:proofErr w:type="spellEnd"/>
      <w:r w:rsidRPr="00A91E83">
        <w:rPr>
          <w:rFonts w:ascii="Times New Roman" w:hAnsi="Times New Roman" w:cs="Times New Roman"/>
        </w:rPr>
        <w:t xml:space="preserve"> S. Finansinio užstato davėjo nemokumas: teorinės ir praktinės problemos. Disertacija. Vilnius. Mykolo </w:t>
      </w:r>
      <w:proofErr w:type="spellStart"/>
      <w:r w:rsidRPr="00A91E83">
        <w:rPr>
          <w:rFonts w:ascii="Times New Roman" w:hAnsi="Times New Roman" w:cs="Times New Roman"/>
        </w:rPr>
        <w:t>Romerio</w:t>
      </w:r>
      <w:proofErr w:type="spellEnd"/>
      <w:r w:rsidRPr="00A91E83">
        <w:rPr>
          <w:rFonts w:ascii="Times New Roman" w:hAnsi="Times New Roman" w:cs="Times New Roman"/>
        </w:rPr>
        <w:t xml:space="preserve"> universitetas, 2009, </w:t>
      </w:r>
      <w:proofErr w:type="spellStart"/>
      <w:r w:rsidRPr="00A91E83">
        <w:rPr>
          <w:rFonts w:ascii="Times New Roman" w:hAnsi="Times New Roman" w:cs="Times New Roman"/>
        </w:rPr>
        <w:t>p</w:t>
      </w:r>
      <w:proofErr w:type="spellEnd"/>
      <w:r w:rsidRPr="00A91E83">
        <w:rPr>
          <w:rFonts w:ascii="Times New Roman" w:hAnsi="Times New Roman" w:cs="Times New Roman"/>
        </w:rPr>
        <w:t>. 27.</w:t>
      </w:r>
    </w:p>
  </w:footnote>
  <w:footnote w:id="20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FUSĮ 2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11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21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FUSĮ 2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22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21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FUSĮ 2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7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21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Kavalnė</w:t>
      </w:r>
      <w:proofErr w:type="spellEnd"/>
      <w:r w:rsidRPr="00A91E83">
        <w:rPr>
          <w:rFonts w:ascii="Times New Roman" w:hAnsi="Times New Roman" w:cs="Times New Roman"/>
        </w:rPr>
        <w:t xml:space="preserve"> S. Finansinio užstato davėjo nemokumas: teorinės ir praktinės problemos. Disertacija. Vilnius. Mykolo </w:t>
      </w:r>
      <w:proofErr w:type="spellStart"/>
      <w:r w:rsidRPr="00A91E83">
        <w:rPr>
          <w:rFonts w:ascii="Times New Roman" w:hAnsi="Times New Roman" w:cs="Times New Roman"/>
        </w:rPr>
        <w:t>Romerio</w:t>
      </w:r>
      <w:proofErr w:type="spellEnd"/>
      <w:r w:rsidRPr="00A91E83">
        <w:rPr>
          <w:rFonts w:ascii="Times New Roman" w:hAnsi="Times New Roman" w:cs="Times New Roman"/>
        </w:rPr>
        <w:t xml:space="preserve"> universitetas, 2009, </w:t>
      </w:r>
      <w:proofErr w:type="spellStart"/>
      <w:r w:rsidRPr="00A91E83">
        <w:rPr>
          <w:rFonts w:ascii="Times New Roman" w:hAnsi="Times New Roman" w:cs="Times New Roman"/>
        </w:rPr>
        <w:t>p</w:t>
      </w:r>
      <w:proofErr w:type="spellEnd"/>
      <w:r w:rsidRPr="00A91E83">
        <w:rPr>
          <w:rFonts w:ascii="Times New Roman" w:hAnsi="Times New Roman" w:cs="Times New Roman"/>
        </w:rPr>
        <w:t>. 29.</w:t>
      </w:r>
    </w:p>
  </w:footnote>
  <w:footnote w:id="213">
    <w:p w:rsidR="00A91E13" w:rsidRPr="00A91E83" w:rsidRDefault="00A91E13" w:rsidP="00437194">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Comparative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security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interests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title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w:t>
      </w:r>
      <w:r w:rsidRPr="00A91E83">
        <w:rPr>
          <w:rFonts w:ascii="Times New Roman" w:hAnsi="Times New Roman" w:cs="Times New Roman"/>
          <w:lang w:val="en-GB"/>
        </w:rPr>
        <w:t>&amp;</w:t>
      </w:r>
      <w:r w:rsidRPr="00A91E83">
        <w:rPr>
          <w:rFonts w:ascii="Times New Roman" w:hAnsi="Times New Roman" w:cs="Times New Roman"/>
        </w:rPr>
        <w:t xml:space="preserve">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2nd </w:t>
      </w:r>
      <w:proofErr w:type="spellStart"/>
      <w:r w:rsidRPr="00A91E83">
        <w:rPr>
          <w:rFonts w:ascii="Times New Roman" w:hAnsi="Times New Roman" w:cs="Times New Roman"/>
        </w:rPr>
        <w:t>edition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Volume</w:t>
      </w:r>
      <w:proofErr w:type="spellEnd"/>
      <w:r w:rsidRPr="00A91E83">
        <w:rPr>
          <w:rFonts w:ascii="Times New Roman" w:hAnsi="Times New Roman" w:cs="Times New Roman"/>
        </w:rPr>
        <w:t xml:space="preserve"> 2, 2007, </w:t>
      </w:r>
      <w:proofErr w:type="spellStart"/>
      <w:r w:rsidRPr="00A91E83">
        <w:rPr>
          <w:rFonts w:ascii="Times New Roman" w:hAnsi="Times New Roman" w:cs="Times New Roman"/>
        </w:rPr>
        <w:t>p</w:t>
      </w:r>
      <w:proofErr w:type="spellEnd"/>
      <w:r w:rsidRPr="00A91E83">
        <w:rPr>
          <w:rFonts w:ascii="Times New Roman" w:hAnsi="Times New Roman" w:cs="Times New Roman"/>
        </w:rPr>
        <w:t>. 729.</w:t>
      </w:r>
    </w:p>
  </w:footnote>
  <w:footnote w:id="214">
    <w:p w:rsidR="00A91E13" w:rsidRDefault="00A91E13" w:rsidP="00280D71">
      <w:pPr>
        <w:pStyle w:val="Puslapioinaostekstas"/>
        <w:jc w:val="both"/>
      </w:pPr>
      <w:r>
        <w:rPr>
          <w:rStyle w:val="Puslapioinaosnuoroda"/>
        </w:rPr>
        <w:footnoteRef/>
      </w:r>
      <w:r>
        <w:t xml:space="preserve"> </w:t>
      </w:r>
      <w:proofErr w:type="spellStart"/>
      <w:r w:rsidRPr="00280D71">
        <w:rPr>
          <w:rFonts w:ascii="Times New Roman" w:hAnsi="Times New Roman" w:cs="Times New Roman"/>
        </w:rPr>
        <w:t>Lober</w:t>
      </w:r>
      <w:proofErr w:type="spellEnd"/>
      <w:r w:rsidRPr="00280D71">
        <w:rPr>
          <w:rFonts w:ascii="Times New Roman" w:hAnsi="Times New Roman" w:cs="Times New Roman"/>
        </w:rPr>
        <w:t xml:space="preserve"> K. </w:t>
      </w:r>
      <w:proofErr w:type="spellStart"/>
      <w:r w:rsidRPr="00280D71">
        <w:rPr>
          <w:rFonts w:ascii="Times New Roman" w:hAnsi="Times New Roman" w:cs="Times New Roman"/>
        </w:rPr>
        <w:t>The</w:t>
      </w:r>
      <w:proofErr w:type="spellEnd"/>
      <w:r w:rsidRPr="00280D71">
        <w:rPr>
          <w:rFonts w:ascii="Times New Roman" w:hAnsi="Times New Roman" w:cs="Times New Roman"/>
        </w:rPr>
        <w:t xml:space="preserve"> </w:t>
      </w:r>
      <w:proofErr w:type="spellStart"/>
      <w:r w:rsidRPr="00280D71">
        <w:rPr>
          <w:rFonts w:ascii="Times New Roman" w:hAnsi="Times New Roman" w:cs="Times New Roman"/>
        </w:rPr>
        <w:t>implementation</w:t>
      </w:r>
      <w:proofErr w:type="spellEnd"/>
      <w:r w:rsidRPr="00280D71">
        <w:rPr>
          <w:rFonts w:ascii="Times New Roman" w:hAnsi="Times New Roman" w:cs="Times New Roman"/>
        </w:rPr>
        <w:t xml:space="preserve"> </w:t>
      </w:r>
      <w:proofErr w:type="spellStart"/>
      <w:r w:rsidRPr="00280D71">
        <w:rPr>
          <w:rFonts w:ascii="Times New Roman" w:hAnsi="Times New Roman" w:cs="Times New Roman"/>
        </w:rPr>
        <w:t>of</w:t>
      </w:r>
      <w:proofErr w:type="spellEnd"/>
      <w:r w:rsidRPr="00280D71">
        <w:rPr>
          <w:rFonts w:ascii="Times New Roman" w:hAnsi="Times New Roman" w:cs="Times New Roman"/>
        </w:rPr>
        <w:t xml:space="preserve"> </w:t>
      </w:r>
      <w:proofErr w:type="spellStart"/>
      <w:r w:rsidRPr="00280D71">
        <w:rPr>
          <w:rFonts w:ascii="Times New Roman" w:hAnsi="Times New Roman" w:cs="Times New Roman"/>
        </w:rPr>
        <w:t>Directive</w:t>
      </w:r>
      <w:proofErr w:type="spellEnd"/>
      <w:r w:rsidRPr="00280D71">
        <w:rPr>
          <w:rFonts w:ascii="Times New Roman" w:hAnsi="Times New Roman" w:cs="Times New Roman"/>
        </w:rPr>
        <w:t xml:space="preserve"> 2002/47 </w:t>
      </w:r>
      <w:proofErr w:type="spellStart"/>
      <w:r w:rsidRPr="00280D71">
        <w:rPr>
          <w:rFonts w:ascii="Times New Roman" w:hAnsi="Times New Roman" w:cs="Times New Roman"/>
        </w:rPr>
        <w:t>on</w:t>
      </w:r>
      <w:proofErr w:type="spellEnd"/>
      <w:r w:rsidRPr="00280D71">
        <w:rPr>
          <w:rFonts w:ascii="Times New Roman" w:hAnsi="Times New Roman" w:cs="Times New Roman"/>
        </w:rPr>
        <w:t xml:space="preserve"> </w:t>
      </w:r>
      <w:proofErr w:type="spellStart"/>
      <w:r w:rsidRPr="00280D71">
        <w:rPr>
          <w:rFonts w:ascii="Times New Roman" w:hAnsi="Times New Roman" w:cs="Times New Roman"/>
        </w:rPr>
        <w:t>financial</w:t>
      </w:r>
      <w:proofErr w:type="spellEnd"/>
      <w:r w:rsidRPr="00280D71">
        <w:rPr>
          <w:rFonts w:ascii="Times New Roman" w:hAnsi="Times New Roman" w:cs="Times New Roman"/>
        </w:rPr>
        <w:t xml:space="preserve"> </w:t>
      </w:r>
      <w:proofErr w:type="spellStart"/>
      <w:r w:rsidRPr="00280D71">
        <w:rPr>
          <w:rFonts w:ascii="Times New Roman" w:hAnsi="Times New Roman" w:cs="Times New Roman"/>
        </w:rPr>
        <w:t>collateral</w:t>
      </w:r>
      <w:proofErr w:type="spellEnd"/>
      <w:r w:rsidRPr="00280D71">
        <w:rPr>
          <w:rFonts w:ascii="Times New Roman" w:hAnsi="Times New Roman" w:cs="Times New Roman"/>
        </w:rPr>
        <w:t xml:space="preserve"> </w:t>
      </w:r>
      <w:proofErr w:type="spellStart"/>
      <w:r w:rsidRPr="00280D71">
        <w:rPr>
          <w:rFonts w:ascii="Times New Roman" w:hAnsi="Times New Roman" w:cs="Times New Roman"/>
        </w:rPr>
        <w:t>arrangements</w:t>
      </w:r>
      <w:proofErr w:type="spellEnd"/>
      <w:r w:rsidRPr="00280D71">
        <w:rPr>
          <w:rFonts w:ascii="Times New Roman" w:hAnsi="Times New Roman" w:cs="Times New Roman"/>
        </w:rPr>
        <w:t xml:space="preserve">. </w:t>
      </w:r>
      <w:proofErr w:type="spellStart"/>
      <w:r w:rsidRPr="00280D71">
        <w:rPr>
          <w:rFonts w:ascii="Times New Roman" w:hAnsi="Times New Roman" w:cs="Times New Roman"/>
        </w:rPr>
        <w:t>Journal</w:t>
      </w:r>
      <w:proofErr w:type="spellEnd"/>
      <w:r w:rsidRPr="00280D71">
        <w:rPr>
          <w:rFonts w:ascii="Times New Roman" w:hAnsi="Times New Roman" w:cs="Times New Roman"/>
        </w:rPr>
        <w:t xml:space="preserve"> </w:t>
      </w:r>
      <w:proofErr w:type="spellStart"/>
      <w:r w:rsidRPr="00280D71">
        <w:rPr>
          <w:rFonts w:ascii="Times New Roman" w:hAnsi="Times New Roman" w:cs="Times New Roman"/>
        </w:rPr>
        <w:t>of</w:t>
      </w:r>
      <w:proofErr w:type="spellEnd"/>
      <w:r w:rsidRPr="00280D71">
        <w:rPr>
          <w:rFonts w:ascii="Times New Roman" w:hAnsi="Times New Roman" w:cs="Times New Roman"/>
        </w:rPr>
        <w:t xml:space="preserve"> </w:t>
      </w:r>
      <w:proofErr w:type="spellStart"/>
      <w:r w:rsidRPr="00280D71">
        <w:rPr>
          <w:rFonts w:ascii="Times New Roman" w:hAnsi="Times New Roman" w:cs="Times New Roman"/>
        </w:rPr>
        <w:t>International</w:t>
      </w:r>
      <w:proofErr w:type="spellEnd"/>
      <w:r w:rsidRPr="00280D71">
        <w:rPr>
          <w:rFonts w:ascii="Times New Roman" w:hAnsi="Times New Roman" w:cs="Times New Roman"/>
        </w:rPr>
        <w:t xml:space="preserve"> </w:t>
      </w:r>
      <w:proofErr w:type="spellStart"/>
      <w:r w:rsidRPr="00280D71">
        <w:rPr>
          <w:rFonts w:ascii="Times New Roman" w:hAnsi="Times New Roman" w:cs="Times New Roman"/>
        </w:rPr>
        <w:t>Banking</w:t>
      </w:r>
      <w:proofErr w:type="spellEnd"/>
      <w:r w:rsidRPr="00280D71">
        <w:rPr>
          <w:rFonts w:ascii="Times New Roman" w:hAnsi="Times New Roman" w:cs="Times New Roman"/>
        </w:rPr>
        <w:t xml:space="preserve"> </w:t>
      </w:r>
      <w:proofErr w:type="spellStart"/>
      <w:r w:rsidRPr="00280D71">
        <w:rPr>
          <w:rFonts w:ascii="Times New Roman" w:hAnsi="Times New Roman" w:cs="Times New Roman"/>
        </w:rPr>
        <w:t>Law</w:t>
      </w:r>
      <w:proofErr w:type="spellEnd"/>
      <w:r w:rsidRPr="00280D71">
        <w:rPr>
          <w:rFonts w:ascii="Times New Roman" w:hAnsi="Times New Roman" w:cs="Times New Roman"/>
        </w:rPr>
        <w:t xml:space="preserve"> </w:t>
      </w:r>
      <w:proofErr w:type="spellStart"/>
      <w:r w:rsidRPr="00280D71">
        <w:rPr>
          <w:rFonts w:ascii="Times New Roman" w:hAnsi="Times New Roman" w:cs="Times New Roman"/>
        </w:rPr>
        <w:t>and</w:t>
      </w:r>
      <w:proofErr w:type="spellEnd"/>
      <w:r w:rsidRPr="00280D71">
        <w:rPr>
          <w:rFonts w:ascii="Times New Roman" w:hAnsi="Times New Roman" w:cs="Times New Roman"/>
        </w:rPr>
        <w:t xml:space="preserve"> </w:t>
      </w:r>
      <w:proofErr w:type="spellStart"/>
      <w:r w:rsidRPr="00280D71">
        <w:rPr>
          <w:rFonts w:ascii="Times New Roman" w:hAnsi="Times New Roman" w:cs="Times New Roman"/>
        </w:rPr>
        <w:t>Regulation</w:t>
      </w:r>
      <w:proofErr w:type="spellEnd"/>
      <w:r w:rsidRPr="00280D71">
        <w:rPr>
          <w:rFonts w:ascii="Times New Roman" w:hAnsi="Times New Roman" w:cs="Times New Roman"/>
        </w:rPr>
        <w:t xml:space="preserve">, 2006, </w:t>
      </w:r>
      <w:r w:rsidRPr="00280D71">
        <w:rPr>
          <w:rFonts w:ascii="Times New Roman" w:eastAsia="Times New Roman" w:hAnsi="Times New Roman" w:cs="Times New Roman"/>
          <w:color w:val="000000"/>
        </w:rPr>
        <w:t>21(4)</w:t>
      </w:r>
      <w:r w:rsidRPr="00156888">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pp</w:t>
      </w:r>
      <w:proofErr w:type="spellEnd"/>
      <w:r>
        <w:rPr>
          <w:rFonts w:ascii="Times New Roman" w:eastAsia="Times New Roman" w:hAnsi="Times New Roman" w:cs="Times New Roman"/>
          <w:color w:val="000000"/>
        </w:rPr>
        <w:t xml:space="preserve">. </w:t>
      </w:r>
      <w:r w:rsidRPr="00156888">
        <w:rPr>
          <w:rFonts w:ascii="Times New Roman" w:eastAsia="Times New Roman" w:hAnsi="Times New Roman" w:cs="Times New Roman"/>
          <w:color w:val="000000"/>
        </w:rPr>
        <w:t>203-212</w:t>
      </w:r>
      <w:r>
        <w:t>.</w:t>
      </w:r>
    </w:p>
  </w:footnote>
  <w:footnote w:id="21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Komisijos ataskaita Europos Parlamentui ir Tarybai. Direktyvos dėl susitarimų dėl finansinio įkaito (2002/47/EB) vertinimo ataskaita. KOM (2006) 833 galutinis, 2006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gruodžio 20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6.</w:t>
      </w:r>
    </w:p>
  </w:footnote>
  <w:footnote w:id="216">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FUSĮ projektas, 2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18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21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Komisijos ataskaita Europos Parlamentui ir Tarybai. Direktyvos dėl susitarimų dėl finansinio įkaito (2002/47/EB) vertinimo ataskaita. KOM (2006) 833 galutinis, 2006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gruodžio 20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6.</w:t>
      </w:r>
    </w:p>
  </w:footnote>
  <w:footnote w:id="21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FUSĮ 2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2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w:t>
      </w:r>
    </w:p>
  </w:footnote>
  <w:footnote w:id="219">
    <w:p w:rsidR="00A91E13" w:rsidRDefault="00A91E13">
      <w:pPr>
        <w:pStyle w:val="Puslapioinaostekstas"/>
      </w:pPr>
      <w:r>
        <w:rPr>
          <w:rStyle w:val="Puslapioinaosnuoroda"/>
        </w:rPr>
        <w:footnoteRef/>
      </w:r>
      <w:r>
        <w:t xml:space="preserve"> </w:t>
      </w:r>
      <w:proofErr w:type="spellStart"/>
      <w:r w:rsidRPr="00A91E83">
        <w:rPr>
          <w:rFonts w:ascii="Times New Roman" w:hAnsi="Times New Roman" w:cs="Times New Roman"/>
        </w:rPr>
        <w:t>Kavalnė</w:t>
      </w:r>
      <w:proofErr w:type="spellEnd"/>
      <w:r w:rsidRPr="00A91E83">
        <w:rPr>
          <w:rFonts w:ascii="Times New Roman" w:hAnsi="Times New Roman" w:cs="Times New Roman"/>
        </w:rPr>
        <w:t xml:space="preserve"> S. Finansinio užstato davėjo nemokumas: teorinės ir praktinės problemos. Disertacija. Vilnius. Mykolo </w:t>
      </w:r>
      <w:proofErr w:type="spellStart"/>
      <w:r w:rsidRPr="00A91E83">
        <w:rPr>
          <w:rFonts w:ascii="Times New Roman" w:hAnsi="Times New Roman" w:cs="Times New Roman"/>
        </w:rPr>
        <w:t>Ro</w:t>
      </w:r>
      <w:r>
        <w:rPr>
          <w:rFonts w:ascii="Times New Roman" w:hAnsi="Times New Roman" w:cs="Times New Roman"/>
        </w:rPr>
        <w:t>merio</w:t>
      </w:r>
      <w:proofErr w:type="spellEnd"/>
      <w:r>
        <w:rPr>
          <w:rFonts w:ascii="Times New Roman" w:hAnsi="Times New Roman" w:cs="Times New Roman"/>
        </w:rPr>
        <w:t xml:space="preserve"> universitetas, 2009, </w:t>
      </w:r>
      <w:proofErr w:type="spellStart"/>
      <w:r>
        <w:rPr>
          <w:rFonts w:ascii="Times New Roman" w:hAnsi="Times New Roman" w:cs="Times New Roman"/>
        </w:rPr>
        <w:t>p</w:t>
      </w:r>
      <w:proofErr w:type="spellEnd"/>
      <w:r>
        <w:rPr>
          <w:rFonts w:ascii="Times New Roman" w:hAnsi="Times New Roman" w:cs="Times New Roman"/>
        </w:rPr>
        <w:t>. 34</w:t>
      </w:r>
      <w:r w:rsidRPr="00A91E83">
        <w:rPr>
          <w:rFonts w:ascii="Times New Roman" w:hAnsi="Times New Roman" w:cs="Times New Roman"/>
        </w:rPr>
        <w:t>.</w:t>
      </w:r>
    </w:p>
  </w:footnote>
  <w:footnote w:id="220">
    <w:p w:rsidR="00A91E13" w:rsidRPr="00A91E83" w:rsidRDefault="00A91E13" w:rsidP="00215B68">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FUSĮ 5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w:t>
      </w:r>
    </w:p>
  </w:footnote>
  <w:footnote w:id="22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European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Markets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Lawyers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Group</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Protection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for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bilateral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insolvency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agreements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under</w:t>
      </w:r>
      <w:proofErr w:type="spellEnd"/>
      <w:r w:rsidRPr="00A91E83">
        <w:rPr>
          <w:rFonts w:ascii="Times New Roman" w:hAnsi="Times New Roman" w:cs="Times New Roman"/>
        </w:rPr>
        <w:t xml:space="preserve"> EC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2004, </w:t>
      </w:r>
      <w:proofErr w:type="spellStart"/>
      <w:r w:rsidRPr="00A91E83">
        <w:rPr>
          <w:rFonts w:ascii="Times New Roman" w:hAnsi="Times New Roman" w:cs="Times New Roman"/>
        </w:rPr>
        <w:t>October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43.</w:t>
      </w:r>
    </w:p>
  </w:footnote>
  <w:footnote w:id="22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LAT CBS teisėjų kolegijos 2008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gegužės 27 d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3K-3-226/2008.</w:t>
      </w:r>
    </w:p>
  </w:footnote>
  <w:footnote w:id="22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Mikuckienė</w:t>
      </w:r>
      <w:proofErr w:type="spellEnd"/>
      <w:r w:rsidRPr="00A91E83">
        <w:rPr>
          <w:rFonts w:ascii="Times New Roman" w:hAnsi="Times New Roman" w:cs="Times New Roman"/>
        </w:rPr>
        <w:t xml:space="preserve">, V. Bankroto bylų nagrinėjimo teisme ypatumai. Disertacija. Vilnius. Mykolo </w:t>
      </w:r>
      <w:proofErr w:type="spellStart"/>
      <w:r w:rsidRPr="00A91E83">
        <w:rPr>
          <w:rFonts w:ascii="Times New Roman" w:hAnsi="Times New Roman" w:cs="Times New Roman"/>
        </w:rPr>
        <w:t>Romerio</w:t>
      </w:r>
      <w:proofErr w:type="spellEnd"/>
      <w:r w:rsidRPr="00A91E83">
        <w:rPr>
          <w:rFonts w:ascii="Times New Roman" w:hAnsi="Times New Roman" w:cs="Times New Roman"/>
        </w:rPr>
        <w:t xml:space="preserve"> universitetas, 2007, </w:t>
      </w:r>
      <w:proofErr w:type="spellStart"/>
      <w:r w:rsidRPr="00A91E83">
        <w:rPr>
          <w:rFonts w:ascii="Times New Roman" w:hAnsi="Times New Roman" w:cs="Times New Roman"/>
        </w:rPr>
        <w:t>p</w:t>
      </w:r>
      <w:proofErr w:type="spellEnd"/>
      <w:r w:rsidRPr="00A91E83">
        <w:rPr>
          <w:rFonts w:ascii="Times New Roman" w:hAnsi="Times New Roman" w:cs="Times New Roman"/>
        </w:rPr>
        <w:t>. 134.</w:t>
      </w:r>
    </w:p>
  </w:footnote>
  <w:footnote w:id="22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Dėl CK 6.217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5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taikymo plačiau </w:t>
      </w:r>
      <w:proofErr w:type="spellStart"/>
      <w:r w:rsidRPr="00A91E83">
        <w:rPr>
          <w:rFonts w:ascii="Times New Roman" w:hAnsi="Times New Roman" w:cs="Times New Roman"/>
        </w:rPr>
        <w:t>žr</w:t>
      </w:r>
      <w:proofErr w:type="spellEnd"/>
      <w:r w:rsidRPr="00A91E83">
        <w:rPr>
          <w:rFonts w:ascii="Times New Roman" w:hAnsi="Times New Roman" w:cs="Times New Roman"/>
        </w:rPr>
        <w:t xml:space="preserve">. LAT CBS plenarinės teisėjų kolegijos 2004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birželio 29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3K-P-346/2004.</w:t>
      </w:r>
    </w:p>
  </w:footnote>
  <w:footnote w:id="225">
    <w:p w:rsidR="00A91E13" w:rsidRPr="00A91E83" w:rsidRDefault="00A91E13" w:rsidP="00590E04">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US </w:t>
      </w:r>
      <w:proofErr w:type="spellStart"/>
      <w:r w:rsidRPr="00A91E83">
        <w:rPr>
          <w:rFonts w:ascii="Times New Roman" w:hAnsi="Times New Roman" w:cs="Times New Roman"/>
        </w:rPr>
        <w:t>Bankruptcy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Code</w:t>
      </w:r>
      <w:proofErr w:type="spellEnd"/>
      <w:r w:rsidRPr="00A91E83">
        <w:rPr>
          <w:rFonts w:ascii="Times New Roman" w:hAnsi="Times New Roman" w:cs="Times New Roman"/>
        </w:rPr>
        <w:t>, s.560, numatytos išimtys sandorių rūšims sudarytiems dėl finansinių priemonių.</w:t>
      </w:r>
    </w:p>
  </w:footnote>
  <w:footnote w:id="226">
    <w:p w:rsidR="00A91E13" w:rsidRPr="00A91E83" w:rsidRDefault="00A91E13" w:rsidP="00590E04">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i/>
        </w:rPr>
        <w:t>ibid</w:t>
      </w:r>
      <w:proofErr w:type="spellEnd"/>
      <w:r w:rsidRPr="00A91E83">
        <w:rPr>
          <w:rFonts w:ascii="Times New Roman" w:hAnsi="Times New Roman" w:cs="Times New Roman"/>
        </w:rPr>
        <w:t>, s.365.</w:t>
      </w:r>
    </w:p>
  </w:footnote>
  <w:footnote w:id="227">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ĮBĮ 10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13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22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ĮBĮ 10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7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4 </w:t>
      </w:r>
      <w:proofErr w:type="spellStart"/>
      <w:r w:rsidRPr="00A91E83">
        <w:rPr>
          <w:rFonts w:ascii="Times New Roman" w:hAnsi="Times New Roman" w:cs="Times New Roman"/>
        </w:rPr>
        <w:t>p</w:t>
      </w:r>
      <w:proofErr w:type="spellEnd"/>
      <w:r w:rsidRPr="00A91E83">
        <w:rPr>
          <w:rFonts w:ascii="Times New Roman" w:hAnsi="Times New Roman" w:cs="Times New Roman"/>
        </w:rPr>
        <w:t xml:space="preserve">., 11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3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13 </w:t>
      </w:r>
      <w:proofErr w:type="spellStart"/>
      <w:r w:rsidRPr="00A91E83">
        <w:rPr>
          <w:rFonts w:ascii="Times New Roman" w:hAnsi="Times New Roman" w:cs="Times New Roman"/>
        </w:rPr>
        <w:t>p</w:t>
      </w:r>
      <w:proofErr w:type="spellEnd"/>
      <w:r w:rsidRPr="00A91E83">
        <w:rPr>
          <w:rFonts w:ascii="Times New Roman" w:hAnsi="Times New Roman" w:cs="Times New Roman"/>
        </w:rPr>
        <w:t xml:space="preserve">., 17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2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229">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Hudson</w:t>
      </w:r>
      <w:proofErr w:type="spellEnd"/>
      <w:r w:rsidRPr="00A91E83">
        <w:rPr>
          <w:rFonts w:ascii="Times New Roman" w:hAnsi="Times New Roman" w:cs="Times New Roman"/>
        </w:rPr>
        <w:t xml:space="preserve"> A.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p</w:t>
      </w:r>
      <w:proofErr w:type="spellEnd"/>
      <w:r w:rsidRPr="00A91E83">
        <w:rPr>
          <w:rFonts w:ascii="Times New Roman" w:hAnsi="Times New Roman" w:cs="Times New Roman"/>
        </w:rPr>
        <w:t>. 481.</w:t>
      </w:r>
    </w:p>
  </w:footnote>
  <w:footnote w:id="23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European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Markets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Lawyers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Group</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Symposium</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standard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market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documentation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Lessons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learned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from</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current</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financial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crisis</w:t>
      </w:r>
      <w:proofErr w:type="spellEnd"/>
      <w:r w:rsidRPr="00A91E83">
        <w:rPr>
          <w:rFonts w:ascii="Times New Roman" w:hAnsi="Times New Roman" w:cs="Times New Roman"/>
        </w:rPr>
        <w:t xml:space="preserve">. 2010, </w:t>
      </w:r>
      <w:proofErr w:type="spellStart"/>
      <w:r w:rsidRPr="00A91E83">
        <w:rPr>
          <w:rFonts w:ascii="Times New Roman" w:hAnsi="Times New Roman" w:cs="Times New Roman"/>
        </w:rPr>
        <w:t>April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w:t>
      </w:r>
      <w:proofErr w:type="spellEnd"/>
      <w:r w:rsidRPr="00A91E83">
        <w:rPr>
          <w:rFonts w:ascii="Times New Roman" w:hAnsi="Times New Roman" w:cs="Times New Roman"/>
        </w:rPr>
        <w:t>. 21.</w:t>
      </w:r>
    </w:p>
  </w:footnote>
  <w:footnote w:id="23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Mengle</w:t>
      </w:r>
      <w:proofErr w:type="spellEnd"/>
      <w:r w:rsidRPr="00A91E83">
        <w:rPr>
          <w:rFonts w:ascii="Times New Roman" w:hAnsi="Times New Roman" w:cs="Times New Roman"/>
        </w:rPr>
        <w:t xml:space="preserve"> D.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importance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close-out-netting.</w:t>
      </w:r>
      <w:proofErr w:type="spellEnd"/>
      <w:r w:rsidRPr="00A91E83">
        <w:rPr>
          <w:rFonts w:ascii="Times New Roman" w:hAnsi="Times New Roman" w:cs="Times New Roman"/>
        </w:rPr>
        <w:t xml:space="preserve"> ISDA </w:t>
      </w:r>
      <w:proofErr w:type="spellStart"/>
      <w:r w:rsidRPr="00A91E83">
        <w:rPr>
          <w:rFonts w:ascii="Times New Roman" w:hAnsi="Times New Roman" w:cs="Times New Roman"/>
        </w:rPr>
        <w:t>research</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notes</w:t>
      </w:r>
      <w:proofErr w:type="spellEnd"/>
      <w:r w:rsidRPr="00A91E83">
        <w:rPr>
          <w:rFonts w:ascii="Times New Roman" w:hAnsi="Times New Roman" w:cs="Times New Roman"/>
        </w:rPr>
        <w:t xml:space="preserve">, 2010, </w:t>
      </w:r>
      <w:proofErr w:type="spellStart"/>
      <w:r w:rsidRPr="00A91E83">
        <w:rPr>
          <w:rFonts w:ascii="Times New Roman" w:hAnsi="Times New Roman" w:cs="Times New Roman"/>
        </w:rPr>
        <w:t>number</w:t>
      </w:r>
      <w:proofErr w:type="spellEnd"/>
      <w:r w:rsidRPr="00A91E83">
        <w:rPr>
          <w:rFonts w:ascii="Times New Roman" w:hAnsi="Times New Roman" w:cs="Times New Roman"/>
        </w:rPr>
        <w:t xml:space="preserve"> 1, </w:t>
      </w:r>
      <w:proofErr w:type="spellStart"/>
      <w:r w:rsidRPr="00A91E83">
        <w:rPr>
          <w:rFonts w:ascii="Times New Roman" w:hAnsi="Times New Roman" w:cs="Times New Roman"/>
        </w:rPr>
        <w:t>p</w:t>
      </w:r>
      <w:proofErr w:type="spellEnd"/>
      <w:r w:rsidRPr="00A91E83">
        <w:rPr>
          <w:rFonts w:ascii="Times New Roman" w:hAnsi="Times New Roman" w:cs="Times New Roman"/>
        </w:rPr>
        <w:t>. 6.</w:t>
      </w:r>
    </w:p>
  </w:footnote>
  <w:footnote w:id="23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Kaip konkrečiai apskaičiuota 20$ suma, plačiau </w:t>
      </w:r>
      <w:proofErr w:type="spellStart"/>
      <w:r w:rsidRPr="00A91E83">
        <w:rPr>
          <w:rFonts w:ascii="Times New Roman" w:hAnsi="Times New Roman" w:cs="Times New Roman"/>
        </w:rPr>
        <w:t>žr</w:t>
      </w:r>
      <w:proofErr w:type="spellEnd"/>
      <w:r w:rsidRPr="00A91E83">
        <w:rPr>
          <w:rFonts w:ascii="Times New Roman" w:hAnsi="Times New Roman" w:cs="Times New Roman"/>
        </w:rPr>
        <w:t>. 3.1.1.3 skyriuje pateiktą analizę.</w:t>
      </w:r>
    </w:p>
  </w:footnote>
  <w:footnote w:id="23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ISDA </w:t>
      </w:r>
      <w:proofErr w:type="spellStart"/>
      <w:r w:rsidRPr="00A91E83">
        <w:rPr>
          <w:rFonts w:ascii="Times New Roman" w:hAnsi="Times New Roman" w:cs="Times New Roman"/>
        </w:rPr>
        <w:t>Multi-currency</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Master</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Agreement</w:t>
      </w:r>
      <w:proofErr w:type="spellEnd"/>
      <w:r w:rsidRPr="00A91E83">
        <w:rPr>
          <w:rFonts w:ascii="Times New Roman" w:hAnsi="Times New Roman" w:cs="Times New Roman"/>
        </w:rPr>
        <w:t xml:space="preserve"> 2002, </w:t>
      </w:r>
      <w:proofErr w:type="spellStart"/>
      <w:r w:rsidRPr="00A91E83">
        <w:rPr>
          <w:rFonts w:ascii="Times New Roman" w:hAnsi="Times New Roman" w:cs="Times New Roman"/>
        </w:rPr>
        <w:t>section</w:t>
      </w:r>
      <w:proofErr w:type="spellEnd"/>
      <w:r w:rsidRPr="00A91E83">
        <w:rPr>
          <w:rFonts w:ascii="Times New Roman" w:hAnsi="Times New Roman" w:cs="Times New Roman"/>
        </w:rPr>
        <w:t xml:space="preserve"> 1(c).</w:t>
      </w:r>
    </w:p>
  </w:footnote>
  <w:footnote w:id="234">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LAT CBS teisėjų kolegijos 2010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spalio 19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3K-3-402/2010.</w:t>
      </w:r>
    </w:p>
  </w:footnote>
  <w:footnote w:id="235">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Shea</w:t>
      </w:r>
      <w:proofErr w:type="spellEnd"/>
      <w:r w:rsidRPr="00A91E83">
        <w:rPr>
          <w:rFonts w:ascii="Times New Roman" w:hAnsi="Times New Roman" w:cs="Times New Roman"/>
        </w:rPr>
        <w:t xml:space="preserve"> T. </w:t>
      </w:r>
      <w:proofErr w:type="spellStart"/>
      <w:r w:rsidRPr="00A91E83">
        <w:rPr>
          <w:rFonts w:ascii="Times New Roman" w:hAnsi="Times New Roman" w:cs="Times New Roman"/>
        </w:rPr>
        <w:t>The</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usefulness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agreements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Journal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of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International</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Banking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Law</w:t>
      </w:r>
      <w:proofErr w:type="spellEnd"/>
      <w:r w:rsidRPr="00A91E83">
        <w:rPr>
          <w:rFonts w:ascii="Times New Roman" w:hAnsi="Times New Roman" w:cs="Times New Roman"/>
        </w:rPr>
        <w:t xml:space="preserve">, 1991, 6(4), </w:t>
      </w:r>
      <w:proofErr w:type="spellStart"/>
      <w:r w:rsidRPr="00A91E83">
        <w:rPr>
          <w:rFonts w:ascii="Times New Roman" w:hAnsi="Times New Roman" w:cs="Times New Roman"/>
        </w:rPr>
        <w:t>pp</w:t>
      </w:r>
      <w:proofErr w:type="spellEnd"/>
      <w:r w:rsidRPr="00A91E83">
        <w:rPr>
          <w:rFonts w:ascii="Times New Roman" w:hAnsi="Times New Roman" w:cs="Times New Roman"/>
        </w:rPr>
        <w:t>. 132-138.</w:t>
      </w:r>
    </w:p>
  </w:footnote>
  <w:footnote w:id="236">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ĮBĮ 33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3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237">
    <w:p w:rsidR="00A91E13" w:rsidRPr="00A91E83" w:rsidRDefault="00A91E13" w:rsidP="00621590">
      <w:pPr>
        <w:tabs>
          <w:tab w:val="left" w:pos="851"/>
        </w:tabs>
        <w:spacing w:after="0" w:line="240" w:lineRule="auto"/>
        <w:jc w:val="both"/>
        <w:rPr>
          <w:rFonts w:ascii="Times New Roman" w:hAnsi="Times New Roman" w:cs="Times New Roman"/>
          <w:sz w:val="20"/>
          <w:szCs w:val="20"/>
        </w:rPr>
      </w:pPr>
      <w:r w:rsidRPr="00A91E83">
        <w:rPr>
          <w:rStyle w:val="Puslapioinaosnuoroda"/>
          <w:rFonts w:ascii="Times New Roman" w:hAnsi="Times New Roman" w:cs="Times New Roman"/>
          <w:sz w:val="20"/>
          <w:szCs w:val="20"/>
        </w:rPr>
        <w:footnoteRef/>
      </w:r>
      <w:r w:rsidRPr="00A91E83">
        <w:rPr>
          <w:rFonts w:ascii="Times New Roman" w:hAnsi="Times New Roman" w:cs="Times New Roman"/>
          <w:sz w:val="20"/>
          <w:szCs w:val="20"/>
        </w:rPr>
        <w:t xml:space="preserve"> LAT CBS teisėjų kolegijos 2009 </w:t>
      </w:r>
      <w:proofErr w:type="spellStart"/>
      <w:r w:rsidRPr="00A91E83">
        <w:rPr>
          <w:rFonts w:ascii="Times New Roman" w:hAnsi="Times New Roman" w:cs="Times New Roman"/>
          <w:sz w:val="20"/>
          <w:szCs w:val="20"/>
        </w:rPr>
        <w:t>m</w:t>
      </w:r>
      <w:proofErr w:type="spellEnd"/>
      <w:r w:rsidRPr="00A91E83">
        <w:rPr>
          <w:rFonts w:ascii="Times New Roman" w:hAnsi="Times New Roman" w:cs="Times New Roman"/>
          <w:sz w:val="20"/>
          <w:szCs w:val="20"/>
        </w:rPr>
        <w:t xml:space="preserve">. kovo 3 </w:t>
      </w:r>
      <w:proofErr w:type="spellStart"/>
      <w:r w:rsidRPr="00A91E83">
        <w:rPr>
          <w:rFonts w:ascii="Times New Roman" w:hAnsi="Times New Roman" w:cs="Times New Roman"/>
          <w:sz w:val="20"/>
          <w:szCs w:val="20"/>
        </w:rPr>
        <w:t>d</w:t>
      </w:r>
      <w:proofErr w:type="spellEnd"/>
      <w:r w:rsidRPr="00A91E83">
        <w:rPr>
          <w:rFonts w:ascii="Times New Roman" w:hAnsi="Times New Roman" w:cs="Times New Roman"/>
          <w:sz w:val="20"/>
          <w:szCs w:val="20"/>
        </w:rPr>
        <w:t xml:space="preserve">. nutartis </w:t>
      </w:r>
      <w:proofErr w:type="spellStart"/>
      <w:r w:rsidRPr="00A91E83">
        <w:rPr>
          <w:rFonts w:ascii="Times New Roman" w:hAnsi="Times New Roman" w:cs="Times New Roman"/>
          <w:sz w:val="20"/>
          <w:szCs w:val="20"/>
        </w:rPr>
        <w:t>civ</w:t>
      </w:r>
      <w:proofErr w:type="spellEnd"/>
      <w:r w:rsidRPr="00A91E83">
        <w:rPr>
          <w:rFonts w:ascii="Times New Roman" w:hAnsi="Times New Roman" w:cs="Times New Roman"/>
          <w:sz w:val="20"/>
          <w:szCs w:val="20"/>
        </w:rPr>
        <w:t xml:space="preserve">. bylos </w:t>
      </w:r>
      <w:proofErr w:type="spellStart"/>
      <w:r w:rsidRPr="00A91E83">
        <w:rPr>
          <w:rFonts w:ascii="Times New Roman" w:hAnsi="Times New Roman" w:cs="Times New Roman"/>
          <w:sz w:val="20"/>
          <w:szCs w:val="20"/>
        </w:rPr>
        <w:t>Nr</w:t>
      </w:r>
      <w:proofErr w:type="spellEnd"/>
      <w:r w:rsidRPr="00A91E83">
        <w:rPr>
          <w:rFonts w:ascii="Times New Roman" w:hAnsi="Times New Roman" w:cs="Times New Roman"/>
          <w:sz w:val="20"/>
          <w:szCs w:val="20"/>
        </w:rPr>
        <w:t>. 3K-3-91/2009.</w:t>
      </w:r>
    </w:p>
  </w:footnote>
  <w:footnote w:id="238">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ĮBĮ 31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2 </w:t>
      </w:r>
      <w:proofErr w:type="spellStart"/>
      <w:r w:rsidRPr="00A91E83">
        <w:rPr>
          <w:rFonts w:ascii="Times New Roman" w:hAnsi="Times New Roman" w:cs="Times New Roman"/>
        </w:rPr>
        <w:t>d</w:t>
      </w:r>
      <w:proofErr w:type="spellEnd"/>
      <w:r w:rsidRPr="00A91E83">
        <w:rPr>
          <w:rFonts w:ascii="Times New Roman" w:hAnsi="Times New Roman" w:cs="Times New Roman"/>
        </w:rPr>
        <w:t>.</w:t>
      </w:r>
    </w:p>
  </w:footnote>
  <w:footnote w:id="239">
    <w:p w:rsidR="00A91E13" w:rsidRPr="00A91E83" w:rsidRDefault="00A91E13" w:rsidP="0082281A">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Lietuvos banko valdybos 2000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kovo 9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nutarimas </w:t>
      </w:r>
      <w:proofErr w:type="spellStart"/>
      <w:r w:rsidRPr="00A91E83">
        <w:rPr>
          <w:rFonts w:ascii="Times New Roman" w:hAnsi="Times New Roman" w:cs="Times New Roman"/>
        </w:rPr>
        <w:t>Nr</w:t>
      </w:r>
      <w:proofErr w:type="spellEnd"/>
      <w:r w:rsidRPr="00A91E83">
        <w:rPr>
          <w:rFonts w:ascii="Times New Roman" w:hAnsi="Times New Roman" w:cs="Times New Roman"/>
        </w:rPr>
        <w:t xml:space="preserve">. 31 dėl atpirkimo sandorių tarp Lietuvos banko ir bankų sudarymo ir vykdymo taisyklių patvirtinimo // Valstybės žinios, </w:t>
      </w:r>
      <w:proofErr w:type="spellStart"/>
      <w:r w:rsidRPr="00A91E83">
        <w:rPr>
          <w:rFonts w:ascii="Times New Roman" w:hAnsi="Times New Roman" w:cs="Times New Roman"/>
        </w:rPr>
        <w:t>Nr</w:t>
      </w:r>
      <w:proofErr w:type="spellEnd"/>
      <w:r w:rsidRPr="00A91E83">
        <w:rPr>
          <w:rFonts w:ascii="Times New Roman" w:hAnsi="Times New Roman" w:cs="Times New Roman"/>
        </w:rPr>
        <w:t>. 24-639.</w:t>
      </w:r>
    </w:p>
  </w:footnote>
  <w:footnote w:id="240">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Lietuvos apeliacinio teismo teisėjų kolegijos 2009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birželio 18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byloje </w:t>
      </w:r>
      <w:proofErr w:type="spellStart"/>
      <w:r w:rsidRPr="00A91E83">
        <w:rPr>
          <w:rFonts w:ascii="Times New Roman" w:hAnsi="Times New Roman" w:cs="Times New Roman"/>
        </w:rPr>
        <w:t>Nr</w:t>
      </w:r>
      <w:proofErr w:type="spellEnd"/>
      <w:r w:rsidRPr="00A91E83">
        <w:rPr>
          <w:rFonts w:ascii="Times New Roman" w:hAnsi="Times New Roman" w:cs="Times New Roman"/>
        </w:rPr>
        <w:t>. 2-566/2009.</w:t>
      </w:r>
    </w:p>
  </w:footnote>
  <w:footnote w:id="241">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rPr>
        <w:t>Wood</w:t>
      </w:r>
      <w:proofErr w:type="spellEnd"/>
      <w:r w:rsidRPr="00A91E83">
        <w:rPr>
          <w:rFonts w:ascii="Times New Roman" w:hAnsi="Times New Roman" w:cs="Times New Roman"/>
        </w:rPr>
        <w:t xml:space="preserve"> P.R. </w:t>
      </w:r>
      <w:proofErr w:type="spellStart"/>
      <w:r w:rsidRPr="00A91E83">
        <w:rPr>
          <w:rFonts w:ascii="Times New Roman" w:hAnsi="Times New Roman" w:cs="Times New Roman"/>
        </w:rPr>
        <w:t>Set-off</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and</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netting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derivatives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clearing</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systems</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London</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Sweet</w:t>
      </w:r>
      <w:proofErr w:type="spellEnd"/>
      <w:r w:rsidRPr="00A91E83">
        <w:rPr>
          <w:rFonts w:ascii="Times New Roman" w:hAnsi="Times New Roman" w:cs="Times New Roman"/>
        </w:rPr>
        <w:t xml:space="preserve"> &amp; </w:t>
      </w:r>
      <w:proofErr w:type="spellStart"/>
      <w:r w:rsidRPr="00A91E83">
        <w:rPr>
          <w:rFonts w:ascii="Times New Roman" w:hAnsi="Times New Roman" w:cs="Times New Roman"/>
        </w:rPr>
        <w:t>Maxwell</w:t>
      </w:r>
      <w:proofErr w:type="spellEnd"/>
      <w:r w:rsidRPr="00A91E83">
        <w:rPr>
          <w:rFonts w:ascii="Times New Roman" w:hAnsi="Times New Roman" w:cs="Times New Roman"/>
        </w:rPr>
        <w:t xml:space="preserve">, 2007, </w:t>
      </w:r>
      <w:proofErr w:type="spellStart"/>
      <w:r w:rsidRPr="00A91E83">
        <w:rPr>
          <w:rFonts w:ascii="Times New Roman" w:hAnsi="Times New Roman" w:cs="Times New Roman"/>
        </w:rPr>
        <w:t>p</w:t>
      </w:r>
      <w:proofErr w:type="spellEnd"/>
      <w:r w:rsidRPr="00A91E83">
        <w:rPr>
          <w:rFonts w:ascii="Times New Roman" w:hAnsi="Times New Roman" w:cs="Times New Roman"/>
        </w:rPr>
        <w:t>. 55.</w:t>
      </w:r>
    </w:p>
  </w:footnote>
  <w:footnote w:id="242">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w:t>
      </w:r>
      <w:proofErr w:type="spellStart"/>
      <w:r w:rsidRPr="00A91E83">
        <w:rPr>
          <w:rFonts w:ascii="Times New Roman" w:hAnsi="Times New Roman" w:cs="Times New Roman"/>
          <w:i/>
        </w:rPr>
        <w:t>ibid</w:t>
      </w:r>
      <w:proofErr w:type="spellEnd"/>
      <w:r w:rsidRPr="00A91E83">
        <w:rPr>
          <w:rFonts w:ascii="Times New Roman" w:hAnsi="Times New Roman" w:cs="Times New Roman"/>
        </w:rPr>
        <w:t>.</w:t>
      </w:r>
    </w:p>
  </w:footnote>
  <w:footnote w:id="243">
    <w:p w:rsidR="00A91E13" w:rsidRPr="00A91E83" w:rsidRDefault="00A91E13" w:rsidP="00621590">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Šaltinis </w:t>
      </w:r>
      <w:hyperlink r:id="rId31" w:history="1">
        <w:r w:rsidRPr="00A91E83">
          <w:rPr>
            <w:rStyle w:val="Hipersaitas"/>
            <w:rFonts w:ascii="Times New Roman" w:hAnsi="Times New Roman" w:cs="Times New Roman"/>
          </w:rPr>
          <w:t>http://db1.stat.gov.lt/statbank/selectvarval/saveselections.asp?MainTable=M4110403&amp;PLanguage=0&amp;TableStyle=&amp;Buttons=&amp;PXSId=11551&amp;IQY=&amp;TC=&amp;ST=ST&amp;rvar0=&amp;rvar1=&amp;rvar2=&amp;rvar3=&amp;rvar4=&amp;rvar5=&amp;rvar6=&amp;rvar7=&amp;rvar8=&amp;rvar9=&amp;rvar10=&amp;rvar11=&amp;rvar12=&amp;rvar13=&amp;rvar14=</w:t>
        </w:r>
      </w:hyperlink>
    </w:p>
  </w:footnote>
  <w:footnote w:id="244">
    <w:p w:rsidR="00A91E13" w:rsidRPr="00A91E83" w:rsidRDefault="00A91E13" w:rsidP="00FE3D67">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LAT CBS teisėjų kolegijos 2004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spalio 11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nutartis </w:t>
      </w:r>
      <w:proofErr w:type="spellStart"/>
      <w:r w:rsidRPr="00A91E83">
        <w:rPr>
          <w:rFonts w:ascii="Times New Roman" w:hAnsi="Times New Roman" w:cs="Times New Roman"/>
        </w:rPr>
        <w:t>civ</w:t>
      </w:r>
      <w:proofErr w:type="spellEnd"/>
      <w:r w:rsidRPr="00A91E83">
        <w:rPr>
          <w:rFonts w:ascii="Times New Roman" w:hAnsi="Times New Roman" w:cs="Times New Roman"/>
        </w:rPr>
        <w:t xml:space="preserve">. byla </w:t>
      </w:r>
      <w:proofErr w:type="spellStart"/>
      <w:r w:rsidRPr="00A91E83">
        <w:rPr>
          <w:rFonts w:ascii="Times New Roman" w:hAnsi="Times New Roman" w:cs="Times New Roman"/>
        </w:rPr>
        <w:t>Nr</w:t>
      </w:r>
      <w:proofErr w:type="spellEnd"/>
      <w:r w:rsidRPr="00A91E83">
        <w:rPr>
          <w:rFonts w:ascii="Times New Roman" w:hAnsi="Times New Roman" w:cs="Times New Roman"/>
        </w:rPr>
        <w:t>. 3K-3-538/2004.</w:t>
      </w:r>
    </w:p>
  </w:footnote>
  <w:footnote w:id="245">
    <w:p w:rsidR="00A91E13" w:rsidRPr="00A91E83" w:rsidRDefault="00A91E13" w:rsidP="005C609A">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ĮBĮ 10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7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3 </w:t>
      </w:r>
      <w:proofErr w:type="spellStart"/>
      <w:r w:rsidRPr="00A91E83">
        <w:rPr>
          <w:rFonts w:ascii="Times New Roman" w:hAnsi="Times New Roman" w:cs="Times New Roman"/>
        </w:rPr>
        <w:t>p</w:t>
      </w:r>
      <w:proofErr w:type="spellEnd"/>
      <w:r w:rsidRPr="00A91E83">
        <w:rPr>
          <w:rFonts w:ascii="Times New Roman" w:hAnsi="Times New Roman" w:cs="Times New Roman"/>
        </w:rPr>
        <w:t>.</w:t>
      </w:r>
    </w:p>
  </w:footnote>
  <w:footnote w:id="246">
    <w:p w:rsidR="00A91E13" w:rsidRPr="00A91E83" w:rsidRDefault="00A91E13" w:rsidP="005C609A">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CK 1.80.</w:t>
      </w:r>
    </w:p>
  </w:footnote>
  <w:footnote w:id="247">
    <w:p w:rsidR="00A91E13" w:rsidRPr="00A91E83" w:rsidRDefault="00A91E13">
      <w:pPr>
        <w:pStyle w:val="Puslapioinaostekstas"/>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ĮBĮ 11 </w:t>
      </w:r>
      <w:proofErr w:type="spellStart"/>
      <w:r w:rsidRPr="00A91E83">
        <w:rPr>
          <w:rFonts w:ascii="Times New Roman" w:hAnsi="Times New Roman" w:cs="Times New Roman"/>
        </w:rPr>
        <w:t>str</w:t>
      </w:r>
      <w:proofErr w:type="spellEnd"/>
      <w:r w:rsidRPr="00A91E83">
        <w:rPr>
          <w:rFonts w:ascii="Times New Roman" w:hAnsi="Times New Roman" w:cs="Times New Roman"/>
        </w:rPr>
        <w:t xml:space="preserve">. 3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8 </w:t>
      </w:r>
      <w:proofErr w:type="spellStart"/>
      <w:r w:rsidRPr="00A91E83">
        <w:rPr>
          <w:rFonts w:ascii="Times New Roman" w:hAnsi="Times New Roman" w:cs="Times New Roman"/>
        </w:rPr>
        <w:t>p</w:t>
      </w:r>
      <w:proofErr w:type="spellEnd"/>
      <w:r w:rsidRPr="00A91E83">
        <w:rPr>
          <w:rFonts w:ascii="Times New Roman" w:hAnsi="Times New Roman" w:cs="Times New Roman"/>
        </w:rPr>
        <w:t>.</w:t>
      </w:r>
    </w:p>
  </w:footnote>
  <w:footnote w:id="248">
    <w:p w:rsidR="00A91E13" w:rsidRPr="00A91E83" w:rsidRDefault="00A91E13" w:rsidP="00D35D67">
      <w:pPr>
        <w:pStyle w:val="Puslapioinaostekstas"/>
        <w:jc w:val="both"/>
        <w:rPr>
          <w:rFonts w:ascii="Times New Roman" w:hAnsi="Times New Roman" w:cs="Times New Roman"/>
        </w:rPr>
      </w:pPr>
      <w:r w:rsidRPr="00A91E83">
        <w:rPr>
          <w:rStyle w:val="Puslapioinaosnuoroda"/>
          <w:rFonts w:ascii="Times New Roman" w:hAnsi="Times New Roman" w:cs="Times New Roman"/>
        </w:rPr>
        <w:footnoteRef/>
      </w:r>
      <w:r w:rsidRPr="00A91E83">
        <w:rPr>
          <w:rFonts w:ascii="Times New Roman" w:hAnsi="Times New Roman" w:cs="Times New Roman"/>
        </w:rPr>
        <w:t xml:space="preserve"> LAT 2008 </w:t>
      </w:r>
      <w:proofErr w:type="spellStart"/>
      <w:r w:rsidRPr="00A91E83">
        <w:rPr>
          <w:rFonts w:ascii="Times New Roman" w:hAnsi="Times New Roman" w:cs="Times New Roman"/>
        </w:rPr>
        <w:t>m</w:t>
      </w:r>
      <w:proofErr w:type="spellEnd"/>
      <w:r w:rsidRPr="00A91E83">
        <w:rPr>
          <w:rFonts w:ascii="Times New Roman" w:hAnsi="Times New Roman" w:cs="Times New Roman"/>
        </w:rPr>
        <w:t xml:space="preserve">. rugsėjo 21 </w:t>
      </w:r>
      <w:proofErr w:type="spellStart"/>
      <w:r w:rsidRPr="00A91E83">
        <w:rPr>
          <w:rFonts w:ascii="Times New Roman" w:hAnsi="Times New Roman" w:cs="Times New Roman"/>
        </w:rPr>
        <w:t>d</w:t>
      </w:r>
      <w:proofErr w:type="spellEnd"/>
      <w:r w:rsidRPr="00A91E83">
        <w:rPr>
          <w:rFonts w:ascii="Times New Roman" w:hAnsi="Times New Roman" w:cs="Times New Roman"/>
        </w:rPr>
        <w:t xml:space="preserve">. praktikos dėl </w:t>
      </w:r>
      <w:proofErr w:type="spellStart"/>
      <w:r w:rsidRPr="00A91E83">
        <w:rPr>
          <w:rFonts w:ascii="Times New Roman" w:hAnsi="Times New Roman" w:cs="Times New Roman"/>
        </w:rPr>
        <w:t>actio</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Pauliana</w:t>
      </w:r>
      <w:proofErr w:type="spellEnd"/>
      <w:r w:rsidRPr="00A91E83">
        <w:rPr>
          <w:rFonts w:ascii="Times New Roman" w:hAnsi="Times New Roman" w:cs="Times New Roman"/>
        </w:rPr>
        <w:t xml:space="preserve">, </w:t>
      </w:r>
      <w:proofErr w:type="spellStart"/>
      <w:r w:rsidRPr="00A91E83">
        <w:rPr>
          <w:rFonts w:ascii="Times New Roman" w:hAnsi="Times New Roman" w:cs="Times New Roman"/>
        </w:rPr>
        <w:t>nestiesioginio</w:t>
      </w:r>
      <w:proofErr w:type="spellEnd"/>
      <w:r w:rsidRPr="00A91E83">
        <w:rPr>
          <w:rFonts w:ascii="Times New Roman" w:hAnsi="Times New Roman" w:cs="Times New Roman"/>
        </w:rPr>
        <w:t xml:space="preserve"> ieškinio, sulaikymo teisės ir prevencinio ieškinio institutų taikymo apžvalga, </w:t>
      </w:r>
      <w:proofErr w:type="spellStart"/>
      <w:r w:rsidRPr="00A91E83">
        <w:rPr>
          <w:rFonts w:ascii="Times New Roman" w:hAnsi="Times New Roman" w:cs="Times New Roman"/>
        </w:rPr>
        <w:t>Nr</w:t>
      </w:r>
      <w:proofErr w:type="spellEnd"/>
      <w:r w:rsidRPr="00A91E83">
        <w:rPr>
          <w:rFonts w:ascii="Times New Roman" w:hAnsi="Times New Roman" w:cs="Times New Roman"/>
        </w:rPr>
        <w:t>. 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3FF"/>
    <w:multiLevelType w:val="multilevel"/>
    <w:tmpl w:val="AF1C399E"/>
    <w:lvl w:ilvl="0">
      <w:start w:val="1"/>
      <w:numFmt w:val="decimal"/>
      <w:lvlText w:val="%1."/>
      <w:lvlJc w:val="left"/>
      <w:pPr>
        <w:ind w:left="1706" w:hanging="855"/>
      </w:pPr>
      <w:rPr>
        <w:rFonts w:hint="default"/>
      </w:rPr>
    </w:lvl>
    <w:lvl w:ilvl="1">
      <w:start w:val="1"/>
      <w:numFmt w:val="decimal"/>
      <w:lvlText w:val="%1.%2"/>
      <w:lvlJc w:val="left"/>
      <w:pPr>
        <w:ind w:left="1706" w:hanging="855"/>
      </w:pPr>
      <w:rPr>
        <w:rFonts w:hint="default"/>
        <w:b/>
      </w:rPr>
    </w:lvl>
    <w:lvl w:ilvl="2">
      <w:start w:val="1"/>
      <w:numFmt w:val="decimal"/>
      <w:lvlText w:val="%1.%2.%3"/>
      <w:lvlJc w:val="left"/>
      <w:pPr>
        <w:ind w:left="997" w:hanging="855"/>
      </w:pPr>
      <w:rPr>
        <w:rFonts w:hint="default"/>
        <w:b/>
      </w:rPr>
    </w:lvl>
    <w:lvl w:ilvl="3">
      <w:start w:val="1"/>
      <w:numFmt w:val="decimal"/>
      <w:lvlText w:val="%1.%2.%3.%4"/>
      <w:lvlJc w:val="left"/>
      <w:pPr>
        <w:ind w:left="1706" w:hanging="855"/>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651" w:hanging="1800"/>
      </w:pPr>
      <w:rPr>
        <w:rFonts w:hint="default"/>
      </w:rPr>
    </w:lvl>
  </w:abstractNum>
  <w:abstractNum w:abstractNumId="1">
    <w:nsid w:val="0BAA270B"/>
    <w:multiLevelType w:val="hybridMultilevel"/>
    <w:tmpl w:val="B43E5CCC"/>
    <w:lvl w:ilvl="0" w:tplc="930A8F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A014F89"/>
    <w:multiLevelType w:val="multilevel"/>
    <w:tmpl w:val="0936AB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C761B07"/>
    <w:multiLevelType w:val="hybridMultilevel"/>
    <w:tmpl w:val="00A4EB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D0C06AA"/>
    <w:multiLevelType w:val="hybridMultilevel"/>
    <w:tmpl w:val="9E78D9AE"/>
    <w:lvl w:ilvl="0" w:tplc="38DA5A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14C1B3A"/>
    <w:multiLevelType w:val="hybridMultilevel"/>
    <w:tmpl w:val="75A26AC8"/>
    <w:lvl w:ilvl="0" w:tplc="04270001">
      <w:start w:val="1"/>
      <w:numFmt w:val="bullet"/>
      <w:lvlText w:val=""/>
      <w:lvlJc w:val="left"/>
      <w:pPr>
        <w:ind w:left="2011" w:hanging="360"/>
      </w:pPr>
      <w:rPr>
        <w:rFonts w:ascii="Symbol" w:hAnsi="Symbol" w:hint="default"/>
      </w:rPr>
    </w:lvl>
    <w:lvl w:ilvl="1" w:tplc="04270003" w:tentative="1">
      <w:start w:val="1"/>
      <w:numFmt w:val="bullet"/>
      <w:lvlText w:val="o"/>
      <w:lvlJc w:val="left"/>
      <w:pPr>
        <w:ind w:left="2731" w:hanging="360"/>
      </w:pPr>
      <w:rPr>
        <w:rFonts w:ascii="Courier New" w:hAnsi="Courier New" w:cs="Courier New" w:hint="default"/>
      </w:rPr>
    </w:lvl>
    <w:lvl w:ilvl="2" w:tplc="04270005" w:tentative="1">
      <w:start w:val="1"/>
      <w:numFmt w:val="bullet"/>
      <w:lvlText w:val=""/>
      <w:lvlJc w:val="left"/>
      <w:pPr>
        <w:ind w:left="3451" w:hanging="360"/>
      </w:pPr>
      <w:rPr>
        <w:rFonts w:ascii="Wingdings" w:hAnsi="Wingdings" w:hint="default"/>
      </w:rPr>
    </w:lvl>
    <w:lvl w:ilvl="3" w:tplc="04270001" w:tentative="1">
      <w:start w:val="1"/>
      <w:numFmt w:val="bullet"/>
      <w:lvlText w:val=""/>
      <w:lvlJc w:val="left"/>
      <w:pPr>
        <w:ind w:left="4171" w:hanging="360"/>
      </w:pPr>
      <w:rPr>
        <w:rFonts w:ascii="Symbol" w:hAnsi="Symbol" w:hint="default"/>
      </w:rPr>
    </w:lvl>
    <w:lvl w:ilvl="4" w:tplc="04270003" w:tentative="1">
      <w:start w:val="1"/>
      <w:numFmt w:val="bullet"/>
      <w:lvlText w:val="o"/>
      <w:lvlJc w:val="left"/>
      <w:pPr>
        <w:ind w:left="4891" w:hanging="360"/>
      </w:pPr>
      <w:rPr>
        <w:rFonts w:ascii="Courier New" w:hAnsi="Courier New" w:cs="Courier New" w:hint="default"/>
      </w:rPr>
    </w:lvl>
    <w:lvl w:ilvl="5" w:tplc="04270005" w:tentative="1">
      <w:start w:val="1"/>
      <w:numFmt w:val="bullet"/>
      <w:lvlText w:val=""/>
      <w:lvlJc w:val="left"/>
      <w:pPr>
        <w:ind w:left="5611" w:hanging="360"/>
      </w:pPr>
      <w:rPr>
        <w:rFonts w:ascii="Wingdings" w:hAnsi="Wingdings" w:hint="default"/>
      </w:rPr>
    </w:lvl>
    <w:lvl w:ilvl="6" w:tplc="04270001" w:tentative="1">
      <w:start w:val="1"/>
      <w:numFmt w:val="bullet"/>
      <w:lvlText w:val=""/>
      <w:lvlJc w:val="left"/>
      <w:pPr>
        <w:ind w:left="6331" w:hanging="360"/>
      </w:pPr>
      <w:rPr>
        <w:rFonts w:ascii="Symbol" w:hAnsi="Symbol" w:hint="default"/>
      </w:rPr>
    </w:lvl>
    <w:lvl w:ilvl="7" w:tplc="04270003" w:tentative="1">
      <w:start w:val="1"/>
      <w:numFmt w:val="bullet"/>
      <w:lvlText w:val="o"/>
      <w:lvlJc w:val="left"/>
      <w:pPr>
        <w:ind w:left="7051" w:hanging="360"/>
      </w:pPr>
      <w:rPr>
        <w:rFonts w:ascii="Courier New" w:hAnsi="Courier New" w:cs="Courier New" w:hint="default"/>
      </w:rPr>
    </w:lvl>
    <w:lvl w:ilvl="8" w:tplc="04270005" w:tentative="1">
      <w:start w:val="1"/>
      <w:numFmt w:val="bullet"/>
      <w:lvlText w:val=""/>
      <w:lvlJc w:val="left"/>
      <w:pPr>
        <w:ind w:left="7771" w:hanging="360"/>
      </w:pPr>
      <w:rPr>
        <w:rFonts w:ascii="Wingdings" w:hAnsi="Wingdings" w:hint="default"/>
      </w:rPr>
    </w:lvl>
  </w:abstractNum>
  <w:abstractNum w:abstractNumId="6">
    <w:nsid w:val="22A55A22"/>
    <w:multiLevelType w:val="hybridMultilevel"/>
    <w:tmpl w:val="32A68442"/>
    <w:lvl w:ilvl="0" w:tplc="0F2ECD0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3946A2E"/>
    <w:multiLevelType w:val="hybridMultilevel"/>
    <w:tmpl w:val="372AB234"/>
    <w:lvl w:ilvl="0" w:tplc="0F2ECD0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nsid w:val="396D3DE8"/>
    <w:multiLevelType w:val="multilevel"/>
    <w:tmpl w:val="0936AB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A851FDF"/>
    <w:multiLevelType w:val="hybridMultilevel"/>
    <w:tmpl w:val="D5743C00"/>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0">
    <w:nsid w:val="4F344888"/>
    <w:multiLevelType w:val="hybridMultilevel"/>
    <w:tmpl w:val="7A4C39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4D94D8F"/>
    <w:multiLevelType w:val="hybridMultilevel"/>
    <w:tmpl w:val="FEB0529C"/>
    <w:lvl w:ilvl="0" w:tplc="C882B1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5BA06FA"/>
    <w:multiLevelType w:val="hybridMultilevel"/>
    <w:tmpl w:val="C17AD9B6"/>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3">
    <w:nsid w:val="68C47A1D"/>
    <w:multiLevelType w:val="multilevel"/>
    <w:tmpl w:val="13DC22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1E935B5"/>
    <w:multiLevelType w:val="hybridMultilevel"/>
    <w:tmpl w:val="271839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78773984"/>
    <w:multiLevelType w:val="hybridMultilevel"/>
    <w:tmpl w:val="78165736"/>
    <w:lvl w:ilvl="0" w:tplc="8250DE8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7E571ED2"/>
    <w:multiLevelType w:val="hybridMultilevel"/>
    <w:tmpl w:val="0D42EB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2"/>
  </w:num>
  <w:num w:numId="3">
    <w:abstractNumId w:val="8"/>
  </w:num>
  <w:num w:numId="4">
    <w:abstractNumId w:val="0"/>
  </w:num>
  <w:num w:numId="5">
    <w:abstractNumId w:val="10"/>
  </w:num>
  <w:num w:numId="6">
    <w:abstractNumId w:val="15"/>
  </w:num>
  <w:num w:numId="7">
    <w:abstractNumId w:val="9"/>
  </w:num>
  <w:num w:numId="8">
    <w:abstractNumId w:val="5"/>
  </w:num>
  <w:num w:numId="9">
    <w:abstractNumId w:val="1"/>
  </w:num>
  <w:num w:numId="10">
    <w:abstractNumId w:val="11"/>
  </w:num>
  <w:num w:numId="11">
    <w:abstractNumId w:val="14"/>
  </w:num>
  <w:num w:numId="12">
    <w:abstractNumId w:val="4"/>
  </w:num>
  <w:num w:numId="13">
    <w:abstractNumId w:val="3"/>
  </w:num>
  <w:num w:numId="14">
    <w:abstractNumId w:val="12"/>
  </w:num>
  <w:num w:numId="15">
    <w:abstractNumId w:val="7"/>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E98"/>
    <w:rsid w:val="0000067D"/>
    <w:rsid w:val="0000084B"/>
    <w:rsid w:val="00000F3C"/>
    <w:rsid w:val="0000113E"/>
    <w:rsid w:val="000019DD"/>
    <w:rsid w:val="000029D0"/>
    <w:rsid w:val="0000359F"/>
    <w:rsid w:val="00003804"/>
    <w:rsid w:val="0000387B"/>
    <w:rsid w:val="00003EB2"/>
    <w:rsid w:val="00004438"/>
    <w:rsid w:val="000056F6"/>
    <w:rsid w:val="00005DCF"/>
    <w:rsid w:val="00006A17"/>
    <w:rsid w:val="00006BAB"/>
    <w:rsid w:val="000118CB"/>
    <w:rsid w:val="00012628"/>
    <w:rsid w:val="00012F0E"/>
    <w:rsid w:val="00013321"/>
    <w:rsid w:val="00013C48"/>
    <w:rsid w:val="000144E1"/>
    <w:rsid w:val="00015B45"/>
    <w:rsid w:val="00015C8D"/>
    <w:rsid w:val="000164C1"/>
    <w:rsid w:val="00017764"/>
    <w:rsid w:val="00017C2F"/>
    <w:rsid w:val="00017EAB"/>
    <w:rsid w:val="00020014"/>
    <w:rsid w:val="00020019"/>
    <w:rsid w:val="000200EC"/>
    <w:rsid w:val="00020481"/>
    <w:rsid w:val="00020555"/>
    <w:rsid w:val="00020F44"/>
    <w:rsid w:val="000211C4"/>
    <w:rsid w:val="00021352"/>
    <w:rsid w:val="00021BDF"/>
    <w:rsid w:val="000222A1"/>
    <w:rsid w:val="00022355"/>
    <w:rsid w:val="00022C0B"/>
    <w:rsid w:val="00022CC5"/>
    <w:rsid w:val="00023273"/>
    <w:rsid w:val="00023A8F"/>
    <w:rsid w:val="00024BF2"/>
    <w:rsid w:val="00024CF3"/>
    <w:rsid w:val="000251FF"/>
    <w:rsid w:val="00025D0B"/>
    <w:rsid w:val="00025FE0"/>
    <w:rsid w:val="00026F74"/>
    <w:rsid w:val="00030E9B"/>
    <w:rsid w:val="00031227"/>
    <w:rsid w:val="00031DAE"/>
    <w:rsid w:val="00033C8B"/>
    <w:rsid w:val="0003453B"/>
    <w:rsid w:val="000345BA"/>
    <w:rsid w:val="00034EB6"/>
    <w:rsid w:val="0003660F"/>
    <w:rsid w:val="00036AE9"/>
    <w:rsid w:val="00036D10"/>
    <w:rsid w:val="000373BB"/>
    <w:rsid w:val="0003787B"/>
    <w:rsid w:val="00037CA6"/>
    <w:rsid w:val="0004004D"/>
    <w:rsid w:val="000406AF"/>
    <w:rsid w:val="000406B2"/>
    <w:rsid w:val="00041105"/>
    <w:rsid w:val="00041ADC"/>
    <w:rsid w:val="00041CE1"/>
    <w:rsid w:val="00042A92"/>
    <w:rsid w:val="00043171"/>
    <w:rsid w:val="00043509"/>
    <w:rsid w:val="0004367C"/>
    <w:rsid w:val="00043793"/>
    <w:rsid w:val="00043ADE"/>
    <w:rsid w:val="000440B2"/>
    <w:rsid w:val="000441EB"/>
    <w:rsid w:val="0004490B"/>
    <w:rsid w:val="000449ED"/>
    <w:rsid w:val="0004577C"/>
    <w:rsid w:val="00046973"/>
    <w:rsid w:val="00046A09"/>
    <w:rsid w:val="000473F5"/>
    <w:rsid w:val="00047465"/>
    <w:rsid w:val="0004783C"/>
    <w:rsid w:val="00047B0E"/>
    <w:rsid w:val="00047E6C"/>
    <w:rsid w:val="000502F6"/>
    <w:rsid w:val="000506B2"/>
    <w:rsid w:val="00050B11"/>
    <w:rsid w:val="00050BBF"/>
    <w:rsid w:val="0005120E"/>
    <w:rsid w:val="00051D5C"/>
    <w:rsid w:val="00052086"/>
    <w:rsid w:val="00052BBC"/>
    <w:rsid w:val="0005390F"/>
    <w:rsid w:val="00053934"/>
    <w:rsid w:val="00053F4E"/>
    <w:rsid w:val="000540E1"/>
    <w:rsid w:val="000556E8"/>
    <w:rsid w:val="00055F16"/>
    <w:rsid w:val="000563C2"/>
    <w:rsid w:val="00056E58"/>
    <w:rsid w:val="00056E5B"/>
    <w:rsid w:val="00057059"/>
    <w:rsid w:val="000578B0"/>
    <w:rsid w:val="00060F17"/>
    <w:rsid w:val="00061ECA"/>
    <w:rsid w:val="000629C4"/>
    <w:rsid w:val="000629D0"/>
    <w:rsid w:val="00062B35"/>
    <w:rsid w:val="00063C38"/>
    <w:rsid w:val="00064156"/>
    <w:rsid w:val="0006444E"/>
    <w:rsid w:val="00065364"/>
    <w:rsid w:val="00065502"/>
    <w:rsid w:val="0006594F"/>
    <w:rsid w:val="00066232"/>
    <w:rsid w:val="0006623D"/>
    <w:rsid w:val="000662A5"/>
    <w:rsid w:val="00066C08"/>
    <w:rsid w:val="0006716A"/>
    <w:rsid w:val="0006784E"/>
    <w:rsid w:val="000701C5"/>
    <w:rsid w:val="0007020F"/>
    <w:rsid w:val="000702EC"/>
    <w:rsid w:val="000706AF"/>
    <w:rsid w:val="00070B87"/>
    <w:rsid w:val="00071AF9"/>
    <w:rsid w:val="00072486"/>
    <w:rsid w:val="00073784"/>
    <w:rsid w:val="000743FD"/>
    <w:rsid w:val="0007500B"/>
    <w:rsid w:val="000757D8"/>
    <w:rsid w:val="00075F59"/>
    <w:rsid w:val="000761ED"/>
    <w:rsid w:val="00076622"/>
    <w:rsid w:val="00076A07"/>
    <w:rsid w:val="000771DF"/>
    <w:rsid w:val="00082DE9"/>
    <w:rsid w:val="00084087"/>
    <w:rsid w:val="00084BC6"/>
    <w:rsid w:val="000852BC"/>
    <w:rsid w:val="00085463"/>
    <w:rsid w:val="00085B9A"/>
    <w:rsid w:val="00085D04"/>
    <w:rsid w:val="000865CF"/>
    <w:rsid w:val="00090997"/>
    <w:rsid w:val="000911A4"/>
    <w:rsid w:val="0009167A"/>
    <w:rsid w:val="0009173A"/>
    <w:rsid w:val="00091AF0"/>
    <w:rsid w:val="00091E7D"/>
    <w:rsid w:val="00091ECD"/>
    <w:rsid w:val="000929F1"/>
    <w:rsid w:val="00092C3A"/>
    <w:rsid w:val="00093E7A"/>
    <w:rsid w:val="00095DCA"/>
    <w:rsid w:val="0009775F"/>
    <w:rsid w:val="00097B2D"/>
    <w:rsid w:val="000A0F77"/>
    <w:rsid w:val="000A19E6"/>
    <w:rsid w:val="000A1EA9"/>
    <w:rsid w:val="000A2266"/>
    <w:rsid w:val="000A2F4B"/>
    <w:rsid w:val="000A2FA8"/>
    <w:rsid w:val="000A3277"/>
    <w:rsid w:val="000A343D"/>
    <w:rsid w:val="000A474F"/>
    <w:rsid w:val="000A4DB0"/>
    <w:rsid w:val="000A584F"/>
    <w:rsid w:val="000A5D5C"/>
    <w:rsid w:val="000A65D3"/>
    <w:rsid w:val="000A69E9"/>
    <w:rsid w:val="000A71A8"/>
    <w:rsid w:val="000A77F6"/>
    <w:rsid w:val="000A7A3B"/>
    <w:rsid w:val="000A7EE7"/>
    <w:rsid w:val="000B04B3"/>
    <w:rsid w:val="000B0A60"/>
    <w:rsid w:val="000B0DA9"/>
    <w:rsid w:val="000B1886"/>
    <w:rsid w:val="000B1899"/>
    <w:rsid w:val="000B1CF7"/>
    <w:rsid w:val="000B247F"/>
    <w:rsid w:val="000B2C12"/>
    <w:rsid w:val="000B35C7"/>
    <w:rsid w:val="000B36DD"/>
    <w:rsid w:val="000B3B3C"/>
    <w:rsid w:val="000B5890"/>
    <w:rsid w:val="000B5E03"/>
    <w:rsid w:val="000B5EA9"/>
    <w:rsid w:val="000B646A"/>
    <w:rsid w:val="000B66D7"/>
    <w:rsid w:val="000B66DD"/>
    <w:rsid w:val="000B746B"/>
    <w:rsid w:val="000C102C"/>
    <w:rsid w:val="000C1566"/>
    <w:rsid w:val="000C1D52"/>
    <w:rsid w:val="000C1F22"/>
    <w:rsid w:val="000C2D59"/>
    <w:rsid w:val="000C4037"/>
    <w:rsid w:val="000C40EF"/>
    <w:rsid w:val="000C446D"/>
    <w:rsid w:val="000C52DB"/>
    <w:rsid w:val="000C531D"/>
    <w:rsid w:val="000C5658"/>
    <w:rsid w:val="000C6159"/>
    <w:rsid w:val="000C6765"/>
    <w:rsid w:val="000C7E01"/>
    <w:rsid w:val="000D013C"/>
    <w:rsid w:val="000D0AC6"/>
    <w:rsid w:val="000D0FE3"/>
    <w:rsid w:val="000D10F4"/>
    <w:rsid w:val="000D171D"/>
    <w:rsid w:val="000D2372"/>
    <w:rsid w:val="000D33EA"/>
    <w:rsid w:val="000D37B3"/>
    <w:rsid w:val="000D501E"/>
    <w:rsid w:val="000D5260"/>
    <w:rsid w:val="000D53C6"/>
    <w:rsid w:val="000D7469"/>
    <w:rsid w:val="000D7D24"/>
    <w:rsid w:val="000E071B"/>
    <w:rsid w:val="000E0863"/>
    <w:rsid w:val="000E0E32"/>
    <w:rsid w:val="000E12EA"/>
    <w:rsid w:val="000E1896"/>
    <w:rsid w:val="000E1DEE"/>
    <w:rsid w:val="000E30A8"/>
    <w:rsid w:val="000E3F7A"/>
    <w:rsid w:val="000E581A"/>
    <w:rsid w:val="000E6252"/>
    <w:rsid w:val="000E74AF"/>
    <w:rsid w:val="000E7641"/>
    <w:rsid w:val="000E7A91"/>
    <w:rsid w:val="000E7AF1"/>
    <w:rsid w:val="000E7D71"/>
    <w:rsid w:val="000F0115"/>
    <w:rsid w:val="000F014A"/>
    <w:rsid w:val="000F09A0"/>
    <w:rsid w:val="000F0E58"/>
    <w:rsid w:val="000F24A2"/>
    <w:rsid w:val="000F2DDF"/>
    <w:rsid w:val="000F3BBB"/>
    <w:rsid w:val="000F4400"/>
    <w:rsid w:val="000F54FC"/>
    <w:rsid w:val="000F5E10"/>
    <w:rsid w:val="000F6576"/>
    <w:rsid w:val="000F68A0"/>
    <w:rsid w:val="000F6C93"/>
    <w:rsid w:val="000F6D19"/>
    <w:rsid w:val="000F795E"/>
    <w:rsid w:val="001006E5"/>
    <w:rsid w:val="00101125"/>
    <w:rsid w:val="00101B26"/>
    <w:rsid w:val="0010272E"/>
    <w:rsid w:val="00102B5E"/>
    <w:rsid w:val="00102F63"/>
    <w:rsid w:val="001032C5"/>
    <w:rsid w:val="0010369A"/>
    <w:rsid w:val="00103CC7"/>
    <w:rsid w:val="00104217"/>
    <w:rsid w:val="0010469D"/>
    <w:rsid w:val="001056F5"/>
    <w:rsid w:val="00105F4F"/>
    <w:rsid w:val="00106AC9"/>
    <w:rsid w:val="00106D56"/>
    <w:rsid w:val="001070A2"/>
    <w:rsid w:val="00107AC1"/>
    <w:rsid w:val="00107EE9"/>
    <w:rsid w:val="001107AE"/>
    <w:rsid w:val="00110A00"/>
    <w:rsid w:val="00110AA3"/>
    <w:rsid w:val="00110EF0"/>
    <w:rsid w:val="00112301"/>
    <w:rsid w:val="00113239"/>
    <w:rsid w:val="00113E2D"/>
    <w:rsid w:val="00114211"/>
    <w:rsid w:val="00114518"/>
    <w:rsid w:val="00114BD7"/>
    <w:rsid w:val="00114E5C"/>
    <w:rsid w:val="00115537"/>
    <w:rsid w:val="00115566"/>
    <w:rsid w:val="00115D32"/>
    <w:rsid w:val="00116979"/>
    <w:rsid w:val="00117915"/>
    <w:rsid w:val="0012112B"/>
    <w:rsid w:val="00121223"/>
    <w:rsid w:val="00121657"/>
    <w:rsid w:val="00121CE0"/>
    <w:rsid w:val="00121EF2"/>
    <w:rsid w:val="00122154"/>
    <w:rsid w:val="0012264A"/>
    <w:rsid w:val="001233CD"/>
    <w:rsid w:val="00123720"/>
    <w:rsid w:val="00124C9F"/>
    <w:rsid w:val="001255A1"/>
    <w:rsid w:val="001255BB"/>
    <w:rsid w:val="00126A13"/>
    <w:rsid w:val="0013014B"/>
    <w:rsid w:val="00130AA3"/>
    <w:rsid w:val="00130CED"/>
    <w:rsid w:val="00131071"/>
    <w:rsid w:val="0013119D"/>
    <w:rsid w:val="0013207D"/>
    <w:rsid w:val="00132E51"/>
    <w:rsid w:val="0013327C"/>
    <w:rsid w:val="001349CC"/>
    <w:rsid w:val="00134AB3"/>
    <w:rsid w:val="001351CD"/>
    <w:rsid w:val="00135381"/>
    <w:rsid w:val="001360A4"/>
    <w:rsid w:val="00136193"/>
    <w:rsid w:val="0013673A"/>
    <w:rsid w:val="00140842"/>
    <w:rsid w:val="00140EB9"/>
    <w:rsid w:val="00142F1B"/>
    <w:rsid w:val="001431EA"/>
    <w:rsid w:val="00143273"/>
    <w:rsid w:val="0014360B"/>
    <w:rsid w:val="00143DD9"/>
    <w:rsid w:val="00143EFF"/>
    <w:rsid w:val="00144217"/>
    <w:rsid w:val="001442CA"/>
    <w:rsid w:val="001442E6"/>
    <w:rsid w:val="001443A5"/>
    <w:rsid w:val="0014498A"/>
    <w:rsid w:val="00145263"/>
    <w:rsid w:val="00145F4D"/>
    <w:rsid w:val="00147A0A"/>
    <w:rsid w:val="00147FB8"/>
    <w:rsid w:val="0015008A"/>
    <w:rsid w:val="0015054B"/>
    <w:rsid w:val="0015054E"/>
    <w:rsid w:val="001507B3"/>
    <w:rsid w:val="001510F6"/>
    <w:rsid w:val="001514ED"/>
    <w:rsid w:val="00151F12"/>
    <w:rsid w:val="00152B23"/>
    <w:rsid w:val="001535C4"/>
    <w:rsid w:val="00153CE0"/>
    <w:rsid w:val="00153D04"/>
    <w:rsid w:val="00154092"/>
    <w:rsid w:val="00154298"/>
    <w:rsid w:val="00154A7D"/>
    <w:rsid w:val="00154CB6"/>
    <w:rsid w:val="0015546C"/>
    <w:rsid w:val="00155E06"/>
    <w:rsid w:val="00156394"/>
    <w:rsid w:val="0015662A"/>
    <w:rsid w:val="001608EE"/>
    <w:rsid w:val="0016138A"/>
    <w:rsid w:val="00161688"/>
    <w:rsid w:val="00161F44"/>
    <w:rsid w:val="00162147"/>
    <w:rsid w:val="001626CE"/>
    <w:rsid w:val="00165267"/>
    <w:rsid w:val="001653F3"/>
    <w:rsid w:val="001660D5"/>
    <w:rsid w:val="00174333"/>
    <w:rsid w:val="00174B27"/>
    <w:rsid w:val="00174FE0"/>
    <w:rsid w:val="001754F4"/>
    <w:rsid w:val="0017585A"/>
    <w:rsid w:val="001766AB"/>
    <w:rsid w:val="001769E5"/>
    <w:rsid w:val="00176C82"/>
    <w:rsid w:val="0017773B"/>
    <w:rsid w:val="00177DE6"/>
    <w:rsid w:val="00181BE4"/>
    <w:rsid w:val="0018293E"/>
    <w:rsid w:val="00182A29"/>
    <w:rsid w:val="00182C22"/>
    <w:rsid w:val="0018345A"/>
    <w:rsid w:val="0018422D"/>
    <w:rsid w:val="0018429F"/>
    <w:rsid w:val="0018442A"/>
    <w:rsid w:val="00184EE1"/>
    <w:rsid w:val="00185720"/>
    <w:rsid w:val="00185B80"/>
    <w:rsid w:val="001860B2"/>
    <w:rsid w:val="0018621D"/>
    <w:rsid w:val="0018632B"/>
    <w:rsid w:val="00186639"/>
    <w:rsid w:val="00187037"/>
    <w:rsid w:val="001875FC"/>
    <w:rsid w:val="00187B29"/>
    <w:rsid w:val="00187DB8"/>
    <w:rsid w:val="001903C4"/>
    <w:rsid w:val="001913AF"/>
    <w:rsid w:val="00191FE6"/>
    <w:rsid w:val="00192BE7"/>
    <w:rsid w:val="0019390A"/>
    <w:rsid w:val="00194028"/>
    <w:rsid w:val="00195052"/>
    <w:rsid w:val="001950B8"/>
    <w:rsid w:val="001959FF"/>
    <w:rsid w:val="00195CC7"/>
    <w:rsid w:val="00196396"/>
    <w:rsid w:val="00196B0D"/>
    <w:rsid w:val="00196DB5"/>
    <w:rsid w:val="001A07EC"/>
    <w:rsid w:val="001A0974"/>
    <w:rsid w:val="001A0BA4"/>
    <w:rsid w:val="001A0DDB"/>
    <w:rsid w:val="001A156C"/>
    <w:rsid w:val="001A1940"/>
    <w:rsid w:val="001A1C3A"/>
    <w:rsid w:val="001A2014"/>
    <w:rsid w:val="001A2BE9"/>
    <w:rsid w:val="001A3343"/>
    <w:rsid w:val="001A3499"/>
    <w:rsid w:val="001A3538"/>
    <w:rsid w:val="001A37A3"/>
    <w:rsid w:val="001A3D3F"/>
    <w:rsid w:val="001A409D"/>
    <w:rsid w:val="001A47C0"/>
    <w:rsid w:val="001A4EBC"/>
    <w:rsid w:val="001A5183"/>
    <w:rsid w:val="001A59E4"/>
    <w:rsid w:val="001A5E90"/>
    <w:rsid w:val="001A63F5"/>
    <w:rsid w:val="001A6E0D"/>
    <w:rsid w:val="001B11BE"/>
    <w:rsid w:val="001B1D3D"/>
    <w:rsid w:val="001B1D76"/>
    <w:rsid w:val="001B20B5"/>
    <w:rsid w:val="001B304F"/>
    <w:rsid w:val="001B3674"/>
    <w:rsid w:val="001B5020"/>
    <w:rsid w:val="001B6775"/>
    <w:rsid w:val="001B7250"/>
    <w:rsid w:val="001B760B"/>
    <w:rsid w:val="001B7C70"/>
    <w:rsid w:val="001C0A88"/>
    <w:rsid w:val="001C182C"/>
    <w:rsid w:val="001C18A1"/>
    <w:rsid w:val="001C20F3"/>
    <w:rsid w:val="001C211A"/>
    <w:rsid w:val="001C2D53"/>
    <w:rsid w:val="001C3500"/>
    <w:rsid w:val="001C40E2"/>
    <w:rsid w:val="001C4140"/>
    <w:rsid w:val="001C50BB"/>
    <w:rsid w:val="001C5CC3"/>
    <w:rsid w:val="001C5F37"/>
    <w:rsid w:val="001C62A1"/>
    <w:rsid w:val="001C734D"/>
    <w:rsid w:val="001C76C3"/>
    <w:rsid w:val="001C786E"/>
    <w:rsid w:val="001C7A9E"/>
    <w:rsid w:val="001D073A"/>
    <w:rsid w:val="001D0749"/>
    <w:rsid w:val="001D0AF0"/>
    <w:rsid w:val="001D1062"/>
    <w:rsid w:val="001D1AD8"/>
    <w:rsid w:val="001D33E7"/>
    <w:rsid w:val="001D34D0"/>
    <w:rsid w:val="001D41F5"/>
    <w:rsid w:val="001D4AEB"/>
    <w:rsid w:val="001D54AF"/>
    <w:rsid w:val="001D60C1"/>
    <w:rsid w:val="001D650C"/>
    <w:rsid w:val="001D66C6"/>
    <w:rsid w:val="001D7578"/>
    <w:rsid w:val="001D75EA"/>
    <w:rsid w:val="001D7A30"/>
    <w:rsid w:val="001E09A1"/>
    <w:rsid w:val="001E187C"/>
    <w:rsid w:val="001E2306"/>
    <w:rsid w:val="001E2493"/>
    <w:rsid w:val="001E30C8"/>
    <w:rsid w:val="001E33CD"/>
    <w:rsid w:val="001E34F7"/>
    <w:rsid w:val="001E615B"/>
    <w:rsid w:val="001E6274"/>
    <w:rsid w:val="001E6EE7"/>
    <w:rsid w:val="001F07C4"/>
    <w:rsid w:val="001F0D98"/>
    <w:rsid w:val="001F1DA1"/>
    <w:rsid w:val="001F21A7"/>
    <w:rsid w:val="001F23BA"/>
    <w:rsid w:val="001F2D1E"/>
    <w:rsid w:val="001F2EC6"/>
    <w:rsid w:val="001F300B"/>
    <w:rsid w:val="001F3838"/>
    <w:rsid w:val="001F3B2F"/>
    <w:rsid w:val="001F3DCD"/>
    <w:rsid w:val="001F4139"/>
    <w:rsid w:val="001F4C23"/>
    <w:rsid w:val="001F60E9"/>
    <w:rsid w:val="001F676B"/>
    <w:rsid w:val="001F6BEF"/>
    <w:rsid w:val="001F7505"/>
    <w:rsid w:val="001F7D20"/>
    <w:rsid w:val="001F7FEA"/>
    <w:rsid w:val="0020092C"/>
    <w:rsid w:val="00200B9E"/>
    <w:rsid w:val="00200F13"/>
    <w:rsid w:val="00201077"/>
    <w:rsid w:val="00201B40"/>
    <w:rsid w:val="00201C6C"/>
    <w:rsid w:val="00202189"/>
    <w:rsid w:val="002022CF"/>
    <w:rsid w:val="0020253F"/>
    <w:rsid w:val="00202657"/>
    <w:rsid w:val="00203E0B"/>
    <w:rsid w:val="002040C7"/>
    <w:rsid w:val="002044A2"/>
    <w:rsid w:val="00205B1D"/>
    <w:rsid w:val="002061BD"/>
    <w:rsid w:val="00206CD7"/>
    <w:rsid w:val="00210DFB"/>
    <w:rsid w:val="002113F4"/>
    <w:rsid w:val="0021232E"/>
    <w:rsid w:val="002142D4"/>
    <w:rsid w:val="00214724"/>
    <w:rsid w:val="00215A15"/>
    <w:rsid w:val="00215B68"/>
    <w:rsid w:val="00215CFE"/>
    <w:rsid w:val="00216109"/>
    <w:rsid w:val="0021658D"/>
    <w:rsid w:val="00217C22"/>
    <w:rsid w:val="002200DF"/>
    <w:rsid w:val="00220121"/>
    <w:rsid w:val="002203D8"/>
    <w:rsid w:val="002206F9"/>
    <w:rsid w:val="002210B7"/>
    <w:rsid w:val="0022114F"/>
    <w:rsid w:val="00222A0C"/>
    <w:rsid w:val="00222FA3"/>
    <w:rsid w:val="0022336E"/>
    <w:rsid w:val="00223DBA"/>
    <w:rsid w:val="00223DD7"/>
    <w:rsid w:val="0022557B"/>
    <w:rsid w:val="00225F20"/>
    <w:rsid w:val="00226236"/>
    <w:rsid w:val="00226B39"/>
    <w:rsid w:val="00226E4B"/>
    <w:rsid w:val="00227172"/>
    <w:rsid w:val="002276EF"/>
    <w:rsid w:val="00227B5D"/>
    <w:rsid w:val="00230A98"/>
    <w:rsid w:val="00230F1F"/>
    <w:rsid w:val="00231848"/>
    <w:rsid w:val="00231B1A"/>
    <w:rsid w:val="00231B42"/>
    <w:rsid w:val="00231BF6"/>
    <w:rsid w:val="002320A3"/>
    <w:rsid w:val="0023338C"/>
    <w:rsid w:val="00233D57"/>
    <w:rsid w:val="002345BC"/>
    <w:rsid w:val="00234710"/>
    <w:rsid w:val="00234A98"/>
    <w:rsid w:val="002353EF"/>
    <w:rsid w:val="002355A9"/>
    <w:rsid w:val="0023626F"/>
    <w:rsid w:val="002362A5"/>
    <w:rsid w:val="002364DC"/>
    <w:rsid w:val="002368AF"/>
    <w:rsid w:val="00236C85"/>
    <w:rsid w:val="00236DB4"/>
    <w:rsid w:val="00237047"/>
    <w:rsid w:val="0023764F"/>
    <w:rsid w:val="00237CBF"/>
    <w:rsid w:val="002402D5"/>
    <w:rsid w:val="002407E9"/>
    <w:rsid w:val="00240D3E"/>
    <w:rsid w:val="00240E53"/>
    <w:rsid w:val="00241710"/>
    <w:rsid w:val="00241889"/>
    <w:rsid w:val="00241C6A"/>
    <w:rsid w:val="00242016"/>
    <w:rsid w:val="00242F4D"/>
    <w:rsid w:val="00243326"/>
    <w:rsid w:val="002436CE"/>
    <w:rsid w:val="00243881"/>
    <w:rsid w:val="00243C4E"/>
    <w:rsid w:val="0024446F"/>
    <w:rsid w:val="0024462F"/>
    <w:rsid w:val="0024465F"/>
    <w:rsid w:val="00245BD3"/>
    <w:rsid w:val="00245F06"/>
    <w:rsid w:val="002466E9"/>
    <w:rsid w:val="00247354"/>
    <w:rsid w:val="00247427"/>
    <w:rsid w:val="0024767A"/>
    <w:rsid w:val="002477E0"/>
    <w:rsid w:val="0025069C"/>
    <w:rsid w:val="00250F52"/>
    <w:rsid w:val="00251662"/>
    <w:rsid w:val="002519ED"/>
    <w:rsid w:val="00251BE3"/>
    <w:rsid w:val="002529FF"/>
    <w:rsid w:val="002532E4"/>
    <w:rsid w:val="002535BF"/>
    <w:rsid w:val="00255967"/>
    <w:rsid w:val="002562A5"/>
    <w:rsid w:val="00256B0B"/>
    <w:rsid w:val="00257136"/>
    <w:rsid w:val="002574D7"/>
    <w:rsid w:val="00257AFE"/>
    <w:rsid w:val="0026000B"/>
    <w:rsid w:val="00260234"/>
    <w:rsid w:val="00260881"/>
    <w:rsid w:val="00260A94"/>
    <w:rsid w:val="00261243"/>
    <w:rsid w:val="00261D2B"/>
    <w:rsid w:val="0026228B"/>
    <w:rsid w:val="00262799"/>
    <w:rsid w:val="00262820"/>
    <w:rsid w:val="00262B68"/>
    <w:rsid w:val="00264A1E"/>
    <w:rsid w:val="00264EF1"/>
    <w:rsid w:val="0026507D"/>
    <w:rsid w:val="0026512A"/>
    <w:rsid w:val="0026520B"/>
    <w:rsid w:val="0026550C"/>
    <w:rsid w:val="00265BB6"/>
    <w:rsid w:val="00265DFD"/>
    <w:rsid w:val="0026650F"/>
    <w:rsid w:val="00266901"/>
    <w:rsid w:val="002704BC"/>
    <w:rsid w:val="002705B7"/>
    <w:rsid w:val="00270881"/>
    <w:rsid w:val="00270B83"/>
    <w:rsid w:val="002713C5"/>
    <w:rsid w:val="00271448"/>
    <w:rsid w:val="00274179"/>
    <w:rsid w:val="00274C03"/>
    <w:rsid w:val="00275009"/>
    <w:rsid w:val="0027505F"/>
    <w:rsid w:val="00275BC5"/>
    <w:rsid w:val="00275F57"/>
    <w:rsid w:val="00276F0D"/>
    <w:rsid w:val="00276FDB"/>
    <w:rsid w:val="0027709A"/>
    <w:rsid w:val="00280809"/>
    <w:rsid w:val="00280A5C"/>
    <w:rsid w:val="00280D71"/>
    <w:rsid w:val="0028267F"/>
    <w:rsid w:val="00282EB8"/>
    <w:rsid w:val="00283FFC"/>
    <w:rsid w:val="0028444C"/>
    <w:rsid w:val="00284E07"/>
    <w:rsid w:val="00285613"/>
    <w:rsid w:val="00285862"/>
    <w:rsid w:val="00285A14"/>
    <w:rsid w:val="00286955"/>
    <w:rsid w:val="002869A4"/>
    <w:rsid w:val="00290485"/>
    <w:rsid w:val="002905F9"/>
    <w:rsid w:val="00290C51"/>
    <w:rsid w:val="00290E71"/>
    <w:rsid w:val="00292975"/>
    <w:rsid w:val="00292BF9"/>
    <w:rsid w:val="00292CF9"/>
    <w:rsid w:val="00293AFF"/>
    <w:rsid w:val="002940B0"/>
    <w:rsid w:val="00294BDA"/>
    <w:rsid w:val="00294D29"/>
    <w:rsid w:val="0029557D"/>
    <w:rsid w:val="0029559A"/>
    <w:rsid w:val="00295E9D"/>
    <w:rsid w:val="00296EDF"/>
    <w:rsid w:val="00297A5E"/>
    <w:rsid w:val="002A00B5"/>
    <w:rsid w:val="002A0AC9"/>
    <w:rsid w:val="002A16BB"/>
    <w:rsid w:val="002A174B"/>
    <w:rsid w:val="002A1E8D"/>
    <w:rsid w:val="002A23F1"/>
    <w:rsid w:val="002A2ECB"/>
    <w:rsid w:val="002A356F"/>
    <w:rsid w:val="002A35F4"/>
    <w:rsid w:val="002A36BD"/>
    <w:rsid w:val="002A3846"/>
    <w:rsid w:val="002A3C48"/>
    <w:rsid w:val="002A3E34"/>
    <w:rsid w:val="002A411F"/>
    <w:rsid w:val="002A44A8"/>
    <w:rsid w:val="002A44DC"/>
    <w:rsid w:val="002A57D5"/>
    <w:rsid w:val="002A5D39"/>
    <w:rsid w:val="002A71DB"/>
    <w:rsid w:val="002A750E"/>
    <w:rsid w:val="002A7660"/>
    <w:rsid w:val="002A7A37"/>
    <w:rsid w:val="002B009E"/>
    <w:rsid w:val="002B11FF"/>
    <w:rsid w:val="002B12A5"/>
    <w:rsid w:val="002B130E"/>
    <w:rsid w:val="002B2896"/>
    <w:rsid w:val="002B2BD4"/>
    <w:rsid w:val="002B2E37"/>
    <w:rsid w:val="002B3096"/>
    <w:rsid w:val="002B3871"/>
    <w:rsid w:val="002B3A29"/>
    <w:rsid w:val="002B42E7"/>
    <w:rsid w:val="002B6FEA"/>
    <w:rsid w:val="002C18A9"/>
    <w:rsid w:val="002C2BDB"/>
    <w:rsid w:val="002C3252"/>
    <w:rsid w:val="002C3648"/>
    <w:rsid w:val="002C475C"/>
    <w:rsid w:val="002C548F"/>
    <w:rsid w:val="002C5A05"/>
    <w:rsid w:val="002C6956"/>
    <w:rsid w:val="002C6E04"/>
    <w:rsid w:val="002C777C"/>
    <w:rsid w:val="002C7B8F"/>
    <w:rsid w:val="002D0FEC"/>
    <w:rsid w:val="002D1959"/>
    <w:rsid w:val="002D2FB9"/>
    <w:rsid w:val="002D3075"/>
    <w:rsid w:val="002D34E6"/>
    <w:rsid w:val="002D3EDE"/>
    <w:rsid w:val="002D4379"/>
    <w:rsid w:val="002D477D"/>
    <w:rsid w:val="002D4CB0"/>
    <w:rsid w:val="002D4E28"/>
    <w:rsid w:val="002D5949"/>
    <w:rsid w:val="002D740F"/>
    <w:rsid w:val="002D7C3E"/>
    <w:rsid w:val="002D7CFF"/>
    <w:rsid w:val="002E0E2C"/>
    <w:rsid w:val="002E1309"/>
    <w:rsid w:val="002E2F74"/>
    <w:rsid w:val="002E4E2A"/>
    <w:rsid w:val="002E7D86"/>
    <w:rsid w:val="002F03CC"/>
    <w:rsid w:val="002F2398"/>
    <w:rsid w:val="002F2617"/>
    <w:rsid w:val="002F42FC"/>
    <w:rsid w:val="002F5159"/>
    <w:rsid w:val="002F5962"/>
    <w:rsid w:val="002F6BFB"/>
    <w:rsid w:val="002F7836"/>
    <w:rsid w:val="00300736"/>
    <w:rsid w:val="00300950"/>
    <w:rsid w:val="00300BB5"/>
    <w:rsid w:val="003012B3"/>
    <w:rsid w:val="003020D3"/>
    <w:rsid w:val="00302296"/>
    <w:rsid w:val="003025D8"/>
    <w:rsid w:val="003035A5"/>
    <w:rsid w:val="00303C10"/>
    <w:rsid w:val="003051EE"/>
    <w:rsid w:val="00306556"/>
    <w:rsid w:val="0030700A"/>
    <w:rsid w:val="00307042"/>
    <w:rsid w:val="0031042D"/>
    <w:rsid w:val="00310644"/>
    <w:rsid w:val="00310E40"/>
    <w:rsid w:val="00310FF0"/>
    <w:rsid w:val="00311FF6"/>
    <w:rsid w:val="0031325A"/>
    <w:rsid w:val="003154EB"/>
    <w:rsid w:val="00315DAC"/>
    <w:rsid w:val="003167B5"/>
    <w:rsid w:val="0031716F"/>
    <w:rsid w:val="00317439"/>
    <w:rsid w:val="0031790C"/>
    <w:rsid w:val="00317C06"/>
    <w:rsid w:val="00320649"/>
    <w:rsid w:val="00323014"/>
    <w:rsid w:val="00323096"/>
    <w:rsid w:val="003230F7"/>
    <w:rsid w:val="00323C85"/>
    <w:rsid w:val="00324247"/>
    <w:rsid w:val="00324AD6"/>
    <w:rsid w:val="003251A1"/>
    <w:rsid w:val="0032604B"/>
    <w:rsid w:val="00326460"/>
    <w:rsid w:val="00326729"/>
    <w:rsid w:val="00326ABC"/>
    <w:rsid w:val="00326F31"/>
    <w:rsid w:val="00326F8C"/>
    <w:rsid w:val="00326F8E"/>
    <w:rsid w:val="00327010"/>
    <w:rsid w:val="00330288"/>
    <w:rsid w:val="003311DD"/>
    <w:rsid w:val="003340BF"/>
    <w:rsid w:val="00334851"/>
    <w:rsid w:val="00334A11"/>
    <w:rsid w:val="003353F7"/>
    <w:rsid w:val="003357D2"/>
    <w:rsid w:val="00335920"/>
    <w:rsid w:val="00335D54"/>
    <w:rsid w:val="00335DB2"/>
    <w:rsid w:val="00335F6F"/>
    <w:rsid w:val="00336801"/>
    <w:rsid w:val="003371CB"/>
    <w:rsid w:val="00340690"/>
    <w:rsid w:val="00340712"/>
    <w:rsid w:val="003413AA"/>
    <w:rsid w:val="003425A4"/>
    <w:rsid w:val="00342730"/>
    <w:rsid w:val="003429E8"/>
    <w:rsid w:val="00342F38"/>
    <w:rsid w:val="00343BF3"/>
    <w:rsid w:val="00343DD9"/>
    <w:rsid w:val="00344FA8"/>
    <w:rsid w:val="003454E5"/>
    <w:rsid w:val="0034579F"/>
    <w:rsid w:val="00345FE3"/>
    <w:rsid w:val="003462FE"/>
    <w:rsid w:val="00346756"/>
    <w:rsid w:val="00346A34"/>
    <w:rsid w:val="00346B73"/>
    <w:rsid w:val="00346E56"/>
    <w:rsid w:val="00347818"/>
    <w:rsid w:val="00347A06"/>
    <w:rsid w:val="00347FBD"/>
    <w:rsid w:val="00350883"/>
    <w:rsid w:val="00350A30"/>
    <w:rsid w:val="00350CB2"/>
    <w:rsid w:val="0035148F"/>
    <w:rsid w:val="00351619"/>
    <w:rsid w:val="00351B0C"/>
    <w:rsid w:val="00351B4A"/>
    <w:rsid w:val="00352672"/>
    <w:rsid w:val="003526B1"/>
    <w:rsid w:val="00352872"/>
    <w:rsid w:val="003529CD"/>
    <w:rsid w:val="00352DC7"/>
    <w:rsid w:val="0035346E"/>
    <w:rsid w:val="00353BEA"/>
    <w:rsid w:val="00353D83"/>
    <w:rsid w:val="00353FDE"/>
    <w:rsid w:val="00355CA7"/>
    <w:rsid w:val="003570C2"/>
    <w:rsid w:val="003572D1"/>
    <w:rsid w:val="00357431"/>
    <w:rsid w:val="00360A3D"/>
    <w:rsid w:val="0036124A"/>
    <w:rsid w:val="00362B54"/>
    <w:rsid w:val="00362E41"/>
    <w:rsid w:val="0036301C"/>
    <w:rsid w:val="0036368D"/>
    <w:rsid w:val="00363785"/>
    <w:rsid w:val="003638F3"/>
    <w:rsid w:val="00363A88"/>
    <w:rsid w:val="00363E3F"/>
    <w:rsid w:val="003640A9"/>
    <w:rsid w:val="003642A5"/>
    <w:rsid w:val="003652DB"/>
    <w:rsid w:val="003659CC"/>
    <w:rsid w:val="00365E07"/>
    <w:rsid w:val="00365FF3"/>
    <w:rsid w:val="003666B7"/>
    <w:rsid w:val="00367A91"/>
    <w:rsid w:val="00370C2D"/>
    <w:rsid w:val="00371F22"/>
    <w:rsid w:val="00373263"/>
    <w:rsid w:val="00373BA6"/>
    <w:rsid w:val="00374016"/>
    <w:rsid w:val="00374481"/>
    <w:rsid w:val="003748D8"/>
    <w:rsid w:val="00374C27"/>
    <w:rsid w:val="00376611"/>
    <w:rsid w:val="00377DBC"/>
    <w:rsid w:val="00380168"/>
    <w:rsid w:val="00380673"/>
    <w:rsid w:val="00381820"/>
    <w:rsid w:val="00382C05"/>
    <w:rsid w:val="00383FCA"/>
    <w:rsid w:val="00384207"/>
    <w:rsid w:val="00386A50"/>
    <w:rsid w:val="00386C0F"/>
    <w:rsid w:val="003879C0"/>
    <w:rsid w:val="00387F96"/>
    <w:rsid w:val="00391091"/>
    <w:rsid w:val="003917B4"/>
    <w:rsid w:val="00391F23"/>
    <w:rsid w:val="00392114"/>
    <w:rsid w:val="00392535"/>
    <w:rsid w:val="0039265F"/>
    <w:rsid w:val="0039277D"/>
    <w:rsid w:val="00392F41"/>
    <w:rsid w:val="0039330E"/>
    <w:rsid w:val="003942FE"/>
    <w:rsid w:val="003956B0"/>
    <w:rsid w:val="0039587B"/>
    <w:rsid w:val="003969DE"/>
    <w:rsid w:val="0039770C"/>
    <w:rsid w:val="0039770D"/>
    <w:rsid w:val="003A02F7"/>
    <w:rsid w:val="003A04DF"/>
    <w:rsid w:val="003A05DD"/>
    <w:rsid w:val="003A1456"/>
    <w:rsid w:val="003A289E"/>
    <w:rsid w:val="003A2959"/>
    <w:rsid w:val="003A3067"/>
    <w:rsid w:val="003A36D8"/>
    <w:rsid w:val="003A4451"/>
    <w:rsid w:val="003A4727"/>
    <w:rsid w:val="003A4C1C"/>
    <w:rsid w:val="003A51A6"/>
    <w:rsid w:val="003A6805"/>
    <w:rsid w:val="003A6E00"/>
    <w:rsid w:val="003A7487"/>
    <w:rsid w:val="003A7C14"/>
    <w:rsid w:val="003B0249"/>
    <w:rsid w:val="003B05D7"/>
    <w:rsid w:val="003B1367"/>
    <w:rsid w:val="003B1648"/>
    <w:rsid w:val="003B1730"/>
    <w:rsid w:val="003B1E14"/>
    <w:rsid w:val="003B2177"/>
    <w:rsid w:val="003B2257"/>
    <w:rsid w:val="003B24A3"/>
    <w:rsid w:val="003B3290"/>
    <w:rsid w:val="003B3CD2"/>
    <w:rsid w:val="003B3F5F"/>
    <w:rsid w:val="003B42F7"/>
    <w:rsid w:val="003B59A6"/>
    <w:rsid w:val="003B7388"/>
    <w:rsid w:val="003B76A1"/>
    <w:rsid w:val="003C0FFB"/>
    <w:rsid w:val="003C19C0"/>
    <w:rsid w:val="003C1DB4"/>
    <w:rsid w:val="003C3028"/>
    <w:rsid w:val="003C44BA"/>
    <w:rsid w:val="003C4C98"/>
    <w:rsid w:val="003C4F55"/>
    <w:rsid w:val="003C52E5"/>
    <w:rsid w:val="003C59D4"/>
    <w:rsid w:val="003C5CCB"/>
    <w:rsid w:val="003C71C6"/>
    <w:rsid w:val="003C73E1"/>
    <w:rsid w:val="003C79B5"/>
    <w:rsid w:val="003C7C49"/>
    <w:rsid w:val="003C7D25"/>
    <w:rsid w:val="003D0D8C"/>
    <w:rsid w:val="003D0EB8"/>
    <w:rsid w:val="003D0F76"/>
    <w:rsid w:val="003D166C"/>
    <w:rsid w:val="003D247F"/>
    <w:rsid w:val="003D2CD3"/>
    <w:rsid w:val="003D3584"/>
    <w:rsid w:val="003D3723"/>
    <w:rsid w:val="003D43A7"/>
    <w:rsid w:val="003D4737"/>
    <w:rsid w:val="003D4FE9"/>
    <w:rsid w:val="003D5C16"/>
    <w:rsid w:val="003D5C31"/>
    <w:rsid w:val="003D5F7A"/>
    <w:rsid w:val="003D7EA6"/>
    <w:rsid w:val="003E11FD"/>
    <w:rsid w:val="003E1682"/>
    <w:rsid w:val="003E23F3"/>
    <w:rsid w:val="003E30FB"/>
    <w:rsid w:val="003E36E0"/>
    <w:rsid w:val="003E6C54"/>
    <w:rsid w:val="003E734E"/>
    <w:rsid w:val="003E755A"/>
    <w:rsid w:val="003E7A12"/>
    <w:rsid w:val="003E7FCD"/>
    <w:rsid w:val="003F079C"/>
    <w:rsid w:val="003F0CBB"/>
    <w:rsid w:val="003F0CD1"/>
    <w:rsid w:val="003F12EA"/>
    <w:rsid w:val="003F1404"/>
    <w:rsid w:val="003F1FB9"/>
    <w:rsid w:val="003F28D4"/>
    <w:rsid w:val="003F295C"/>
    <w:rsid w:val="003F2ECC"/>
    <w:rsid w:val="003F3617"/>
    <w:rsid w:val="003F37F7"/>
    <w:rsid w:val="003F3D0E"/>
    <w:rsid w:val="003F3FD1"/>
    <w:rsid w:val="003F49A5"/>
    <w:rsid w:val="003F547D"/>
    <w:rsid w:val="003F56E5"/>
    <w:rsid w:val="003F5CE7"/>
    <w:rsid w:val="003F5E31"/>
    <w:rsid w:val="003F6BB5"/>
    <w:rsid w:val="003F75E1"/>
    <w:rsid w:val="003F7682"/>
    <w:rsid w:val="003F7FC9"/>
    <w:rsid w:val="0040007B"/>
    <w:rsid w:val="00400C10"/>
    <w:rsid w:val="004015AE"/>
    <w:rsid w:val="00402835"/>
    <w:rsid w:val="00402FB8"/>
    <w:rsid w:val="0040304F"/>
    <w:rsid w:val="0040375E"/>
    <w:rsid w:val="00405AB3"/>
    <w:rsid w:val="004061BD"/>
    <w:rsid w:val="00406592"/>
    <w:rsid w:val="004065A5"/>
    <w:rsid w:val="00410DB7"/>
    <w:rsid w:val="00411629"/>
    <w:rsid w:val="004116AB"/>
    <w:rsid w:val="00411A3B"/>
    <w:rsid w:val="00412147"/>
    <w:rsid w:val="00412923"/>
    <w:rsid w:val="00412F7F"/>
    <w:rsid w:val="00413205"/>
    <w:rsid w:val="004139E0"/>
    <w:rsid w:val="00413B20"/>
    <w:rsid w:val="00414090"/>
    <w:rsid w:val="004143CD"/>
    <w:rsid w:val="00415B29"/>
    <w:rsid w:val="00415B6C"/>
    <w:rsid w:val="0041608A"/>
    <w:rsid w:val="0041678C"/>
    <w:rsid w:val="00416B23"/>
    <w:rsid w:val="00416F22"/>
    <w:rsid w:val="004175F0"/>
    <w:rsid w:val="004177DC"/>
    <w:rsid w:val="00420755"/>
    <w:rsid w:val="00421A28"/>
    <w:rsid w:val="00421F3C"/>
    <w:rsid w:val="00422E28"/>
    <w:rsid w:val="004239AA"/>
    <w:rsid w:val="00423D27"/>
    <w:rsid w:val="00423EC8"/>
    <w:rsid w:val="00424027"/>
    <w:rsid w:val="004249C6"/>
    <w:rsid w:val="004251CE"/>
    <w:rsid w:val="004253B0"/>
    <w:rsid w:val="004257D6"/>
    <w:rsid w:val="0042729F"/>
    <w:rsid w:val="004272F0"/>
    <w:rsid w:val="004278CB"/>
    <w:rsid w:val="004303B1"/>
    <w:rsid w:val="004303B2"/>
    <w:rsid w:val="00430753"/>
    <w:rsid w:val="004309D4"/>
    <w:rsid w:val="00430F06"/>
    <w:rsid w:val="0043109D"/>
    <w:rsid w:val="00431ABE"/>
    <w:rsid w:val="004323DA"/>
    <w:rsid w:val="00432651"/>
    <w:rsid w:val="00432AAD"/>
    <w:rsid w:val="00432B16"/>
    <w:rsid w:val="004331B0"/>
    <w:rsid w:val="004342B6"/>
    <w:rsid w:val="00434B7B"/>
    <w:rsid w:val="004356BC"/>
    <w:rsid w:val="004362A5"/>
    <w:rsid w:val="00437194"/>
    <w:rsid w:val="00440036"/>
    <w:rsid w:val="004405A4"/>
    <w:rsid w:val="00440CCE"/>
    <w:rsid w:val="00441753"/>
    <w:rsid w:val="00441838"/>
    <w:rsid w:val="004418C8"/>
    <w:rsid w:val="00441F81"/>
    <w:rsid w:val="00442644"/>
    <w:rsid w:val="0044394C"/>
    <w:rsid w:val="00443FC4"/>
    <w:rsid w:val="0044421B"/>
    <w:rsid w:val="00444DB5"/>
    <w:rsid w:val="0044546C"/>
    <w:rsid w:val="00445733"/>
    <w:rsid w:val="00447689"/>
    <w:rsid w:val="00447D43"/>
    <w:rsid w:val="00447F91"/>
    <w:rsid w:val="00447FD8"/>
    <w:rsid w:val="0045000B"/>
    <w:rsid w:val="00450CEC"/>
    <w:rsid w:val="00450E5A"/>
    <w:rsid w:val="00451BD6"/>
    <w:rsid w:val="0045307B"/>
    <w:rsid w:val="0045375F"/>
    <w:rsid w:val="00453B5C"/>
    <w:rsid w:val="00453DA1"/>
    <w:rsid w:val="00453DDD"/>
    <w:rsid w:val="004541F5"/>
    <w:rsid w:val="00454744"/>
    <w:rsid w:val="00454980"/>
    <w:rsid w:val="0045537D"/>
    <w:rsid w:val="0045710C"/>
    <w:rsid w:val="0045779B"/>
    <w:rsid w:val="00457DE9"/>
    <w:rsid w:val="00460720"/>
    <w:rsid w:val="004608DA"/>
    <w:rsid w:val="00460EBE"/>
    <w:rsid w:val="004625D4"/>
    <w:rsid w:val="004629CD"/>
    <w:rsid w:val="00463707"/>
    <w:rsid w:val="00463C90"/>
    <w:rsid w:val="00465873"/>
    <w:rsid w:val="004659E5"/>
    <w:rsid w:val="00465B40"/>
    <w:rsid w:val="00465C12"/>
    <w:rsid w:val="00465D57"/>
    <w:rsid w:val="00466256"/>
    <w:rsid w:val="004663E5"/>
    <w:rsid w:val="00466652"/>
    <w:rsid w:val="00466793"/>
    <w:rsid w:val="0046749C"/>
    <w:rsid w:val="004674BA"/>
    <w:rsid w:val="0047132C"/>
    <w:rsid w:val="004717A0"/>
    <w:rsid w:val="00471F84"/>
    <w:rsid w:val="00473E89"/>
    <w:rsid w:val="00475910"/>
    <w:rsid w:val="0047607B"/>
    <w:rsid w:val="0047684C"/>
    <w:rsid w:val="0047756C"/>
    <w:rsid w:val="00480277"/>
    <w:rsid w:val="004803A0"/>
    <w:rsid w:val="00480AF0"/>
    <w:rsid w:val="00480EF2"/>
    <w:rsid w:val="00481859"/>
    <w:rsid w:val="00481B15"/>
    <w:rsid w:val="0048204D"/>
    <w:rsid w:val="00482129"/>
    <w:rsid w:val="0048311D"/>
    <w:rsid w:val="00483CA8"/>
    <w:rsid w:val="00483F74"/>
    <w:rsid w:val="0048420D"/>
    <w:rsid w:val="004843C8"/>
    <w:rsid w:val="00484D02"/>
    <w:rsid w:val="004860DE"/>
    <w:rsid w:val="004868D7"/>
    <w:rsid w:val="00487502"/>
    <w:rsid w:val="00487E0B"/>
    <w:rsid w:val="00491257"/>
    <w:rsid w:val="00492917"/>
    <w:rsid w:val="00492F96"/>
    <w:rsid w:val="00493044"/>
    <w:rsid w:val="0049335D"/>
    <w:rsid w:val="004933C2"/>
    <w:rsid w:val="0049370B"/>
    <w:rsid w:val="00493DCD"/>
    <w:rsid w:val="00495A28"/>
    <w:rsid w:val="00495CE4"/>
    <w:rsid w:val="004967CE"/>
    <w:rsid w:val="004974DB"/>
    <w:rsid w:val="004979D0"/>
    <w:rsid w:val="004A073D"/>
    <w:rsid w:val="004A1198"/>
    <w:rsid w:val="004A29CC"/>
    <w:rsid w:val="004A309B"/>
    <w:rsid w:val="004A46FC"/>
    <w:rsid w:val="004A4F2F"/>
    <w:rsid w:val="004A5426"/>
    <w:rsid w:val="004A6909"/>
    <w:rsid w:val="004A7D98"/>
    <w:rsid w:val="004B0F99"/>
    <w:rsid w:val="004B2382"/>
    <w:rsid w:val="004B3F3D"/>
    <w:rsid w:val="004B4047"/>
    <w:rsid w:val="004B5887"/>
    <w:rsid w:val="004B5EC8"/>
    <w:rsid w:val="004B6769"/>
    <w:rsid w:val="004B6BE8"/>
    <w:rsid w:val="004B6ECC"/>
    <w:rsid w:val="004B7B1F"/>
    <w:rsid w:val="004B7BFD"/>
    <w:rsid w:val="004B7C70"/>
    <w:rsid w:val="004C1635"/>
    <w:rsid w:val="004C164B"/>
    <w:rsid w:val="004C1B47"/>
    <w:rsid w:val="004C2289"/>
    <w:rsid w:val="004C27EB"/>
    <w:rsid w:val="004C30A0"/>
    <w:rsid w:val="004C3859"/>
    <w:rsid w:val="004C393C"/>
    <w:rsid w:val="004C4B0F"/>
    <w:rsid w:val="004C4EB3"/>
    <w:rsid w:val="004C4F23"/>
    <w:rsid w:val="004C62E4"/>
    <w:rsid w:val="004C6C54"/>
    <w:rsid w:val="004C70A4"/>
    <w:rsid w:val="004C775F"/>
    <w:rsid w:val="004C7B46"/>
    <w:rsid w:val="004D0DDC"/>
    <w:rsid w:val="004D0E51"/>
    <w:rsid w:val="004D2317"/>
    <w:rsid w:val="004D2FC8"/>
    <w:rsid w:val="004D31DF"/>
    <w:rsid w:val="004D3958"/>
    <w:rsid w:val="004D4355"/>
    <w:rsid w:val="004D4593"/>
    <w:rsid w:val="004D495C"/>
    <w:rsid w:val="004D5E47"/>
    <w:rsid w:val="004D6775"/>
    <w:rsid w:val="004D7E44"/>
    <w:rsid w:val="004E04CA"/>
    <w:rsid w:val="004E06DA"/>
    <w:rsid w:val="004E11EB"/>
    <w:rsid w:val="004E1FCB"/>
    <w:rsid w:val="004E2008"/>
    <w:rsid w:val="004E26DF"/>
    <w:rsid w:val="004E3029"/>
    <w:rsid w:val="004E302C"/>
    <w:rsid w:val="004E349D"/>
    <w:rsid w:val="004E4C24"/>
    <w:rsid w:val="004E5610"/>
    <w:rsid w:val="004E59CB"/>
    <w:rsid w:val="004E71A4"/>
    <w:rsid w:val="004E7CD4"/>
    <w:rsid w:val="004E7DDC"/>
    <w:rsid w:val="004F08F9"/>
    <w:rsid w:val="004F0BC7"/>
    <w:rsid w:val="004F0CC9"/>
    <w:rsid w:val="004F38F7"/>
    <w:rsid w:val="004F489A"/>
    <w:rsid w:val="004F502B"/>
    <w:rsid w:val="004F57AF"/>
    <w:rsid w:val="004F6AFC"/>
    <w:rsid w:val="004F75D6"/>
    <w:rsid w:val="004F7795"/>
    <w:rsid w:val="004F77EE"/>
    <w:rsid w:val="00500491"/>
    <w:rsid w:val="005004DE"/>
    <w:rsid w:val="00501229"/>
    <w:rsid w:val="00502916"/>
    <w:rsid w:val="00502A6C"/>
    <w:rsid w:val="00502B36"/>
    <w:rsid w:val="005034A8"/>
    <w:rsid w:val="00503CB5"/>
    <w:rsid w:val="005040E6"/>
    <w:rsid w:val="005054C3"/>
    <w:rsid w:val="005059AD"/>
    <w:rsid w:val="00505A24"/>
    <w:rsid w:val="00505FE2"/>
    <w:rsid w:val="0050663F"/>
    <w:rsid w:val="005066B5"/>
    <w:rsid w:val="00506DC5"/>
    <w:rsid w:val="00506E35"/>
    <w:rsid w:val="005105EA"/>
    <w:rsid w:val="00512C9B"/>
    <w:rsid w:val="00513481"/>
    <w:rsid w:val="005137F7"/>
    <w:rsid w:val="00513F71"/>
    <w:rsid w:val="00514297"/>
    <w:rsid w:val="005149ED"/>
    <w:rsid w:val="00514A10"/>
    <w:rsid w:val="00514BC0"/>
    <w:rsid w:val="00514E06"/>
    <w:rsid w:val="00514EC6"/>
    <w:rsid w:val="00520C7C"/>
    <w:rsid w:val="005216BC"/>
    <w:rsid w:val="00521A35"/>
    <w:rsid w:val="00521EF1"/>
    <w:rsid w:val="005228B8"/>
    <w:rsid w:val="00523037"/>
    <w:rsid w:val="00524B2A"/>
    <w:rsid w:val="00524B91"/>
    <w:rsid w:val="00524C49"/>
    <w:rsid w:val="00524DE0"/>
    <w:rsid w:val="00524EE6"/>
    <w:rsid w:val="00525CBF"/>
    <w:rsid w:val="00525EBF"/>
    <w:rsid w:val="005270B1"/>
    <w:rsid w:val="0052764C"/>
    <w:rsid w:val="005277DA"/>
    <w:rsid w:val="00530C10"/>
    <w:rsid w:val="00530FB8"/>
    <w:rsid w:val="005311FF"/>
    <w:rsid w:val="0053157E"/>
    <w:rsid w:val="00532C5C"/>
    <w:rsid w:val="00533DFD"/>
    <w:rsid w:val="00533FDB"/>
    <w:rsid w:val="005344BE"/>
    <w:rsid w:val="00534EE6"/>
    <w:rsid w:val="0053514F"/>
    <w:rsid w:val="00535372"/>
    <w:rsid w:val="00536CE0"/>
    <w:rsid w:val="00536E0B"/>
    <w:rsid w:val="00537738"/>
    <w:rsid w:val="00537BE5"/>
    <w:rsid w:val="0054186E"/>
    <w:rsid w:val="005423D6"/>
    <w:rsid w:val="00542413"/>
    <w:rsid w:val="00543650"/>
    <w:rsid w:val="00543C0A"/>
    <w:rsid w:val="00544EFC"/>
    <w:rsid w:val="005450CF"/>
    <w:rsid w:val="00545128"/>
    <w:rsid w:val="005468C1"/>
    <w:rsid w:val="00547B3A"/>
    <w:rsid w:val="005501ED"/>
    <w:rsid w:val="0055060B"/>
    <w:rsid w:val="00551530"/>
    <w:rsid w:val="005518F4"/>
    <w:rsid w:val="00551A2C"/>
    <w:rsid w:val="00552F8A"/>
    <w:rsid w:val="005533E1"/>
    <w:rsid w:val="005538A9"/>
    <w:rsid w:val="00556C23"/>
    <w:rsid w:val="00557721"/>
    <w:rsid w:val="00557A26"/>
    <w:rsid w:val="00560078"/>
    <w:rsid w:val="005600B3"/>
    <w:rsid w:val="0056037C"/>
    <w:rsid w:val="00560C5A"/>
    <w:rsid w:val="00562AE7"/>
    <w:rsid w:val="005636E6"/>
    <w:rsid w:val="0056453E"/>
    <w:rsid w:val="0056492E"/>
    <w:rsid w:val="005650C0"/>
    <w:rsid w:val="00565188"/>
    <w:rsid w:val="005652BB"/>
    <w:rsid w:val="00565CF4"/>
    <w:rsid w:val="005665FE"/>
    <w:rsid w:val="00566607"/>
    <w:rsid w:val="00567225"/>
    <w:rsid w:val="00570FFA"/>
    <w:rsid w:val="0057142E"/>
    <w:rsid w:val="00574640"/>
    <w:rsid w:val="005753BB"/>
    <w:rsid w:val="00575FAE"/>
    <w:rsid w:val="005764B9"/>
    <w:rsid w:val="0057657F"/>
    <w:rsid w:val="00576C00"/>
    <w:rsid w:val="005771D3"/>
    <w:rsid w:val="0058116A"/>
    <w:rsid w:val="00581302"/>
    <w:rsid w:val="00582932"/>
    <w:rsid w:val="005833BC"/>
    <w:rsid w:val="005834B9"/>
    <w:rsid w:val="00585583"/>
    <w:rsid w:val="00585DF8"/>
    <w:rsid w:val="00586505"/>
    <w:rsid w:val="00586CAC"/>
    <w:rsid w:val="00586F9D"/>
    <w:rsid w:val="00587280"/>
    <w:rsid w:val="00587AC4"/>
    <w:rsid w:val="00587F39"/>
    <w:rsid w:val="00590C79"/>
    <w:rsid w:val="00590E04"/>
    <w:rsid w:val="0059129B"/>
    <w:rsid w:val="0059265F"/>
    <w:rsid w:val="00592835"/>
    <w:rsid w:val="00592AB0"/>
    <w:rsid w:val="00592ED8"/>
    <w:rsid w:val="005938AA"/>
    <w:rsid w:val="00593F2B"/>
    <w:rsid w:val="005941FC"/>
    <w:rsid w:val="0059433C"/>
    <w:rsid w:val="00594384"/>
    <w:rsid w:val="00594E84"/>
    <w:rsid w:val="00595053"/>
    <w:rsid w:val="00595166"/>
    <w:rsid w:val="00595E14"/>
    <w:rsid w:val="00597B44"/>
    <w:rsid w:val="00597E0E"/>
    <w:rsid w:val="005A07C8"/>
    <w:rsid w:val="005A0F38"/>
    <w:rsid w:val="005A282D"/>
    <w:rsid w:val="005A30F0"/>
    <w:rsid w:val="005A3465"/>
    <w:rsid w:val="005A48B9"/>
    <w:rsid w:val="005A543C"/>
    <w:rsid w:val="005A6C5C"/>
    <w:rsid w:val="005A6EB2"/>
    <w:rsid w:val="005A6F72"/>
    <w:rsid w:val="005A6F93"/>
    <w:rsid w:val="005A7354"/>
    <w:rsid w:val="005A7925"/>
    <w:rsid w:val="005A7D27"/>
    <w:rsid w:val="005B072C"/>
    <w:rsid w:val="005B09CC"/>
    <w:rsid w:val="005B0CF8"/>
    <w:rsid w:val="005B0DB0"/>
    <w:rsid w:val="005B187D"/>
    <w:rsid w:val="005B239C"/>
    <w:rsid w:val="005B2682"/>
    <w:rsid w:val="005B276D"/>
    <w:rsid w:val="005B2994"/>
    <w:rsid w:val="005B2DF9"/>
    <w:rsid w:val="005B3578"/>
    <w:rsid w:val="005B3B98"/>
    <w:rsid w:val="005B3D0B"/>
    <w:rsid w:val="005B3E3F"/>
    <w:rsid w:val="005B4C3F"/>
    <w:rsid w:val="005B4CC8"/>
    <w:rsid w:val="005B53C0"/>
    <w:rsid w:val="005B5475"/>
    <w:rsid w:val="005B55F4"/>
    <w:rsid w:val="005B60F6"/>
    <w:rsid w:val="005B671F"/>
    <w:rsid w:val="005C0281"/>
    <w:rsid w:val="005C0E5D"/>
    <w:rsid w:val="005C1446"/>
    <w:rsid w:val="005C27DF"/>
    <w:rsid w:val="005C2AA2"/>
    <w:rsid w:val="005C36B2"/>
    <w:rsid w:val="005C3EFD"/>
    <w:rsid w:val="005C4F18"/>
    <w:rsid w:val="005C4FB2"/>
    <w:rsid w:val="005C5DDD"/>
    <w:rsid w:val="005C609A"/>
    <w:rsid w:val="005C62B9"/>
    <w:rsid w:val="005C686B"/>
    <w:rsid w:val="005C68DA"/>
    <w:rsid w:val="005C7EBE"/>
    <w:rsid w:val="005D0294"/>
    <w:rsid w:val="005D09D6"/>
    <w:rsid w:val="005D0C24"/>
    <w:rsid w:val="005D118D"/>
    <w:rsid w:val="005D11C8"/>
    <w:rsid w:val="005D424A"/>
    <w:rsid w:val="005D4330"/>
    <w:rsid w:val="005D4B63"/>
    <w:rsid w:val="005D6619"/>
    <w:rsid w:val="005D6785"/>
    <w:rsid w:val="005D6960"/>
    <w:rsid w:val="005D6CB3"/>
    <w:rsid w:val="005D6E19"/>
    <w:rsid w:val="005D7D4B"/>
    <w:rsid w:val="005E017A"/>
    <w:rsid w:val="005E024D"/>
    <w:rsid w:val="005E0400"/>
    <w:rsid w:val="005E0569"/>
    <w:rsid w:val="005E05FB"/>
    <w:rsid w:val="005E0681"/>
    <w:rsid w:val="005E0A2A"/>
    <w:rsid w:val="005E155E"/>
    <w:rsid w:val="005E27D9"/>
    <w:rsid w:val="005E2B9C"/>
    <w:rsid w:val="005E2DC2"/>
    <w:rsid w:val="005E4AC9"/>
    <w:rsid w:val="005E4CCA"/>
    <w:rsid w:val="005E4E08"/>
    <w:rsid w:val="005E5A3B"/>
    <w:rsid w:val="005E5EFD"/>
    <w:rsid w:val="005E630A"/>
    <w:rsid w:val="005E6608"/>
    <w:rsid w:val="005E7376"/>
    <w:rsid w:val="005F058D"/>
    <w:rsid w:val="005F1260"/>
    <w:rsid w:val="005F1420"/>
    <w:rsid w:val="005F1F4A"/>
    <w:rsid w:val="005F3662"/>
    <w:rsid w:val="005F3A42"/>
    <w:rsid w:val="005F3A83"/>
    <w:rsid w:val="005F4CAA"/>
    <w:rsid w:val="005F4D60"/>
    <w:rsid w:val="005F5A68"/>
    <w:rsid w:val="005F5AEA"/>
    <w:rsid w:val="005F67E2"/>
    <w:rsid w:val="005F6C91"/>
    <w:rsid w:val="005F6FE6"/>
    <w:rsid w:val="005F7A7C"/>
    <w:rsid w:val="006007B7"/>
    <w:rsid w:val="006007ED"/>
    <w:rsid w:val="006012BC"/>
    <w:rsid w:val="00601945"/>
    <w:rsid w:val="00602A60"/>
    <w:rsid w:val="006037F5"/>
    <w:rsid w:val="0060392C"/>
    <w:rsid w:val="00603AA0"/>
    <w:rsid w:val="00603C3A"/>
    <w:rsid w:val="00604232"/>
    <w:rsid w:val="0060477D"/>
    <w:rsid w:val="00604B6C"/>
    <w:rsid w:val="00604C25"/>
    <w:rsid w:val="00604FCD"/>
    <w:rsid w:val="00605060"/>
    <w:rsid w:val="0060595D"/>
    <w:rsid w:val="00605E5D"/>
    <w:rsid w:val="0061037B"/>
    <w:rsid w:val="00610389"/>
    <w:rsid w:val="0061038D"/>
    <w:rsid w:val="00610B23"/>
    <w:rsid w:val="00610BE0"/>
    <w:rsid w:val="006111B2"/>
    <w:rsid w:val="00612754"/>
    <w:rsid w:val="006127BF"/>
    <w:rsid w:val="006134A5"/>
    <w:rsid w:val="00615916"/>
    <w:rsid w:val="00615EA7"/>
    <w:rsid w:val="00617351"/>
    <w:rsid w:val="00617483"/>
    <w:rsid w:val="006175E3"/>
    <w:rsid w:val="00617744"/>
    <w:rsid w:val="00617C5B"/>
    <w:rsid w:val="00620193"/>
    <w:rsid w:val="0062032E"/>
    <w:rsid w:val="0062154F"/>
    <w:rsid w:val="00621590"/>
    <w:rsid w:val="006217FB"/>
    <w:rsid w:val="00621C42"/>
    <w:rsid w:val="006224AC"/>
    <w:rsid w:val="00622659"/>
    <w:rsid w:val="006228C8"/>
    <w:rsid w:val="00622CCD"/>
    <w:rsid w:val="006241A6"/>
    <w:rsid w:val="006244DE"/>
    <w:rsid w:val="00625062"/>
    <w:rsid w:val="0062535F"/>
    <w:rsid w:val="0062552A"/>
    <w:rsid w:val="0062577D"/>
    <w:rsid w:val="00625871"/>
    <w:rsid w:val="00625E98"/>
    <w:rsid w:val="00625F9B"/>
    <w:rsid w:val="00626CF4"/>
    <w:rsid w:val="00626F7A"/>
    <w:rsid w:val="00626F85"/>
    <w:rsid w:val="0062777D"/>
    <w:rsid w:val="00627795"/>
    <w:rsid w:val="00630ACC"/>
    <w:rsid w:val="00631014"/>
    <w:rsid w:val="0063130B"/>
    <w:rsid w:val="00631CE9"/>
    <w:rsid w:val="00632033"/>
    <w:rsid w:val="00632F97"/>
    <w:rsid w:val="006340EF"/>
    <w:rsid w:val="00634832"/>
    <w:rsid w:val="0063485A"/>
    <w:rsid w:val="006348FC"/>
    <w:rsid w:val="00635492"/>
    <w:rsid w:val="006356F5"/>
    <w:rsid w:val="00635707"/>
    <w:rsid w:val="00635B82"/>
    <w:rsid w:val="0063626D"/>
    <w:rsid w:val="00636332"/>
    <w:rsid w:val="006366F8"/>
    <w:rsid w:val="00637B22"/>
    <w:rsid w:val="00637D76"/>
    <w:rsid w:val="0064043C"/>
    <w:rsid w:val="00640511"/>
    <w:rsid w:val="00640704"/>
    <w:rsid w:val="00640823"/>
    <w:rsid w:val="00640A8C"/>
    <w:rsid w:val="00641CA6"/>
    <w:rsid w:val="00642A38"/>
    <w:rsid w:val="00642B27"/>
    <w:rsid w:val="00642E6F"/>
    <w:rsid w:val="006437F6"/>
    <w:rsid w:val="0064441E"/>
    <w:rsid w:val="0064577F"/>
    <w:rsid w:val="00645CC9"/>
    <w:rsid w:val="00646485"/>
    <w:rsid w:val="0064774B"/>
    <w:rsid w:val="006478F9"/>
    <w:rsid w:val="006504C0"/>
    <w:rsid w:val="006505CF"/>
    <w:rsid w:val="006510A2"/>
    <w:rsid w:val="00652056"/>
    <w:rsid w:val="0065429B"/>
    <w:rsid w:val="006548FE"/>
    <w:rsid w:val="0065645C"/>
    <w:rsid w:val="006571C0"/>
    <w:rsid w:val="006577BB"/>
    <w:rsid w:val="00657DCE"/>
    <w:rsid w:val="00660200"/>
    <w:rsid w:val="00660897"/>
    <w:rsid w:val="00660FF8"/>
    <w:rsid w:val="0066274D"/>
    <w:rsid w:val="00662B53"/>
    <w:rsid w:val="00662C4B"/>
    <w:rsid w:val="00662C8C"/>
    <w:rsid w:val="006634AA"/>
    <w:rsid w:val="006636F5"/>
    <w:rsid w:val="00664932"/>
    <w:rsid w:val="006651C1"/>
    <w:rsid w:val="00665746"/>
    <w:rsid w:val="00665D61"/>
    <w:rsid w:val="00666165"/>
    <w:rsid w:val="00666C99"/>
    <w:rsid w:val="006673E2"/>
    <w:rsid w:val="0066741C"/>
    <w:rsid w:val="006679C7"/>
    <w:rsid w:val="00667AA8"/>
    <w:rsid w:val="00667E37"/>
    <w:rsid w:val="0067004C"/>
    <w:rsid w:val="00670713"/>
    <w:rsid w:val="006711DA"/>
    <w:rsid w:val="00671514"/>
    <w:rsid w:val="00671B61"/>
    <w:rsid w:val="00672CCF"/>
    <w:rsid w:val="0067328D"/>
    <w:rsid w:val="006734C8"/>
    <w:rsid w:val="00673881"/>
    <w:rsid w:val="00673FC9"/>
    <w:rsid w:val="006754D5"/>
    <w:rsid w:val="0067585A"/>
    <w:rsid w:val="00675AE9"/>
    <w:rsid w:val="0067682C"/>
    <w:rsid w:val="0067686C"/>
    <w:rsid w:val="00680985"/>
    <w:rsid w:val="006819A3"/>
    <w:rsid w:val="00682775"/>
    <w:rsid w:val="00683A27"/>
    <w:rsid w:val="00683E6D"/>
    <w:rsid w:val="0068498D"/>
    <w:rsid w:val="00685C31"/>
    <w:rsid w:val="006861DD"/>
    <w:rsid w:val="00686662"/>
    <w:rsid w:val="00686A65"/>
    <w:rsid w:val="00687870"/>
    <w:rsid w:val="00687F00"/>
    <w:rsid w:val="0069062E"/>
    <w:rsid w:val="00690EDF"/>
    <w:rsid w:val="006913DB"/>
    <w:rsid w:val="006917FA"/>
    <w:rsid w:val="0069301E"/>
    <w:rsid w:val="00693D67"/>
    <w:rsid w:val="00694D54"/>
    <w:rsid w:val="006956DF"/>
    <w:rsid w:val="006969D6"/>
    <w:rsid w:val="0069705E"/>
    <w:rsid w:val="006974FC"/>
    <w:rsid w:val="00697686"/>
    <w:rsid w:val="006A03EC"/>
    <w:rsid w:val="006A06D4"/>
    <w:rsid w:val="006A0ECD"/>
    <w:rsid w:val="006A1004"/>
    <w:rsid w:val="006A1172"/>
    <w:rsid w:val="006A1CC8"/>
    <w:rsid w:val="006A20DF"/>
    <w:rsid w:val="006A360B"/>
    <w:rsid w:val="006A4675"/>
    <w:rsid w:val="006A4B7F"/>
    <w:rsid w:val="006A4D86"/>
    <w:rsid w:val="006A642F"/>
    <w:rsid w:val="006A6BB7"/>
    <w:rsid w:val="006A6F26"/>
    <w:rsid w:val="006A7610"/>
    <w:rsid w:val="006B1404"/>
    <w:rsid w:val="006B1753"/>
    <w:rsid w:val="006B20F3"/>
    <w:rsid w:val="006B2124"/>
    <w:rsid w:val="006B2B00"/>
    <w:rsid w:val="006B2B44"/>
    <w:rsid w:val="006B30F4"/>
    <w:rsid w:val="006B3505"/>
    <w:rsid w:val="006B3ED7"/>
    <w:rsid w:val="006B3F3A"/>
    <w:rsid w:val="006B40CE"/>
    <w:rsid w:val="006B43E1"/>
    <w:rsid w:val="006B4448"/>
    <w:rsid w:val="006B463D"/>
    <w:rsid w:val="006B47CB"/>
    <w:rsid w:val="006B676F"/>
    <w:rsid w:val="006C00EB"/>
    <w:rsid w:val="006C023A"/>
    <w:rsid w:val="006C0BDB"/>
    <w:rsid w:val="006C2586"/>
    <w:rsid w:val="006C2744"/>
    <w:rsid w:val="006C28D5"/>
    <w:rsid w:val="006C2ED5"/>
    <w:rsid w:val="006C32BC"/>
    <w:rsid w:val="006C3711"/>
    <w:rsid w:val="006C3B04"/>
    <w:rsid w:val="006C3BAB"/>
    <w:rsid w:val="006C4136"/>
    <w:rsid w:val="006C45CD"/>
    <w:rsid w:val="006C4A96"/>
    <w:rsid w:val="006C4B77"/>
    <w:rsid w:val="006C4CB9"/>
    <w:rsid w:val="006C5D60"/>
    <w:rsid w:val="006C657E"/>
    <w:rsid w:val="006C65CF"/>
    <w:rsid w:val="006C7B58"/>
    <w:rsid w:val="006C7BF1"/>
    <w:rsid w:val="006D0839"/>
    <w:rsid w:val="006D0D06"/>
    <w:rsid w:val="006D14EE"/>
    <w:rsid w:val="006D1700"/>
    <w:rsid w:val="006D2A83"/>
    <w:rsid w:val="006D3073"/>
    <w:rsid w:val="006D44D6"/>
    <w:rsid w:val="006D44F6"/>
    <w:rsid w:val="006D4C00"/>
    <w:rsid w:val="006D4E12"/>
    <w:rsid w:val="006D578C"/>
    <w:rsid w:val="006D6CF1"/>
    <w:rsid w:val="006D6E3A"/>
    <w:rsid w:val="006D7EB3"/>
    <w:rsid w:val="006E02D7"/>
    <w:rsid w:val="006E0516"/>
    <w:rsid w:val="006E11AB"/>
    <w:rsid w:val="006E1539"/>
    <w:rsid w:val="006E1989"/>
    <w:rsid w:val="006E1DCE"/>
    <w:rsid w:val="006E29CB"/>
    <w:rsid w:val="006E2EC9"/>
    <w:rsid w:val="006E3724"/>
    <w:rsid w:val="006E5C58"/>
    <w:rsid w:val="006E67C9"/>
    <w:rsid w:val="006E6E71"/>
    <w:rsid w:val="006E7790"/>
    <w:rsid w:val="006E7C23"/>
    <w:rsid w:val="006F0BF7"/>
    <w:rsid w:val="006F0C79"/>
    <w:rsid w:val="006F0CEE"/>
    <w:rsid w:val="006F0DF0"/>
    <w:rsid w:val="006F122D"/>
    <w:rsid w:val="006F12E2"/>
    <w:rsid w:val="006F2842"/>
    <w:rsid w:val="006F2959"/>
    <w:rsid w:val="006F2D39"/>
    <w:rsid w:val="006F2D3D"/>
    <w:rsid w:val="006F395E"/>
    <w:rsid w:val="006F3B20"/>
    <w:rsid w:val="006F3B74"/>
    <w:rsid w:val="006F3E9E"/>
    <w:rsid w:val="006F4317"/>
    <w:rsid w:val="006F4DFC"/>
    <w:rsid w:val="006F53EF"/>
    <w:rsid w:val="006F5512"/>
    <w:rsid w:val="006F5F3B"/>
    <w:rsid w:val="006F6738"/>
    <w:rsid w:val="00700803"/>
    <w:rsid w:val="00700817"/>
    <w:rsid w:val="00700C7E"/>
    <w:rsid w:val="00700F62"/>
    <w:rsid w:val="007022F3"/>
    <w:rsid w:val="00702A1E"/>
    <w:rsid w:val="00702B2E"/>
    <w:rsid w:val="00704828"/>
    <w:rsid w:val="00704F61"/>
    <w:rsid w:val="00704FA9"/>
    <w:rsid w:val="00705EF3"/>
    <w:rsid w:val="00706651"/>
    <w:rsid w:val="00706A35"/>
    <w:rsid w:val="00706BB7"/>
    <w:rsid w:val="007070D5"/>
    <w:rsid w:val="007104D4"/>
    <w:rsid w:val="00710854"/>
    <w:rsid w:val="007120DF"/>
    <w:rsid w:val="0071243C"/>
    <w:rsid w:val="00712A6F"/>
    <w:rsid w:val="00712F76"/>
    <w:rsid w:val="007131DD"/>
    <w:rsid w:val="007140FA"/>
    <w:rsid w:val="007157A0"/>
    <w:rsid w:val="007159CA"/>
    <w:rsid w:val="00716057"/>
    <w:rsid w:val="007164DB"/>
    <w:rsid w:val="00716764"/>
    <w:rsid w:val="00716825"/>
    <w:rsid w:val="00720964"/>
    <w:rsid w:val="007212D3"/>
    <w:rsid w:val="00722E18"/>
    <w:rsid w:val="007259D6"/>
    <w:rsid w:val="00731BA9"/>
    <w:rsid w:val="00731D79"/>
    <w:rsid w:val="0073281C"/>
    <w:rsid w:val="00732908"/>
    <w:rsid w:val="00732FEC"/>
    <w:rsid w:val="00733083"/>
    <w:rsid w:val="00733287"/>
    <w:rsid w:val="007339B6"/>
    <w:rsid w:val="00733AC3"/>
    <w:rsid w:val="00733AC5"/>
    <w:rsid w:val="00733B50"/>
    <w:rsid w:val="0073462A"/>
    <w:rsid w:val="007367A0"/>
    <w:rsid w:val="007372DD"/>
    <w:rsid w:val="00737866"/>
    <w:rsid w:val="007402A1"/>
    <w:rsid w:val="0074059D"/>
    <w:rsid w:val="00740BAA"/>
    <w:rsid w:val="00741442"/>
    <w:rsid w:val="00741ECE"/>
    <w:rsid w:val="00743D86"/>
    <w:rsid w:val="00744025"/>
    <w:rsid w:val="0074434B"/>
    <w:rsid w:val="00744D7B"/>
    <w:rsid w:val="00745CDD"/>
    <w:rsid w:val="00746A3A"/>
    <w:rsid w:val="0074772B"/>
    <w:rsid w:val="00747D54"/>
    <w:rsid w:val="00750149"/>
    <w:rsid w:val="00752DF7"/>
    <w:rsid w:val="00753995"/>
    <w:rsid w:val="00753C80"/>
    <w:rsid w:val="00755422"/>
    <w:rsid w:val="007556B9"/>
    <w:rsid w:val="00756D58"/>
    <w:rsid w:val="0075730C"/>
    <w:rsid w:val="007578D4"/>
    <w:rsid w:val="0076074A"/>
    <w:rsid w:val="007608F4"/>
    <w:rsid w:val="00760B42"/>
    <w:rsid w:val="00760DC5"/>
    <w:rsid w:val="0076140B"/>
    <w:rsid w:val="0076157E"/>
    <w:rsid w:val="00762489"/>
    <w:rsid w:val="007627AB"/>
    <w:rsid w:val="00762A54"/>
    <w:rsid w:val="00762E6B"/>
    <w:rsid w:val="00763045"/>
    <w:rsid w:val="00763121"/>
    <w:rsid w:val="00763A05"/>
    <w:rsid w:val="00764635"/>
    <w:rsid w:val="00764C20"/>
    <w:rsid w:val="00766799"/>
    <w:rsid w:val="00767442"/>
    <w:rsid w:val="0076779C"/>
    <w:rsid w:val="00767DB5"/>
    <w:rsid w:val="00770F56"/>
    <w:rsid w:val="00771072"/>
    <w:rsid w:val="0077159C"/>
    <w:rsid w:val="00771927"/>
    <w:rsid w:val="00771C3C"/>
    <w:rsid w:val="007737BD"/>
    <w:rsid w:val="007743F9"/>
    <w:rsid w:val="007751EE"/>
    <w:rsid w:val="00775613"/>
    <w:rsid w:val="00775A6B"/>
    <w:rsid w:val="007768A1"/>
    <w:rsid w:val="00776BCF"/>
    <w:rsid w:val="00777449"/>
    <w:rsid w:val="00777987"/>
    <w:rsid w:val="00777A35"/>
    <w:rsid w:val="007819B8"/>
    <w:rsid w:val="007823D4"/>
    <w:rsid w:val="0078322A"/>
    <w:rsid w:val="00783351"/>
    <w:rsid w:val="007838C7"/>
    <w:rsid w:val="00783941"/>
    <w:rsid w:val="00783A0B"/>
    <w:rsid w:val="007840C1"/>
    <w:rsid w:val="00785747"/>
    <w:rsid w:val="00786D3E"/>
    <w:rsid w:val="0079041E"/>
    <w:rsid w:val="00790C9E"/>
    <w:rsid w:val="00790CC1"/>
    <w:rsid w:val="00791508"/>
    <w:rsid w:val="00791BAF"/>
    <w:rsid w:val="00792545"/>
    <w:rsid w:val="00793F84"/>
    <w:rsid w:val="007947DB"/>
    <w:rsid w:val="00795A96"/>
    <w:rsid w:val="0079630E"/>
    <w:rsid w:val="00796C49"/>
    <w:rsid w:val="007A0543"/>
    <w:rsid w:val="007A0B34"/>
    <w:rsid w:val="007A152B"/>
    <w:rsid w:val="007A35DB"/>
    <w:rsid w:val="007A3806"/>
    <w:rsid w:val="007A3A68"/>
    <w:rsid w:val="007A57CF"/>
    <w:rsid w:val="007A699A"/>
    <w:rsid w:val="007B008D"/>
    <w:rsid w:val="007B1C61"/>
    <w:rsid w:val="007B1E74"/>
    <w:rsid w:val="007B28A2"/>
    <w:rsid w:val="007B4905"/>
    <w:rsid w:val="007B4A80"/>
    <w:rsid w:val="007B5E33"/>
    <w:rsid w:val="007B64E3"/>
    <w:rsid w:val="007B666E"/>
    <w:rsid w:val="007B6A58"/>
    <w:rsid w:val="007B6DA4"/>
    <w:rsid w:val="007B7915"/>
    <w:rsid w:val="007B7F96"/>
    <w:rsid w:val="007C0705"/>
    <w:rsid w:val="007C087F"/>
    <w:rsid w:val="007C1C7D"/>
    <w:rsid w:val="007C3D09"/>
    <w:rsid w:val="007C4551"/>
    <w:rsid w:val="007C4D40"/>
    <w:rsid w:val="007C6920"/>
    <w:rsid w:val="007C69FE"/>
    <w:rsid w:val="007C6DD9"/>
    <w:rsid w:val="007C6F79"/>
    <w:rsid w:val="007C72C6"/>
    <w:rsid w:val="007D0FF3"/>
    <w:rsid w:val="007D20B2"/>
    <w:rsid w:val="007D24D0"/>
    <w:rsid w:val="007D2A92"/>
    <w:rsid w:val="007D3672"/>
    <w:rsid w:val="007D36A8"/>
    <w:rsid w:val="007D400C"/>
    <w:rsid w:val="007D41B3"/>
    <w:rsid w:val="007D48B2"/>
    <w:rsid w:val="007D5EC5"/>
    <w:rsid w:val="007D6555"/>
    <w:rsid w:val="007D67D9"/>
    <w:rsid w:val="007D7600"/>
    <w:rsid w:val="007D7DE2"/>
    <w:rsid w:val="007E0325"/>
    <w:rsid w:val="007E04E4"/>
    <w:rsid w:val="007E0CCE"/>
    <w:rsid w:val="007E132E"/>
    <w:rsid w:val="007E1C40"/>
    <w:rsid w:val="007E3260"/>
    <w:rsid w:val="007E3FC7"/>
    <w:rsid w:val="007E40F5"/>
    <w:rsid w:val="007E4262"/>
    <w:rsid w:val="007E5206"/>
    <w:rsid w:val="007E63B3"/>
    <w:rsid w:val="007E7BEE"/>
    <w:rsid w:val="007E7C0A"/>
    <w:rsid w:val="007F020A"/>
    <w:rsid w:val="007F0341"/>
    <w:rsid w:val="007F0DD3"/>
    <w:rsid w:val="007F15A8"/>
    <w:rsid w:val="007F1605"/>
    <w:rsid w:val="007F17DF"/>
    <w:rsid w:val="007F1CB9"/>
    <w:rsid w:val="007F2176"/>
    <w:rsid w:val="007F24A0"/>
    <w:rsid w:val="007F2848"/>
    <w:rsid w:val="007F2962"/>
    <w:rsid w:val="007F2FD2"/>
    <w:rsid w:val="007F32C9"/>
    <w:rsid w:val="007F3731"/>
    <w:rsid w:val="007F3EE4"/>
    <w:rsid w:val="007F3F70"/>
    <w:rsid w:val="007F4A4A"/>
    <w:rsid w:val="007F4E34"/>
    <w:rsid w:val="007F4E70"/>
    <w:rsid w:val="007F5D4A"/>
    <w:rsid w:val="007F61AA"/>
    <w:rsid w:val="007F6497"/>
    <w:rsid w:val="007F6995"/>
    <w:rsid w:val="007F6F88"/>
    <w:rsid w:val="007F7084"/>
    <w:rsid w:val="008006E4"/>
    <w:rsid w:val="00802288"/>
    <w:rsid w:val="008038D2"/>
    <w:rsid w:val="00803E4C"/>
    <w:rsid w:val="00804D65"/>
    <w:rsid w:val="00805D98"/>
    <w:rsid w:val="008065EB"/>
    <w:rsid w:val="008071FD"/>
    <w:rsid w:val="0081018D"/>
    <w:rsid w:val="00810CBA"/>
    <w:rsid w:val="00810FC6"/>
    <w:rsid w:val="00811852"/>
    <w:rsid w:val="00811A57"/>
    <w:rsid w:val="008121F3"/>
    <w:rsid w:val="00812540"/>
    <w:rsid w:val="00814448"/>
    <w:rsid w:val="00815588"/>
    <w:rsid w:val="008171F7"/>
    <w:rsid w:val="00817364"/>
    <w:rsid w:val="00817488"/>
    <w:rsid w:val="00820674"/>
    <w:rsid w:val="00820771"/>
    <w:rsid w:val="00822175"/>
    <w:rsid w:val="0082281A"/>
    <w:rsid w:val="0082429C"/>
    <w:rsid w:val="008259D2"/>
    <w:rsid w:val="00826371"/>
    <w:rsid w:val="008274A8"/>
    <w:rsid w:val="00827CCE"/>
    <w:rsid w:val="00830058"/>
    <w:rsid w:val="008303B1"/>
    <w:rsid w:val="00830BB0"/>
    <w:rsid w:val="00830F6C"/>
    <w:rsid w:val="00831181"/>
    <w:rsid w:val="0083146B"/>
    <w:rsid w:val="00832125"/>
    <w:rsid w:val="00832586"/>
    <w:rsid w:val="0083307E"/>
    <w:rsid w:val="008330C4"/>
    <w:rsid w:val="008336B7"/>
    <w:rsid w:val="00833828"/>
    <w:rsid w:val="00833EAA"/>
    <w:rsid w:val="00834320"/>
    <w:rsid w:val="008344CE"/>
    <w:rsid w:val="00835018"/>
    <w:rsid w:val="008351D8"/>
    <w:rsid w:val="00835364"/>
    <w:rsid w:val="008364F5"/>
    <w:rsid w:val="0083713A"/>
    <w:rsid w:val="00837889"/>
    <w:rsid w:val="008405E3"/>
    <w:rsid w:val="00840F45"/>
    <w:rsid w:val="00841F4F"/>
    <w:rsid w:val="00842163"/>
    <w:rsid w:val="00842583"/>
    <w:rsid w:val="00842B1B"/>
    <w:rsid w:val="008434BD"/>
    <w:rsid w:val="00843674"/>
    <w:rsid w:val="00843D45"/>
    <w:rsid w:val="0084473A"/>
    <w:rsid w:val="00844CF4"/>
    <w:rsid w:val="00845D24"/>
    <w:rsid w:val="008461E2"/>
    <w:rsid w:val="00847269"/>
    <w:rsid w:val="00847ABF"/>
    <w:rsid w:val="00847E57"/>
    <w:rsid w:val="00850059"/>
    <w:rsid w:val="00850DE7"/>
    <w:rsid w:val="00850E1D"/>
    <w:rsid w:val="00851B97"/>
    <w:rsid w:val="00852BA2"/>
    <w:rsid w:val="008531CE"/>
    <w:rsid w:val="00853246"/>
    <w:rsid w:val="008546FC"/>
    <w:rsid w:val="008548DE"/>
    <w:rsid w:val="00854C99"/>
    <w:rsid w:val="0085641E"/>
    <w:rsid w:val="00856522"/>
    <w:rsid w:val="00856F30"/>
    <w:rsid w:val="008571A2"/>
    <w:rsid w:val="00857452"/>
    <w:rsid w:val="0085761B"/>
    <w:rsid w:val="00861914"/>
    <w:rsid w:val="00861D15"/>
    <w:rsid w:val="00862185"/>
    <w:rsid w:val="008625CF"/>
    <w:rsid w:val="008626C8"/>
    <w:rsid w:val="00863114"/>
    <w:rsid w:val="008632CD"/>
    <w:rsid w:val="00863A82"/>
    <w:rsid w:val="00863B8C"/>
    <w:rsid w:val="00864188"/>
    <w:rsid w:val="00864528"/>
    <w:rsid w:val="0086462A"/>
    <w:rsid w:val="0086479C"/>
    <w:rsid w:val="00867878"/>
    <w:rsid w:val="00867C1B"/>
    <w:rsid w:val="008707F8"/>
    <w:rsid w:val="00870805"/>
    <w:rsid w:val="008726FC"/>
    <w:rsid w:val="00872A80"/>
    <w:rsid w:val="00872FE1"/>
    <w:rsid w:val="0087308D"/>
    <w:rsid w:val="00874045"/>
    <w:rsid w:val="00874E4B"/>
    <w:rsid w:val="00875BA8"/>
    <w:rsid w:val="00876664"/>
    <w:rsid w:val="00876CE7"/>
    <w:rsid w:val="00877B2B"/>
    <w:rsid w:val="00880697"/>
    <w:rsid w:val="008807E8"/>
    <w:rsid w:val="00880B5A"/>
    <w:rsid w:val="00880C92"/>
    <w:rsid w:val="00880F1E"/>
    <w:rsid w:val="008813A8"/>
    <w:rsid w:val="008813D9"/>
    <w:rsid w:val="008815FA"/>
    <w:rsid w:val="00882008"/>
    <w:rsid w:val="0088328A"/>
    <w:rsid w:val="00883713"/>
    <w:rsid w:val="008839F2"/>
    <w:rsid w:val="00884553"/>
    <w:rsid w:val="0088506D"/>
    <w:rsid w:val="008850CC"/>
    <w:rsid w:val="008853B2"/>
    <w:rsid w:val="00886FA3"/>
    <w:rsid w:val="00886FD1"/>
    <w:rsid w:val="00890313"/>
    <w:rsid w:val="00891BEF"/>
    <w:rsid w:val="008927B1"/>
    <w:rsid w:val="008927CD"/>
    <w:rsid w:val="00892AF2"/>
    <w:rsid w:val="00892B16"/>
    <w:rsid w:val="00893A5A"/>
    <w:rsid w:val="00893F66"/>
    <w:rsid w:val="0089483B"/>
    <w:rsid w:val="00895482"/>
    <w:rsid w:val="0089606A"/>
    <w:rsid w:val="008968C8"/>
    <w:rsid w:val="00896DB4"/>
    <w:rsid w:val="00897204"/>
    <w:rsid w:val="008A0427"/>
    <w:rsid w:val="008A0FAB"/>
    <w:rsid w:val="008A1B2A"/>
    <w:rsid w:val="008A2085"/>
    <w:rsid w:val="008A23B0"/>
    <w:rsid w:val="008A24CC"/>
    <w:rsid w:val="008A2B44"/>
    <w:rsid w:val="008A3FF4"/>
    <w:rsid w:val="008A5446"/>
    <w:rsid w:val="008A5A0C"/>
    <w:rsid w:val="008A5B63"/>
    <w:rsid w:val="008A63FC"/>
    <w:rsid w:val="008A6DAF"/>
    <w:rsid w:val="008A6F1C"/>
    <w:rsid w:val="008A7079"/>
    <w:rsid w:val="008A78D9"/>
    <w:rsid w:val="008B035F"/>
    <w:rsid w:val="008B0A9F"/>
    <w:rsid w:val="008B2A4B"/>
    <w:rsid w:val="008B3560"/>
    <w:rsid w:val="008B3FE4"/>
    <w:rsid w:val="008B40E3"/>
    <w:rsid w:val="008B455C"/>
    <w:rsid w:val="008B52D3"/>
    <w:rsid w:val="008B5C93"/>
    <w:rsid w:val="008B60A2"/>
    <w:rsid w:val="008B76F2"/>
    <w:rsid w:val="008C062E"/>
    <w:rsid w:val="008C0FE8"/>
    <w:rsid w:val="008C11F4"/>
    <w:rsid w:val="008C12B5"/>
    <w:rsid w:val="008C1765"/>
    <w:rsid w:val="008C219E"/>
    <w:rsid w:val="008C25E8"/>
    <w:rsid w:val="008C26D2"/>
    <w:rsid w:val="008C26F1"/>
    <w:rsid w:val="008C5624"/>
    <w:rsid w:val="008C57FF"/>
    <w:rsid w:val="008C5A18"/>
    <w:rsid w:val="008C5F76"/>
    <w:rsid w:val="008C695A"/>
    <w:rsid w:val="008C6D23"/>
    <w:rsid w:val="008C6F92"/>
    <w:rsid w:val="008C77A3"/>
    <w:rsid w:val="008C7E4D"/>
    <w:rsid w:val="008D0185"/>
    <w:rsid w:val="008D0D4A"/>
    <w:rsid w:val="008D178F"/>
    <w:rsid w:val="008D1A90"/>
    <w:rsid w:val="008D2367"/>
    <w:rsid w:val="008D26F7"/>
    <w:rsid w:val="008D3387"/>
    <w:rsid w:val="008D3C42"/>
    <w:rsid w:val="008D46D6"/>
    <w:rsid w:val="008D48EE"/>
    <w:rsid w:val="008D57BB"/>
    <w:rsid w:val="008D5BED"/>
    <w:rsid w:val="008D63AB"/>
    <w:rsid w:val="008D655A"/>
    <w:rsid w:val="008E15E6"/>
    <w:rsid w:val="008E176D"/>
    <w:rsid w:val="008E22D2"/>
    <w:rsid w:val="008E22E6"/>
    <w:rsid w:val="008E2C15"/>
    <w:rsid w:val="008E371D"/>
    <w:rsid w:val="008E450D"/>
    <w:rsid w:val="008E4B69"/>
    <w:rsid w:val="008E4E1F"/>
    <w:rsid w:val="008E5098"/>
    <w:rsid w:val="008E55C2"/>
    <w:rsid w:val="008E5648"/>
    <w:rsid w:val="008E5BB6"/>
    <w:rsid w:val="008E5C4F"/>
    <w:rsid w:val="008E6FF3"/>
    <w:rsid w:val="008E753E"/>
    <w:rsid w:val="008F0215"/>
    <w:rsid w:val="008F05E7"/>
    <w:rsid w:val="008F06BC"/>
    <w:rsid w:val="008F08F0"/>
    <w:rsid w:val="008F20C3"/>
    <w:rsid w:val="008F25F6"/>
    <w:rsid w:val="008F2DA2"/>
    <w:rsid w:val="008F36A3"/>
    <w:rsid w:val="008F40F0"/>
    <w:rsid w:val="008F46FF"/>
    <w:rsid w:val="008F5589"/>
    <w:rsid w:val="008F6082"/>
    <w:rsid w:val="008F678A"/>
    <w:rsid w:val="008F7459"/>
    <w:rsid w:val="00900C79"/>
    <w:rsid w:val="009012FD"/>
    <w:rsid w:val="00901976"/>
    <w:rsid w:val="00901A10"/>
    <w:rsid w:val="00901C5A"/>
    <w:rsid w:val="00903790"/>
    <w:rsid w:val="00903CAA"/>
    <w:rsid w:val="00904589"/>
    <w:rsid w:val="009045DD"/>
    <w:rsid w:val="009050D0"/>
    <w:rsid w:val="00905814"/>
    <w:rsid w:val="009063D1"/>
    <w:rsid w:val="00906A58"/>
    <w:rsid w:val="00906DF2"/>
    <w:rsid w:val="009073CF"/>
    <w:rsid w:val="00907515"/>
    <w:rsid w:val="0091063F"/>
    <w:rsid w:val="009111DD"/>
    <w:rsid w:val="00911A92"/>
    <w:rsid w:val="00913EB4"/>
    <w:rsid w:val="009150D3"/>
    <w:rsid w:val="009159A3"/>
    <w:rsid w:val="00915BEF"/>
    <w:rsid w:val="009161E3"/>
    <w:rsid w:val="00916880"/>
    <w:rsid w:val="00916E1B"/>
    <w:rsid w:val="0091701B"/>
    <w:rsid w:val="009178AD"/>
    <w:rsid w:val="009200C7"/>
    <w:rsid w:val="009201A4"/>
    <w:rsid w:val="009203A5"/>
    <w:rsid w:val="0092084B"/>
    <w:rsid w:val="00920BA6"/>
    <w:rsid w:val="00921592"/>
    <w:rsid w:val="009219C1"/>
    <w:rsid w:val="00921BFD"/>
    <w:rsid w:val="00921DF7"/>
    <w:rsid w:val="009234A8"/>
    <w:rsid w:val="00923A68"/>
    <w:rsid w:val="009249AF"/>
    <w:rsid w:val="00924A06"/>
    <w:rsid w:val="00924CF4"/>
    <w:rsid w:val="00925C52"/>
    <w:rsid w:val="00925F6B"/>
    <w:rsid w:val="009260E4"/>
    <w:rsid w:val="009263FE"/>
    <w:rsid w:val="00926FED"/>
    <w:rsid w:val="00927176"/>
    <w:rsid w:val="00927339"/>
    <w:rsid w:val="009278DD"/>
    <w:rsid w:val="00930140"/>
    <w:rsid w:val="00930AEB"/>
    <w:rsid w:val="00931472"/>
    <w:rsid w:val="00931853"/>
    <w:rsid w:val="009320F1"/>
    <w:rsid w:val="00932733"/>
    <w:rsid w:val="00932D5E"/>
    <w:rsid w:val="00933694"/>
    <w:rsid w:val="00933741"/>
    <w:rsid w:val="009343CC"/>
    <w:rsid w:val="00934A98"/>
    <w:rsid w:val="0093500B"/>
    <w:rsid w:val="0093513B"/>
    <w:rsid w:val="009355CA"/>
    <w:rsid w:val="0093596F"/>
    <w:rsid w:val="00935C47"/>
    <w:rsid w:val="00935EE2"/>
    <w:rsid w:val="00936280"/>
    <w:rsid w:val="00936525"/>
    <w:rsid w:val="00940045"/>
    <w:rsid w:val="009401DC"/>
    <w:rsid w:val="00940E49"/>
    <w:rsid w:val="009410B5"/>
    <w:rsid w:val="009410C8"/>
    <w:rsid w:val="00941DEB"/>
    <w:rsid w:val="009439B6"/>
    <w:rsid w:val="0094439B"/>
    <w:rsid w:val="00944C1A"/>
    <w:rsid w:val="00945850"/>
    <w:rsid w:val="00945959"/>
    <w:rsid w:val="00946C87"/>
    <w:rsid w:val="0094707F"/>
    <w:rsid w:val="0094772D"/>
    <w:rsid w:val="009478DC"/>
    <w:rsid w:val="009509E4"/>
    <w:rsid w:val="00950DF6"/>
    <w:rsid w:val="00951709"/>
    <w:rsid w:val="009521DF"/>
    <w:rsid w:val="0095247D"/>
    <w:rsid w:val="00952E74"/>
    <w:rsid w:val="0095372B"/>
    <w:rsid w:val="0095389C"/>
    <w:rsid w:val="009546C5"/>
    <w:rsid w:val="00954DEA"/>
    <w:rsid w:val="00955910"/>
    <w:rsid w:val="009560CC"/>
    <w:rsid w:val="009572C4"/>
    <w:rsid w:val="0095765F"/>
    <w:rsid w:val="009602EC"/>
    <w:rsid w:val="00960B5F"/>
    <w:rsid w:val="00960C0F"/>
    <w:rsid w:val="00960CF1"/>
    <w:rsid w:val="009621BA"/>
    <w:rsid w:val="00962255"/>
    <w:rsid w:val="00962ACF"/>
    <w:rsid w:val="00963A14"/>
    <w:rsid w:val="0096454D"/>
    <w:rsid w:val="00965577"/>
    <w:rsid w:val="009665C1"/>
    <w:rsid w:val="00967206"/>
    <w:rsid w:val="00967331"/>
    <w:rsid w:val="00967674"/>
    <w:rsid w:val="00967C43"/>
    <w:rsid w:val="00967CD1"/>
    <w:rsid w:val="00970A01"/>
    <w:rsid w:val="00971BB9"/>
    <w:rsid w:val="0097235C"/>
    <w:rsid w:val="00972F91"/>
    <w:rsid w:val="00973129"/>
    <w:rsid w:val="009732A6"/>
    <w:rsid w:val="009735AA"/>
    <w:rsid w:val="009737AD"/>
    <w:rsid w:val="00974390"/>
    <w:rsid w:val="009743C0"/>
    <w:rsid w:val="009754D8"/>
    <w:rsid w:val="00975ED4"/>
    <w:rsid w:val="00975FBA"/>
    <w:rsid w:val="009763F7"/>
    <w:rsid w:val="00977220"/>
    <w:rsid w:val="00977CBC"/>
    <w:rsid w:val="00977F66"/>
    <w:rsid w:val="00980728"/>
    <w:rsid w:val="009808DA"/>
    <w:rsid w:val="009819A9"/>
    <w:rsid w:val="00981E07"/>
    <w:rsid w:val="0098200E"/>
    <w:rsid w:val="00982198"/>
    <w:rsid w:val="009822D9"/>
    <w:rsid w:val="00982E37"/>
    <w:rsid w:val="009839B3"/>
    <w:rsid w:val="00984311"/>
    <w:rsid w:val="00984C53"/>
    <w:rsid w:val="00985118"/>
    <w:rsid w:val="009857AF"/>
    <w:rsid w:val="00985809"/>
    <w:rsid w:val="009859AC"/>
    <w:rsid w:val="00985C0F"/>
    <w:rsid w:val="00985F44"/>
    <w:rsid w:val="009861AC"/>
    <w:rsid w:val="009865BA"/>
    <w:rsid w:val="0098725D"/>
    <w:rsid w:val="009873DE"/>
    <w:rsid w:val="00987C1B"/>
    <w:rsid w:val="00990781"/>
    <w:rsid w:val="00991BDD"/>
    <w:rsid w:val="00991C2A"/>
    <w:rsid w:val="009920BD"/>
    <w:rsid w:val="009921CF"/>
    <w:rsid w:val="009921F4"/>
    <w:rsid w:val="009924ED"/>
    <w:rsid w:val="00992A00"/>
    <w:rsid w:val="0099429F"/>
    <w:rsid w:val="00994414"/>
    <w:rsid w:val="00994E41"/>
    <w:rsid w:val="009979BE"/>
    <w:rsid w:val="00997F7C"/>
    <w:rsid w:val="009A0945"/>
    <w:rsid w:val="009A1709"/>
    <w:rsid w:val="009A3731"/>
    <w:rsid w:val="009A3B91"/>
    <w:rsid w:val="009A4DBE"/>
    <w:rsid w:val="009A4E64"/>
    <w:rsid w:val="009A4EF2"/>
    <w:rsid w:val="009A5679"/>
    <w:rsid w:val="009A5AC5"/>
    <w:rsid w:val="009A60CD"/>
    <w:rsid w:val="009A6789"/>
    <w:rsid w:val="009A75B9"/>
    <w:rsid w:val="009A76B9"/>
    <w:rsid w:val="009A7DCE"/>
    <w:rsid w:val="009B0470"/>
    <w:rsid w:val="009B0D01"/>
    <w:rsid w:val="009B10FC"/>
    <w:rsid w:val="009B183A"/>
    <w:rsid w:val="009B1A22"/>
    <w:rsid w:val="009B1B22"/>
    <w:rsid w:val="009B1F46"/>
    <w:rsid w:val="009B2CDB"/>
    <w:rsid w:val="009B3389"/>
    <w:rsid w:val="009B3F28"/>
    <w:rsid w:val="009B4B4E"/>
    <w:rsid w:val="009B4F2E"/>
    <w:rsid w:val="009B552B"/>
    <w:rsid w:val="009B5D40"/>
    <w:rsid w:val="009B6090"/>
    <w:rsid w:val="009B68B7"/>
    <w:rsid w:val="009B69BF"/>
    <w:rsid w:val="009B6A1F"/>
    <w:rsid w:val="009B7939"/>
    <w:rsid w:val="009C0B6B"/>
    <w:rsid w:val="009C1629"/>
    <w:rsid w:val="009C21CE"/>
    <w:rsid w:val="009C3D0A"/>
    <w:rsid w:val="009C3E84"/>
    <w:rsid w:val="009C42A4"/>
    <w:rsid w:val="009C4B16"/>
    <w:rsid w:val="009C4C90"/>
    <w:rsid w:val="009C4CD2"/>
    <w:rsid w:val="009C5087"/>
    <w:rsid w:val="009C5824"/>
    <w:rsid w:val="009C5F25"/>
    <w:rsid w:val="009C6652"/>
    <w:rsid w:val="009C67CD"/>
    <w:rsid w:val="009C6E17"/>
    <w:rsid w:val="009D0696"/>
    <w:rsid w:val="009D0842"/>
    <w:rsid w:val="009D0CCD"/>
    <w:rsid w:val="009D1720"/>
    <w:rsid w:val="009D1C23"/>
    <w:rsid w:val="009D2D3B"/>
    <w:rsid w:val="009D35DF"/>
    <w:rsid w:val="009D3C3B"/>
    <w:rsid w:val="009D4EFC"/>
    <w:rsid w:val="009D55BD"/>
    <w:rsid w:val="009D5600"/>
    <w:rsid w:val="009D5A17"/>
    <w:rsid w:val="009D5B41"/>
    <w:rsid w:val="009D5E55"/>
    <w:rsid w:val="009D66A9"/>
    <w:rsid w:val="009D6D3B"/>
    <w:rsid w:val="009E00DA"/>
    <w:rsid w:val="009E033D"/>
    <w:rsid w:val="009E09E3"/>
    <w:rsid w:val="009E18EE"/>
    <w:rsid w:val="009E1A8D"/>
    <w:rsid w:val="009E1D86"/>
    <w:rsid w:val="009E33A1"/>
    <w:rsid w:val="009E42A6"/>
    <w:rsid w:val="009E4FDE"/>
    <w:rsid w:val="009E582E"/>
    <w:rsid w:val="009E5B16"/>
    <w:rsid w:val="009E66A4"/>
    <w:rsid w:val="009E7C6E"/>
    <w:rsid w:val="009F06BE"/>
    <w:rsid w:val="009F10C2"/>
    <w:rsid w:val="009F10CF"/>
    <w:rsid w:val="009F122E"/>
    <w:rsid w:val="009F1F7B"/>
    <w:rsid w:val="009F2A16"/>
    <w:rsid w:val="009F3178"/>
    <w:rsid w:val="009F3AAA"/>
    <w:rsid w:val="009F3B39"/>
    <w:rsid w:val="009F467E"/>
    <w:rsid w:val="009F4756"/>
    <w:rsid w:val="009F4C81"/>
    <w:rsid w:val="009F5660"/>
    <w:rsid w:val="009F6093"/>
    <w:rsid w:val="009F637A"/>
    <w:rsid w:val="009F7D26"/>
    <w:rsid w:val="00A000E0"/>
    <w:rsid w:val="00A007DF"/>
    <w:rsid w:val="00A00942"/>
    <w:rsid w:val="00A00ABE"/>
    <w:rsid w:val="00A011C4"/>
    <w:rsid w:val="00A01345"/>
    <w:rsid w:val="00A02AB5"/>
    <w:rsid w:val="00A03279"/>
    <w:rsid w:val="00A043EA"/>
    <w:rsid w:val="00A0447B"/>
    <w:rsid w:val="00A04B89"/>
    <w:rsid w:val="00A04C42"/>
    <w:rsid w:val="00A05703"/>
    <w:rsid w:val="00A06C22"/>
    <w:rsid w:val="00A06E8A"/>
    <w:rsid w:val="00A0738B"/>
    <w:rsid w:val="00A0749E"/>
    <w:rsid w:val="00A07E54"/>
    <w:rsid w:val="00A10BD9"/>
    <w:rsid w:val="00A1285E"/>
    <w:rsid w:val="00A137BB"/>
    <w:rsid w:val="00A13E2A"/>
    <w:rsid w:val="00A14D5C"/>
    <w:rsid w:val="00A154AE"/>
    <w:rsid w:val="00A15C7B"/>
    <w:rsid w:val="00A16D5C"/>
    <w:rsid w:val="00A16DC8"/>
    <w:rsid w:val="00A172B2"/>
    <w:rsid w:val="00A176DA"/>
    <w:rsid w:val="00A1771B"/>
    <w:rsid w:val="00A201D6"/>
    <w:rsid w:val="00A213FF"/>
    <w:rsid w:val="00A2262D"/>
    <w:rsid w:val="00A2427F"/>
    <w:rsid w:val="00A245C4"/>
    <w:rsid w:val="00A25300"/>
    <w:rsid w:val="00A25BA4"/>
    <w:rsid w:val="00A26E37"/>
    <w:rsid w:val="00A27661"/>
    <w:rsid w:val="00A2774A"/>
    <w:rsid w:val="00A27A0D"/>
    <w:rsid w:val="00A30326"/>
    <w:rsid w:val="00A303AA"/>
    <w:rsid w:val="00A3045D"/>
    <w:rsid w:val="00A30D37"/>
    <w:rsid w:val="00A31949"/>
    <w:rsid w:val="00A339BF"/>
    <w:rsid w:val="00A340D1"/>
    <w:rsid w:val="00A340F0"/>
    <w:rsid w:val="00A34469"/>
    <w:rsid w:val="00A34764"/>
    <w:rsid w:val="00A35642"/>
    <w:rsid w:val="00A359BC"/>
    <w:rsid w:val="00A35C63"/>
    <w:rsid w:val="00A360A9"/>
    <w:rsid w:val="00A368B6"/>
    <w:rsid w:val="00A36FDD"/>
    <w:rsid w:val="00A374D6"/>
    <w:rsid w:val="00A375C9"/>
    <w:rsid w:val="00A4007D"/>
    <w:rsid w:val="00A4152C"/>
    <w:rsid w:val="00A41BE9"/>
    <w:rsid w:val="00A42559"/>
    <w:rsid w:val="00A43AC5"/>
    <w:rsid w:val="00A43DCA"/>
    <w:rsid w:val="00A44375"/>
    <w:rsid w:val="00A44D7D"/>
    <w:rsid w:val="00A45B96"/>
    <w:rsid w:val="00A47F66"/>
    <w:rsid w:val="00A50CC3"/>
    <w:rsid w:val="00A50F13"/>
    <w:rsid w:val="00A5119F"/>
    <w:rsid w:val="00A51651"/>
    <w:rsid w:val="00A528B7"/>
    <w:rsid w:val="00A52D9D"/>
    <w:rsid w:val="00A53D95"/>
    <w:rsid w:val="00A54549"/>
    <w:rsid w:val="00A54551"/>
    <w:rsid w:val="00A5472D"/>
    <w:rsid w:val="00A5489F"/>
    <w:rsid w:val="00A54E67"/>
    <w:rsid w:val="00A55822"/>
    <w:rsid w:val="00A560FB"/>
    <w:rsid w:val="00A561DD"/>
    <w:rsid w:val="00A574B5"/>
    <w:rsid w:val="00A57918"/>
    <w:rsid w:val="00A60F7C"/>
    <w:rsid w:val="00A62EC0"/>
    <w:rsid w:val="00A631B8"/>
    <w:rsid w:val="00A6361E"/>
    <w:rsid w:val="00A63F5F"/>
    <w:rsid w:val="00A64189"/>
    <w:rsid w:val="00A643DA"/>
    <w:rsid w:val="00A646AA"/>
    <w:rsid w:val="00A64846"/>
    <w:rsid w:val="00A6501B"/>
    <w:rsid w:val="00A65062"/>
    <w:rsid w:val="00A65C42"/>
    <w:rsid w:val="00A65FCC"/>
    <w:rsid w:val="00A6697C"/>
    <w:rsid w:val="00A66C87"/>
    <w:rsid w:val="00A66CC5"/>
    <w:rsid w:val="00A66F62"/>
    <w:rsid w:val="00A67648"/>
    <w:rsid w:val="00A67B7B"/>
    <w:rsid w:val="00A701A7"/>
    <w:rsid w:val="00A71E34"/>
    <w:rsid w:val="00A7281C"/>
    <w:rsid w:val="00A73DBD"/>
    <w:rsid w:val="00A74D68"/>
    <w:rsid w:val="00A75672"/>
    <w:rsid w:val="00A7626B"/>
    <w:rsid w:val="00A76769"/>
    <w:rsid w:val="00A76A34"/>
    <w:rsid w:val="00A771F5"/>
    <w:rsid w:val="00A77D8D"/>
    <w:rsid w:val="00A77E5F"/>
    <w:rsid w:val="00A80F16"/>
    <w:rsid w:val="00A81949"/>
    <w:rsid w:val="00A82322"/>
    <w:rsid w:val="00A8251D"/>
    <w:rsid w:val="00A84621"/>
    <w:rsid w:val="00A84674"/>
    <w:rsid w:val="00A84CFB"/>
    <w:rsid w:val="00A84ECC"/>
    <w:rsid w:val="00A850BE"/>
    <w:rsid w:val="00A8590E"/>
    <w:rsid w:val="00A85DBB"/>
    <w:rsid w:val="00A862C2"/>
    <w:rsid w:val="00A87B67"/>
    <w:rsid w:val="00A87FDC"/>
    <w:rsid w:val="00A906D1"/>
    <w:rsid w:val="00A91C05"/>
    <w:rsid w:val="00A91E13"/>
    <w:rsid w:val="00A91E83"/>
    <w:rsid w:val="00A91EA0"/>
    <w:rsid w:val="00A91FC2"/>
    <w:rsid w:val="00A926BB"/>
    <w:rsid w:val="00A93027"/>
    <w:rsid w:val="00A9508A"/>
    <w:rsid w:val="00A9536A"/>
    <w:rsid w:val="00A95A52"/>
    <w:rsid w:val="00A963D0"/>
    <w:rsid w:val="00A96928"/>
    <w:rsid w:val="00A97097"/>
    <w:rsid w:val="00A97B79"/>
    <w:rsid w:val="00A97D22"/>
    <w:rsid w:val="00AA025F"/>
    <w:rsid w:val="00AA06BE"/>
    <w:rsid w:val="00AA0A61"/>
    <w:rsid w:val="00AA1D49"/>
    <w:rsid w:val="00AA1F2D"/>
    <w:rsid w:val="00AA26A8"/>
    <w:rsid w:val="00AA27F8"/>
    <w:rsid w:val="00AA2A96"/>
    <w:rsid w:val="00AA2CDD"/>
    <w:rsid w:val="00AA2D98"/>
    <w:rsid w:val="00AA469F"/>
    <w:rsid w:val="00AA4A62"/>
    <w:rsid w:val="00AA4BF2"/>
    <w:rsid w:val="00AA5206"/>
    <w:rsid w:val="00AA54A5"/>
    <w:rsid w:val="00AA5E31"/>
    <w:rsid w:val="00AA5EB4"/>
    <w:rsid w:val="00AA67C2"/>
    <w:rsid w:val="00AA6BBD"/>
    <w:rsid w:val="00AA73A0"/>
    <w:rsid w:val="00AB0FC1"/>
    <w:rsid w:val="00AB1770"/>
    <w:rsid w:val="00AB1C64"/>
    <w:rsid w:val="00AB1E85"/>
    <w:rsid w:val="00AB3646"/>
    <w:rsid w:val="00AB36BE"/>
    <w:rsid w:val="00AB3C4B"/>
    <w:rsid w:val="00AB403B"/>
    <w:rsid w:val="00AB4B8A"/>
    <w:rsid w:val="00AB4CB6"/>
    <w:rsid w:val="00AB4E02"/>
    <w:rsid w:val="00AB5458"/>
    <w:rsid w:val="00AB59FC"/>
    <w:rsid w:val="00AB5DF9"/>
    <w:rsid w:val="00AB62E0"/>
    <w:rsid w:val="00AB6A1C"/>
    <w:rsid w:val="00AB7F9C"/>
    <w:rsid w:val="00AC0576"/>
    <w:rsid w:val="00AC10BF"/>
    <w:rsid w:val="00AC1445"/>
    <w:rsid w:val="00AC1A06"/>
    <w:rsid w:val="00AC1E17"/>
    <w:rsid w:val="00AC2676"/>
    <w:rsid w:val="00AC26B7"/>
    <w:rsid w:val="00AC283D"/>
    <w:rsid w:val="00AC2ED1"/>
    <w:rsid w:val="00AC380F"/>
    <w:rsid w:val="00AC4904"/>
    <w:rsid w:val="00AC548C"/>
    <w:rsid w:val="00AC5BE4"/>
    <w:rsid w:val="00AC5C23"/>
    <w:rsid w:val="00AC6E42"/>
    <w:rsid w:val="00AC6EE3"/>
    <w:rsid w:val="00AC760D"/>
    <w:rsid w:val="00AC77CF"/>
    <w:rsid w:val="00AD1723"/>
    <w:rsid w:val="00AD1C60"/>
    <w:rsid w:val="00AD232B"/>
    <w:rsid w:val="00AD26DD"/>
    <w:rsid w:val="00AD36E0"/>
    <w:rsid w:val="00AD3B5F"/>
    <w:rsid w:val="00AD5AE8"/>
    <w:rsid w:val="00AD5DAA"/>
    <w:rsid w:val="00AD6CE3"/>
    <w:rsid w:val="00AD6FA8"/>
    <w:rsid w:val="00AE0565"/>
    <w:rsid w:val="00AE0C37"/>
    <w:rsid w:val="00AE2329"/>
    <w:rsid w:val="00AE328A"/>
    <w:rsid w:val="00AE36D3"/>
    <w:rsid w:val="00AE3AB2"/>
    <w:rsid w:val="00AE45DA"/>
    <w:rsid w:val="00AE4D1A"/>
    <w:rsid w:val="00AE6210"/>
    <w:rsid w:val="00AE63EB"/>
    <w:rsid w:val="00AE670F"/>
    <w:rsid w:val="00AE6C6D"/>
    <w:rsid w:val="00AE759E"/>
    <w:rsid w:val="00AE7CF7"/>
    <w:rsid w:val="00AF0F64"/>
    <w:rsid w:val="00AF1311"/>
    <w:rsid w:val="00AF1372"/>
    <w:rsid w:val="00AF3098"/>
    <w:rsid w:val="00AF3D4F"/>
    <w:rsid w:val="00AF3E41"/>
    <w:rsid w:val="00AF3E93"/>
    <w:rsid w:val="00AF4674"/>
    <w:rsid w:val="00AF5B32"/>
    <w:rsid w:val="00AF5E80"/>
    <w:rsid w:val="00AF7114"/>
    <w:rsid w:val="00AF784A"/>
    <w:rsid w:val="00B01315"/>
    <w:rsid w:val="00B0182C"/>
    <w:rsid w:val="00B022AF"/>
    <w:rsid w:val="00B03833"/>
    <w:rsid w:val="00B04A24"/>
    <w:rsid w:val="00B04C5B"/>
    <w:rsid w:val="00B04D73"/>
    <w:rsid w:val="00B067E4"/>
    <w:rsid w:val="00B10101"/>
    <w:rsid w:val="00B104FE"/>
    <w:rsid w:val="00B10A94"/>
    <w:rsid w:val="00B10C2C"/>
    <w:rsid w:val="00B10DD4"/>
    <w:rsid w:val="00B11A45"/>
    <w:rsid w:val="00B126A4"/>
    <w:rsid w:val="00B12B63"/>
    <w:rsid w:val="00B12ED6"/>
    <w:rsid w:val="00B1306F"/>
    <w:rsid w:val="00B130FE"/>
    <w:rsid w:val="00B13DBF"/>
    <w:rsid w:val="00B141E4"/>
    <w:rsid w:val="00B1430C"/>
    <w:rsid w:val="00B14682"/>
    <w:rsid w:val="00B14C1B"/>
    <w:rsid w:val="00B14D70"/>
    <w:rsid w:val="00B155D5"/>
    <w:rsid w:val="00B15725"/>
    <w:rsid w:val="00B15AC5"/>
    <w:rsid w:val="00B16076"/>
    <w:rsid w:val="00B16792"/>
    <w:rsid w:val="00B167BE"/>
    <w:rsid w:val="00B17003"/>
    <w:rsid w:val="00B20D95"/>
    <w:rsid w:val="00B2113C"/>
    <w:rsid w:val="00B2142C"/>
    <w:rsid w:val="00B22481"/>
    <w:rsid w:val="00B226B9"/>
    <w:rsid w:val="00B22F26"/>
    <w:rsid w:val="00B23207"/>
    <w:rsid w:val="00B24363"/>
    <w:rsid w:val="00B2482E"/>
    <w:rsid w:val="00B254A0"/>
    <w:rsid w:val="00B256C7"/>
    <w:rsid w:val="00B27436"/>
    <w:rsid w:val="00B301D2"/>
    <w:rsid w:val="00B31EDD"/>
    <w:rsid w:val="00B321D5"/>
    <w:rsid w:val="00B32774"/>
    <w:rsid w:val="00B328CD"/>
    <w:rsid w:val="00B32C75"/>
    <w:rsid w:val="00B32D54"/>
    <w:rsid w:val="00B34435"/>
    <w:rsid w:val="00B34CEA"/>
    <w:rsid w:val="00B34D0A"/>
    <w:rsid w:val="00B3616F"/>
    <w:rsid w:val="00B36387"/>
    <w:rsid w:val="00B36409"/>
    <w:rsid w:val="00B36CFB"/>
    <w:rsid w:val="00B36D81"/>
    <w:rsid w:val="00B36DDD"/>
    <w:rsid w:val="00B37D99"/>
    <w:rsid w:val="00B37E77"/>
    <w:rsid w:val="00B37E8B"/>
    <w:rsid w:val="00B40281"/>
    <w:rsid w:val="00B41437"/>
    <w:rsid w:val="00B41535"/>
    <w:rsid w:val="00B43786"/>
    <w:rsid w:val="00B43DEC"/>
    <w:rsid w:val="00B441BB"/>
    <w:rsid w:val="00B44A25"/>
    <w:rsid w:val="00B4507B"/>
    <w:rsid w:val="00B459FC"/>
    <w:rsid w:val="00B45F54"/>
    <w:rsid w:val="00B4645E"/>
    <w:rsid w:val="00B4651C"/>
    <w:rsid w:val="00B4663B"/>
    <w:rsid w:val="00B46A53"/>
    <w:rsid w:val="00B46EB9"/>
    <w:rsid w:val="00B5067D"/>
    <w:rsid w:val="00B51EE3"/>
    <w:rsid w:val="00B524E7"/>
    <w:rsid w:val="00B52631"/>
    <w:rsid w:val="00B528CF"/>
    <w:rsid w:val="00B52F28"/>
    <w:rsid w:val="00B53132"/>
    <w:rsid w:val="00B5362E"/>
    <w:rsid w:val="00B537A7"/>
    <w:rsid w:val="00B537A9"/>
    <w:rsid w:val="00B5381A"/>
    <w:rsid w:val="00B53A7B"/>
    <w:rsid w:val="00B53B2E"/>
    <w:rsid w:val="00B53BC1"/>
    <w:rsid w:val="00B542FA"/>
    <w:rsid w:val="00B544F8"/>
    <w:rsid w:val="00B546C0"/>
    <w:rsid w:val="00B548C5"/>
    <w:rsid w:val="00B55233"/>
    <w:rsid w:val="00B55578"/>
    <w:rsid w:val="00B56369"/>
    <w:rsid w:val="00B57E0C"/>
    <w:rsid w:val="00B6062F"/>
    <w:rsid w:val="00B612E1"/>
    <w:rsid w:val="00B62137"/>
    <w:rsid w:val="00B625D9"/>
    <w:rsid w:val="00B62709"/>
    <w:rsid w:val="00B631C5"/>
    <w:rsid w:val="00B632FB"/>
    <w:rsid w:val="00B640A6"/>
    <w:rsid w:val="00B655CE"/>
    <w:rsid w:val="00B66D4A"/>
    <w:rsid w:val="00B673DD"/>
    <w:rsid w:val="00B6747D"/>
    <w:rsid w:val="00B67B4D"/>
    <w:rsid w:val="00B702B2"/>
    <w:rsid w:val="00B70966"/>
    <w:rsid w:val="00B70ABD"/>
    <w:rsid w:val="00B71460"/>
    <w:rsid w:val="00B7190A"/>
    <w:rsid w:val="00B71A2C"/>
    <w:rsid w:val="00B72373"/>
    <w:rsid w:val="00B7270C"/>
    <w:rsid w:val="00B72719"/>
    <w:rsid w:val="00B72778"/>
    <w:rsid w:val="00B729EC"/>
    <w:rsid w:val="00B73119"/>
    <w:rsid w:val="00B7389D"/>
    <w:rsid w:val="00B73B2A"/>
    <w:rsid w:val="00B755DF"/>
    <w:rsid w:val="00B8085F"/>
    <w:rsid w:val="00B80E0C"/>
    <w:rsid w:val="00B818A6"/>
    <w:rsid w:val="00B81C04"/>
    <w:rsid w:val="00B81D13"/>
    <w:rsid w:val="00B827EE"/>
    <w:rsid w:val="00B829C9"/>
    <w:rsid w:val="00B82A3A"/>
    <w:rsid w:val="00B834E4"/>
    <w:rsid w:val="00B83695"/>
    <w:rsid w:val="00B837ED"/>
    <w:rsid w:val="00B8382B"/>
    <w:rsid w:val="00B848D1"/>
    <w:rsid w:val="00B8500D"/>
    <w:rsid w:val="00B850F7"/>
    <w:rsid w:val="00B85305"/>
    <w:rsid w:val="00B853B7"/>
    <w:rsid w:val="00B85F3A"/>
    <w:rsid w:val="00B8603F"/>
    <w:rsid w:val="00B86CE1"/>
    <w:rsid w:val="00B87506"/>
    <w:rsid w:val="00B876D2"/>
    <w:rsid w:val="00B87EC3"/>
    <w:rsid w:val="00B90C1B"/>
    <w:rsid w:val="00B910C7"/>
    <w:rsid w:val="00B91265"/>
    <w:rsid w:val="00B91909"/>
    <w:rsid w:val="00B91D4C"/>
    <w:rsid w:val="00B923CC"/>
    <w:rsid w:val="00B92A56"/>
    <w:rsid w:val="00B93D50"/>
    <w:rsid w:val="00B93E50"/>
    <w:rsid w:val="00B93F69"/>
    <w:rsid w:val="00B94399"/>
    <w:rsid w:val="00B943F5"/>
    <w:rsid w:val="00B9621A"/>
    <w:rsid w:val="00B96E49"/>
    <w:rsid w:val="00B9713B"/>
    <w:rsid w:val="00B97713"/>
    <w:rsid w:val="00BA014D"/>
    <w:rsid w:val="00BA0EC7"/>
    <w:rsid w:val="00BA146F"/>
    <w:rsid w:val="00BA21FD"/>
    <w:rsid w:val="00BA2AD8"/>
    <w:rsid w:val="00BA2CA3"/>
    <w:rsid w:val="00BA2DE2"/>
    <w:rsid w:val="00BA3643"/>
    <w:rsid w:val="00BA3BEC"/>
    <w:rsid w:val="00BA62DF"/>
    <w:rsid w:val="00BB00E4"/>
    <w:rsid w:val="00BB0412"/>
    <w:rsid w:val="00BB0521"/>
    <w:rsid w:val="00BB08FA"/>
    <w:rsid w:val="00BB0AA1"/>
    <w:rsid w:val="00BB0EB4"/>
    <w:rsid w:val="00BB0F3F"/>
    <w:rsid w:val="00BB154F"/>
    <w:rsid w:val="00BB28E7"/>
    <w:rsid w:val="00BB2EFA"/>
    <w:rsid w:val="00BB3A4D"/>
    <w:rsid w:val="00BB449B"/>
    <w:rsid w:val="00BB5777"/>
    <w:rsid w:val="00BB5833"/>
    <w:rsid w:val="00BB7290"/>
    <w:rsid w:val="00BC1150"/>
    <w:rsid w:val="00BC1182"/>
    <w:rsid w:val="00BC3198"/>
    <w:rsid w:val="00BC3EDB"/>
    <w:rsid w:val="00BC4CF7"/>
    <w:rsid w:val="00BC6FCF"/>
    <w:rsid w:val="00BC748A"/>
    <w:rsid w:val="00BD16EA"/>
    <w:rsid w:val="00BD1F3F"/>
    <w:rsid w:val="00BD25BA"/>
    <w:rsid w:val="00BD3712"/>
    <w:rsid w:val="00BD43B1"/>
    <w:rsid w:val="00BD4735"/>
    <w:rsid w:val="00BD49FD"/>
    <w:rsid w:val="00BD4DD9"/>
    <w:rsid w:val="00BD5B01"/>
    <w:rsid w:val="00BD741F"/>
    <w:rsid w:val="00BD7D02"/>
    <w:rsid w:val="00BD7FC5"/>
    <w:rsid w:val="00BE173C"/>
    <w:rsid w:val="00BE1AC4"/>
    <w:rsid w:val="00BE1ED0"/>
    <w:rsid w:val="00BE3ABF"/>
    <w:rsid w:val="00BE49ED"/>
    <w:rsid w:val="00BE4C94"/>
    <w:rsid w:val="00BE4E4A"/>
    <w:rsid w:val="00BE4FB4"/>
    <w:rsid w:val="00BE5394"/>
    <w:rsid w:val="00BE61F3"/>
    <w:rsid w:val="00BE642E"/>
    <w:rsid w:val="00BF03F8"/>
    <w:rsid w:val="00BF1A9A"/>
    <w:rsid w:val="00BF1FA4"/>
    <w:rsid w:val="00BF2FAD"/>
    <w:rsid w:val="00BF3AAD"/>
    <w:rsid w:val="00BF4D06"/>
    <w:rsid w:val="00BF51B5"/>
    <w:rsid w:val="00BF5D2A"/>
    <w:rsid w:val="00BF66C1"/>
    <w:rsid w:val="00BF691D"/>
    <w:rsid w:val="00BF787E"/>
    <w:rsid w:val="00BF7A15"/>
    <w:rsid w:val="00BF7BE6"/>
    <w:rsid w:val="00BF7C38"/>
    <w:rsid w:val="00BF7CA4"/>
    <w:rsid w:val="00BF7F1B"/>
    <w:rsid w:val="00C0047C"/>
    <w:rsid w:val="00C00521"/>
    <w:rsid w:val="00C012CA"/>
    <w:rsid w:val="00C018BE"/>
    <w:rsid w:val="00C024E7"/>
    <w:rsid w:val="00C025D8"/>
    <w:rsid w:val="00C02706"/>
    <w:rsid w:val="00C02E39"/>
    <w:rsid w:val="00C03063"/>
    <w:rsid w:val="00C03126"/>
    <w:rsid w:val="00C03B74"/>
    <w:rsid w:val="00C03C30"/>
    <w:rsid w:val="00C044B6"/>
    <w:rsid w:val="00C0476E"/>
    <w:rsid w:val="00C047A6"/>
    <w:rsid w:val="00C065B9"/>
    <w:rsid w:val="00C07789"/>
    <w:rsid w:val="00C077B7"/>
    <w:rsid w:val="00C07C05"/>
    <w:rsid w:val="00C10F88"/>
    <w:rsid w:val="00C113DF"/>
    <w:rsid w:val="00C129F7"/>
    <w:rsid w:val="00C1309A"/>
    <w:rsid w:val="00C130B0"/>
    <w:rsid w:val="00C13118"/>
    <w:rsid w:val="00C13333"/>
    <w:rsid w:val="00C1389E"/>
    <w:rsid w:val="00C1452C"/>
    <w:rsid w:val="00C15331"/>
    <w:rsid w:val="00C1633C"/>
    <w:rsid w:val="00C16E2E"/>
    <w:rsid w:val="00C17311"/>
    <w:rsid w:val="00C17D8A"/>
    <w:rsid w:val="00C20F3D"/>
    <w:rsid w:val="00C218CB"/>
    <w:rsid w:val="00C2205E"/>
    <w:rsid w:val="00C22742"/>
    <w:rsid w:val="00C235EA"/>
    <w:rsid w:val="00C24240"/>
    <w:rsid w:val="00C25D5B"/>
    <w:rsid w:val="00C2606F"/>
    <w:rsid w:val="00C26150"/>
    <w:rsid w:val="00C26FD4"/>
    <w:rsid w:val="00C279C3"/>
    <w:rsid w:val="00C279D0"/>
    <w:rsid w:val="00C27ED9"/>
    <w:rsid w:val="00C30F2B"/>
    <w:rsid w:val="00C31052"/>
    <w:rsid w:val="00C31B21"/>
    <w:rsid w:val="00C330F5"/>
    <w:rsid w:val="00C3326D"/>
    <w:rsid w:val="00C34516"/>
    <w:rsid w:val="00C34531"/>
    <w:rsid w:val="00C34CDD"/>
    <w:rsid w:val="00C3513D"/>
    <w:rsid w:val="00C361FF"/>
    <w:rsid w:val="00C36253"/>
    <w:rsid w:val="00C36B50"/>
    <w:rsid w:val="00C36B86"/>
    <w:rsid w:val="00C36E0C"/>
    <w:rsid w:val="00C36FE7"/>
    <w:rsid w:val="00C372B2"/>
    <w:rsid w:val="00C404EF"/>
    <w:rsid w:val="00C4068F"/>
    <w:rsid w:val="00C40D16"/>
    <w:rsid w:val="00C42343"/>
    <w:rsid w:val="00C42402"/>
    <w:rsid w:val="00C43872"/>
    <w:rsid w:val="00C45589"/>
    <w:rsid w:val="00C458B4"/>
    <w:rsid w:val="00C45B6F"/>
    <w:rsid w:val="00C45F3C"/>
    <w:rsid w:val="00C46232"/>
    <w:rsid w:val="00C463A6"/>
    <w:rsid w:val="00C47992"/>
    <w:rsid w:val="00C5084E"/>
    <w:rsid w:val="00C510CD"/>
    <w:rsid w:val="00C5161D"/>
    <w:rsid w:val="00C51D22"/>
    <w:rsid w:val="00C51D51"/>
    <w:rsid w:val="00C527A9"/>
    <w:rsid w:val="00C52A79"/>
    <w:rsid w:val="00C52AC6"/>
    <w:rsid w:val="00C52B2D"/>
    <w:rsid w:val="00C53118"/>
    <w:rsid w:val="00C53145"/>
    <w:rsid w:val="00C538FE"/>
    <w:rsid w:val="00C544A7"/>
    <w:rsid w:val="00C54BF7"/>
    <w:rsid w:val="00C55525"/>
    <w:rsid w:val="00C559E3"/>
    <w:rsid w:val="00C5624D"/>
    <w:rsid w:val="00C56AD9"/>
    <w:rsid w:val="00C57195"/>
    <w:rsid w:val="00C572A7"/>
    <w:rsid w:val="00C60000"/>
    <w:rsid w:val="00C607DB"/>
    <w:rsid w:val="00C608BE"/>
    <w:rsid w:val="00C61635"/>
    <w:rsid w:val="00C61E86"/>
    <w:rsid w:val="00C6214B"/>
    <w:rsid w:val="00C624E0"/>
    <w:rsid w:val="00C636DF"/>
    <w:rsid w:val="00C63D5F"/>
    <w:rsid w:val="00C63DD4"/>
    <w:rsid w:val="00C63EA5"/>
    <w:rsid w:val="00C6452B"/>
    <w:rsid w:val="00C66479"/>
    <w:rsid w:val="00C66CDA"/>
    <w:rsid w:val="00C66DC0"/>
    <w:rsid w:val="00C66F1D"/>
    <w:rsid w:val="00C6716E"/>
    <w:rsid w:val="00C67AA1"/>
    <w:rsid w:val="00C67EB5"/>
    <w:rsid w:val="00C70453"/>
    <w:rsid w:val="00C711D1"/>
    <w:rsid w:val="00C72756"/>
    <w:rsid w:val="00C72BC8"/>
    <w:rsid w:val="00C72CA5"/>
    <w:rsid w:val="00C733EB"/>
    <w:rsid w:val="00C73993"/>
    <w:rsid w:val="00C7495F"/>
    <w:rsid w:val="00C7584B"/>
    <w:rsid w:val="00C758B7"/>
    <w:rsid w:val="00C75FA0"/>
    <w:rsid w:val="00C770CF"/>
    <w:rsid w:val="00C771C5"/>
    <w:rsid w:val="00C773E8"/>
    <w:rsid w:val="00C80234"/>
    <w:rsid w:val="00C8149E"/>
    <w:rsid w:val="00C81B94"/>
    <w:rsid w:val="00C822CC"/>
    <w:rsid w:val="00C828EB"/>
    <w:rsid w:val="00C82BB5"/>
    <w:rsid w:val="00C82D92"/>
    <w:rsid w:val="00C82EB3"/>
    <w:rsid w:val="00C85028"/>
    <w:rsid w:val="00C85134"/>
    <w:rsid w:val="00C878EC"/>
    <w:rsid w:val="00C90961"/>
    <w:rsid w:val="00C919EF"/>
    <w:rsid w:val="00C92FD5"/>
    <w:rsid w:val="00C93193"/>
    <w:rsid w:val="00C93887"/>
    <w:rsid w:val="00C93E76"/>
    <w:rsid w:val="00C94E8C"/>
    <w:rsid w:val="00C97A69"/>
    <w:rsid w:val="00C97D60"/>
    <w:rsid w:val="00CA0094"/>
    <w:rsid w:val="00CA0786"/>
    <w:rsid w:val="00CA1805"/>
    <w:rsid w:val="00CA181C"/>
    <w:rsid w:val="00CA1F29"/>
    <w:rsid w:val="00CA4047"/>
    <w:rsid w:val="00CA4224"/>
    <w:rsid w:val="00CA4247"/>
    <w:rsid w:val="00CA587F"/>
    <w:rsid w:val="00CA5AC8"/>
    <w:rsid w:val="00CA60AE"/>
    <w:rsid w:val="00CA60BA"/>
    <w:rsid w:val="00CA61EB"/>
    <w:rsid w:val="00CA6E5A"/>
    <w:rsid w:val="00CA6F15"/>
    <w:rsid w:val="00CB071C"/>
    <w:rsid w:val="00CB16D8"/>
    <w:rsid w:val="00CB2469"/>
    <w:rsid w:val="00CB2A52"/>
    <w:rsid w:val="00CB2CAD"/>
    <w:rsid w:val="00CB44D7"/>
    <w:rsid w:val="00CB4DF4"/>
    <w:rsid w:val="00CB5057"/>
    <w:rsid w:val="00CB664D"/>
    <w:rsid w:val="00CB6BC4"/>
    <w:rsid w:val="00CB6FAD"/>
    <w:rsid w:val="00CB7381"/>
    <w:rsid w:val="00CB739F"/>
    <w:rsid w:val="00CC0030"/>
    <w:rsid w:val="00CC0279"/>
    <w:rsid w:val="00CC036B"/>
    <w:rsid w:val="00CC0A33"/>
    <w:rsid w:val="00CC2BA9"/>
    <w:rsid w:val="00CC3446"/>
    <w:rsid w:val="00CC35AE"/>
    <w:rsid w:val="00CC3C69"/>
    <w:rsid w:val="00CC3DA2"/>
    <w:rsid w:val="00CC4589"/>
    <w:rsid w:val="00CC45E2"/>
    <w:rsid w:val="00CC4D2A"/>
    <w:rsid w:val="00CC53AE"/>
    <w:rsid w:val="00CC55B1"/>
    <w:rsid w:val="00CC64E9"/>
    <w:rsid w:val="00CC77B4"/>
    <w:rsid w:val="00CD07F6"/>
    <w:rsid w:val="00CD1862"/>
    <w:rsid w:val="00CD193B"/>
    <w:rsid w:val="00CD1C86"/>
    <w:rsid w:val="00CD30D9"/>
    <w:rsid w:val="00CD38FC"/>
    <w:rsid w:val="00CD3D8E"/>
    <w:rsid w:val="00CD4559"/>
    <w:rsid w:val="00CD4F5E"/>
    <w:rsid w:val="00CD5E04"/>
    <w:rsid w:val="00CD6F73"/>
    <w:rsid w:val="00CD712E"/>
    <w:rsid w:val="00CD76E9"/>
    <w:rsid w:val="00CE0DB2"/>
    <w:rsid w:val="00CE1787"/>
    <w:rsid w:val="00CE3232"/>
    <w:rsid w:val="00CE36B9"/>
    <w:rsid w:val="00CE3F53"/>
    <w:rsid w:val="00CE47AA"/>
    <w:rsid w:val="00CE4C54"/>
    <w:rsid w:val="00CE537D"/>
    <w:rsid w:val="00CE726A"/>
    <w:rsid w:val="00CE79D9"/>
    <w:rsid w:val="00CE79FA"/>
    <w:rsid w:val="00CF0E77"/>
    <w:rsid w:val="00CF2D28"/>
    <w:rsid w:val="00CF2F3F"/>
    <w:rsid w:val="00CF304F"/>
    <w:rsid w:val="00CF37D9"/>
    <w:rsid w:val="00CF3D9B"/>
    <w:rsid w:val="00CF4775"/>
    <w:rsid w:val="00CF6C9D"/>
    <w:rsid w:val="00CF76CA"/>
    <w:rsid w:val="00CF7E6E"/>
    <w:rsid w:val="00D01097"/>
    <w:rsid w:val="00D013A7"/>
    <w:rsid w:val="00D02111"/>
    <w:rsid w:val="00D02644"/>
    <w:rsid w:val="00D05A99"/>
    <w:rsid w:val="00D07A0A"/>
    <w:rsid w:val="00D07BEE"/>
    <w:rsid w:val="00D07DAA"/>
    <w:rsid w:val="00D104E8"/>
    <w:rsid w:val="00D10682"/>
    <w:rsid w:val="00D1125A"/>
    <w:rsid w:val="00D1192B"/>
    <w:rsid w:val="00D1290C"/>
    <w:rsid w:val="00D13637"/>
    <w:rsid w:val="00D1394D"/>
    <w:rsid w:val="00D14327"/>
    <w:rsid w:val="00D14585"/>
    <w:rsid w:val="00D15A6F"/>
    <w:rsid w:val="00D15E0B"/>
    <w:rsid w:val="00D16E58"/>
    <w:rsid w:val="00D172DB"/>
    <w:rsid w:val="00D20EC5"/>
    <w:rsid w:val="00D2110C"/>
    <w:rsid w:val="00D231AB"/>
    <w:rsid w:val="00D2431E"/>
    <w:rsid w:val="00D247F8"/>
    <w:rsid w:val="00D24DE3"/>
    <w:rsid w:val="00D2515C"/>
    <w:rsid w:val="00D25528"/>
    <w:rsid w:val="00D25735"/>
    <w:rsid w:val="00D25EB7"/>
    <w:rsid w:val="00D26092"/>
    <w:rsid w:val="00D26BBC"/>
    <w:rsid w:val="00D26EFB"/>
    <w:rsid w:val="00D27490"/>
    <w:rsid w:val="00D27CA5"/>
    <w:rsid w:val="00D27CBB"/>
    <w:rsid w:val="00D30115"/>
    <w:rsid w:val="00D301ED"/>
    <w:rsid w:val="00D302AE"/>
    <w:rsid w:val="00D3046D"/>
    <w:rsid w:val="00D30E03"/>
    <w:rsid w:val="00D30EC3"/>
    <w:rsid w:val="00D30F22"/>
    <w:rsid w:val="00D31077"/>
    <w:rsid w:val="00D31A45"/>
    <w:rsid w:val="00D32151"/>
    <w:rsid w:val="00D32FE6"/>
    <w:rsid w:val="00D3317B"/>
    <w:rsid w:val="00D33191"/>
    <w:rsid w:val="00D34C9A"/>
    <w:rsid w:val="00D34E8B"/>
    <w:rsid w:val="00D35172"/>
    <w:rsid w:val="00D35295"/>
    <w:rsid w:val="00D354B9"/>
    <w:rsid w:val="00D35D67"/>
    <w:rsid w:val="00D36DE4"/>
    <w:rsid w:val="00D3711E"/>
    <w:rsid w:val="00D3761B"/>
    <w:rsid w:val="00D401F8"/>
    <w:rsid w:val="00D403D4"/>
    <w:rsid w:val="00D40764"/>
    <w:rsid w:val="00D41879"/>
    <w:rsid w:val="00D4343D"/>
    <w:rsid w:val="00D434CC"/>
    <w:rsid w:val="00D438CF"/>
    <w:rsid w:val="00D43B12"/>
    <w:rsid w:val="00D44DB3"/>
    <w:rsid w:val="00D45DBA"/>
    <w:rsid w:val="00D45E27"/>
    <w:rsid w:val="00D46DBD"/>
    <w:rsid w:val="00D46DCF"/>
    <w:rsid w:val="00D47863"/>
    <w:rsid w:val="00D47945"/>
    <w:rsid w:val="00D504D9"/>
    <w:rsid w:val="00D51063"/>
    <w:rsid w:val="00D5141C"/>
    <w:rsid w:val="00D51729"/>
    <w:rsid w:val="00D51933"/>
    <w:rsid w:val="00D51CB1"/>
    <w:rsid w:val="00D51FC1"/>
    <w:rsid w:val="00D52AAA"/>
    <w:rsid w:val="00D53082"/>
    <w:rsid w:val="00D53609"/>
    <w:rsid w:val="00D53879"/>
    <w:rsid w:val="00D539B3"/>
    <w:rsid w:val="00D54740"/>
    <w:rsid w:val="00D54B68"/>
    <w:rsid w:val="00D554A4"/>
    <w:rsid w:val="00D55568"/>
    <w:rsid w:val="00D555CB"/>
    <w:rsid w:val="00D55E03"/>
    <w:rsid w:val="00D560DF"/>
    <w:rsid w:val="00D5672D"/>
    <w:rsid w:val="00D56738"/>
    <w:rsid w:val="00D56E99"/>
    <w:rsid w:val="00D57B43"/>
    <w:rsid w:val="00D60169"/>
    <w:rsid w:val="00D60C9D"/>
    <w:rsid w:val="00D60D31"/>
    <w:rsid w:val="00D62510"/>
    <w:rsid w:val="00D625E7"/>
    <w:rsid w:val="00D62BE8"/>
    <w:rsid w:val="00D630FD"/>
    <w:rsid w:val="00D635AB"/>
    <w:rsid w:val="00D63A04"/>
    <w:rsid w:val="00D6457C"/>
    <w:rsid w:val="00D647B1"/>
    <w:rsid w:val="00D64B33"/>
    <w:rsid w:val="00D65247"/>
    <w:rsid w:val="00D654BF"/>
    <w:rsid w:val="00D6635E"/>
    <w:rsid w:val="00D66BD4"/>
    <w:rsid w:val="00D6793C"/>
    <w:rsid w:val="00D67D25"/>
    <w:rsid w:val="00D703BF"/>
    <w:rsid w:val="00D70421"/>
    <w:rsid w:val="00D71612"/>
    <w:rsid w:val="00D7168C"/>
    <w:rsid w:val="00D71EE8"/>
    <w:rsid w:val="00D7237B"/>
    <w:rsid w:val="00D72DDC"/>
    <w:rsid w:val="00D72E75"/>
    <w:rsid w:val="00D7316F"/>
    <w:rsid w:val="00D736B6"/>
    <w:rsid w:val="00D74297"/>
    <w:rsid w:val="00D7440E"/>
    <w:rsid w:val="00D751B4"/>
    <w:rsid w:val="00D76CCE"/>
    <w:rsid w:val="00D801FD"/>
    <w:rsid w:val="00D80571"/>
    <w:rsid w:val="00D80C19"/>
    <w:rsid w:val="00D80E7A"/>
    <w:rsid w:val="00D81F34"/>
    <w:rsid w:val="00D81F53"/>
    <w:rsid w:val="00D82546"/>
    <w:rsid w:val="00D8278B"/>
    <w:rsid w:val="00D82A9F"/>
    <w:rsid w:val="00D83568"/>
    <w:rsid w:val="00D84384"/>
    <w:rsid w:val="00D84783"/>
    <w:rsid w:val="00D849B9"/>
    <w:rsid w:val="00D86192"/>
    <w:rsid w:val="00D86472"/>
    <w:rsid w:val="00D868B3"/>
    <w:rsid w:val="00D87371"/>
    <w:rsid w:val="00D8739E"/>
    <w:rsid w:val="00D873E5"/>
    <w:rsid w:val="00D87960"/>
    <w:rsid w:val="00D907FB"/>
    <w:rsid w:val="00D90AA7"/>
    <w:rsid w:val="00D911DF"/>
    <w:rsid w:val="00D91372"/>
    <w:rsid w:val="00D915DB"/>
    <w:rsid w:val="00D948EF"/>
    <w:rsid w:val="00D94F89"/>
    <w:rsid w:val="00D950FE"/>
    <w:rsid w:val="00D95433"/>
    <w:rsid w:val="00D95A51"/>
    <w:rsid w:val="00D95F30"/>
    <w:rsid w:val="00D96294"/>
    <w:rsid w:val="00D96E70"/>
    <w:rsid w:val="00D97943"/>
    <w:rsid w:val="00D97F9B"/>
    <w:rsid w:val="00DA0088"/>
    <w:rsid w:val="00DA0207"/>
    <w:rsid w:val="00DA04BC"/>
    <w:rsid w:val="00DA09D2"/>
    <w:rsid w:val="00DA0DC7"/>
    <w:rsid w:val="00DA1828"/>
    <w:rsid w:val="00DA2BE8"/>
    <w:rsid w:val="00DA2D64"/>
    <w:rsid w:val="00DA3BA5"/>
    <w:rsid w:val="00DA4359"/>
    <w:rsid w:val="00DA46E4"/>
    <w:rsid w:val="00DA4D06"/>
    <w:rsid w:val="00DA5047"/>
    <w:rsid w:val="00DA56E6"/>
    <w:rsid w:val="00DA58A4"/>
    <w:rsid w:val="00DA59F7"/>
    <w:rsid w:val="00DA6385"/>
    <w:rsid w:val="00DA725D"/>
    <w:rsid w:val="00DA7B22"/>
    <w:rsid w:val="00DA7BE4"/>
    <w:rsid w:val="00DB08BF"/>
    <w:rsid w:val="00DB1A79"/>
    <w:rsid w:val="00DB1C74"/>
    <w:rsid w:val="00DB1F90"/>
    <w:rsid w:val="00DB23E3"/>
    <w:rsid w:val="00DB4958"/>
    <w:rsid w:val="00DB7DE7"/>
    <w:rsid w:val="00DC00CA"/>
    <w:rsid w:val="00DC0B96"/>
    <w:rsid w:val="00DC0EF3"/>
    <w:rsid w:val="00DC1411"/>
    <w:rsid w:val="00DC1C89"/>
    <w:rsid w:val="00DC218A"/>
    <w:rsid w:val="00DC26E9"/>
    <w:rsid w:val="00DC2A86"/>
    <w:rsid w:val="00DC31C5"/>
    <w:rsid w:val="00DC3628"/>
    <w:rsid w:val="00DC38E3"/>
    <w:rsid w:val="00DC49C3"/>
    <w:rsid w:val="00DC4B2C"/>
    <w:rsid w:val="00DC54E9"/>
    <w:rsid w:val="00DC6A84"/>
    <w:rsid w:val="00DC7335"/>
    <w:rsid w:val="00DC7A72"/>
    <w:rsid w:val="00DD0CD0"/>
    <w:rsid w:val="00DD0E68"/>
    <w:rsid w:val="00DD1322"/>
    <w:rsid w:val="00DD1508"/>
    <w:rsid w:val="00DD178E"/>
    <w:rsid w:val="00DD1907"/>
    <w:rsid w:val="00DD1A62"/>
    <w:rsid w:val="00DD42C9"/>
    <w:rsid w:val="00DD4B01"/>
    <w:rsid w:val="00DD518A"/>
    <w:rsid w:val="00DD68EE"/>
    <w:rsid w:val="00DE022F"/>
    <w:rsid w:val="00DE106C"/>
    <w:rsid w:val="00DE1307"/>
    <w:rsid w:val="00DE2499"/>
    <w:rsid w:val="00DE2D68"/>
    <w:rsid w:val="00DE3321"/>
    <w:rsid w:val="00DE3A17"/>
    <w:rsid w:val="00DE3C6C"/>
    <w:rsid w:val="00DE405A"/>
    <w:rsid w:val="00DE41C4"/>
    <w:rsid w:val="00DE4B02"/>
    <w:rsid w:val="00DE4B9D"/>
    <w:rsid w:val="00DE4CB5"/>
    <w:rsid w:val="00DE533C"/>
    <w:rsid w:val="00DE541C"/>
    <w:rsid w:val="00DE693E"/>
    <w:rsid w:val="00DE76DE"/>
    <w:rsid w:val="00DF0704"/>
    <w:rsid w:val="00DF0743"/>
    <w:rsid w:val="00DF0E82"/>
    <w:rsid w:val="00DF1BAB"/>
    <w:rsid w:val="00DF315F"/>
    <w:rsid w:val="00DF33A3"/>
    <w:rsid w:val="00DF36DC"/>
    <w:rsid w:val="00DF4666"/>
    <w:rsid w:val="00DF5C75"/>
    <w:rsid w:val="00DF5E36"/>
    <w:rsid w:val="00DF637B"/>
    <w:rsid w:val="00DF63FD"/>
    <w:rsid w:val="00DF697D"/>
    <w:rsid w:val="00DF7EBA"/>
    <w:rsid w:val="00E00034"/>
    <w:rsid w:val="00E00CBC"/>
    <w:rsid w:val="00E015D9"/>
    <w:rsid w:val="00E02035"/>
    <w:rsid w:val="00E02CB7"/>
    <w:rsid w:val="00E032C3"/>
    <w:rsid w:val="00E03C0B"/>
    <w:rsid w:val="00E03CE2"/>
    <w:rsid w:val="00E03F20"/>
    <w:rsid w:val="00E03FB7"/>
    <w:rsid w:val="00E04752"/>
    <w:rsid w:val="00E05A10"/>
    <w:rsid w:val="00E05A24"/>
    <w:rsid w:val="00E05E27"/>
    <w:rsid w:val="00E07FD9"/>
    <w:rsid w:val="00E1050C"/>
    <w:rsid w:val="00E107D9"/>
    <w:rsid w:val="00E10C4F"/>
    <w:rsid w:val="00E10C91"/>
    <w:rsid w:val="00E10FC5"/>
    <w:rsid w:val="00E12284"/>
    <w:rsid w:val="00E133D7"/>
    <w:rsid w:val="00E13B4E"/>
    <w:rsid w:val="00E14FB4"/>
    <w:rsid w:val="00E15C37"/>
    <w:rsid w:val="00E15F09"/>
    <w:rsid w:val="00E1669C"/>
    <w:rsid w:val="00E16B56"/>
    <w:rsid w:val="00E170E1"/>
    <w:rsid w:val="00E17DE5"/>
    <w:rsid w:val="00E21267"/>
    <w:rsid w:val="00E223E6"/>
    <w:rsid w:val="00E231F7"/>
    <w:rsid w:val="00E2402A"/>
    <w:rsid w:val="00E2533A"/>
    <w:rsid w:val="00E25BA1"/>
    <w:rsid w:val="00E25C4E"/>
    <w:rsid w:val="00E260A9"/>
    <w:rsid w:val="00E26358"/>
    <w:rsid w:val="00E26A20"/>
    <w:rsid w:val="00E26A33"/>
    <w:rsid w:val="00E26F67"/>
    <w:rsid w:val="00E274D2"/>
    <w:rsid w:val="00E27C7F"/>
    <w:rsid w:val="00E30079"/>
    <w:rsid w:val="00E309EF"/>
    <w:rsid w:val="00E31A83"/>
    <w:rsid w:val="00E32403"/>
    <w:rsid w:val="00E334C3"/>
    <w:rsid w:val="00E34760"/>
    <w:rsid w:val="00E34844"/>
    <w:rsid w:val="00E35762"/>
    <w:rsid w:val="00E35C65"/>
    <w:rsid w:val="00E36246"/>
    <w:rsid w:val="00E4019C"/>
    <w:rsid w:val="00E414B9"/>
    <w:rsid w:val="00E41855"/>
    <w:rsid w:val="00E423A7"/>
    <w:rsid w:val="00E42945"/>
    <w:rsid w:val="00E432FD"/>
    <w:rsid w:val="00E43CEB"/>
    <w:rsid w:val="00E44823"/>
    <w:rsid w:val="00E462EF"/>
    <w:rsid w:val="00E465F6"/>
    <w:rsid w:val="00E4687B"/>
    <w:rsid w:val="00E47157"/>
    <w:rsid w:val="00E47404"/>
    <w:rsid w:val="00E47B3D"/>
    <w:rsid w:val="00E50096"/>
    <w:rsid w:val="00E50FE4"/>
    <w:rsid w:val="00E510F6"/>
    <w:rsid w:val="00E537B1"/>
    <w:rsid w:val="00E53899"/>
    <w:rsid w:val="00E54C1A"/>
    <w:rsid w:val="00E55019"/>
    <w:rsid w:val="00E55F6C"/>
    <w:rsid w:val="00E57A62"/>
    <w:rsid w:val="00E57CF4"/>
    <w:rsid w:val="00E60937"/>
    <w:rsid w:val="00E6329B"/>
    <w:rsid w:val="00E632CC"/>
    <w:rsid w:val="00E63BDA"/>
    <w:rsid w:val="00E6441B"/>
    <w:rsid w:val="00E647D8"/>
    <w:rsid w:val="00E64876"/>
    <w:rsid w:val="00E64FFC"/>
    <w:rsid w:val="00E663D7"/>
    <w:rsid w:val="00E664A0"/>
    <w:rsid w:val="00E668BB"/>
    <w:rsid w:val="00E66958"/>
    <w:rsid w:val="00E66DAE"/>
    <w:rsid w:val="00E66EF5"/>
    <w:rsid w:val="00E67C77"/>
    <w:rsid w:val="00E70382"/>
    <w:rsid w:val="00E70E8E"/>
    <w:rsid w:val="00E7189A"/>
    <w:rsid w:val="00E718E3"/>
    <w:rsid w:val="00E71D60"/>
    <w:rsid w:val="00E71F4A"/>
    <w:rsid w:val="00E7295C"/>
    <w:rsid w:val="00E73CD1"/>
    <w:rsid w:val="00E74253"/>
    <w:rsid w:val="00E76CB8"/>
    <w:rsid w:val="00E772F3"/>
    <w:rsid w:val="00E804F1"/>
    <w:rsid w:val="00E80844"/>
    <w:rsid w:val="00E80CFF"/>
    <w:rsid w:val="00E815A0"/>
    <w:rsid w:val="00E827BB"/>
    <w:rsid w:val="00E862C6"/>
    <w:rsid w:val="00E86E82"/>
    <w:rsid w:val="00E904BD"/>
    <w:rsid w:val="00E915AD"/>
    <w:rsid w:val="00E91C00"/>
    <w:rsid w:val="00E9211F"/>
    <w:rsid w:val="00E921D7"/>
    <w:rsid w:val="00E92FCB"/>
    <w:rsid w:val="00E931DA"/>
    <w:rsid w:val="00E932EA"/>
    <w:rsid w:val="00E93774"/>
    <w:rsid w:val="00E939F0"/>
    <w:rsid w:val="00E9433D"/>
    <w:rsid w:val="00E9475A"/>
    <w:rsid w:val="00E94C6F"/>
    <w:rsid w:val="00E95F4C"/>
    <w:rsid w:val="00E97012"/>
    <w:rsid w:val="00E9725D"/>
    <w:rsid w:val="00EA0192"/>
    <w:rsid w:val="00EA1FF5"/>
    <w:rsid w:val="00EA2656"/>
    <w:rsid w:val="00EA304E"/>
    <w:rsid w:val="00EA3A48"/>
    <w:rsid w:val="00EA42AC"/>
    <w:rsid w:val="00EA47C0"/>
    <w:rsid w:val="00EA50BF"/>
    <w:rsid w:val="00EA5567"/>
    <w:rsid w:val="00EA58AA"/>
    <w:rsid w:val="00EA5B22"/>
    <w:rsid w:val="00EA6424"/>
    <w:rsid w:val="00EA6911"/>
    <w:rsid w:val="00EA6E5B"/>
    <w:rsid w:val="00EA730F"/>
    <w:rsid w:val="00EA77B1"/>
    <w:rsid w:val="00EA7B55"/>
    <w:rsid w:val="00EB014C"/>
    <w:rsid w:val="00EB1BBA"/>
    <w:rsid w:val="00EB307C"/>
    <w:rsid w:val="00EB32DB"/>
    <w:rsid w:val="00EB4D01"/>
    <w:rsid w:val="00EB50D9"/>
    <w:rsid w:val="00EB5E99"/>
    <w:rsid w:val="00EB68B0"/>
    <w:rsid w:val="00EB6E6D"/>
    <w:rsid w:val="00EB7A7D"/>
    <w:rsid w:val="00EC0457"/>
    <w:rsid w:val="00EC0CC8"/>
    <w:rsid w:val="00EC1108"/>
    <w:rsid w:val="00EC1C9A"/>
    <w:rsid w:val="00EC20E4"/>
    <w:rsid w:val="00EC2A7F"/>
    <w:rsid w:val="00EC2DD2"/>
    <w:rsid w:val="00EC3136"/>
    <w:rsid w:val="00EC4D10"/>
    <w:rsid w:val="00EC5969"/>
    <w:rsid w:val="00EC604C"/>
    <w:rsid w:val="00EC716E"/>
    <w:rsid w:val="00EC7ED1"/>
    <w:rsid w:val="00EC7F35"/>
    <w:rsid w:val="00EC7F3B"/>
    <w:rsid w:val="00ED0487"/>
    <w:rsid w:val="00ED07BB"/>
    <w:rsid w:val="00ED17F4"/>
    <w:rsid w:val="00ED2656"/>
    <w:rsid w:val="00ED4971"/>
    <w:rsid w:val="00ED576C"/>
    <w:rsid w:val="00ED5ACC"/>
    <w:rsid w:val="00ED63C4"/>
    <w:rsid w:val="00ED64B0"/>
    <w:rsid w:val="00ED6B56"/>
    <w:rsid w:val="00ED7435"/>
    <w:rsid w:val="00ED7BD8"/>
    <w:rsid w:val="00EE02AD"/>
    <w:rsid w:val="00EE0577"/>
    <w:rsid w:val="00EE099B"/>
    <w:rsid w:val="00EE09A2"/>
    <w:rsid w:val="00EE10AF"/>
    <w:rsid w:val="00EE1370"/>
    <w:rsid w:val="00EE1715"/>
    <w:rsid w:val="00EE237E"/>
    <w:rsid w:val="00EE271A"/>
    <w:rsid w:val="00EE44C1"/>
    <w:rsid w:val="00EE4A9E"/>
    <w:rsid w:val="00EE59B0"/>
    <w:rsid w:val="00EE5BE1"/>
    <w:rsid w:val="00EE6536"/>
    <w:rsid w:val="00EE7CCD"/>
    <w:rsid w:val="00EE7EE1"/>
    <w:rsid w:val="00EF00A3"/>
    <w:rsid w:val="00EF00E1"/>
    <w:rsid w:val="00EF0A86"/>
    <w:rsid w:val="00EF0D67"/>
    <w:rsid w:val="00EF125D"/>
    <w:rsid w:val="00EF1C79"/>
    <w:rsid w:val="00EF2835"/>
    <w:rsid w:val="00EF389F"/>
    <w:rsid w:val="00EF42C5"/>
    <w:rsid w:val="00EF43F4"/>
    <w:rsid w:val="00EF467E"/>
    <w:rsid w:val="00EF5B10"/>
    <w:rsid w:val="00EF5DE7"/>
    <w:rsid w:val="00EF69CF"/>
    <w:rsid w:val="00EF7772"/>
    <w:rsid w:val="00EF7F0B"/>
    <w:rsid w:val="00F00494"/>
    <w:rsid w:val="00F0256C"/>
    <w:rsid w:val="00F03CCE"/>
    <w:rsid w:val="00F046B2"/>
    <w:rsid w:val="00F051D9"/>
    <w:rsid w:val="00F05C2E"/>
    <w:rsid w:val="00F06720"/>
    <w:rsid w:val="00F06BFE"/>
    <w:rsid w:val="00F0782C"/>
    <w:rsid w:val="00F110CC"/>
    <w:rsid w:val="00F1142F"/>
    <w:rsid w:val="00F118F4"/>
    <w:rsid w:val="00F11D24"/>
    <w:rsid w:val="00F11D49"/>
    <w:rsid w:val="00F11DCB"/>
    <w:rsid w:val="00F11E52"/>
    <w:rsid w:val="00F1266F"/>
    <w:rsid w:val="00F1288B"/>
    <w:rsid w:val="00F1378C"/>
    <w:rsid w:val="00F14728"/>
    <w:rsid w:val="00F159E3"/>
    <w:rsid w:val="00F15F57"/>
    <w:rsid w:val="00F170BE"/>
    <w:rsid w:val="00F17B6C"/>
    <w:rsid w:val="00F206A4"/>
    <w:rsid w:val="00F2102F"/>
    <w:rsid w:val="00F217D8"/>
    <w:rsid w:val="00F2262D"/>
    <w:rsid w:val="00F22FC6"/>
    <w:rsid w:val="00F23002"/>
    <w:rsid w:val="00F2308D"/>
    <w:rsid w:val="00F23A42"/>
    <w:rsid w:val="00F23FB3"/>
    <w:rsid w:val="00F23FCD"/>
    <w:rsid w:val="00F2490B"/>
    <w:rsid w:val="00F24AC2"/>
    <w:rsid w:val="00F253C7"/>
    <w:rsid w:val="00F25F2B"/>
    <w:rsid w:val="00F2605A"/>
    <w:rsid w:val="00F26245"/>
    <w:rsid w:val="00F26A42"/>
    <w:rsid w:val="00F27417"/>
    <w:rsid w:val="00F2793E"/>
    <w:rsid w:val="00F27AEB"/>
    <w:rsid w:val="00F27BFC"/>
    <w:rsid w:val="00F27D58"/>
    <w:rsid w:val="00F30F4B"/>
    <w:rsid w:val="00F316E7"/>
    <w:rsid w:val="00F3191C"/>
    <w:rsid w:val="00F31B14"/>
    <w:rsid w:val="00F31C23"/>
    <w:rsid w:val="00F3207D"/>
    <w:rsid w:val="00F324FA"/>
    <w:rsid w:val="00F32DC8"/>
    <w:rsid w:val="00F33155"/>
    <w:rsid w:val="00F33629"/>
    <w:rsid w:val="00F3398E"/>
    <w:rsid w:val="00F33B35"/>
    <w:rsid w:val="00F33FB7"/>
    <w:rsid w:val="00F348FE"/>
    <w:rsid w:val="00F34E66"/>
    <w:rsid w:val="00F3612A"/>
    <w:rsid w:val="00F3617D"/>
    <w:rsid w:val="00F36A4C"/>
    <w:rsid w:val="00F36EFB"/>
    <w:rsid w:val="00F370C6"/>
    <w:rsid w:val="00F37257"/>
    <w:rsid w:val="00F40C30"/>
    <w:rsid w:val="00F40F47"/>
    <w:rsid w:val="00F425D6"/>
    <w:rsid w:val="00F42E34"/>
    <w:rsid w:val="00F4325E"/>
    <w:rsid w:val="00F43A58"/>
    <w:rsid w:val="00F44382"/>
    <w:rsid w:val="00F44536"/>
    <w:rsid w:val="00F44AA1"/>
    <w:rsid w:val="00F45A11"/>
    <w:rsid w:val="00F46B11"/>
    <w:rsid w:val="00F472A7"/>
    <w:rsid w:val="00F47E88"/>
    <w:rsid w:val="00F50358"/>
    <w:rsid w:val="00F50583"/>
    <w:rsid w:val="00F519A2"/>
    <w:rsid w:val="00F51EFD"/>
    <w:rsid w:val="00F52AB9"/>
    <w:rsid w:val="00F566A5"/>
    <w:rsid w:val="00F56702"/>
    <w:rsid w:val="00F5798D"/>
    <w:rsid w:val="00F57F7D"/>
    <w:rsid w:val="00F60546"/>
    <w:rsid w:val="00F60753"/>
    <w:rsid w:val="00F61185"/>
    <w:rsid w:val="00F624F2"/>
    <w:rsid w:val="00F635FA"/>
    <w:rsid w:val="00F63892"/>
    <w:rsid w:val="00F63DC8"/>
    <w:rsid w:val="00F6594C"/>
    <w:rsid w:val="00F66A15"/>
    <w:rsid w:val="00F6720E"/>
    <w:rsid w:val="00F67972"/>
    <w:rsid w:val="00F711B3"/>
    <w:rsid w:val="00F727F1"/>
    <w:rsid w:val="00F73000"/>
    <w:rsid w:val="00F73099"/>
    <w:rsid w:val="00F7353C"/>
    <w:rsid w:val="00F7598D"/>
    <w:rsid w:val="00F75C12"/>
    <w:rsid w:val="00F765CD"/>
    <w:rsid w:val="00F76D92"/>
    <w:rsid w:val="00F77046"/>
    <w:rsid w:val="00F8090E"/>
    <w:rsid w:val="00F80B74"/>
    <w:rsid w:val="00F817BB"/>
    <w:rsid w:val="00F818A2"/>
    <w:rsid w:val="00F81FB3"/>
    <w:rsid w:val="00F82456"/>
    <w:rsid w:val="00F82B67"/>
    <w:rsid w:val="00F8522E"/>
    <w:rsid w:val="00F8553A"/>
    <w:rsid w:val="00F85B0E"/>
    <w:rsid w:val="00F8650C"/>
    <w:rsid w:val="00F879E1"/>
    <w:rsid w:val="00F87F39"/>
    <w:rsid w:val="00F90456"/>
    <w:rsid w:val="00F90862"/>
    <w:rsid w:val="00F90CC2"/>
    <w:rsid w:val="00F93776"/>
    <w:rsid w:val="00F93948"/>
    <w:rsid w:val="00F93953"/>
    <w:rsid w:val="00F94022"/>
    <w:rsid w:val="00F94E01"/>
    <w:rsid w:val="00F954BA"/>
    <w:rsid w:val="00F96130"/>
    <w:rsid w:val="00F96903"/>
    <w:rsid w:val="00F96913"/>
    <w:rsid w:val="00F96929"/>
    <w:rsid w:val="00F96AAF"/>
    <w:rsid w:val="00F96F57"/>
    <w:rsid w:val="00F9786A"/>
    <w:rsid w:val="00F979DF"/>
    <w:rsid w:val="00F97AC5"/>
    <w:rsid w:val="00FA04E5"/>
    <w:rsid w:val="00FA0C3A"/>
    <w:rsid w:val="00FA12C9"/>
    <w:rsid w:val="00FA1682"/>
    <w:rsid w:val="00FA1A4D"/>
    <w:rsid w:val="00FA2300"/>
    <w:rsid w:val="00FA3088"/>
    <w:rsid w:val="00FA3917"/>
    <w:rsid w:val="00FA42E1"/>
    <w:rsid w:val="00FA44BF"/>
    <w:rsid w:val="00FA4699"/>
    <w:rsid w:val="00FA46BA"/>
    <w:rsid w:val="00FA69D3"/>
    <w:rsid w:val="00FA7460"/>
    <w:rsid w:val="00FA799D"/>
    <w:rsid w:val="00FA79E2"/>
    <w:rsid w:val="00FA7CBE"/>
    <w:rsid w:val="00FA7D58"/>
    <w:rsid w:val="00FB11AC"/>
    <w:rsid w:val="00FB1965"/>
    <w:rsid w:val="00FB23B2"/>
    <w:rsid w:val="00FB2489"/>
    <w:rsid w:val="00FB3819"/>
    <w:rsid w:val="00FB42B0"/>
    <w:rsid w:val="00FB449C"/>
    <w:rsid w:val="00FB4CF7"/>
    <w:rsid w:val="00FB51E0"/>
    <w:rsid w:val="00FB5E07"/>
    <w:rsid w:val="00FB5F36"/>
    <w:rsid w:val="00FB610F"/>
    <w:rsid w:val="00FB629A"/>
    <w:rsid w:val="00FB6918"/>
    <w:rsid w:val="00FB69A3"/>
    <w:rsid w:val="00FB6A80"/>
    <w:rsid w:val="00FB6F86"/>
    <w:rsid w:val="00FB7120"/>
    <w:rsid w:val="00FB789C"/>
    <w:rsid w:val="00FC141B"/>
    <w:rsid w:val="00FC19CA"/>
    <w:rsid w:val="00FC23B8"/>
    <w:rsid w:val="00FC2B01"/>
    <w:rsid w:val="00FC2DAB"/>
    <w:rsid w:val="00FC36AC"/>
    <w:rsid w:val="00FC380A"/>
    <w:rsid w:val="00FC437E"/>
    <w:rsid w:val="00FC445B"/>
    <w:rsid w:val="00FC4799"/>
    <w:rsid w:val="00FC4E8C"/>
    <w:rsid w:val="00FC694D"/>
    <w:rsid w:val="00FC78BF"/>
    <w:rsid w:val="00FC7AAD"/>
    <w:rsid w:val="00FC7DD8"/>
    <w:rsid w:val="00FD19D4"/>
    <w:rsid w:val="00FD1F28"/>
    <w:rsid w:val="00FD35AD"/>
    <w:rsid w:val="00FD401E"/>
    <w:rsid w:val="00FD4806"/>
    <w:rsid w:val="00FD4B1C"/>
    <w:rsid w:val="00FD4ED5"/>
    <w:rsid w:val="00FD5145"/>
    <w:rsid w:val="00FD5E4D"/>
    <w:rsid w:val="00FD5E78"/>
    <w:rsid w:val="00FE03F1"/>
    <w:rsid w:val="00FE0602"/>
    <w:rsid w:val="00FE07EA"/>
    <w:rsid w:val="00FE0A76"/>
    <w:rsid w:val="00FE0AC2"/>
    <w:rsid w:val="00FE0B42"/>
    <w:rsid w:val="00FE1890"/>
    <w:rsid w:val="00FE1B80"/>
    <w:rsid w:val="00FE1CAA"/>
    <w:rsid w:val="00FE359F"/>
    <w:rsid w:val="00FE38F6"/>
    <w:rsid w:val="00FE3D67"/>
    <w:rsid w:val="00FE48F9"/>
    <w:rsid w:val="00FE502A"/>
    <w:rsid w:val="00FE534A"/>
    <w:rsid w:val="00FE5B73"/>
    <w:rsid w:val="00FE5BC0"/>
    <w:rsid w:val="00FE5F58"/>
    <w:rsid w:val="00FE61AE"/>
    <w:rsid w:val="00FE6368"/>
    <w:rsid w:val="00FE6CA4"/>
    <w:rsid w:val="00FE7E73"/>
    <w:rsid w:val="00FF0974"/>
    <w:rsid w:val="00FF0AE7"/>
    <w:rsid w:val="00FF177A"/>
    <w:rsid w:val="00FF19A5"/>
    <w:rsid w:val="00FF1DA9"/>
    <w:rsid w:val="00FF2DBD"/>
    <w:rsid w:val="00FF38A0"/>
    <w:rsid w:val="00FF4E26"/>
    <w:rsid w:val="00FF55D7"/>
    <w:rsid w:val="00FF560D"/>
    <w:rsid w:val="00FF6528"/>
    <w:rsid w:val="00FF665E"/>
    <w:rsid w:val="00FF7F8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6E99"/>
  </w:style>
  <w:style w:type="paragraph" w:styleId="Antrat1">
    <w:name w:val="heading 1"/>
    <w:basedOn w:val="prastasis"/>
    <w:next w:val="prastasis"/>
    <w:link w:val="Antrat1Diagrama"/>
    <w:uiPriority w:val="9"/>
    <w:qFormat/>
    <w:rsid w:val="00D56E99"/>
    <w:pPr>
      <w:spacing w:before="480" w:after="0"/>
      <w:contextualSpacing/>
      <w:outlineLvl w:val="0"/>
    </w:pPr>
    <w:rPr>
      <w:rFonts w:asciiTheme="majorHAnsi" w:eastAsiaTheme="majorEastAsia" w:hAnsiTheme="majorHAnsi" w:cstheme="majorBidi"/>
      <w:b/>
      <w:bCs/>
      <w:sz w:val="28"/>
      <w:szCs w:val="28"/>
    </w:rPr>
  </w:style>
  <w:style w:type="paragraph" w:styleId="Antrat2">
    <w:name w:val="heading 2"/>
    <w:basedOn w:val="prastasis"/>
    <w:next w:val="prastasis"/>
    <w:link w:val="Antrat2Diagrama"/>
    <w:uiPriority w:val="9"/>
    <w:semiHidden/>
    <w:unhideWhenUsed/>
    <w:qFormat/>
    <w:rsid w:val="00D56E99"/>
    <w:pPr>
      <w:spacing w:before="200" w:after="0"/>
      <w:outlineLvl w:val="1"/>
    </w:pPr>
    <w:rPr>
      <w:rFonts w:asciiTheme="majorHAnsi" w:eastAsiaTheme="majorEastAsia" w:hAnsiTheme="majorHAnsi" w:cstheme="majorBidi"/>
      <w:b/>
      <w:bCs/>
      <w:sz w:val="26"/>
      <w:szCs w:val="26"/>
    </w:rPr>
  </w:style>
  <w:style w:type="paragraph" w:styleId="Antrat3">
    <w:name w:val="heading 3"/>
    <w:basedOn w:val="prastasis"/>
    <w:next w:val="prastasis"/>
    <w:link w:val="Antrat3Diagrama"/>
    <w:uiPriority w:val="9"/>
    <w:semiHidden/>
    <w:unhideWhenUsed/>
    <w:qFormat/>
    <w:rsid w:val="00D56E99"/>
    <w:pPr>
      <w:spacing w:before="200" w:after="0" w:line="271" w:lineRule="auto"/>
      <w:outlineLvl w:val="2"/>
    </w:pPr>
    <w:rPr>
      <w:rFonts w:asciiTheme="majorHAnsi" w:eastAsiaTheme="majorEastAsia" w:hAnsiTheme="majorHAnsi" w:cstheme="majorBidi"/>
      <w:b/>
      <w:bCs/>
    </w:rPr>
  </w:style>
  <w:style w:type="paragraph" w:styleId="Antrat4">
    <w:name w:val="heading 4"/>
    <w:basedOn w:val="prastasis"/>
    <w:next w:val="prastasis"/>
    <w:link w:val="Antrat4Diagrama"/>
    <w:uiPriority w:val="9"/>
    <w:semiHidden/>
    <w:unhideWhenUsed/>
    <w:qFormat/>
    <w:rsid w:val="00D56E99"/>
    <w:pPr>
      <w:spacing w:before="200" w:after="0"/>
      <w:outlineLvl w:val="3"/>
    </w:pPr>
    <w:rPr>
      <w:rFonts w:asciiTheme="majorHAnsi" w:eastAsiaTheme="majorEastAsia" w:hAnsiTheme="majorHAnsi" w:cstheme="majorBidi"/>
      <w:b/>
      <w:bCs/>
      <w:i/>
      <w:iCs/>
    </w:rPr>
  </w:style>
  <w:style w:type="paragraph" w:styleId="Antrat5">
    <w:name w:val="heading 5"/>
    <w:basedOn w:val="prastasis"/>
    <w:next w:val="prastasis"/>
    <w:link w:val="Antrat5Diagrama"/>
    <w:uiPriority w:val="9"/>
    <w:semiHidden/>
    <w:unhideWhenUsed/>
    <w:qFormat/>
    <w:rsid w:val="00D56E99"/>
    <w:pPr>
      <w:spacing w:before="200" w:after="0"/>
      <w:outlineLvl w:val="4"/>
    </w:pPr>
    <w:rPr>
      <w:rFonts w:asciiTheme="majorHAnsi" w:eastAsiaTheme="majorEastAsia" w:hAnsiTheme="majorHAnsi" w:cstheme="majorBidi"/>
      <w:b/>
      <w:bCs/>
      <w:color w:val="7F7F7F" w:themeColor="text1" w:themeTint="80"/>
    </w:rPr>
  </w:style>
  <w:style w:type="paragraph" w:styleId="Antrat6">
    <w:name w:val="heading 6"/>
    <w:basedOn w:val="prastasis"/>
    <w:next w:val="prastasis"/>
    <w:link w:val="Antrat6Diagrama"/>
    <w:uiPriority w:val="9"/>
    <w:semiHidden/>
    <w:unhideWhenUsed/>
    <w:qFormat/>
    <w:rsid w:val="00D56E99"/>
    <w:pPr>
      <w:spacing w:after="0" w:line="271" w:lineRule="auto"/>
      <w:outlineLvl w:val="5"/>
    </w:pPr>
    <w:rPr>
      <w:rFonts w:asciiTheme="majorHAnsi" w:eastAsiaTheme="majorEastAsia" w:hAnsiTheme="majorHAnsi" w:cstheme="majorBidi"/>
      <w:b/>
      <w:bCs/>
      <w:i/>
      <w:iCs/>
      <w:color w:val="7F7F7F" w:themeColor="text1" w:themeTint="80"/>
    </w:rPr>
  </w:style>
  <w:style w:type="paragraph" w:styleId="Antrat7">
    <w:name w:val="heading 7"/>
    <w:basedOn w:val="prastasis"/>
    <w:next w:val="prastasis"/>
    <w:link w:val="Antrat7Diagrama"/>
    <w:uiPriority w:val="9"/>
    <w:semiHidden/>
    <w:unhideWhenUsed/>
    <w:qFormat/>
    <w:rsid w:val="00D56E99"/>
    <w:pPr>
      <w:spacing w:after="0"/>
      <w:outlineLvl w:val="6"/>
    </w:pPr>
    <w:rPr>
      <w:rFonts w:asciiTheme="majorHAnsi" w:eastAsiaTheme="majorEastAsia" w:hAnsiTheme="majorHAnsi" w:cstheme="majorBidi"/>
      <w:i/>
      <w:iCs/>
    </w:rPr>
  </w:style>
  <w:style w:type="paragraph" w:styleId="Antrat8">
    <w:name w:val="heading 8"/>
    <w:basedOn w:val="prastasis"/>
    <w:next w:val="prastasis"/>
    <w:link w:val="Antrat8Diagrama"/>
    <w:uiPriority w:val="9"/>
    <w:semiHidden/>
    <w:unhideWhenUsed/>
    <w:qFormat/>
    <w:rsid w:val="00D56E99"/>
    <w:pPr>
      <w:spacing w:after="0"/>
      <w:outlineLvl w:val="7"/>
    </w:pPr>
    <w:rPr>
      <w:rFonts w:asciiTheme="majorHAnsi" w:eastAsiaTheme="majorEastAsia" w:hAnsiTheme="majorHAnsi" w:cstheme="majorBidi"/>
      <w:sz w:val="20"/>
      <w:szCs w:val="20"/>
    </w:rPr>
  </w:style>
  <w:style w:type="paragraph" w:styleId="Antrat9">
    <w:name w:val="heading 9"/>
    <w:basedOn w:val="prastasis"/>
    <w:next w:val="prastasis"/>
    <w:link w:val="Antrat9Diagrama"/>
    <w:uiPriority w:val="9"/>
    <w:semiHidden/>
    <w:unhideWhenUsed/>
    <w:qFormat/>
    <w:rsid w:val="00D56E99"/>
    <w:pPr>
      <w:spacing w:after="0"/>
      <w:outlineLvl w:val="8"/>
    </w:pPr>
    <w:rPr>
      <w:rFonts w:asciiTheme="majorHAnsi" w:eastAsiaTheme="majorEastAsia" w:hAnsiTheme="majorHAnsi" w:cstheme="majorBidi"/>
      <w:i/>
      <w:iCs/>
      <w:spacing w:val="5"/>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B18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B1886"/>
  </w:style>
  <w:style w:type="paragraph" w:styleId="Porat">
    <w:name w:val="footer"/>
    <w:basedOn w:val="prastasis"/>
    <w:link w:val="PoratDiagrama"/>
    <w:uiPriority w:val="99"/>
    <w:unhideWhenUsed/>
    <w:rsid w:val="000B18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B1886"/>
  </w:style>
  <w:style w:type="paragraph" w:styleId="Puslapioinaostekstas">
    <w:name w:val="footnote text"/>
    <w:basedOn w:val="prastasis"/>
    <w:link w:val="PuslapioinaostekstasDiagrama"/>
    <w:uiPriority w:val="99"/>
    <w:semiHidden/>
    <w:unhideWhenUsed/>
    <w:rsid w:val="00743D8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3D86"/>
    <w:rPr>
      <w:sz w:val="20"/>
      <w:szCs w:val="20"/>
    </w:rPr>
  </w:style>
  <w:style w:type="character" w:styleId="Puslapioinaosnuoroda">
    <w:name w:val="footnote reference"/>
    <w:basedOn w:val="Numatytasispastraiposriftas"/>
    <w:uiPriority w:val="99"/>
    <w:semiHidden/>
    <w:unhideWhenUsed/>
    <w:rsid w:val="00743D86"/>
    <w:rPr>
      <w:vertAlign w:val="superscript"/>
    </w:rPr>
  </w:style>
  <w:style w:type="paragraph" w:styleId="Sraopastraipa">
    <w:name w:val="List Paragraph"/>
    <w:basedOn w:val="prastasis"/>
    <w:uiPriority w:val="34"/>
    <w:qFormat/>
    <w:rsid w:val="00D56E99"/>
    <w:pPr>
      <w:ind w:left="720"/>
      <w:contextualSpacing/>
    </w:pPr>
  </w:style>
  <w:style w:type="character" w:styleId="Hipersaitas">
    <w:name w:val="Hyperlink"/>
    <w:basedOn w:val="Numatytasispastraiposriftas"/>
    <w:uiPriority w:val="99"/>
    <w:unhideWhenUsed/>
    <w:rsid w:val="006734C8"/>
    <w:rPr>
      <w:color w:val="0000FF"/>
      <w:u w:val="single"/>
    </w:rPr>
  </w:style>
  <w:style w:type="character" w:customStyle="1" w:styleId="apple-style-span">
    <w:name w:val="apple-style-span"/>
    <w:basedOn w:val="Numatytasispastraiposriftas"/>
    <w:rsid w:val="006C4B77"/>
  </w:style>
  <w:style w:type="paragraph" w:styleId="prastasistinklapis">
    <w:name w:val="Normal (Web)"/>
    <w:basedOn w:val="prastasis"/>
    <w:uiPriority w:val="99"/>
    <w:unhideWhenUsed/>
    <w:rsid w:val="00B13DB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Numatytasispastraiposriftas"/>
    <w:rsid w:val="00B13DBF"/>
  </w:style>
  <w:style w:type="character" w:styleId="Komentaronuoroda">
    <w:name w:val="annotation reference"/>
    <w:basedOn w:val="Numatytasispastraiposriftas"/>
    <w:unhideWhenUsed/>
    <w:rsid w:val="006F0C79"/>
    <w:rPr>
      <w:sz w:val="16"/>
      <w:szCs w:val="16"/>
    </w:rPr>
  </w:style>
  <w:style w:type="paragraph" w:styleId="Komentarotekstas">
    <w:name w:val="annotation text"/>
    <w:basedOn w:val="prastasis"/>
    <w:link w:val="KomentarotekstasDiagrama"/>
    <w:uiPriority w:val="99"/>
    <w:unhideWhenUsed/>
    <w:rsid w:val="006F0C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F0C79"/>
    <w:rPr>
      <w:sz w:val="20"/>
      <w:szCs w:val="20"/>
    </w:rPr>
  </w:style>
  <w:style w:type="paragraph" w:styleId="Komentarotema">
    <w:name w:val="annotation subject"/>
    <w:basedOn w:val="Komentarotekstas"/>
    <w:next w:val="Komentarotekstas"/>
    <w:link w:val="KomentarotemaDiagrama"/>
    <w:uiPriority w:val="99"/>
    <w:semiHidden/>
    <w:unhideWhenUsed/>
    <w:rsid w:val="006F0C79"/>
    <w:rPr>
      <w:b/>
      <w:bCs/>
    </w:rPr>
  </w:style>
  <w:style w:type="character" w:customStyle="1" w:styleId="KomentarotemaDiagrama">
    <w:name w:val="Komentaro tema Diagrama"/>
    <w:basedOn w:val="KomentarotekstasDiagrama"/>
    <w:link w:val="Komentarotema"/>
    <w:uiPriority w:val="99"/>
    <w:semiHidden/>
    <w:rsid w:val="006F0C79"/>
    <w:rPr>
      <w:b/>
      <w:bCs/>
      <w:sz w:val="20"/>
      <w:szCs w:val="20"/>
    </w:rPr>
  </w:style>
  <w:style w:type="paragraph" w:styleId="Debesliotekstas">
    <w:name w:val="Balloon Text"/>
    <w:basedOn w:val="prastasis"/>
    <w:link w:val="DebesliotekstasDiagrama"/>
    <w:uiPriority w:val="99"/>
    <w:semiHidden/>
    <w:unhideWhenUsed/>
    <w:rsid w:val="006F0C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0C79"/>
    <w:rPr>
      <w:rFonts w:ascii="Tahoma" w:hAnsi="Tahoma" w:cs="Tahoma"/>
      <w:sz w:val="16"/>
      <w:szCs w:val="16"/>
    </w:rPr>
  </w:style>
  <w:style w:type="paragraph" w:customStyle="1" w:styleId="Default">
    <w:name w:val="Default"/>
    <w:rsid w:val="00B11A45"/>
    <w:pPr>
      <w:autoSpaceDE w:val="0"/>
      <w:autoSpaceDN w:val="0"/>
      <w:adjustRightInd w:val="0"/>
      <w:spacing w:after="0" w:line="240" w:lineRule="auto"/>
    </w:pPr>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886FA3"/>
    <w:rPr>
      <w:color w:val="800080" w:themeColor="followedHyperlink"/>
      <w:u w:val="single"/>
    </w:rPr>
  </w:style>
  <w:style w:type="paragraph" w:customStyle="1" w:styleId="CharChar1CharCharCharChar">
    <w:name w:val="Char Char1 Char Char Char Char"/>
    <w:basedOn w:val="prastasis"/>
    <w:rsid w:val="00615EA7"/>
    <w:pPr>
      <w:spacing w:after="160" w:line="240" w:lineRule="exact"/>
    </w:pPr>
    <w:rPr>
      <w:rFonts w:ascii="Tahoma" w:eastAsia="Times New Roman" w:hAnsi="Tahoma" w:cs="Times New Roman"/>
      <w:sz w:val="20"/>
      <w:szCs w:val="20"/>
      <w:lang w:val="en-US"/>
    </w:rPr>
  </w:style>
  <w:style w:type="character" w:customStyle="1" w:styleId="Antrat1Diagrama">
    <w:name w:val="Antraštė 1 Diagrama"/>
    <w:basedOn w:val="Numatytasispastraiposriftas"/>
    <w:link w:val="Antrat1"/>
    <w:uiPriority w:val="9"/>
    <w:rsid w:val="00D56E99"/>
    <w:rPr>
      <w:rFonts w:asciiTheme="majorHAnsi" w:eastAsiaTheme="majorEastAsia" w:hAnsiTheme="majorHAnsi" w:cstheme="majorBidi"/>
      <w:b/>
      <w:bCs/>
      <w:sz w:val="28"/>
      <w:szCs w:val="28"/>
    </w:rPr>
  </w:style>
  <w:style w:type="paragraph" w:styleId="Turinioantrat">
    <w:name w:val="TOC Heading"/>
    <w:basedOn w:val="Antrat1"/>
    <w:next w:val="prastasis"/>
    <w:uiPriority w:val="39"/>
    <w:unhideWhenUsed/>
    <w:qFormat/>
    <w:rsid w:val="00D56E99"/>
    <w:pPr>
      <w:outlineLvl w:val="9"/>
    </w:pPr>
    <w:rPr>
      <w:lang w:bidi="en-US"/>
    </w:rPr>
  </w:style>
  <w:style w:type="paragraph" w:styleId="Turinys1">
    <w:name w:val="toc 1"/>
    <w:basedOn w:val="prastasis"/>
    <w:next w:val="prastasis"/>
    <w:autoRedefine/>
    <w:uiPriority w:val="39"/>
    <w:unhideWhenUsed/>
    <w:rsid w:val="00440CCE"/>
    <w:pPr>
      <w:spacing w:after="100"/>
    </w:pPr>
  </w:style>
  <w:style w:type="paragraph" w:styleId="Turinys2">
    <w:name w:val="toc 2"/>
    <w:basedOn w:val="prastasis"/>
    <w:next w:val="prastasis"/>
    <w:autoRedefine/>
    <w:uiPriority w:val="39"/>
    <w:unhideWhenUsed/>
    <w:rsid w:val="00440CCE"/>
    <w:pPr>
      <w:spacing w:after="100"/>
      <w:ind w:left="220"/>
    </w:pPr>
  </w:style>
  <w:style w:type="paragraph" w:styleId="Turinys3">
    <w:name w:val="toc 3"/>
    <w:basedOn w:val="prastasis"/>
    <w:next w:val="prastasis"/>
    <w:autoRedefine/>
    <w:uiPriority w:val="39"/>
    <w:unhideWhenUsed/>
    <w:rsid w:val="00440CCE"/>
    <w:pPr>
      <w:spacing w:after="100"/>
      <w:ind w:left="440"/>
    </w:pPr>
  </w:style>
  <w:style w:type="character" w:styleId="Knygospavadinimas">
    <w:name w:val="Book Title"/>
    <w:uiPriority w:val="33"/>
    <w:qFormat/>
    <w:rsid w:val="00D56E99"/>
    <w:rPr>
      <w:i/>
      <w:iCs/>
      <w:smallCaps/>
      <w:spacing w:val="5"/>
    </w:rPr>
  </w:style>
  <w:style w:type="character" w:customStyle="1" w:styleId="Antrat2Diagrama">
    <w:name w:val="Antraštė 2 Diagrama"/>
    <w:basedOn w:val="Numatytasispastraiposriftas"/>
    <w:link w:val="Antrat2"/>
    <w:uiPriority w:val="9"/>
    <w:semiHidden/>
    <w:rsid w:val="00D56E99"/>
    <w:rPr>
      <w:rFonts w:asciiTheme="majorHAnsi" w:eastAsiaTheme="majorEastAsia" w:hAnsiTheme="majorHAnsi" w:cstheme="majorBidi"/>
      <w:b/>
      <w:bCs/>
      <w:sz w:val="26"/>
      <w:szCs w:val="26"/>
    </w:rPr>
  </w:style>
  <w:style w:type="character" w:customStyle="1" w:styleId="Antrat3Diagrama">
    <w:name w:val="Antraštė 3 Diagrama"/>
    <w:basedOn w:val="Numatytasispastraiposriftas"/>
    <w:link w:val="Antrat3"/>
    <w:uiPriority w:val="9"/>
    <w:semiHidden/>
    <w:rsid w:val="00D56E99"/>
    <w:rPr>
      <w:rFonts w:asciiTheme="majorHAnsi" w:eastAsiaTheme="majorEastAsia" w:hAnsiTheme="majorHAnsi" w:cstheme="majorBidi"/>
      <w:b/>
      <w:bCs/>
    </w:rPr>
  </w:style>
  <w:style w:type="character" w:customStyle="1" w:styleId="Antrat4Diagrama">
    <w:name w:val="Antraštė 4 Diagrama"/>
    <w:basedOn w:val="Numatytasispastraiposriftas"/>
    <w:link w:val="Antrat4"/>
    <w:uiPriority w:val="9"/>
    <w:semiHidden/>
    <w:rsid w:val="00D56E99"/>
    <w:rPr>
      <w:rFonts w:asciiTheme="majorHAnsi" w:eastAsiaTheme="majorEastAsia" w:hAnsiTheme="majorHAnsi" w:cstheme="majorBidi"/>
      <w:b/>
      <w:bCs/>
      <w:i/>
      <w:iCs/>
    </w:rPr>
  </w:style>
  <w:style w:type="character" w:customStyle="1" w:styleId="Antrat5Diagrama">
    <w:name w:val="Antraštė 5 Diagrama"/>
    <w:basedOn w:val="Numatytasispastraiposriftas"/>
    <w:link w:val="Antrat5"/>
    <w:uiPriority w:val="9"/>
    <w:semiHidden/>
    <w:rsid w:val="00D56E99"/>
    <w:rPr>
      <w:rFonts w:asciiTheme="majorHAnsi" w:eastAsiaTheme="majorEastAsia" w:hAnsiTheme="majorHAnsi" w:cstheme="majorBidi"/>
      <w:b/>
      <w:bCs/>
      <w:color w:val="7F7F7F" w:themeColor="text1" w:themeTint="80"/>
    </w:rPr>
  </w:style>
  <w:style w:type="character" w:customStyle="1" w:styleId="Antrat6Diagrama">
    <w:name w:val="Antraštė 6 Diagrama"/>
    <w:basedOn w:val="Numatytasispastraiposriftas"/>
    <w:link w:val="Antrat6"/>
    <w:uiPriority w:val="9"/>
    <w:semiHidden/>
    <w:rsid w:val="00D56E99"/>
    <w:rPr>
      <w:rFonts w:asciiTheme="majorHAnsi" w:eastAsiaTheme="majorEastAsia" w:hAnsiTheme="majorHAnsi" w:cstheme="majorBidi"/>
      <w:b/>
      <w:bCs/>
      <w:i/>
      <w:iCs/>
      <w:color w:val="7F7F7F" w:themeColor="text1" w:themeTint="80"/>
    </w:rPr>
  </w:style>
  <w:style w:type="character" w:customStyle="1" w:styleId="Antrat7Diagrama">
    <w:name w:val="Antraštė 7 Diagrama"/>
    <w:basedOn w:val="Numatytasispastraiposriftas"/>
    <w:link w:val="Antrat7"/>
    <w:uiPriority w:val="9"/>
    <w:semiHidden/>
    <w:rsid w:val="00D56E99"/>
    <w:rPr>
      <w:rFonts w:asciiTheme="majorHAnsi" w:eastAsiaTheme="majorEastAsia" w:hAnsiTheme="majorHAnsi" w:cstheme="majorBidi"/>
      <w:i/>
      <w:iCs/>
    </w:rPr>
  </w:style>
  <w:style w:type="character" w:customStyle="1" w:styleId="Antrat8Diagrama">
    <w:name w:val="Antraštė 8 Diagrama"/>
    <w:basedOn w:val="Numatytasispastraiposriftas"/>
    <w:link w:val="Antrat8"/>
    <w:uiPriority w:val="9"/>
    <w:semiHidden/>
    <w:rsid w:val="00D56E99"/>
    <w:rPr>
      <w:rFonts w:asciiTheme="majorHAnsi" w:eastAsiaTheme="majorEastAsia" w:hAnsiTheme="majorHAnsi" w:cstheme="majorBidi"/>
      <w:sz w:val="20"/>
      <w:szCs w:val="20"/>
    </w:rPr>
  </w:style>
  <w:style w:type="character" w:customStyle="1" w:styleId="Antrat9Diagrama">
    <w:name w:val="Antraštė 9 Diagrama"/>
    <w:basedOn w:val="Numatytasispastraiposriftas"/>
    <w:link w:val="Antrat9"/>
    <w:uiPriority w:val="9"/>
    <w:semiHidden/>
    <w:rsid w:val="00D56E99"/>
    <w:rPr>
      <w:rFonts w:asciiTheme="majorHAnsi" w:eastAsiaTheme="majorEastAsia" w:hAnsiTheme="majorHAnsi" w:cstheme="majorBidi"/>
      <w:i/>
      <w:iCs/>
      <w:spacing w:val="5"/>
      <w:sz w:val="20"/>
      <w:szCs w:val="20"/>
    </w:rPr>
  </w:style>
  <w:style w:type="paragraph" w:styleId="Pavadinimas">
    <w:name w:val="Title"/>
    <w:basedOn w:val="prastasis"/>
    <w:next w:val="prastasis"/>
    <w:link w:val="PavadinimasDiagrama"/>
    <w:uiPriority w:val="10"/>
    <w:qFormat/>
    <w:rsid w:val="00D56E9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PavadinimasDiagrama">
    <w:name w:val="Pavadinimas Diagrama"/>
    <w:basedOn w:val="Numatytasispastraiposriftas"/>
    <w:link w:val="Pavadinimas"/>
    <w:uiPriority w:val="10"/>
    <w:rsid w:val="00D56E99"/>
    <w:rPr>
      <w:rFonts w:asciiTheme="majorHAnsi" w:eastAsiaTheme="majorEastAsia" w:hAnsiTheme="majorHAnsi" w:cstheme="majorBidi"/>
      <w:spacing w:val="5"/>
      <w:sz w:val="52"/>
      <w:szCs w:val="52"/>
    </w:rPr>
  </w:style>
  <w:style w:type="paragraph" w:styleId="Antrinispavadinimas">
    <w:name w:val="Subtitle"/>
    <w:basedOn w:val="prastasis"/>
    <w:next w:val="prastasis"/>
    <w:link w:val="AntrinispavadinimasDiagrama"/>
    <w:uiPriority w:val="11"/>
    <w:qFormat/>
    <w:rsid w:val="00D56E99"/>
    <w:pPr>
      <w:spacing w:after="600"/>
    </w:pPr>
    <w:rPr>
      <w:rFonts w:asciiTheme="majorHAnsi" w:eastAsiaTheme="majorEastAsia" w:hAnsiTheme="majorHAnsi" w:cstheme="majorBidi"/>
      <w:i/>
      <w:iCs/>
      <w:spacing w:val="13"/>
      <w:sz w:val="24"/>
      <w:szCs w:val="24"/>
    </w:rPr>
  </w:style>
  <w:style w:type="character" w:customStyle="1" w:styleId="AntrinispavadinimasDiagrama">
    <w:name w:val="Antrinis pavadinimas Diagrama"/>
    <w:basedOn w:val="Numatytasispastraiposriftas"/>
    <w:link w:val="Antrinispavadinimas"/>
    <w:uiPriority w:val="11"/>
    <w:rsid w:val="00D56E99"/>
    <w:rPr>
      <w:rFonts w:asciiTheme="majorHAnsi" w:eastAsiaTheme="majorEastAsia" w:hAnsiTheme="majorHAnsi" w:cstheme="majorBidi"/>
      <w:i/>
      <w:iCs/>
      <w:spacing w:val="13"/>
      <w:sz w:val="24"/>
      <w:szCs w:val="24"/>
    </w:rPr>
  </w:style>
  <w:style w:type="character" w:styleId="Grietas">
    <w:name w:val="Strong"/>
    <w:uiPriority w:val="22"/>
    <w:qFormat/>
    <w:rsid w:val="00D56E99"/>
    <w:rPr>
      <w:b/>
      <w:bCs/>
    </w:rPr>
  </w:style>
  <w:style w:type="character" w:styleId="Emfaz">
    <w:name w:val="Emphasis"/>
    <w:uiPriority w:val="20"/>
    <w:qFormat/>
    <w:rsid w:val="00D56E99"/>
    <w:rPr>
      <w:b/>
      <w:bCs/>
      <w:i/>
      <w:iCs/>
      <w:spacing w:val="10"/>
      <w:bdr w:val="none" w:sz="0" w:space="0" w:color="auto"/>
      <w:shd w:val="clear" w:color="auto" w:fill="auto"/>
    </w:rPr>
  </w:style>
  <w:style w:type="paragraph" w:styleId="Betarp">
    <w:name w:val="No Spacing"/>
    <w:basedOn w:val="prastasis"/>
    <w:uiPriority w:val="1"/>
    <w:qFormat/>
    <w:rsid w:val="00D56E99"/>
    <w:pPr>
      <w:spacing w:after="0" w:line="240" w:lineRule="auto"/>
    </w:pPr>
  </w:style>
  <w:style w:type="paragraph" w:styleId="Citata">
    <w:name w:val="Quote"/>
    <w:basedOn w:val="prastasis"/>
    <w:next w:val="prastasis"/>
    <w:link w:val="CitataDiagrama"/>
    <w:uiPriority w:val="29"/>
    <w:qFormat/>
    <w:rsid w:val="00D56E99"/>
    <w:pPr>
      <w:spacing w:before="200" w:after="0"/>
      <w:ind w:left="360" w:right="360"/>
    </w:pPr>
    <w:rPr>
      <w:i/>
      <w:iCs/>
    </w:rPr>
  </w:style>
  <w:style w:type="character" w:customStyle="1" w:styleId="CitataDiagrama">
    <w:name w:val="Citata Diagrama"/>
    <w:basedOn w:val="Numatytasispastraiposriftas"/>
    <w:link w:val="Citata"/>
    <w:uiPriority w:val="29"/>
    <w:rsid w:val="00D56E99"/>
    <w:rPr>
      <w:i/>
      <w:iCs/>
    </w:rPr>
  </w:style>
  <w:style w:type="paragraph" w:styleId="Iskirtacitata">
    <w:name w:val="Intense Quote"/>
    <w:basedOn w:val="prastasis"/>
    <w:next w:val="prastasis"/>
    <w:link w:val="IskirtacitataDiagrama"/>
    <w:uiPriority w:val="30"/>
    <w:qFormat/>
    <w:rsid w:val="00D56E99"/>
    <w:pPr>
      <w:pBdr>
        <w:bottom w:val="single" w:sz="4" w:space="1" w:color="auto"/>
      </w:pBdr>
      <w:spacing w:before="200" w:after="280"/>
      <w:ind w:left="1008" w:right="1152"/>
      <w:jc w:val="both"/>
    </w:pPr>
    <w:rPr>
      <w:b/>
      <w:bCs/>
      <w:i/>
      <w:iCs/>
    </w:rPr>
  </w:style>
  <w:style w:type="character" w:customStyle="1" w:styleId="IskirtacitataDiagrama">
    <w:name w:val="Išskirta citata Diagrama"/>
    <w:basedOn w:val="Numatytasispastraiposriftas"/>
    <w:link w:val="Iskirtacitata"/>
    <w:uiPriority w:val="30"/>
    <w:rsid w:val="00D56E99"/>
    <w:rPr>
      <w:b/>
      <w:bCs/>
      <w:i/>
      <w:iCs/>
    </w:rPr>
  </w:style>
  <w:style w:type="character" w:styleId="Nerykuspabraukimas">
    <w:name w:val="Subtle Emphasis"/>
    <w:uiPriority w:val="19"/>
    <w:qFormat/>
    <w:rsid w:val="00D56E99"/>
    <w:rPr>
      <w:i/>
      <w:iCs/>
    </w:rPr>
  </w:style>
  <w:style w:type="character" w:styleId="Rykuspabraukimas">
    <w:name w:val="Intense Emphasis"/>
    <w:uiPriority w:val="21"/>
    <w:qFormat/>
    <w:rsid w:val="00D56E99"/>
    <w:rPr>
      <w:b/>
      <w:bCs/>
    </w:rPr>
  </w:style>
  <w:style w:type="character" w:styleId="Nerykinuoroda">
    <w:name w:val="Subtle Reference"/>
    <w:uiPriority w:val="31"/>
    <w:qFormat/>
    <w:rsid w:val="00D56E99"/>
    <w:rPr>
      <w:smallCaps/>
    </w:rPr>
  </w:style>
  <w:style w:type="character" w:styleId="Rykinuoroda">
    <w:name w:val="Intense Reference"/>
    <w:uiPriority w:val="32"/>
    <w:qFormat/>
    <w:rsid w:val="00D56E99"/>
    <w:rPr>
      <w:smallCaps/>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6E99"/>
  </w:style>
  <w:style w:type="paragraph" w:styleId="Antrat1">
    <w:name w:val="heading 1"/>
    <w:basedOn w:val="prastasis"/>
    <w:next w:val="prastasis"/>
    <w:link w:val="Antrat1Diagrama"/>
    <w:uiPriority w:val="9"/>
    <w:qFormat/>
    <w:rsid w:val="00D56E99"/>
    <w:pPr>
      <w:spacing w:before="480" w:after="0"/>
      <w:contextualSpacing/>
      <w:outlineLvl w:val="0"/>
    </w:pPr>
    <w:rPr>
      <w:rFonts w:asciiTheme="majorHAnsi" w:eastAsiaTheme="majorEastAsia" w:hAnsiTheme="majorHAnsi" w:cstheme="majorBidi"/>
      <w:b/>
      <w:bCs/>
      <w:sz w:val="28"/>
      <w:szCs w:val="28"/>
    </w:rPr>
  </w:style>
  <w:style w:type="paragraph" w:styleId="Antrat2">
    <w:name w:val="heading 2"/>
    <w:basedOn w:val="prastasis"/>
    <w:next w:val="prastasis"/>
    <w:link w:val="Antrat2Diagrama"/>
    <w:uiPriority w:val="9"/>
    <w:semiHidden/>
    <w:unhideWhenUsed/>
    <w:qFormat/>
    <w:rsid w:val="00D56E99"/>
    <w:pPr>
      <w:spacing w:before="200" w:after="0"/>
      <w:outlineLvl w:val="1"/>
    </w:pPr>
    <w:rPr>
      <w:rFonts w:asciiTheme="majorHAnsi" w:eastAsiaTheme="majorEastAsia" w:hAnsiTheme="majorHAnsi" w:cstheme="majorBidi"/>
      <w:b/>
      <w:bCs/>
      <w:sz w:val="26"/>
      <w:szCs w:val="26"/>
    </w:rPr>
  </w:style>
  <w:style w:type="paragraph" w:styleId="Antrat3">
    <w:name w:val="heading 3"/>
    <w:basedOn w:val="prastasis"/>
    <w:next w:val="prastasis"/>
    <w:link w:val="Antrat3Diagrama"/>
    <w:uiPriority w:val="9"/>
    <w:semiHidden/>
    <w:unhideWhenUsed/>
    <w:qFormat/>
    <w:rsid w:val="00D56E99"/>
    <w:pPr>
      <w:spacing w:before="200" w:after="0" w:line="271" w:lineRule="auto"/>
      <w:outlineLvl w:val="2"/>
    </w:pPr>
    <w:rPr>
      <w:rFonts w:asciiTheme="majorHAnsi" w:eastAsiaTheme="majorEastAsia" w:hAnsiTheme="majorHAnsi" w:cstheme="majorBidi"/>
      <w:b/>
      <w:bCs/>
    </w:rPr>
  </w:style>
  <w:style w:type="paragraph" w:styleId="Antrat4">
    <w:name w:val="heading 4"/>
    <w:basedOn w:val="prastasis"/>
    <w:next w:val="prastasis"/>
    <w:link w:val="Antrat4Diagrama"/>
    <w:uiPriority w:val="9"/>
    <w:semiHidden/>
    <w:unhideWhenUsed/>
    <w:qFormat/>
    <w:rsid w:val="00D56E99"/>
    <w:pPr>
      <w:spacing w:before="200" w:after="0"/>
      <w:outlineLvl w:val="3"/>
    </w:pPr>
    <w:rPr>
      <w:rFonts w:asciiTheme="majorHAnsi" w:eastAsiaTheme="majorEastAsia" w:hAnsiTheme="majorHAnsi" w:cstheme="majorBidi"/>
      <w:b/>
      <w:bCs/>
      <w:i/>
      <w:iCs/>
    </w:rPr>
  </w:style>
  <w:style w:type="paragraph" w:styleId="Antrat5">
    <w:name w:val="heading 5"/>
    <w:basedOn w:val="prastasis"/>
    <w:next w:val="prastasis"/>
    <w:link w:val="Antrat5Diagrama"/>
    <w:uiPriority w:val="9"/>
    <w:semiHidden/>
    <w:unhideWhenUsed/>
    <w:qFormat/>
    <w:rsid w:val="00D56E99"/>
    <w:pPr>
      <w:spacing w:before="200" w:after="0"/>
      <w:outlineLvl w:val="4"/>
    </w:pPr>
    <w:rPr>
      <w:rFonts w:asciiTheme="majorHAnsi" w:eastAsiaTheme="majorEastAsia" w:hAnsiTheme="majorHAnsi" w:cstheme="majorBidi"/>
      <w:b/>
      <w:bCs/>
      <w:color w:val="7F7F7F" w:themeColor="text1" w:themeTint="80"/>
    </w:rPr>
  </w:style>
  <w:style w:type="paragraph" w:styleId="Antrat6">
    <w:name w:val="heading 6"/>
    <w:basedOn w:val="prastasis"/>
    <w:next w:val="prastasis"/>
    <w:link w:val="Antrat6Diagrama"/>
    <w:uiPriority w:val="9"/>
    <w:semiHidden/>
    <w:unhideWhenUsed/>
    <w:qFormat/>
    <w:rsid w:val="00D56E99"/>
    <w:pPr>
      <w:spacing w:after="0" w:line="271" w:lineRule="auto"/>
      <w:outlineLvl w:val="5"/>
    </w:pPr>
    <w:rPr>
      <w:rFonts w:asciiTheme="majorHAnsi" w:eastAsiaTheme="majorEastAsia" w:hAnsiTheme="majorHAnsi" w:cstheme="majorBidi"/>
      <w:b/>
      <w:bCs/>
      <w:i/>
      <w:iCs/>
      <w:color w:val="7F7F7F" w:themeColor="text1" w:themeTint="80"/>
    </w:rPr>
  </w:style>
  <w:style w:type="paragraph" w:styleId="Antrat7">
    <w:name w:val="heading 7"/>
    <w:basedOn w:val="prastasis"/>
    <w:next w:val="prastasis"/>
    <w:link w:val="Antrat7Diagrama"/>
    <w:uiPriority w:val="9"/>
    <w:semiHidden/>
    <w:unhideWhenUsed/>
    <w:qFormat/>
    <w:rsid w:val="00D56E99"/>
    <w:pPr>
      <w:spacing w:after="0"/>
      <w:outlineLvl w:val="6"/>
    </w:pPr>
    <w:rPr>
      <w:rFonts w:asciiTheme="majorHAnsi" w:eastAsiaTheme="majorEastAsia" w:hAnsiTheme="majorHAnsi" w:cstheme="majorBidi"/>
      <w:i/>
      <w:iCs/>
    </w:rPr>
  </w:style>
  <w:style w:type="paragraph" w:styleId="Antrat8">
    <w:name w:val="heading 8"/>
    <w:basedOn w:val="prastasis"/>
    <w:next w:val="prastasis"/>
    <w:link w:val="Antrat8Diagrama"/>
    <w:uiPriority w:val="9"/>
    <w:semiHidden/>
    <w:unhideWhenUsed/>
    <w:qFormat/>
    <w:rsid w:val="00D56E99"/>
    <w:pPr>
      <w:spacing w:after="0"/>
      <w:outlineLvl w:val="7"/>
    </w:pPr>
    <w:rPr>
      <w:rFonts w:asciiTheme="majorHAnsi" w:eastAsiaTheme="majorEastAsia" w:hAnsiTheme="majorHAnsi" w:cstheme="majorBidi"/>
      <w:sz w:val="20"/>
      <w:szCs w:val="20"/>
    </w:rPr>
  </w:style>
  <w:style w:type="paragraph" w:styleId="Antrat9">
    <w:name w:val="heading 9"/>
    <w:basedOn w:val="prastasis"/>
    <w:next w:val="prastasis"/>
    <w:link w:val="Antrat9Diagrama"/>
    <w:uiPriority w:val="9"/>
    <w:semiHidden/>
    <w:unhideWhenUsed/>
    <w:qFormat/>
    <w:rsid w:val="00D56E99"/>
    <w:pPr>
      <w:spacing w:after="0"/>
      <w:outlineLvl w:val="8"/>
    </w:pPr>
    <w:rPr>
      <w:rFonts w:asciiTheme="majorHAnsi" w:eastAsiaTheme="majorEastAsia" w:hAnsiTheme="majorHAnsi" w:cstheme="majorBidi"/>
      <w:i/>
      <w:iCs/>
      <w:spacing w:val="5"/>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B18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B1886"/>
  </w:style>
  <w:style w:type="paragraph" w:styleId="Porat">
    <w:name w:val="footer"/>
    <w:basedOn w:val="prastasis"/>
    <w:link w:val="PoratDiagrama"/>
    <w:uiPriority w:val="99"/>
    <w:unhideWhenUsed/>
    <w:rsid w:val="000B18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B1886"/>
  </w:style>
  <w:style w:type="paragraph" w:styleId="Puslapioinaostekstas">
    <w:name w:val="footnote text"/>
    <w:basedOn w:val="prastasis"/>
    <w:link w:val="PuslapioinaostekstasDiagrama"/>
    <w:uiPriority w:val="99"/>
    <w:semiHidden/>
    <w:unhideWhenUsed/>
    <w:rsid w:val="00743D8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3D86"/>
    <w:rPr>
      <w:sz w:val="20"/>
      <w:szCs w:val="20"/>
    </w:rPr>
  </w:style>
  <w:style w:type="character" w:styleId="Puslapioinaosnuoroda">
    <w:name w:val="footnote reference"/>
    <w:basedOn w:val="Numatytasispastraiposriftas"/>
    <w:uiPriority w:val="99"/>
    <w:semiHidden/>
    <w:unhideWhenUsed/>
    <w:rsid w:val="00743D86"/>
    <w:rPr>
      <w:vertAlign w:val="superscript"/>
    </w:rPr>
  </w:style>
  <w:style w:type="paragraph" w:styleId="Sraopastraipa">
    <w:name w:val="List Paragraph"/>
    <w:basedOn w:val="prastasis"/>
    <w:uiPriority w:val="34"/>
    <w:qFormat/>
    <w:rsid w:val="00D56E99"/>
    <w:pPr>
      <w:ind w:left="720"/>
      <w:contextualSpacing/>
    </w:pPr>
  </w:style>
  <w:style w:type="character" w:styleId="Hipersaitas">
    <w:name w:val="Hyperlink"/>
    <w:basedOn w:val="Numatytasispastraiposriftas"/>
    <w:uiPriority w:val="99"/>
    <w:unhideWhenUsed/>
    <w:rsid w:val="006734C8"/>
    <w:rPr>
      <w:color w:val="0000FF"/>
      <w:u w:val="single"/>
    </w:rPr>
  </w:style>
  <w:style w:type="character" w:customStyle="1" w:styleId="apple-style-span">
    <w:name w:val="apple-style-span"/>
    <w:basedOn w:val="Numatytasispastraiposriftas"/>
    <w:rsid w:val="006C4B77"/>
  </w:style>
  <w:style w:type="paragraph" w:styleId="prastasistinklapis">
    <w:name w:val="Normal (Web)"/>
    <w:basedOn w:val="prastasis"/>
    <w:uiPriority w:val="99"/>
    <w:unhideWhenUsed/>
    <w:rsid w:val="00B13DB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Numatytasispastraiposriftas"/>
    <w:rsid w:val="00B13DBF"/>
  </w:style>
  <w:style w:type="character" w:styleId="Komentaronuoroda">
    <w:name w:val="annotation reference"/>
    <w:basedOn w:val="Numatytasispastraiposriftas"/>
    <w:unhideWhenUsed/>
    <w:rsid w:val="006F0C79"/>
    <w:rPr>
      <w:sz w:val="16"/>
      <w:szCs w:val="16"/>
    </w:rPr>
  </w:style>
  <w:style w:type="paragraph" w:styleId="Komentarotekstas">
    <w:name w:val="annotation text"/>
    <w:basedOn w:val="prastasis"/>
    <w:link w:val="KomentarotekstasDiagrama"/>
    <w:uiPriority w:val="99"/>
    <w:unhideWhenUsed/>
    <w:rsid w:val="006F0C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F0C79"/>
    <w:rPr>
      <w:sz w:val="20"/>
      <w:szCs w:val="20"/>
    </w:rPr>
  </w:style>
  <w:style w:type="paragraph" w:styleId="Komentarotema">
    <w:name w:val="annotation subject"/>
    <w:basedOn w:val="Komentarotekstas"/>
    <w:next w:val="Komentarotekstas"/>
    <w:link w:val="KomentarotemaDiagrama"/>
    <w:uiPriority w:val="99"/>
    <w:semiHidden/>
    <w:unhideWhenUsed/>
    <w:rsid w:val="006F0C79"/>
    <w:rPr>
      <w:b/>
      <w:bCs/>
    </w:rPr>
  </w:style>
  <w:style w:type="character" w:customStyle="1" w:styleId="KomentarotemaDiagrama">
    <w:name w:val="Komentaro tema Diagrama"/>
    <w:basedOn w:val="KomentarotekstasDiagrama"/>
    <w:link w:val="Komentarotema"/>
    <w:uiPriority w:val="99"/>
    <w:semiHidden/>
    <w:rsid w:val="006F0C79"/>
    <w:rPr>
      <w:b/>
      <w:bCs/>
      <w:sz w:val="20"/>
      <w:szCs w:val="20"/>
    </w:rPr>
  </w:style>
  <w:style w:type="paragraph" w:styleId="Debesliotekstas">
    <w:name w:val="Balloon Text"/>
    <w:basedOn w:val="prastasis"/>
    <w:link w:val="DebesliotekstasDiagrama"/>
    <w:uiPriority w:val="99"/>
    <w:semiHidden/>
    <w:unhideWhenUsed/>
    <w:rsid w:val="006F0C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0C79"/>
    <w:rPr>
      <w:rFonts w:ascii="Tahoma" w:hAnsi="Tahoma" w:cs="Tahoma"/>
      <w:sz w:val="16"/>
      <w:szCs w:val="16"/>
    </w:rPr>
  </w:style>
  <w:style w:type="paragraph" w:customStyle="1" w:styleId="Default">
    <w:name w:val="Default"/>
    <w:rsid w:val="00B11A45"/>
    <w:pPr>
      <w:autoSpaceDE w:val="0"/>
      <w:autoSpaceDN w:val="0"/>
      <w:adjustRightInd w:val="0"/>
      <w:spacing w:after="0" w:line="240" w:lineRule="auto"/>
    </w:pPr>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886FA3"/>
    <w:rPr>
      <w:color w:val="800080" w:themeColor="followedHyperlink"/>
      <w:u w:val="single"/>
    </w:rPr>
  </w:style>
  <w:style w:type="paragraph" w:customStyle="1" w:styleId="CharChar1CharCharCharChar">
    <w:name w:val="Char Char1 Char Char Char Char"/>
    <w:basedOn w:val="prastasis"/>
    <w:rsid w:val="00615EA7"/>
    <w:pPr>
      <w:spacing w:after="160" w:line="240" w:lineRule="exact"/>
    </w:pPr>
    <w:rPr>
      <w:rFonts w:ascii="Tahoma" w:eastAsia="Times New Roman" w:hAnsi="Tahoma" w:cs="Times New Roman"/>
      <w:sz w:val="20"/>
      <w:szCs w:val="20"/>
      <w:lang w:val="en-US"/>
    </w:rPr>
  </w:style>
  <w:style w:type="character" w:customStyle="1" w:styleId="Antrat1Diagrama">
    <w:name w:val="Antraštė 1 Diagrama"/>
    <w:basedOn w:val="Numatytasispastraiposriftas"/>
    <w:link w:val="Antrat1"/>
    <w:uiPriority w:val="9"/>
    <w:rsid w:val="00D56E99"/>
    <w:rPr>
      <w:rFonts w:asciiTheme="majorHAnsi" w:eastAsiaTheme="majorEastAsia" w:hAnsiTheme="majorHAnsi" w:cstheme="majorBidi"/>
      <w:b/>
      <w:bCs/>
      <w:sz w:val="28"/>
      <w:szCs w:val="28"/>
    </w:rPr>
  </w:style>
  <w:style w:type="paragraph" w:styleId="Turinioantrat">
    <w:name w:val="TOC Heading"/>
    <w:basedOn w:val="Antrat1"/>
    <w:next w:val="prastasis"/>
    <w:uiPriority w:val="39"/>
    <w:unhideWhenUsed/>
    <w:qFormat/>
    <w:rsid w:val="00D56E99"/>
    <w:pPr>
      <w:outlineLvl w:val="9"/>
    </w:pPr>
    <w:rPr>
      <w:lang w:bidi="en-US"/>
    </w:rPr>
  </w:style>
  <w:style w:type="paragraph" w:styleId="Turinys1">
    <w:name w:val="toc 1"/>
    <w:basedOn w:val="prastasis"/>
    <w:next w:val="prastasis"/>
    <w:autoRedefine/>
    <w:uiPriority w:val="39"/>
    <w:unhideWhenUsed/>
    <w:rsid w:val="00440CCE"/>
    <w:pPr>
      <w:spacing w:after="100"/>
    </w:pPr>
  </w:style>
  <w:style w:type="paragraph" w:styleId="Turinys2">
    <w:name w:val="toc 2"/>
    <w:basedOn w:val="prastasis"/>
    <w:next w:val="prastasis"/>
    <w:autoRedefine/>
    <w:uiPriority w:val="39"/>
    <w:unhideWhenUsed/>
    <w:rsid w:val="00440CCE"/>
    <w:pPr>
      <w:spacing w:after="100"/>
      <w:ind w:left="220"/>
    </w:pPr>
  </w:style>
  <w:style w:type="paragraph" w:styleId="Turinys3">
    <w:name w:val="toc 3"/>
    <w:basedOn w:val="prastasis"/>
    <w:next w:val="prastasis"/>
    <w:autoRedefine/>
    <w:uiPriority w:val="39"/>
    <w:unhideWhenUsed/>
    <w:rsid w:val="00440CCE"/>
    <w:pPr>
      <w:spacing w:after="100"/>
      <w:ind w:left="440"/>
    </w:pPr>
  </w:style>
  <w:style w:type="character" w:styleId="Knygospavadinimas">
    <w:name w:val="Book Title"/>
    <w:uiPriority w:val="33"/>
    <w:qFormat/>
    <w:rsid w:val="00D56E99"/>
    <w:rPr>
      <w:i/>
      <w:iCs/>
      <w:smallCaps/>
      <w:spacing w:val="5"/>
    </w:rPr>
  </w:style>
  <w:style w:type="character" w:customStyle="1" w:styleId="Antrat2Diagrama">
    <w:name w:val="Antraštė 2 Diagrama"/>
    <w:basedOn w:val="Numatytasispastraiposriftas"/>
    <w:link w:val="Antrat2"/>
    <w:uiPriority w:val="9"/>
    <w:semiHidden/>
    <w:rsid w:val="00D56E99"/>
    <w:rPr>
      <w:rFonts w:asciiTheme="majorHAnsi" w:eastAsiaTheme="majorEastAsia" w:hAnsiTheme="majorHAnsi" w:cstheme="majorBidi"/>
      <w:b/>
      <w:bCs/>
      <w:sz w:val="26"/>
      <w:szCs w:val="26"/>
    </w:rPr>
  </w:style>
  <w:style w:type="character" w:customStyle="1" w:styleId="Antrat3Diagrama">
    <w:name w:val="Antraštė 3 Diagrama"/>
    <w:basedOn w:val="Numatytasispastraiposriftas"/>
    <w:link w:val="Antrat3"/>
    <w:uiPriority w:val="9"/>
    <w:semiHidden/>
    <w:rsid w:val="00D56E99"/>
    <w:rPr>
      <w:rFonts w:asciiTheme="majorHAnsi" w:eastAsiaTheme="majorEastAsia" w:hAnsiTheme="majorHAnsi" w:cstheme="majorBidi"/>
      <w:b/>
      <w:bCs/>
    </w:rPr>
  </w:style>
  <w:style w:type="character" w:customStyle="1" w:styleId="Antrat4Diagrama">
    <w:name w:val="Antraštė 4 Diagrama"/>
    <w:basedOn w:val="Numatytasispastraiposriftas"/>
    <w:link w:val="Antrat4"/>
    <w:uiPriority w:val="9"/>
    <w:semiHidden/>
    <w:rsid w:val="00D56E99"/>
    <w:rPr>
      <w:rFonts w:asciiTheme="majorHAnsi" w:eastAsiaTheme="majorEastAsia" w:hAnsiTheme="majorHAnsi" w:cstheme="majorBidi"/>
      <w:b/>
      <w:bCs/>
      <w:i/>
      <w:iCs/>
    </w:rPr>
  </w:style>
  <w:style w:type="character" w:customStyle="1" w:styleId="Antrat5Diagrama">
    <w:name w:val="Antraštė 5 Diagrama"/>
    <w:basedOn w:val="Numatytasispastraiposriftas"/>
    <w:link w:val="Antrat5"/>
    <w:uiPriority w:val="9"/>
    <w:semiHidden/>
    <w:rsid w:val="00D56E99"/>
    <w:rPr>
      <w:rFonts w:asciiTheme="majorHAnsi" w:eastAsiaTheme="majorEastAsia" w:hAnsiTheme="majorHAnsi" w:cstheme="majorBidi"/>
      <w:b/>
      <w:bCs/>
      <w:color w:val="7F7F7F" w:themeColor="text1" w:themeTint="80"/>
    </w:rPr>
  </w:style>
  <w:style w:type="character" w:customStyle="1" w:styleId="Antrat6Diagrama">
    <w:name w:val="Antraštė 6 Diagrama"/>
    <w:basedOn w:val="Numatytasispastraiposriftas"/>
    <w:link w:val="Antrat6"/>
    <w:uiPriority w:val="9"/>
    <w:semiHidden/>
    <w:rsid w:val="00D56E99"/>
    <w:rPr>
      <w:rFonts w:asciiTheme="majorHAnsi" w:eastAsiaTheme="majorEastAsia" w:hAnsiTheme="majorHAnsi" w:cstheme="majorBidi"/>
      <w:b/>
      <w:bCs/>
      <w:i/>
      <w:iCs/>
      <w:color w:val="7F7F7F" w:themeColor="text1" w:themeTint="80"/>
    </w:rPr>
  </w:style>
  <w:style w:type="character" w:customStyle="1" w:styleId="Antrat7Diagrama">
    <w:name w:val="Antraštė 7 Diagrama"/>
    <w:basedOn w:val="Numatytasispastraiposriftas"/>
    <w:link w:val="Antrat7"/>
    <w:uiPriority w:val="9"/>
    <w:semiHidden/>
    <w:rsid w:val="00D56E99"/>
    <w:rPr>
      <w:rFonts w:asciiTheme="majorHAnsi" w:eastAsiaTheme="majorEastAsia" w:hAnsiTheme="majorHAnsi" w:cstheme="majorBidi"/>
      <w:i/>
      <w:iCs/>
    </w:rPr>
  </w:style>
  <w:style w:type="character" w:customStyle="1" w:styleId="Antrat8Diagrama">
    <w:name w:val="Antraštė 8 Diagrama"/>
    <w:basedOn w:val="Numatytasispastraiposriftas"/>
    <w:link w:val="Antrat8"/>
    <w:uiPriority w:val="9"/>
    <w:semiHidden/>
    <w:rsid w:val="00D56E99"/>
    <w:rPr>
      <w:rFonts w:asciiTheme="majorHAnsi" w:eastAsiaTheme="majorEastAsia" w:hAnsiTheme="majorHAnsi" w:cstheme="majorBidi"/>
      <w:sz w:val="20"/>
      <w:szCs w:val="20"/>
    </w:rPr>
  </w:style>
  <w:style w:type="character" w:customStyle="1" w:styleId="Antrat9Diagrama">
    <w:name w:val="Antraštė 9 Diagrama"/>
    <w:basedOn w:val="Numatytasispastraiposriftas"/>
    <w:link w:val="Antrat9"/>
    <w:uiPriority w:val="9"/>
    <w:semiHidden/>
    <w:rsid w:val="00D56E99"/>
    <w:rPr>
      <w:rFonts w:asciiTheme="majorHAnsi" w:eastAsiaTheme="majorEastAsia" w:hAnsiTheme="majorHAnsi" w:cstheme="majorBidi"/>
      <w:i/>
      <w:iCs/>
      <w:spacing w:val="5"/>
      <w:sz w:val="20"/>
      <w:szCs w:val="20"/>
    </w:rPr>
  </w:style>
  <w:style w:type="paragraph" w:styleId="Pavadinimas">
    <w:name w:val="Title"/>
    <w:basedOn w:val="prastasis"/>
    <w:next w:val="prastasis"/>
    <w:link w:val="PavadinimasDiagrama"/>
    <w:uiPriority w:val="10"/>
    <w:qFormat/>
    <w:rsid w:val="00D56E9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PavadinimasDiagrama">
    <w:name w:val="Pavadinimas Diagrama"/>
    <w:basedOn w:val="Numatytasispastraiposriftas"/>
    <w:link w:val="Pavadinimas"/>
    <w:uiPriority w:val="10"/>
    <w:rsid w:val="00D56E99"/>
    <w:rPr>
      <w:rFonts w:asciiTheme="majorHAnsi" w:eastAsiaTheme="majorEastAsia" w:hAnsiTheme="majorHAnsi" w:cstheme="majorBidi"/>
      <w:spacing w:val="5"/>
      <w:sz w:val="52"/>
      <w:szCs w:val="52"/>
    </w:rPr>
  </w:style>
  <w:style w:type="paragraph" w:styleId="Antrinispavadinimas">
    <w:name w:val="Subtitle"/>
    <w:basedOn w:val="prastasis"/>
    <w:next w:val="prastasis"/>
    <w:link w:val="AntrinispavadinimasDiagrama"/>
    <w:uiPriority w:val="11"/>
    <w:qFormat/>
    <w:rsid w:val="00D56E99"/>
    <w:pPr>
      <w:spacing w:after="600"/>
    </w:pPr>
    <w:rPr>
      <w:rFonts w:asciiTheme="majorHAnsi" w:eastAsiaTheme="majorEastAsia" w:hAnsiTheme="majorHAnsi" w:cstheme="majorBidi"/>
      <w:i/>
      <w:iCs/>
      <w:spacing w:val="13"/>
      <w:sz w:val="24"/>
      <w:szCs w:val="24"/>
    </w:rPr>
  </w:style>
  <w:style w:type="character" w:customStyle="1" w:styleId="AntrinispavadinimasDiagrama">
    <w:name w:val="Antrinis pavadinimas Diagrama"/>
    <w:basedOn w:val="Numatytasispastraiposriftas"/>
    <w:link w:val="Antrinispavadinimas"/>
    <w:uiPriority w:val="11"/>
    <w:rsid w:val="00D56E99"/>
    <w:rPr>
      <w:rFonts w:asciiTheme="majorHAnsi" w:eastAsiaTheme="majorEastAsia" w:hAnsiTheme="majorHAnsi" w:cstheme="majorBidi"/>
      <w:i/>
      <w:iCs/>
      <w:spacing w:val="13"/>
      <w:sz w:val="24"/>
      <w:szCs w:val="24"/>
    </w:rPr>
  </w:style>
  <w:style w:type="character" w:styleId="Grietas">
    <w:name w:val="Strong"/>
    <w:uiPriority w:val="22"/>
    <w:qFormat/>
    <w:rsid w:val="00D56E99"/>
    <w:rPr>
      <w:b/>
      <w:bCs/>
    </w:rPr>
  </w:style>
  <w:style w:type="character" w:styleId="Emfaz">
    <w:name w:val="Emphasis"/>
    <w:uiPriority w:val="20"/>
    <w:qFormat/>
    <w:rsid w:val="00D56E99"/>
    <w:rPr>
      <w:b/>
      <w:bCs/>
      <w:i/>
      <w:iCs/>
      <w:spacing w:val="10"/>
      <w:bdr w:val="none" w:sz="0" w:space="0" w:color="auto"/>
      <w:shd w:val="clear" w:color="auto" w:fill="auto"/>
    </w:rPr>
  </w:style>
  <w:style w:type="paragraph" w:styleId="Betarp">
    <w:name w:val="No Spacing"/>
    <w:basedOn w:val="prastasis"/>
    <w:uiPriority w:val="1"/>
    <w:qFormat/>
    <w:rsid w:val="00D56E99"/>
    <w:pPr>
      <w:spacing w:after="0" w:line="240" w:lineRule="auto"/>
    </w:pPr>
  </w:style>
  <w:style w:type="paragraph" w:styleId="Citata">
    <w:name w:val="Quote"/>
    <w:basedOn w:val="prastasis"/>
    <w:next w:val="prastasis"/>
    <w:link w:val="CitataDiagrama"/>
    <w:uiPriority w:val="29"/>
    <w:qFormat/>
    <w:rsid w:val="00D56E99"/>
    <w:pPr>
      <w:spacing w:before="200" w:after="0"/>
      <w:ind w:left="360" w:right="360"/>
    </w:pPr>
    <w:rPr>
      <w:i/>
      <w:iCs/>
    </w:rPr>
  </w:style>
  <w:style w:type="character" w:customStyle="1" w:styleId="CitataDiagrama">
    <w:name w:val="Citata Diagrama"/>
    <w:basedOn w:val="Numatytasispastraiposriftas"/>
    <w:link w:val="Citata"/>
    <w:uiPriority w:val="29"/>
    <w:rsid w:val="00D56E99"/>
    <w:rPr>
      <w:i/>
      <w:iCs/>
    </w:rPr>
  </w:style>
  <w:style w:type="paragraph" w:styleId="Iskirtacitata">
    <w:name w:val="Intense Quote"/>
    <w:basedOn w:val="prastasis"/>
    <w:next w:val="prastasis"/>
    <w:link w:val="IskirtacitataDiagrama"/>
    <w:uiPriority w:val="30"/>
    <w:qFormat/>
    <w:rsid w:val="00D56E99"/>
    <w:pPr>
      <w:pBdr>
        <w:bottom w:val="single" w:sz="4" w:space="1" w:color="auto"/>
      </w:pBdr>
      <w:spacing w:before="200" w:after="280"/>
      <w:ind w:left="1008" w:right="1152"/>
      <w:jc w:val="both"/>
    </w:pPr>
    <w:rPr>
      <w:b/>
      <w:bCs/>
      <w:i/>
      <w:iCs/>
    </w:rPr>
  </w:style>
  <w:style w:type="character" w:customStyle="1" w:styleId="IskirtacitataDiagrama">
    <w:name w:val="Išskirta citata Diagrama"/>
    <w:basedOn w:val="Numatytasispastraiposriftas"/>
    <w:link w:val="Iskirtacitata"/>
    <w:uiPriority w:val="30"/>
    <w:rsid w:val="00D56E99"/>
    <w:rPr>
      <w:b/>
      <w:bCs/>
      <w:i/>
      <w:iCs/>
    </w:rPr>
  </w:style>
  <w:style w:type="character" w:styleId="Nerykuspabraukimas">
    <w:name w:val="Subtle Emphasis"/>
    <w:uiPriority w:val="19"/>
    <w:qFormat/>
    <w:rsid w:val="00D56E99"/>
    <w:rPr>
      <w:i/>
      <w:iCs/>
    </w:rPr>
  </w:style>
  <w:style w:type="character" w:styleId="Rykuspabraukimas">
    <w:name w:val="Intense Emphasis"/>
    <w:uiPriority w:val="21"/>
    <w:qFormat/>
    <w:rsid w:val="00D56E99"/>
    <w:rPr>
      <w:b/>
      <w:bCs/>
    </w:rPr>
  </w:style>
  <w:style w:type="character" w:styleId="Nerykinuoroda">
    <w:name w:val="Subtle Reference"/>
    <w:uiPriority w:val="31"/>
    <w:qFormat/>
    <w:rsid w:val="00D56E99"/>
    <w:rPr>
      <w:smallCaps/>
    </w:rPr>
  </w:style>
  <w:style w:type="character" w:styleId="Rykinuoroda">
    <w:name w:val="Intense Reference"/>
    <w:uiPriority w:val="32"/>
    <w:qFormat/>
    <w:rsid w:val="00D56E99"/>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7774">
      <w:bodyDiv w:val="1"/>
      <w:marLeft w:val="0"/>
      <w:marRight w:val="0"/>
      <w:marTop w:val="0"/>
      <w:marBottom w:val="0"/>
      <w:divBdr>
        <w:top w:val="none" w:sz="0" w:space="0" w:color="auto"/>
        <w:left w:val="none" w:sz="0" w:space="0" w:color="auto"/>
        <w:bottom w:val="none" w:sz="0" w:space="0" w:color="auto"/>
        <w:right w:val="none" w:sz="0" w:space="0" w:color="auto"/>
      </w:divBdr>
    </w:div>
    <w:div w:id="270627977">
      <w:bodyDiv w:val="1"/>
      <w:marLeft w:val="0"/>
      <w:marRight w:val="0"/>
      <w:marTop w:val="0"/>
      <w:marBottom w:val="0"/>
      <w:divBdr>
        <w:top w:val="none" w:sz="0" w:space="0" w:color="auto"/>
        <w:left w:val="none" w:sz="0" w:space="0" w:color="auto"/>
        <w:bottom w:val="none" w:sz="0" w:space="0" w:color="auto"/>
        <w:right w:val="none" w:sz="0" w:space="0" w:color="auto"/>
      </w:divBdr>
    </w:div>
    <w:div w:id="845634728">
      <w:bodyDiv w:val="1"/>
      <w:marLeft w:val="0"/>
      <w:marRight w:val="0"/>
      <w:marTop w:val="0"/>
      <w:marBottom w:val="0"/>
      <w:divBdr>
        <w:top w:val="none" w:sz="0" w:space="0" w:color="auto"/>
        <w:left w:val="none" w:sz="0" w:space="0" w:color="auto"/>
        <w:bottom w:val="none" w:sz="0" w:space="0" w:color="auto"/>
        <w:right w:val="none" w:sz="0" w:space="0" w:color="auto"/>
      </w:divBdr>
    </w:div>
    <w:div w:id="876311534">
      <w:bodyDiv w:val="1"/>
      <w:marLeft w:val="0"/>
      <w:marRight w:val="0"/>
      <w:marTop w:val="0"/>
      <w:marBottom w:val="0"/>
      <w:divBdr>
        <w:top w:val="none" w:sz="0" w:space="0" w:color="auto"/>
        <w:left w:val="none" w:sz="0" w:space="0" w:color="auto"/>
        <w:bottom w:val="none" w:sz="0" w:space="0" w:color="auto"/>
        <w:right w:val="none" w:sz="0" w:space="0" w:color="auto"/>
      </w:divBdr>
    </w:div>
    <w:div w:id="896891784">
      <w:bodyDiv w:val="1"/>
      <w:marLeft w:val="0"/>
      <w:marRight w:val="0"/>
      <w:marTop w:val="0"/>
      <w:marBottom w:val="0"/>
      <w:divBdr>
        <w:top w:val="none" w:sz="0" w:space="0" w:color="auto"/>
        <w:left w:val="none" w:sz="0" w:space="0" w:color="auto"/>
        <w:bottom w:val="none" w:sz="0" w:space="0" w:color="auto"/>
        <w:right w:val="none" w:sz="0" w:space="0" w:color="auto"/>
      </w:divBdr>
    </w:div>
    <w:div w:id="1001085608">
      <w:bodyDiv w:val="1"/>
      <w:marLeft w:val="0"/>
      <w:marRight w:val="0"/>
      <w:marTop w:val="0"/>
      <w:marBottom w:val="0"/>
      <w:divBdr>
        <w:top w:val="none" w:sz="0" w:space="0" w:color="auto"/>
        <w:left w:val="none" w:sz="0" w:space="0" w:color="auto"/>
        <w:bottom w:val="none" w:sz="0" w:space="0" w:color="auto"/>
        <w:right w:val="none" w:sz="0" w:space="0" w:color="auto"/>
      </w:divBdr>
    </w:div>
    <w:div w:id="1781411027">
      <w:bodyDiv w:val="1"/>
      <w:marLeft w:val="0"/>
      <w:marRight w:val="0"/>
      <w:marTop w:val="0"/>
      <w:marBottom w:val="0"/>
      <w:divBdr>
        <w:top w:val="none" w:sz="0" w:space="0" w:color="auto"/>
        <w:left w:val="none" w:sz="0" w:space="0" w:color="auto"/>
        <w:bottom w:val="none" w:sz="0" w:space="0" w:color="auto"/>
        <w:right w:val="none" w:sz="0" w:space="0" w:color="auto"/>
      </w:divBdr>
    </w:div>
    <w:div w:id="1828323358">
      <w:bodyDiv w:val="1"/>
      <w:marLeft w:val="0"/>
      <w:marRight w:val="0"/>
      <w:marTop w:val="0"/>
      <w:marBottom w:val="0"/>
      <w:divBdr>
        <w:top w:val="none" w:sz="0" w:space="0" w:color="auto"/>
        <w:left w:val="none" w:sz="0" w:space="0" w:color="auto"/>
        <w:bottom w:val="none" w:sz="0" w:space="0" w:color="auto"/>
        <w:right w:val="none" w:sz="0" w:space="0" w:color="auto"/>
      </w:divBdr>
    </w:div>
    <w:div w:id="1882939158">
      <w:bodyDiv w:val="1"/>
      <w:marLeft w:val="0"/>
      <w:marRight w:val="0"/>
      <w:marTop w:val="0"/>
      <w:marBottom w:val="0"/>
      <w:divBdr>
        <w:top w:val="none" w:sz="0" w:space="0" w:color="auto"/>
        <w:left w:val="none" w:sz="0" w:space="0" w:color="auto"/>
        <w:bottom w:val="none" w:sz="0" w:space="0" w:color="auto"/>
        <w:right w:val="none" w:sz="0" w:space="0" w:color="auto"/>
      </w:divBdr>
    </w:div>
    <w:div w:id="1946501221">
      <w:bodyDiv w:val="1"/>
      <w:marLeft w:val="0"/>
      <w:marRight w:val="0"/>
      <w:marTop w:val="0"/>
      <w:marBottom w:val="0"/>
      <w:divBdr>
        <w:top w:val="none" w:sz="0" w:space="0" w:color="auto"/>
        <w:left w:val="none" w:sz="0" w:space="0" w:color="auto"/>
        <w:bottom w:val="none" w:sz="0" w:space="0" w:color="auto"/>
        <w:right w:val="none" w:sz="0" w:space="0" w:color="auto"/>
      </w:divBdr>
    </w:div>
    <w:div w:id="205908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uromoney.com/Article/1990950/Credit-default-swaps-On-dangerous-ground.html?single=true" TargetMode="External"/><Relationship Id="rId18" Type="http://schemas.openxmlformats.org/officeDocument/2006/relationships/hyperlink" Target="http://db1.stat.gov.lt/statbank/selectvarval/saveselections.asp?MainTable=M4110403&amp;PLanguage=0&amp;TableStyle=&amp;Buttons=&amp;PXSId=11551&amp;IQY=&amp;TC=&amp;ST=ST&amp;rvar0=&amp;rvar1=&amp;rvar2=&amp;rvar3=&amp;rvar4=&amp;rvar5=&amp;rvar6=&amp;rvar7=&amp;rvar8=&amp;rvar9=&amp;rvar10=&amp;rvar11=&amp;rvar12=&amp;rvar13=&amp;rvar14=" TargetMode="External"/><Relationship Id="rId26" Type="http://schemas.openxmlformats.org/officeDocument/2006/relationships/hyperlink" Target="http://www.nytimes.com/packages/html/national/200904_CREDITCRISIS/recipients.html" TargetMode="External"/><Relationship Id="rId3" Type="http://schemas.openxmlformats.org/officeDocument/2006/relationships/styles" Target="styles.xml"/><Relationship Id="rId21" Type="http://schemas.openxmlformats.org/officeDocument/2006/relationships/hyperlink" Target="http://www.bis.org/publ/qtrpdf/r_qa1009.pdf"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apers.ssrn.com/sol3/papers.cfm?abstract_id=505965" TargetMode="External"/><Relationship Id="rId17" Type="http://schemas.openxmlformats.org/officeDocument/2006/relationships/hyperlink" Target="http://bis.org/statistics/otcder/dt1920a.pdf" TargetMode="External"/><Relationship Id="rId25" Type="http://schemas.openxmlformats.org/officeDocument/2006/relationships/hyperlink" Target="http://www.nasdaqomxbaltic.com/market/?pg=members&amp;lang=l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rim.co.uk/CreditDefaultSwaps.pdf" TargetMode="External"/><Relationship Id="rId20" Type="http://schemas.openxmlformats.org/officeDocument/2006/relationships/hyperlink" Target="http://vz.lt/2/straipsnis/2010/01/05/Islandija_stabdo_indeliu_kompensacija_uzsienieciams2" TargetMode="External"/><Relationship Id="rId29" Type="http://schemas.openxmlformats.org/officeDocument/2006/relationships/hyperlink" Target="http://www.isda.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lgrave-journals.com/jbr/journal/v10/n3/full/jbr20093a.html" TargetMode="External"/><Relationship Id="rId24" Type="http://schemas.openxmlformats.org/officeDocument/2006/relationships/hyperlink" Target="http://www.investopedia.com/terms/e/eurobond.asp"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occ.treas.gov/topics/capital-markets/financial-markets/trading/derivatives/dq210.pdf" TargetMode="External"/><Relationship Id="rId23" Type="http://schemas.openxmlformats.org/officeDocument/2006/relationships/hyperlink" Target="http://www.iidraudimas.lt/lt/valstybes-imone-indeliu-ir-investiciju-draudimas/" TargetMode="External"/><Relationship Id="rId28" Type="http://schemas.openxmlformats.org/officeDocument/2006/relationships/hyperlink" Target="http://www.vat.lt/Default.asp?DL=L&amp;TopicID=51" TargetMode="External"/><Relationship Id="rId10" Type="http://schemas.openxmlformats.org/officeDocument/2006/relationships/image" Target="media/image2.png"/><Relationship Id="rId19" Type="http://schemas.openxmlformats.org/officeDocument/2006/relationships/hyperlink" Target="http://riskinstitute.ch/94AddOnDoc5.htm" TargetMode="External"/><Relationship Id="rId31" Type="http://schemas.openxmlformats.org/officeDocument/2006/relationships/hyperlink" Target="http://ttalutis.home.mruni.eu/?page_id=22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uromoney.com/Article/2626619/Derivatives-EU-policymaker-hints-at-OTC-rethink.html" TargetMode="External"/><Relationship Id="rId22" Type="http://schemas.openxmlformats.org/officeDocument/2006/relationships/hyperlink" Target="http://www.economist.com/node/17414511" TargetMode="External"/><Relationship Id="rId27" Type="http://schemas.openxmlformats.org/officeDocument/2006/relationships/hyperlink" Target="http://www.prwatch.org/node/9121" TargetMode="External"/><Relationship Id="rId30" Type="http://schemas.openxmlformats.org/officeDocument/2006/relationships/hyperlink" Target="http://www.lrkt.lt/Prasymai/148_2010.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rwatch.org/node/9121" TargetMode="External"/><Relationship Id="rId13" Type="http://schemas.openxmlformats.org/officeDocument/2006/relationships/hyperlink" Target="http://www.bis.org/publ/qtrpdf/r_qa1009.pdf" TargetMode="External"/><Relationship Id="rId18" Type="http://schemas.openxmlformats.org/officeDocument/2006/relationships/hyperlink" Target="http://www.palgravejournals.com/jbr/journal/v10/n3/full/jbr20093a.html" TargetMode="External"/><Relationship Id="rId26" Type="http://schemas.openxmlformats.org/officeDocument/2006/relationships/hyperlink" Target="http://www.isda.org" TargetMode="External"/><Relationship Id="rId3" Type="http://schemas.openxmlformats.org/officeDocument/2006/relationships/hyperlink" Target="http://www.euromoney.com/Article/1990950/Credit-default-swaps-On-dangerous-ground.html" TargetMode="External"/><Relationship Id="rId21" Type="http://schemas.openxmlformats.org/officeDocument/2006/relationships/hyperlink" Target="http://www.euromoney.com/Article/2626619/Derivatives-EU-policymaker-hints-at-OTC-rethink.html" TargetMode="External"/><Relationship Id="rId7" Type="http://schemas.openxmlformats.org/officeDocument/2006/relationships/hyperlink" Target="http://vz.lt/2/straipsnis/2010/01/05/Islandija_stabdo_indeliu_kompensacija_uzsienieciams2" TargetMode="External"/><Relationship Id="rId12" Type="http://schemas.openxmlformats.org/officeDocument/2006/relationships/hyperlink" Target="http://www.economist.com/node/17414511" TargetMode="External"/><Relationship Id="rId17" Type="http://schemas.openxmlformats.org/officeDocument/2006/relationships/hyperlink" Target="http://www.euromoney.com/Article/1990950/Credit-default-swaps-On-dangerous-ground.html?single=true" TargetMode="External"/><Relationship Id="rId25" Type="http://schemas.openxmlformats.org/officeDocument/2006/relationships/hyperlink" Target="http://vz.lt/2/straipsnis/2010/01/05/Islandija_stabdo_indeliu_kompensacija_uzsienieciams2" TargetMode="External"/><Relationship Id="rId2" Type="http://schemas.openxmlformats.org/officeDocument/2006/relationships/hyperlink" Target="http://papers.ssrn.com/sol3/papers.cfm?abstract_id=505965" TargetMode="External"/><Relationship Id="rId16" Type="http://schemas.openxmlformats.org/officeDocument/2006/relationships/hyperlink" Target="http://www.palgravejournals.com/jbr/journal/v10/n3/full/jbr20093a.html" TargetMode="External"/><Relationship Id="rId20" Type="http://schemas.openxmlformats.org/officeDocument/2006/relationships/hyperlink" Target="http://www.nasdaqomxbaltic.com/market/?pg=members&amp;lang=lt" TargetMode="External"/><Relationship Id="rId29" Type="http://schemas.openxmlformats.org/officeDocument/2006/relationships/hyperlink" Target="http://www.isda.org/educat/pdf/ten-themes.pdf" TargetMode="External"/><Relationship Id="rId1" Type="http://schemas.openxmlformats.org/officeDocument/2006/relationships/hyperlink" Target="http://www.isda.org" TargetMode="External"/><Relationship Id="rId6" Type="http://schemas.openxmlformats.org/officeDocument/2006/relationships/hyperlink" Target="http://www.iidraudimas.lt/lt/valstybes-imone-indeliu-ir-investiciju-draudimas/" TargetMode="External"/><Relationship Id="rId11" Type="http://schemas.openxmlformats.org/officeDocument/2006/relationships/hyperlink" Target="http://bis.org/statistics/otcder/dt1920a.pdf" TargetMode="External"/><Relationship Id="rId24" Type="http://schemas.openxmlformats.org/officeDocument/2006/relationships/hyperlink" Target="http://www.iidraudimas.lt/lt/valstybes-imone-indeliu-ir-investiciju-draudimas/" TargetMode="External"/><Relationship Id="rId5" Type="http://schemas.openxmlformats.org/officeDocument/2006/relationships/hyperlink" Target="http://www.nytimes.com/packages/html/national/200904_CREDITCRISIS/recipients.html" TargetMode="External"/><Relationship Id="rId15" Type="http://schemas.openxmlformats.org/officeDocument/2006/relationships/hyperlink" Target="http://www.trim.co.uk/CreditDefaultSwaps.pdf" TargetMode="External"/><Relationship Id="rId23" Type="http://schemas.openxmlformats.org/officeDocument/2006/relationships/hyperlink" Target="http://www.nytimes.com/packages/html/national/200904_CREDITCRISIS/recipients.html" TargetMode="External"/><Relationship Id="rId28" Type="http://schemas.openxmlformats.org/officeDocument/2006/relationships/hyperlink" Target="http://riskinstitute.ch/94AddOnDoc5.htm" TargetMode="External"/><Relationship Id="rId10" Type="http://schemas.openxmlformats.org/officeDocument/2006/relationships/hyperlink" Target="http://ttalutis.home.mruni.eu/?page_id=226" TargetMode="External"/><Relationship Id="rId19" Type="http://schemas.openxmlformats.org/officeDocument/2006/relationships/hyperlink" Target="http://www.euromoney.com/Article/1990950/Credit-default-swaps-On-dangerous-ground.html" TargetMode="External"/><Relationship Id="rId31" Type="http://schemas.openxmlformats.org/officeDocument/2006/relationships/hyperlink" Target="http://db1.stat.gov.lt/statbank/selectvarval/saveselections.asp?MainTable=M4110403&amp;PLanguage=0&amp;TableStyle=&amp;Buttons=&amp;PXSId=11551&amp;IQY=&amp;TC=&amp;ST=ST&amp;rvar0=&amp;rvar1=&amp;rvar2=&amp;rvar3=&amp;rvar4=&amp;rvar5=&amp;rvar6=&amp;rvar7=&amp;rvar8=&amp;rvar9=&amp;rvar10=&amp;rvar11=&amp;rvar12=&amp;rvar13=&amp;rvar14=" TargetMode="External"/><Relationship Id="rId4" Type="http://schemas.openxmlformats.org/officeDocument/2006/relationships/hyperlink" Target="http://www.occ.treas.gov/topics/capital-markets/financial-markets/trading/derivatives/dq210.pdf" TargetMode="External"/><Relationship Id="rId9" Type="http://schemas.openxmlformats.org/officeDocument/2006/relationships/hyperlink" Target="http://www.bis.org/publ/qtrpdf/r_qa1009.pdf" TargetMode="External"/><Relationship Id="rId14" Type="http://schemas.openxmlformats.org/officeDocument/2006/relationships/hyperlink" Target="http://www.investopedia.com/terms/e/eurobond.asp" TargetMode="External"/><Relationship Id="rId22" Type="http://schemas.openxmlformats.org/officeDocument/2006/relationships/hyperlink" Target="http://www.infolex.lt/tp/41677" TargetMode="External"/><Relationship Id="rId27" Type="http://schemas.openxmlformats.org/officeDocument/2006/relationships/hyperlink" Target="http://www.vat.lt/Default.asp?DL=L&amp;TopicID=51" TargetMode="External"/><Relationship Id="rId30" Type="http://schemas.openxmlformats.org/officeDocument/2006/relationships/hyperlink" Target="http://www.lrkt.lt/Prasymai/148_20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54C5A-FD20-47C7-9753-1AED302A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22714</TotalTime>
  <Pages>71</Pages>
  <Words>23746</Words>
  <Characters>135357</Characters>
  <Application>Microsoft Office Word</Application>
  <DocSecurity>0</DocSecurity>
  <Lines>1127</Lines>
  <Paragraphs>317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studentas</dc:creator>
  <cp:lastModifiedBy>mlukminas</cp:lastModifiedBy>
  <cp:revision>3575</cp:revision>
  <cp:lastPrinted>2010-12-22T04:17:00Z</cp:lastPrinted>
  <dcterms:created xsi:type="dcterms:W3CDTF">2010-11-10T14:12:00Z</dcterms:created>
  <dcterms:modified xsi:type="dcterms:W3CDTF">2010-12-22T04:22:00Z</dcterms:modified>
</cp:coreProperties>
</file>