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drawings/drawing2.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2.xml" ContentType="application/vnd.openxmlformats-officedocument.wordprocessingml.header+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13" w:rsidRPr="00EC1AB2" w:rsidRDefault="00B96413" w:rsidP="007A02A8">
      <w:pPr>
        <w:tabs>
          <w:tab w:val="left" w:pos="0"/>
          <w:tab w:val="left" w:pos="3402"/>
        </w:tabs>
        <w:spacing w:after="0" w:line="360" w:lineRule="auto"/>
        <w:jc w:val="center"/>
        <w:rPr>
          <w:rFonts w:ascii="Times New Roman" w:hAnsi="Times New Roman" w:cs="Times New Roman"/>
          <w:b/>
          <w:sz w:val="32"/>
          <w:szCs w:val="32"/>
        </w:rPr>
      </w:pPr>
      <w:r w:rsidRPr="00EC1AB2">
        <w:rPr>
          <w:rFonts w:ascii="Times New Roman" w:hAnsi="Times New Roman" w:cs="Times New Roman"/>
          <w:b/>
          <w:sz w:val="32"/>
          <w:szCs w:val="32"/>
        </w:rPr>
        <w:t xml:space="preserve">MYKOLO ROMERIO UNIVERSITETAS </w:t>
      </w:r>
    </w:p>
    <w:p w:rsidR="00B96413" w:rsidRPr="00EC1AB2" w:rsidRDefault="00B96413" w:rsidP="007A02A8">
      <w:pPr>
        <w:tabs>
          <w:tab w:val="left" w:pos="0"/>
          <w:tab w:val="left" w:pos="3402"/>
        </w:tabs>
        <w:spacing w:after="0" w:line="360" w:lineRule="auto"/>
        <w:jc w:val="center"/>
        <w:rPr>
          <w:rFonts w:ascii="Times New Roman" w:hAnsi="Times New Roman" w:cs="Times New Roman"/>
          <w:b/>
          <w:bCs/>
          <w:sz w:val="28"/>
          <w:szCs w:val="28"/>
        </w:rPr>
      </w:pPr>
      <w:r w:rsidRPr="00EC1AB2">
        <w:rPr>
          <w:rFonts w:ascii="Times New Roman" w:hAnsi="Times New Roman" w:cs="Times New Roman"/>
          <w:b/>
          <w:bCs/>
          <w:sz w:val="28"/>
          <w:szCs w:val="28"/>
        </w:rPr>
        <w:t xml:space="preserve">EKONOMIKOS IR FINANSŲ VALDYMO FAKULTETAS </w:t>
      </w:r>
    </w:p>
    <w:p w:rsidR="00B96413" w:rsidRPr="00EC1AB2" w:rsidRDefault="00B96413" w:rsidP="007A02A8">
      <w:pPr>
        <w:tabs>
          <w:tab w:val="left" w:pos="0"/>
          <w:tab w:val="left" w:pos="3402"/>
        </w:tabs>
        <w:spacing w:after="0" w:line="360" w:lineRule="auto"/>
        <w:jc w:val="center"/>
        <w:rPr>
          <w:rFonts w:ascii="Times New Roman" w:hAnsi="Times New Roman" w:cs="Times New Roman"/>
          <w:b/>
          <w:sz w:val="24"/>
          <w:szCs w:val="24"/>
        </w:rPr>
      </w:pPr>
      <w:r w:rsidRPr="00EC1AB2">
        <w:rPr>
          <w:rFonts w:ascii="Times New Roman" w:hAnsi="Times New Roman" w:cs="Times New Roman"/>
          <w:b/>
          <w:sz w:val="24"/>
          <w:szCs w:val="24"/>
        </w:rPr>
        <w:t xml:space="preserve">BANKININKYSTĖS IR INVESTICIJŲ KATEDRA </w:t>
      </w:r>
    </w:p>
    <w:p w:rsidR="00B96413" w:rsidRPr="00EC1AB2" w:rsidRDefault="00B96413" w:rsidP="007A02A8">
      <w:pPr>
        <w:tabs>
          <w:tab w:val="left" w:pos="0"/>
          <w:tab w:val="left" w:pos="3402"/>
        </w:tabs>
        <w:spacing w:after="0" w:line="360" w:lineRule="auto"/>
        <w:jc w:val="center"/>
        <w:rPr>
          <w:rFonts w:ascii="Times New Roman" w:hAnsi="Times New Roman" w:cs="Times New Roman"/>
          <w:b/>
          <w:sz w:val="24"/>
          <w:szCs w:val="24"/>
        </w:rPr>
      </w:pPr>
    </w:p>
    <w:p w:rsidR="00B96413" w:rsidRPr="00EC1AB2" w:rsidRDefault="00B96413" w:rsidP="007A02A8">
      <w:pPr>
        <w:tabs>
          <w:tab w:val="left" w:pos="0"/>
          <w:tab w:val="left" w:pos="3402"/>
        </w:tabs>
        <w:spacing w:after="0" w:line="360" w:lineRule="auto"/>
        <w:rPr>
          <w:rFonts w:ascii="Times New Roman" w:hAnsi="Times New Roman" w:cs="Times New Roman"/>
          <w:b/>
          <w:sz w:val="24"/>
          <w:szCs w:val="24"/>
        </w:rPr>
      </w:pPr>
    </w:p>
    <w:p w:rsidR="00B96413" w:rsidRPr="00EC1AB2" w:rsidRDefault="00B96413" w:rsidP="007A02A8">
      <w:pPr>
        <w:tabs>
          <w:tab w:val="left" w:pos="0"/>
          <w:tab w:val="left" w:pos="3402"/>
        </w:tabs>
        <w:spacing w:after="0" w:line="360" w:lineRule="auto"/>
        <w:rPr>
          <w:rFonts w:ascii="Times New Roman" w:hAnsi="Times New Roman" w:cs="Times New Roman"/>
          <w:b/>
          <w:sz w:val="24"/>
          <w:szCs w:val="24"/>
        </w:rPr>
      </w:pPr>
    </w:p>
    <w:p w:rsidR="00B96413" w:rsidRPr="00EC1AB2" w:rsidRDefault="00B96413" w:rsidP="007A02A8">
      <w:pPr>
        <w:tabs>
          <w:tab w:val="left" w:pos="0"/>
          <w:tab w:val="left" w:pos="3402"/>
        </w:tabs>
        <w:spacing w:after="0" w:line="360" w:lineRule="auto"/>
        <w:rPr>
          <w:rFonts w:ascii="Times New Roman" w:hAnsi="Times New Roman" w:cs="Times New Roman"/>
          <w:b/>
          <w:sz w:val="24"/>
          <w:szCs w:val="24"/>
        </w:rPr>
      </w:pPr>
    </w:p>
    <w:p w:rsidR="00B96413" w:rsidRPr="00EC1AB2" w:rsidRDefault="00B96413" w:rsidP="007A02A8">
      <w:pPr>
        <w:tabs>
          <w:tab w:val="left" w:pos="0"/>
          <w:tab w:val="left" w:pos="3402"/>
        </w:tabs>
        <w:spacing w:after="0" w:line="360" w:lineRule="auto"/>
        <w:jc w:val="center"/>
        <w:rPr>
          <w:rFonts w:ascii="Times New Roman" w:hAnsi="Times New Roman" w:cs="Times New Roman"/>
          <w:b/>
          <w:sz w:val="32"/>
          <w:szCs w:val="32"/>
        </w:rPr>
      </w:pPr>
      <w:r w:rsidRPr="00EC1AB2">
        <w:rPr>
          <w:rFonts w:ascii="Times New Roman" w:hAnsi="Times New Roman" w:cs="Times New Roman"/>
          <w:b/>
          <w:sz w:val="32"/>
          <w:szCs w:val="32"/>
        </w:rPr>
        <w:t>AUŠRA ŠERKŠNAITĖ</w:t>
      </w:r>
    </w:p>
    <w:p w:rsidR="00B96413" w:rsidRPr="00EC1AB2" w:rsidRDefault="00B96413" w:rsidP="007A02A8">
      <w:pPr>
        <w:tabs>
          <w:tab w:val="left" w:pos="0"/>
          <w:tab w:val="left" w:pos="3402"/>
        </w:tabs>
        <w:spacing w:after="0" w:line="360" w:lineRule="auto"/>
        <w:jc w:val="center"/>
        <w:rPr>
          <w:rFonts w:ascii="Times New Roman" w:hAnsi="Times New Roman" w:cs="Times New Roman"/>
          <w:b/>
          <w:sz w:val="24"/>
          <w:szCs w:val="24"/>
        </w:rPr>
      </w:pPr>
    </w:p>
    <w:p w:rsidR="00B96413" w:rsidRPr="00EC1AB2" w:rsidRDefault="00B96413" w:rsidP="007A02A8">
      <w:pPr>
        <w:tabs>
          <w:tab w:val="left" w:pos="0"/>
          <w:tab w:val="left" w:pos="3402"/>
        </w:tabs>
        <w:spacing w:after="0" w:line="360" w:lineRule="auto"/>
        <w:ind w:right="-2"/>
        <w:jc w:val="center"/>
        <w:rPr>
          <w:rFonts w:ascii="Times New Roman" w:hAnsi="Times New Roman" w:cs="Times New Roman"/>
          <w:b/>
          <w:sz w:val="40"/>
          <w:szCs w:val="40"/>
        </w:rPr>
      </w:pPr>
      <w:r w:rsidRPr="00EC1AB2">
        <w:rPr>
          <w:rFonts w:ascii="Times New Roman" w:hAnsi="Times New Roman" w:cs="Times New Roman"/>
          <w:b/>
          <w:sz w:val="40"/>
          <w:szCs w:val="40"/>
        </w:rPr>
        <w:t>RIZIKOS KAPITALO FONDŲ PLĖTROS PROBLEMOS LIETUVOJE</w:t>
      </w:r>
    </w:p>
    <w:p w:rsidR="00B96413" w:rsidRPr="00EC1AB2" w:rsidRDefault="00B96413" w:rsidP="007A02A8">
      <w:pPr>
        <w:tabs>
          <w:tab w:val="left" w:pos="0"/>
        </w:tabs>
        <w:spacing w:after="0" w:line="360" w:lineRule="auto"/>
        <w:jc w:val="center"/>
        <w:rPr>
          <w:rFonts w:ascii="Times New Roman" w:hAnsi="Times New Roman" w:cs="Times New Roman"/>
          <w:b/>
          <w:sz w:val="28"/>
          <w:szCs w:val="28"/>
        </w:rPr>
      </w:pPr>
      <w:r w:rsidRPr="00EC1AB2">
        <w:rPr>
          <w:rFonts w:ascii="Times New Roman" w:hAnsi="Times New Roman" w:cs="Times New Roman"/>
          <w:b/>
          <w:sz w:val="28"/>
          <w:szCs w:val="28"/>
        </w:rPr>
        <w:t>Magistro baigiamasis darbas</w:t>
      </w:r>
    </w:p>
    <w:p w:rsidR="00B96413" w:rsidRPr="00EC1AB2" w:rsidRDefault="00B96413" w:rsidP="007A02A8">
      <w:pPr>
        <w:tabs>
          <w:tab w:val="left" w:pos="0"/>
        </w:tabs>
        <w:spacing w:after="0" w:line="360" w:lineRule="auto"/>
        <w:rPr>
          <w:rFonts w:ascii="Times New Roman" w:hAnsi="Times New Roman" w:cs="Times New Roman"/>
          <w:b/>
          <w:sz w:val="24"/>
          <w:szCs w:val="24"/>
        </w:rPr>
      </w:pPr>
    </w:p>
    <w:p w:rsidR="00B96413" w:rsidRPr="00EC1AB2" w:rsidRDefault="00B96413" w:rsidP="007A02A8">
      <w:pPr>
        <w:tabs>
          <w:tab w:val="left" w:pos="0"/>
        </w:tabs>
        <w:spacing w:after="0" w:line="360" w:lineRule="auto"/>
        <w:rPr>
          <w:rFonts w:ascii="Times New Roman" w:hAnsi="Times New Roman" w:cs="Times New Roman"/>
          <w:b/>
          <w:sz w:val="24"/>
          <w:szCs w:val="24"/>
        </w:rPr>
      </w:pPr>
    </w:p>
    <w:p w:rsidR="00B96413" w:rsidRPr="00EC1AB2" w:rsidRDefault="00B96413" w:rsidP="007A02A8">
      <w:pPr>
        <w:tabs>
          <w:tab w:val="left" w:pos="0"/>
        </w:tabs>
        <w:spacing w:after="0" w:line="360" w:lineRule="auto"/>
        <w:rPr>
          <w:rFonts w:ascii="Times New Roman" w:hAnsi="Times New Roman" w:cs="Times New Roman"/>
          <w:b/>
          <w:sz w:val="24"/>
          <w:szCs w:val="24"/>
        </w:rPr>
      </w:pPr>
      <w:r w:rsidRPr="00EC1AB2">
        <w:rPr>
          <w:rFonts w:ascii="Times New Roman" w:hAnsi="Times New Roman" w:cs="Times New Roman"/>
          <w:b/>
          <w:sz w:val="24"/>
          <w:szCs w:val="24"/>
        </w:rPr>
        <w:t xml:space="preserve">                                                                                                      </w:t>
      </w:r>
    </w:p>
    <w:p w:rsidR="00B96413" w:rsidRPr="00EC1AB2" w:rsidRDefault="00B96413" w:rsidP="007A02A8">
      <w:pPr>
        <w:tabs>
          <w:tab w:val="left" w:pos="0"/>
        </w:tabs>
        <w:spacing w:after="0" w:line="360" w:lineRule="auto"/>
        <w:rPr>
          <w:rFonts w:ascii="Times New Roman" w:hAnsi="Times New Roman" w:cs="Times New Roman"/>
          <w:b/>
          <w:sz w:val="24"/>
          <w:szCs w:val="24"/>
        </w:rPr>
      </w:pPr>
    </w:p>
    <w:p w:rsidR="00B96413" w:rsidRPr="00EC1AB2" w:rsidRDefault="00B96413" w:rsidP="007A02A8">
      <w:pPr>
        <w:tabs>
          <w:tab w:val="left" w:pos="0"/>
        </w:tabs>
        <w:spacing w:after="0" w:line="360" w:lineRule="auto"/>
        <w:rPr>
          <w:rFonts w:ascii="Times New Roman" w:hAnsi="Times New Roman" w:cs="Times New Roman"/>
          <w:b/>
          <w:sz w:val="24"/>
          <w:szCs w:val="24"/>
        </w:rPr>
      </w:pPr>
    </w:p>
    <w:p w:rsidR="00B96413" w:rsidRPr="00EC1AB2" w:rsidRDefault="00B96413" w:rsidP="007A02A8">
      <w:pPr>
        <w:tabs>
          <w:tab w:val="left" w:pos="0"/>
        </w:tabs>
        <w:spacing w:after="0" w:line="360" w:lineRule="auto"/>
        <w:rPr>
          <w:rFonts w:ascii="Times New Roman" w:hAnsi="Times New Roman" w:cs="Times New Roman"/>
          <w:b/>
          <w:sz w:val="24"/>
          <w:szCs w:val="24"/>
        </w:rPr>
      </w:pPr>
    </w:p>
    <w:p w:rsidR="00B96413" w:rsidRPr="00EC1AB2" w:rsidRDefault="00B96413" w:rsidP="007A02A8">
      <w:pPr>
        <w:tabs>
          <w:tab w:val="left" w:pos="0"/>
        </w:tabs>
        <w:spacing w:after="0" w:line="360" w:lineRule="auto"/>
        <w:ind w:firstLine="6300"/>
        <w:rPr>
          <w:rFonts w:ascii="Times New Roman" w:hAnsi="Times New Roman" w:cs="Times New Roman"/>
          <w:b/>
          <w:sz w:val="24"/>
          <w:szCs w:val="24"/>
        </w:rPr>
      </w:pPr>
    </w:p>
    <w:p w:rsidR="00B96413" w:rsidRPr="00EC1AB2" w:rsidRDefault="00B96413" w:rsidP="007A02A8">
      <w:pPr>
        <w:tabs>
          <w:tab w:val="left" w:pos="0"/>
        </w:tabs>
        <w:spacing w:after="0" w:line="360" w:lineRule="auto"/>
        <w:rPr>
          <w:rFonts w:ascii="Times New Roman" w:hAnsi="Times New Roman" w:cs="Times New Roman"/>
          <w:b/>
          <w:sz w:val="28"/>
          <w:szCs w:val="28"/>
        </w:rPr>
      </w:pPr>
      <w:r w:rsidRPr="00EC1AB2">
        <w:rPr>
          <w:rFonts w:ascii="Times New Roman" w:hAnsi="Times New Roman" w:cs="Times New Roman"/>
          <w:b/>
          <w:sz w:val="24"/>
          <w:szCs w:val="24"/>
        </w:rPr>
        <w:t xml:space="preserve">                                                                                                      </w:t>
      </w:r>
      <w:r w:rsidRPr="00EC1AB2">
        <w:rPr>
          <w:rFonts w:ascii="Times New Roman" w:hAnsi="Times New Roman" w:cs="Times New Roman"/>
          <w:b/>
          <w:sz w:val="28"/>
          <w:szCs w:val="28"/>
        </w:rPr>
        <w:t>Vadovė</w:t>
      </w:r>
    </w:p>
    <w:p w:rsidR="00B96413" w:rsidRPr="00EC1AB2" w:rsidRDefault="00B96413" w:rsidP="007A02A8">
      <w:pPr>
        <w:tabs>
          <w:tab w:val="left" w:pos="0"/>
        </w:tabs>
        <w:spacing w:after="0" w:line="360" w:lineRule="auto"/>
        <w:ind w:right="28"/>
        <w:rPr>
          <w:rFonts w:ascii="Times New Roman" w:hAnsi="Times New Roman" w:cs="Times New Roman"/>
          <w:b/>
          <w:sz w:val="28"/>
          <w:szCs w:val="28"/>
        </w:rPr>
      </w:pPr>
      <w:r w:rsidRPr="00EC1AB2">
        <w:rPr>
          <w:rFonts w:ascii="Times New Roman" w:hAnsi="Times New Roman" w:cs="Times New Roman"/>
          <w:b/>
          <w:sz w:val="28"/>
          <w:szCs w:val="28"/>
        </w:rPr>
        <w:t xml:space="preserve">                                                                            </w:t>
      </w:r>
      <w:r w:rsidR="003618C0" w:rsidRPr="00EC1AB2">
        <w:rPr>
          <w:rFonts w:ascii="Times New Roman" w:hAnsi="Times New Roman" w:cs="Times New Roman"/>
          <w:b/>
          <w:sz w:val="28"/>
          <w:szCs w:val="28"/>
        </w:rPr>
        <w:t xml:space="preserve">            prof. dr. I. Mačeri</w:t>
      </w:r>
      <w:r w:rsidRPr="00EC1AB2">
        <w:rPr>
          <w:rFonts w:ascii="Times New Roman" w:hAnsi="Times New Roman" w:cs="Times New Roman"/>
          <w:b/>
          <w:sz w:val="28"/>
          <w:szCs w:val="28"/>
        </w:rPr>
        <w:t>n</w:t>
      </w:r>
      <w:r w:rsidR="003618C0" w:rsidRPr="00EC1AB2">
        <w:rPr>
          <w:rFonts w:ascii="Times New Roman" w:hAnsi="Times New Roman" w:cs="Times New Roman"/>
          <w:b/>
          <w:sz w:val="28"/>
          <w:szCs w:val="28"/>
        </w:rPr>
        <w:t>s</w:t>
      </w:r>
      <w:r w:rsidRPr="00EC1AB2">
        <w:rPr>
          <w:rFonts w:ascii="Times New Roman" w:hAnsi="Times New Roman" w:cs="Times New Roman"/>
          <w:b/>
          <w:sz w:val="28"/>
          <w:szCs w:val="28"/>
        </w:rPr>
        <w:t>kienė</w:t>
      </w:r>
    </w:p>
    <w:p w:rsidR="00B96413" w:rsidRPr="00EC1AB2" w:rsidRDefault="00B96413" w:rsidP="007A02A8">
      <w:pPr>
        <w:spacing w:after="0" w:line="360" w:lineRule="auto"/>
        <w:rPr>
          <w:rFonts w:ascii="Times New Roman" w:hAnsi="Times New Roman" w:cs="Times New Roman"/>
          <w:b/>
          <w:sz w:val="28"/>
          <w:szCs w:val="28"/>
        </w:rPr>
      </w:pPr>
    </w:p>
    <w:p w:rsidR="00B96413" w:rsidRPr="00EC1AB2" w:rsidRDefault="00B96413"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8B4C7B" w:rsidRPr="00EC1AB2" w:rsidRDefault="008B4C7B" w:rsidP="007A02A8">
      <w:pPr>
        <w:spacing w:after="0" w:line="360" w:lineRule="auto"/>
        <w:rPr>
          <w:rFonts w:ascii="Times New Roman" w:hAnsi="Times New Roman" w:cs="Times New Roman"/>
          <w:b/>
          <w:sz w:val="24"/>
          <w:szCs w:val="24"/>
        </w:rPr>
      </w:pPr>
    </w:p>
    <w:p w:rsidR="008B4C7B" w:rsidRPr="00EC1AB2" w:rsidRDefault="008B4C7B" w:rsidP="007A02A8">
      <w:pPr>
        <w:spacing w:after="0" w:line="360" w:lineRule="auto"/>
        <w:rPr>
          <w:rFonts w:ascii="Times New Roman" w:hAnsi="Times New Roman" w:cs="Times New Roman"/>
          <w:b/>
          <w:sz w:val="24"/>
          <w:szCs w:val="24"/>
        </w:rPr>
      </w:pPr>
    </w:p>
    <w:p w:rsidR="00B96413" w:rsidRPr="00EC1AB2" w:rsidRDefault="00B96413" w:rsidP="007A02A8">
      <w:pPr>
        <w:spacing w:after="0" w:line="360" w:lineRule="auto"/>
        <w:rPr>
          <w:rFonts w:ascii="Times New Roman" w:hAnsi="Times New Roman" w:cs="Times New Roman"/>
          <w:b/>
          <w:sz w:val="24"/>
          <w:szCs w:val="24"/>
        </w:rPr>
      </w:pPr>
    </w:p>
    <w:p w:rsidR="00BA5BE2" w:rsidRPr="00EC1AB2" w:rsidRDefault="008B4C7B" w:rsidP="007A02A8">
      <w:pPr>
        <w:spacing w:after="0" w:line="360" w:lineRule="auto"/>
        <w:jc w:val="center"/>
        <w:rPr>
          <w:rFonts w:ascii="Times New Roman" w:hAnsi="Times New Roman" w:cs="Times New Roman"/>
          <w:b/>
          <w:sz w:val="28"/>
          <w:szCs w:val="28"/>
        </w:rPr>
      </w:pPr>
      <w:r w:rsidRPr="00EC1AB2">
        <w:rPr>
          <w:rFonts w:ascii="Times New Roman" w:hAnsi="Times New Roman" w:cs="Times New Roman"/>
          <w:b/>
          <w:sz w:val="28"/>
          <w:szCs w:val="28"/>
        </w:rPr>
        <w:t>VILNIUS, 2012</w:t>
      </w:r>
    </w:p>
    <w:p w:rsidR="008248B9" w:rsidRPr="00EC1AB2" w:rsidRDefault="008248B9" w:rsidP="007A02A8">
      <w:pPr>
        <w:tabs>
          <w:tab w:val="left" w:pos="0"/>
          <w:tab w:val="left" w:pos="3402"/>
        </w:tabs>
        <w:spacing w:after="0" w:line="360" w:lineRule="auto"/>
        <w:jc w:val="center"/>
        <w:rPr>
          <w:rFonts w:ascii="Times New Roman" w:hAnsi="Times New Roman" w:cs="Times New Roman"/>
          <w:b/>
          <w:sz w:val="32"/>
          <w:szCs w:val="32"/>
        </w:rPr>
      </w:pPr>
      <w:r w:rsidRPr="00EC1AB2">
        <w:rPr>
          <w:rFonts w:ascii="Times New Roman" w:hAnsi="Times New Roman" w:cs="Times New Roman"/>
          <w:b/>
          <w:sz w:val="32"/>
          <w:szCs w:val="32"/>
        </w:rPr>
        <w:lastRenderedPageBreak/>
        <w:t xml:space="preserve">MYKOLO ROMERIO UNIVERSITETAS </w:t>
      </w:r>
    </w:p>
    <w:p w:rsidR="008248B9" w:rsidRPr="00EC1AB2" w:rsidRDefault="008248B9" w:rsidP="007A02A8">
      <w:pPr>
        <w:tabs>
          <w:tab w:val="left" w:pos="0"/>
          <w:tab w:val="left" w:pos="3402"/>
        </w:tabs>
        <w:spacing w:after="0" w:line="360" w:lineRule="auto"/>
        <w:jc w:val="center"/>
        <w:rPr>
          <w:rFonts w:ascii="Times New Roman" w:hAnsi="Times New Roman" w:cs="Times New Roman"/>
          <w:b/>
          <w:bCs/>
          <w:sz w:val="28"/>
          <w:szCs w:val="28"/>
        </w:rPr>
      </w:pPr>
      <w:r w:rsidRPr="00EC1AB2">
        <w:rPr>
          <w:rFonts w:ascii="Times New Roman" w:hAnsi="Times New Roman" w:cs="Times New Roman"/>
          <w:b/>
          <w:bCs/>
          <w:sz w:val="28"/>
          <w:szCs w:val="28"/>
        </w:rPr>
        <w:t xml:space="preserve">EKONOMIKOS IR FINANSŲ VALDYMO FAKULTETAS </w:t>
      </w:r>
    </w:p>
    <w:p w:rsidR="008248B9" w:rsidRPr="00EC1AB2" w:rsidRDefault="008248B9" w:rsidP="007A02A8">
      <w:pPr>
        <w:tabs>
          <w:tab w:val="left" w:pos="0"/>
          <w:tab w:val="left" w:pos="3402"/>
        </w:tabs>
        <w:spacing w:after="0" w:line="360" w:lineRule="auto"/>
        <w:jc w:val="center"/>
        <w:rPr>
          <w:rFonts w:ascii="Times New Roman" w:hAnsi="Times New Roman" w:cs="Times New Roman"/>
          <w:b/>
          <w:sz w:val="24"/>
          <w:szCs w:val="24"/>
        </w:rPr>
      </w:pPr>
      <w:r w:rsidRPr="00EC1AB2">
        <w:rPr>
          <w:rFonts w:ascii="Times New Roman" w:hAnsi="Times New Roman" w:cs="Times New Roman"/>
          <w:b/>
          <w:sz w:val="24"/>
          <w:szCs w:val="24"/>
        </w:rPr>
        <w:t xml:space="preserve">BANKININKYSTĖS IR INVESTICIJŲ KATEDRA </w:t>
      </w:r>
    </w:p>
    <w:p w:rsidR="008248B9" w:rsidRPr="00EC1AB2" w:rsidRDefault="008248B9" w:rsidP="007A02A8">
      <w:pPr>
        <w:tabs>
          <w:tab w:val="left" w:pos="0"/>
          <w:tab w:val="left" w:pos="3402"/>
        </w:tabs>
        <w:spacing w:after="0" w:line="360" w:lineRule="auto"/>
        <w:jc w:val="center"/>
        <w:rPr>
          <w:rFonts w:ascii="Times New Roman" w:hAnsi="Times New Roman" w:cs="Times New Roman"/>
          <w:b/>
          <w:sz w:val="24"/>
          <w:szCs w:val="24"/>
        </w:rPr>
      </w:pPr>
    </w:p>
    <w:p w:rsidR="008248B9" w:rsidRPr="00EC1AB2" w:rsidRDefault="008248B9" w:rsidP="007A02A8">
      <w:pPr>
        <w:tabs>
          <w:tab w:val="left" w:pos="0"/>
          <w:tab w:val="left" w:pos="3402"/>
        </w:tabs>
        <w:spacing w:after="0" w:line="360" w:lineRule="auto"/>
        <w:rPr>
          <w:rFonts w:ascii="Times New Roman" w:hAnsi="Times New Roman" w:cs="Times New Roman"/>
          <w:b/>
          <w:sz w:val="24"/>
          <w:szCs w:val="24"/>
        </w:rPr>
      </w:pPr>
    </w:p>
    <w:p w:rsidR="008248B9" w:rsidRPr="00EC1AB2" w:rsidRDefault="008248B9" w:rsidP="007A02A8">
      <w:pPr>
        <w:tabs>
          <w:tab w:val="left" w:pos="0"/>
          <w:tab w:val="left" w:pos="3402"/>
        </w:tabs>
        <w:spacing w:after="0" w:line="360" w:lineRule="auto"/>
        <w:rPr>
          <w:rFonts w:ascii="Times New Roman" w:hAnsi="Times New Roman" w:cs="Times New Roman"/>
          <w:b/>
          <w:sz w:val="24"/>
          <w:szCs w:val="24"/>
        </w:rPr>
      </w:pPr>
    </w:p>
    <w:p w:rsidR="008248B9" w:rsidRPr="00EC1AB2" w:rsidRDefault="008248B9" w:rsidP="007A02A8">
      <w:pPr>
        <w:tabs>
          <w:tab w:val="left" w:pos="0"/>
          <w:tab w:val="left" w:pos="3402"/>
        </w:tabs>
        <w:spacing w:after="0" w:line="360" w:lineRule="auto"/>
        <w:rPr>
          <w:rFonts w:ascii="Times New Roman" w:hAnsi="Times New Roman" w:cs="Times New Roman"/>
          <w:b/>
          <w:sz w:val="24"/>
          <w:szCs w:val="24"/>
        </w:rPr>
      </w:pPr>
    </w:p>
    <w:p w:rsidR="008248B9" w:rsidRPr="00EC1AB2" w:rsidRDefault="008248B9" w:rsidP="007A02A8">
      <w:pPr>
        <w:tabs>
          <w:tab w:val="left" w:pos="0"/>
          <w:tab w:val="left" w:pos="3402"/>
        </w:tabs>
        <w:spacing w:after="0" w:line="360" w:lineRule="auto"/>
        <w:jc w:val="center"/>
        <w:rPr>
          <w:rFonts w:ascii="Times New Roman" w:hAnsi="Times New Roman" w:cs="Times New Roman"/>
          <w:b/>
          <w:sz w:val="24"/>
          <w:szCs w:val="24"/>
        </w:rPr>
      </w:pPr>
    </w:p>
    <w:p w:rsidR="008248B9" w:rsidRPr="00EC1AB2" w:rsidRDefault="008248B9" w:rsidP="007A02A8">
      <w:pPr>
        <w:tabs>
          <w:tab w:val="left" w:pos="0"/>
          <w:tab w:val="left" w:pos="3402"/>
        </w:tabs>
        <w:spacing w:after="0" w:line="360" w:lineRule="auto"/>
        <w:ind w:right="-2"/>
        <w:jc w:val="center"/>
        <w:rPr>
          <w:rFonts w:ascii="Times New Roman" w:hAnsi="Times New Roman" w:cs="Times New Roman"/>
          <w:b/>
          <w:sz w:val="40"/>
          <w:szCs w:val="40"/>
        </w:rPr>
      </w:pPr>
      <w:r w:rsidRPr="00EC1AB2">
        <w:rPr>
          <w:rFonts w:ascii="Times New Roman" w:hAnsi="Times New Roman" w:cs="Times New Roman"/>
          <w:b/>
          <w:sz w:val="40"/>
          <w:szCs w:val="40"/>
        </w:rPr>
        <w:t>RIZIKOS KAPITALO FONDŲ PLĖTROS PROBLEMOS LIETUVOJE</w:t>
      </w:r>
    </w:p>
    <w:p w:rsidR="008248B9" w:rsidRPr="00EC1AB2" w:rsidRDefault="008248B9" w:rsidP="007A02A8">
      <w:pPr>
        <w:tabs>
          <w:tab w:val="left" w:pos="0"/>
        </w:tabs>
        <w:spacing w:after="0" w:line="360" w:lineRule="auto"/>
        <w:jc w:val="center"/>
        <w:rPr>
          <w:rFonts w:ascii="Times New Roman" w:hAnsi="Times New Roman" w:cs="Times New Roman"/>
          <w:b/>
          <w:sz w:val="28"/>
          <w:szCs w:val="28"/>
        </w:rPr>
      </w:pPr>
      <w:r w:rsidRPr="00EC1AB2">
        <w:rPr>
          <w:rFonts w:ascii="Times New Roman" w:hAnsi="Times New Roman" w:cs="Times New Roman"/>
          <w:b/>
          <w:sz w:val="28"/>
          <w:szCs w:val="28"/>
        </w:rPr>
        <w:t>Finansų valdymo magistro baigiamasis darbas</w:t>
      </w:r>
    </w:p>
    <w:p w:rsidR="008248B9" w:rsidRPr="00EC1AB2" w:rsidRDefault="008248B9" w:rsidP="007A02A8">
      <w:pPr>
        <w:pStyle w:val="Default"/>
        <w:spacing w:line="360" w:lineRule="auto"/>
        <w:jc w:val="center"/>
        <w:rPr>
          <w:color w:val="auto"/>
          <w:lang w:val="lt-LT"/>
        </w:rPr>
      </w:pPr>
      <w:r w:rsidRPr="00EC1AB2">
        <w:rPr>
          <w:b/>
          <w:color w:val="auto"/>
          <w:sz w:val="28"/>
          <w:szCs w:val="28"/>
          <w:lang w:val="lt-LT"/>
        </w:rPr>
        <w:t>Studijų programa 61N30005</w:t>
      </w:r>
    </w:p>
    <w:tbl>
      <w:tblPr>
        <w:tblW w:w="0" w:type="auto"/>
        <w:tblBorders>
          <w:top w:val="nil"/>
          <w:left w:val="nil"/>
          <w:bottom w:val="nil"/>
          <w:right w:val="nil"/>
        </w:tblBorders>
        <w:tblLayout w:type="fixed"/>
        <w:tblLook w:val="0000" w:firstRow="0" w:lastRow="0" w:firstColumn="0" w:lastColumn="0" w:noHBand="0" w:noVBand="0"/>
      </w:tblPr>
      <w:tblGrid>
        <w:gridCol w:w="1013"/>
      </w:tblGrid>
      <w:tr w:rsidR="008248B9" w:rsidRPr="00EC1AB2" w:rsidTr="00F3420B">
        <w:trPr>
          <w:trHeight w:val="109"/>
        </w:trPr>
        <w:tc>
          <w:tcPr>
            <w:tcW w:w="1013" w:type="dxa"/>
          </w:tcPr>
          <w:p w:rsidR="008248B9" w:rsidRPr="00EC1AB2" w:rsidRDefault="008248B9" w:rsidP="007A02A8">
            <w:pPr>
              <w:autoSpaceDE w:val="0"/>
              <w:autoSpaceDN w:val="0"/>
              <w:adjustRightInd w:val="0"/>
              <w:spacing w:after="0" w:line="360" w:lineRule="auto"/>
              <w:rPr>
                <w:rFonts w:ascii="Times New Roman" w:hAnsi="Times New Roman" w:cs="Times New Roman"/>
                <w:sz w:val="23"/>
                <w:szCs w:val="23"/>
              </w:rPr>
            </w:pPr>
          </w:p>
        </w:tc>
      </w:tr>
    </w:tbl>
    <w:p w:rsidR="008248B9" w:rsidRPr="00EC1AB2" w:rsidRDefault="008248B9" w:rsidP="007A02A8">
      <w:pPr>
        <w:tabs>
          <w:tab w:val="left" w:pos="0"/>
        </w:tabs>
        <w:spacing w:after="0" w:line="360" w:lineRule="auto"/>
        <w:jc w:val="center"/>
        <w:rPr>
          <w:rFonts w:ascii="Times New Roman" w:hAnsi="Times New Roman" w:cs="Times New Roman"/>
          <w:b/>
          <w:sz w:val="28"/>
          <w:szCs w:val="28"/>
        </w:rPr>
      </w:pPr>
    </w:p>
    <w:p w:rsidR="008248B9" w:rsidRPr="00EC1AB2" w:rsidRDefault="008248B9" w:rsidP="007A02A8">
      <w:pPr>
        <w:tabs>
          <w:tab w:val="left" w:pos="0"/>
        </w:tabs>
        <w:spacing w:after="0" w:line="360" w:lineRule="auto"/>
        <w:rPr>
          <w:rFonts w:ascii="Times New Roman" w:hAnsi="Times New Roman" w:cs="Times New Roman"/>
          <w:b/>
          <w:sz w:val="24"/>
          <w:szCs w:val="24"/>
        </w:rPr>
      </w:pPr>
    </w:p>
    <w:p w:rsidR="008248B9" w:rsidRPr="00EC1AB2" w:rsidRDefault="008248B9" w:rsidP="007A02A8">
      <w:pPr>
        <w:tabs>
          <w:tab w:val="left" w:pos="0"/>
        </w:tabs>
        <w:spacing w:after="0" w:line="360" w:lineRule="auto"/>
        <w:rPr>
          <w:rFonts w:ascii="Times New Roman" w:hAnsi="Times New Roman" w:cs="Times New Roman"/>
          <w:b/>
          <w:sz w:val="24"/>
          <w:szCs w:val="24"/>
        </w:rPr>
      </w:pPr>
    </w:p>
    <w:p w:rsidR="008248B9" w:rsidRPr="00EC1AB2" w:rsidRDefault="008248B9" w:rsidP="007A02A8">
      <w:pPr>
        <w:spacing w:after="0" w:line="360" w:lineRule="auto"/>
        <w:jc w:val="center"/>
        <w:rPr>
          <w:rFonts w:ascii="Times New Roman" w:hAnsi="Times New Roman" w:cs="Times New Roman"/>
          <w:b/>
          <w:sz w:val="28"/>
          <w:szCs w:val="28"/>
        </w:rPr>
      </w:pPr>
    </w:p>
    <w:p w:rsidR="008248B9" w:rsidRPr="00EC1AB2" w:rsidRDefault="008248B9" w:rsidP="007A02A8">
      <w:pPr>
        <w:spacing w:after="0" w:line="360" w:lineRule="auto"/>
        <w:jc w:val="center"/>
        <w:rPr>
          <w:rFonts w:ascii="Times New Roman" w:hAnsi="Times New Roman" w:cs="Times New Roman"/>
          <w:b/>
          <w:sz w:val="28"/>
          <w:szCs w:val="28"/>
        </w:rPr>
      </w:pPr>
    </w:p>
    <w:p w:rsidR="008248B9" w:rsidRPr="00EC1AB2" w:rsidRDefault="008248B9" w:rsidP="007A02A8">
      <w:pPr>
        <w:tabs>
          <w:tab w:val="left" w:pos="0"/>
        </w:tabs>
        <w:spacing w:after="0" w:line="360" w:lineRule="auto"/>
        <w:jc w:val="center"/>
        <w:rPr>
          <w:rFonts w:ascii="Times New Roman" w:hAnsi="Times New Roman" w:cs="Times New Roman"/>
          <w:b/>
          <w:sz w:val="24"/>
          <w:szCs w:val="24"/>
        </w:rPr>
      </w:pPr>
      <w:r w:rsidRPr="00EC1AB2">
        <w:rPr>
          <w:rFonts w:ascii="Times New Roman" w:hAnsi="Times New Roman" w:cs="Times New Roman"/>
          <w:b/>
          <w:sz w:val="28"/>
          <w:szCs w:val="28"/>
        </w:rPr>
        <w:t xml:space="preserve">                                        </w:t>
      </w:r>
      <w:r w:rsidRPr="00EC1AB2">
        <w:rPr>
          <w:rFonts w:ascii="Times New Roman" w:hAnsi="Times New Roman" w:cs="Times New Roman"/>
          <w:b/>
          <w:sz w:val="24"/>
          <w:szCs w:val="24"/>
        </w:rPr>
        <w:t>Vadovė</w:t>
      </w:r>
    </w:p>
    <w:p w:rsidR="008248B9" w:rsidRPr="00EC1AB2" w:rsidRDefault="008248B9" w:rsidP="007A02A8">
      <w:pPr>
        <w:tabs>
          <w:tab w:val="left" w:pos="0"/>
        </w:tabs>
        <w:spacing w:after="0" w:line="360" w:lineRule="auto"/>
        <w:ind w:right="28"/>
        <w:rPr>
          <w:rFonts w:ascii="Times New Roman" w:hAnsi="Times New Roman" w:cs="Times New Roman"/>
          <w:b/>
          <w:sz w:val="24"/>
          <w:szCs w:val="24"/>
        </w:rPr>
      </w:pPr>
      <w:r w:rsidRPr="00EC1AB2">
        <w:rPr>
          <w:rFonts w:ascii="Times New Roman" w:hAnsi="Times New Roman" w:cs="Times New Roman"/>
          <w:b/>
          <w:sz w:val="24"/>
          <w:szCs w:val="24"/>
        </w:rPr>
        <w:t xml:space="preserve">                                                                                                       </w:t>
      </w:r>
      <w:r w:rsidR="003618C0" w:rsidRPr="00EC1AB2">
        <w:rPr>
          <w:rFonts w:ascii="Times New Roman" w:hAnsi="Times New Roman" w:cs="Times New Roman"/>
          <w:b/>
          <w:sz w:val="24"/>
          <w:szCs w:val="24"/>
        </w:rPr>
        <w:t xml:space="preserve">            prof. dr. I. Mačeri</w:t>
      </w:r>
      <w:r w:rsidRPr="00EC1AB2">
        <w:rPr>
          <w:rFonts w:ascii="Times New Roman" w:hAnsi="Times New Roman" w:cs="Times New Roman"/>
          <w:b/>
          <w:sz w:val="24"/>
          <w:szCs w:val="24"/>
        </w:rPr>
        <w:t>n</w:t>
      </w:r>
      <w:r w:rsidR="003618C0" w:rsidRPr="00EC1AB2">
        <w:rPr>
          <w:rFonts w:ascii="Times New Roman" w:hAnsi="Times New Roman" w:cs="Times New Roman"/>
          <w:b/>
          <w:sz w:val="24"/>
          <w:szCs w:val="24"/>
        </w:rPr>
        <w:t>s</w:t>
      </w:r>
      <w:r w:rsidRPr="00EC1AB2">
        <w:rPr>
          <w:rFonts w:ascii="Times New Roman" w:hAnsi="Times New Roman" w:cs="Times New Roman"/>
          <w:b/>
          <w:sz w:val="24"/>
          <w:szCs w:val="24"/>
        </w:rPr>
        <w:t>kienė</w:t>
      </w:r>
    </w:p>
    <w:p w:rsidR="003618C0" w:rsidRPr="00EC1AB2" w:rsidRDefault="008248B9" w:rsidP="007A02A8">
      <w:pPr>
        <w:tabs>
          <w:tab w:val="left" w:pos="0"/>
        </w:tabs>
        <w:spacing w:after="0" w:line="360" w:lineRule="auto"/>
        <w:ind w:right="28"/>
        <w:rPr>
          <w:rFonts w:ascii="Times New Roman" w:hAnsi="Times New Roman" w:cs="Times New Roman"/>
          <w:b/>
          <w:sz w:val="24"/>
          <w:szCs w:val="24"/>
        </w:rPr>
      </w:pPr>
      <w:r w:rsidRPr="00EC1AB2">
        <w:rPr>
          <w:rFonts w:ascii="Times New Roman" w:hAnsi="Times New Roman" w:cs="Times New Roman"/>
          <w:b/>
          <w:sz w:val="24"/>
          <w:szCs w:val="24"/>
        </w:rPr>
        <w:t xml:space="preserve">                                                                                                      </w:t>
      </w:r>
    </w:p>
    <w:p w:rsidR="008248B9" w:rsidRPr="00EC1AB2" w:rsidRDefault="003618C0" w:rsidP="007A02A8">
      <w:pPr>
        <w:tabs>
          <w:tab w:val="left" w:pos="0"/>
        </w:tabs>
        <w:spacing w:after="0" w:line="360" w:lineRule="auto"/>
        <w:ind w:right="28"/>
        <w:jc w:val="center"/>
        <w:rPr>
          <w:rFonts w:ascii="Times New Roman" w:hAnsi="Times New Roman" w:cs="Times New Roman"/>
          <w:b/>
          <w:sz w:val="24"/>
          <w:szCs w:val="24"/>
        </w:rPr>
      </w:pPr>
      <w:r w:rsidRPr="00EC1AB2">
        <w:rPr>
          <w:rFonts w:ascii="Times New Roman" w:hAnsi="Times New Roman" w:cs="Times New Roman"/>
          <w:b/>
          <w:sz w:val="24"/>
          <w:szCs w:val="24"/>
        </w:rPr>
        <w:t xml:space="preserve">                                                     </w:t>
      </w:r>
      <w:r w:rsidR="008248B9" w:rsidRPr="00EC1AB2">
        <w:rPr>
          <w:rFonts w:ascii="Times New Roman" w:hAnsi="Times New Roman" w:cs="Times New Roman"/>
          <w:b/>
          <w:sz w:val="24"/>
          <w:szCs w:val="24"/>
        </w:rPr>
        <w:t>2012 03</w:t>
      </w:r>
      <w:r w:rsidRPr="00EC1AB2">
        <w:rPr>
          <w:rFonts w:ascii="Times New Roman" w:hAnsi="Times New Roman" w:cs="Times New Roman"/>
          <w:b/>
          <w:sz w:val="24"/>
          <w:szCs w:val="24"/>
        </w:rPr>
        <w:t xml:space="preserve"> ..</w:t>
      </w:r>
    </w:p>
    <w:p w:rsidR="008248B9" w:rsidRPr="00EC1AB2" w:rsidRDefault="008248B9" w:rsidP="007A02A8">
      <w:pPr>
        <w:spacing w:after="0" w:line="360" w:lineRule="auto"/>
        <w:rPr>
          <w:rFonts w:ascii="Times New Roman" w:hAnsi="Times New Roman" w:cs="Times New Roman"/>
          <w:b/>
          <w:sz w:val="24"/>
          <w:szCs w:val="24"/>
        </w:rPr>
      </w:pPr>
    </w:p>
    <w:p w:rsidR="008248B9" w:rsidRPr="00EC1AB2" w:rsidRDefault="008248B9" w:rsidP="007A02A8">
      <w:pPr>
        <w:spacing w:after="0" w:line="360" w:lineRule="auto"/>
        <w:rPr>
          <w:rFonts w:ascii="Times New Roman" w:hAnsi="Times New Roman" w:cs="Times New Roman"/>
          <w:b/>
          <w:sz w:val="28"/>
          <w:szCs w:val="28"/>
        </w:rPr>
      </w:pPr>
    </w:p>
    <w:p w:rsidR="008248B9" w:rsidRPr="00EC1AB2" w:rsidRDefault="003618C0" w:rsidP="007A02A8">
      <w:pPr>
        <w:spacing w:after="0" w:line="360" w:lineRule="auto"/>
        <w:rPr>
          <w:rFonts w:ascii="Times New Roman" w:hAnsi="Times New Roman" w:cs="Times New Roman"/>
          <w:b/>
          <w:sz w:val="24"/>
          <w:szCs w:val="24"/>
        </w:rPr>
      </w:pPr>
      <w:r w:rsidRPr="00EC1AB2">
        <w:rPr>
          <w:rFonts w:ascii="Times New Roman" w:hAnsi="Times New Roman" w:cs="Times New Roman"/>
          <w:b/>
          <w:sz w:val="24"/>
          <w:szCs w:val="24"/>
        </w:rPr>
        <w:t xml:space="preserve">Recenzentas                                   </w:t>
      </w:r>
      <w:r w:rsidR="008248B9" w:rsidRPr="00EC1AB2">
        <w:rPr>
          <w:rFonts w:ascii="Times New Roman" w:hAnsi="Times New Roman" w:cs="Times New Roman"/>
          <w:b/>
          <w:sz w:val="24"/>
          <w:szCs w:val="24"/>
        </w:rPr>
        <w:t xml:space="preserve">                                         Atliko</w:t>
      </w:r>
    </w:p>
    <w:p w:rsidR="008248B9" w:rsidRPr="00EC1AB2" w:rsidRDefault="008248B9" w:rsidP="007A02A8">
      <w:pPr>
        <w:spacing w:after="0" w:line="360" w:lineRule="auto"/>
        <w:jc w:val="center"/>
        <w:rPr>
          <w:rFonts w:ascii="Times New Roman" w:hAnsi="Times New Roman" w:cs="Times New Roman"/>
          <w:b/>
          <w:sz w:val="24"/>
          <w:szCs w:val="24"/>
        </w:rPr>
      </w:pPr>
      <w:r w:rsidRPr="00EC1AB2">
        <w:rPr>
          <w:rFonts w:ascii="Times New Roman" w:hAnsi="Times New Roman" w:cs="Times New Roman"/>
          <w:b/>
          <w:sz w:val="24"/>
          <w:szCs w:val="24"/>
        </w:rPr>
        <w:t xml:space="preserve">                                                                 </w:t>
      </w:r>
      <w:r w:rsidR="003618C0" w:rsidRPr="00EC1AB2">
        <w:rPr>
          <w:rFonts w:ascii="Times New Roman" w:hAnsi="Times New Roman" w:cs="Times New Roman"/>
          <w:b/>
          <w:sz w:val="24"/>
          <w:szCs w:val="24"/>
        </w:rPr>
        <w:t xml:space="preserve">   FVmns0-01 gr. stud.</w:t>
      </w:r>
    </w:p>
    <w:p w:rsidR="008248B9" w:rsidRPr="00EC1AB2" w:rsidRDefault="008248B9" w:rsidP="007A02A8">
      <w:pPr>
        <w:spacing w:after="0" w:line="360" w:lineRule="auto"/>
        <w:jc w:val="center"/>
        <w:rPr>
          <w:rFonts w:ascii="Times New Roman" w:hAnsi="Times New Roman" w:cs="Times New Roman"/>
          <w:b/>
          <w:sz w:val="24"/>
          <w:szCs w:val="24"/>
        </w:rPr>
      </w:pPr>
      <w:r w:rsidRPr="00EC1AB2">
        <w:rPr>
          <w:rFonts w:ascii="Times New Roman" w:hAnsi="Times New Roman" w:cs="Times New Roman"/>
          <w:b/>
          <w:sz w:val="24"/>
          <w:szCs w:val="24"/>
        </w:rPr>
        <w:t xml:space="preserve">                                                                                    </w:t>
      </w:r>
      <w:r w:rsidR="003618C0" w:rsidRPr="00EC1AB2">
        <w:rPr>
          <w:rFonts w:ascii="Times New Roman" w:hAnsi="Times New Roman" w:cs="Times New Roman"/>
          <w:b/>
          <w:sz w:val="24"/>
          <w:szCs w:val="24"/>
        </w:rPr>
        <w:t xml:space="preserve"> </w:t>
      </w:r>
      <w:r w:rsidRPr="00EC1AB2">
        <w:rPr>
          <w:rFonts w:ascii="Times New Roman" w:hAnsi="Times New Roman" w:cs="Times New Roman"/>
          <w:b/>
          <w:sz w:val="24"/>
          <w:szCs w:val="24"/>
        </w:rPr>
        <w:t xml:space="preserve"> </w:t>
      </w:r>
      <w:r w:rsidR="003618C0" w:rsidRPr="00EC1AB2">
        <w:rPr>
          <w:rFonts w:ascii="Times New Roman" w:hAnsi="Times New Roman" w:cs="Times New Roman"/>
          <w:b/>
          <w:sz w:val="24"/>
          <w:szCs w:val="24"/>
        </w:rPr>
        <w:t xml:space="preserve"> </w:t>
      </w:r>
      <w:r w:rsidRPr="00EC1AB2">
        <w:rPr>
          <w:rFonts w:ascii="Times New Roman" w:hAnsi="Times New Roman" w:cs="Times New Roman"/>
          <w:b/>
          <w:sz w:val="24"/>
          <w:szCs w:val="24"/>
        </w:rPr>
        <w:t>A. Šerkšnaitė</w:t>
      </w:r>
    </w:p>
    <w:p w:rsidR="003618C0" w:rsidRPr="00EC1AB2" w:rsidRDefault="008248B9" w:rsidP="007A02A8">
      <w:pPr>
        <w:spacing w:after="0" w:line="360" w:lineRule="auto"/>
        <w:rPr>
          <w:rFonts w:ascii="Times New Roman" w:hAnsi="Times New Roman" w:cs="Times New Roman"/>
          <w:b/>
          <w:sz w:val="24"/>
          <w:szCs w:val="24"/>
        </w:rPr>
      </w:pPr>
      <w:r w:rsidRPr="00EC1AB2">
        <w:rPr>
          <w:rFonts w:ascii="Times New Roman" w:hAnsi="Times New Roman" w:cs="Times New Roman"/>
          <w:b/>
          <w:sz w:val="24"/>
          <w:szCs w:val="24"/>
        </w:rPr>
        <w:t xml:space="preserve">                                                                                                  </w:t>
      </w:r>
    </w:p>
    <w:p w:rsidR="008248B9" w:rsidRPr="00EC1AB2" w:rsidRDefault="003618C0" w:rsidP="00DF4E36">
      <w:pPr>
        <w:spacing w:after="0" w:line="360" w:lineRule="auto"/>
        <w:rPr>
          <w:rFonts w:ascii="Times New Roman" w:hAnsi="Times New Roman" w:cs="Times New Roman"/>
          <w:b/>
          <w:sz w:val="24"/>
          <w:szCs w:val="24"/>
        </w:rPr>
      </w:pPr>
      <w:r w:rsidRPr="00EC1AB2">
        <w:rPr>
          <w:rFonts w:ascii="Times New Roman" w:hAnsi="Times New Roman" w:cs="Times New Roman"/>
          <w:b/>
          <w:sz w:val="24"/>
          <w:szCs w:val="24"/>
        </w:rPr>
        <w:t xml:space="preserve">2012 04 ..                                                                                 </w:t>
      </w:r>
      <w:r w:rsidR="008248B9" w:rsidRPr="00EC1AB2">
        <w:rPr>
          <w:rFonts w:ascii="Times New Roman" w:hAnsi="Times New Roman" w:cs="Times New Roman"/>
          <w:b/>
          <w:sz w:val="24"/>
          <w:szCs w:val="24"/>
        </w:rPr>
        <w:t>2012 03</w:t>
      </w:r>
      <w:r w:rsidRPr="00EC1AB2">
        <w:rPr>
          <w:rFonts w:ascii="Times New Roman" w:hAnsi="Times New Roman" w:cs="Times New Roman"/>
          <w:b/>
          <w:sz w:val="24"/>
          <w:szCs w:val="24"/>
        </w:rPr>
        <w:t xml:space="preserve"> ..</w:t>
      </w:r>
    </w:p>
    <w:p w:rsidR="008248B9" w:rsidRPr="00EC1AB2" w:rsidRDefault="008248B9" w:rsidP="007A02A8">
      <w:pPr>
        <w:spacing w:after="0" w:line="360" w:lineRule="auto"/>
        <w:rPr>
          <w:rFonts w:ascii="Times New Roman" w:hAnsi="Times New Roman" w:cs="Times New Roman"/>
          <w:b/>
          <w:sz w:val="28"/>
          <w:szCs w:val="28"/>
        </w:rPr>
      </w:pPr>
    </w:p>
    <w:p w:rsidR="00DE3105" w:rsidRPr="00EC1AB2" w:rsidRDefault="00DE3105" w:rsidP="007A02A8">
      <w:pPr>
        <w:spacing w:after="0" w:line="360" w:lineRule="auto"/>
        <w:jc w:val="center"/>
        <w:rPr>
          <w:rFonts w:ascii="Times New Roman" w:hAnsi="Times New Roman" w:cs="Times New Roman"/>
          <w:b/>
          <w:sz w:val="28"/>
          <w:szCs w:val="28"/>
        </w:rPr>
      </w:pPr>
    </w:p>
    <w:p w:rsidR="00B404E5" w:rsidRPr="00EC1AB2" w:rsidRDefault="00F804BE" w:rsidP="007A02A8">
      <w:pPr>
        <w:spacing w:after="0" w:line="360" w:lineRule="auto"/>
        <w:jc w:val="center"/>
        <w:rPr>
          <w:rFonts w:ascii="Times New Roman" w:hAnsi="Times New Roman" w:cs="Times New Roman"/>
          <w:b/>
          <w:sz w:val="28"/>
          <w:szCs w:val="28"/>
        </w:rPr>
        <w:sectPr w:rsidR="00B404E5" w:rsidRPr="00EC1AB2" w:rsidSect="007F1325">
          <w:headerReference w:type="default" r:id="rId9"/>
          <w:pgSz w:w="11906" w:h="16838"/>
          <w:pgMar w:top="1134" w:right="567" w:bottom="1134" w:left="1418" w:header="567" w:footer="567" w:gutter="0"/>
          <w:cols w:space="1296"/>
          <w:docGrid w:linePitch="360"/>
        </w:sectPr>
      </w:pPr>
      <w:r w:rsidRPr="00EC1AB2">
        <w:rPr>
          <w:rFonts w:ascii="Times New Roman" w:hAnsi="Times New Roman" w:cs="Times New Roman"/>
          <w:b/>
          <w:sz w:val="28"/>
          <w:szCs w:val="28"/>
        </w:rPr>
        <w:t>VILNIUS, 2012</w:t>
      </w:r>
    </w:p>
    <w:p w:rsidR="00997551" w:rsidRPr="00EC1AB2" w:rsidRDefault="008C0B40" w:rsidP="007A02A8">
      <w:pPr>
        <w:spacing w:after="0" w:line="360" w:lineRule="auto"/>
        <w:jc w:val="center"/>
        <w:rPr>
          <w:rFonts w:ascii="Times New Roman" w:hAnsi="Times New Roman" w:cs="Times New Roman"/>
          <w:b/>
          <w:sz w:val="28"/>
          <w:szCs w:val="28"/>
        </w:rPr>
      </w:pPr>
      <w:r w:rsidRPr="00EC1AB2">
        <w:rPr>
          <w:rFonts w:ascii="Times New Roman" w:hAnsi="Times New Roman" w:cs="Times New Roman"/>
          <w:b/>
          <w:sz w:val="28"/>
          <w:szCs w:val="28"/>
        </w:rPr>
        <w:lastRenderedPageBreak/>
        <w:t>TURINYS</w:t>
      </w:r>
    </w:p>
    <w:sdt>
      <w:sdtPr>
        <w:rPr>
          <w:rFonts w:ascii="Times New Roman" w:hAnsi="Times New Roman" w:cs="Times New Roman"/>
          <w:b/>
          <w:bCs/>
        </w:rPr>
        <w:id w:val="448674509"/>
        <w:docPartObj>
          <w:docPartGallery w:val="Table of Contents"/>
          <w:docPartUnique/>
        </w:docPartObj>
      </w:sdtPr>
      <w:sdtEndPr>
        <w:rPr>
          <w:b w:val="0"/>
          <w:bCs w:val="0"/>
          <w:noProof/>
          <w:sz w:val="24"/>
          <w:szCs w:val="24"/>
        </w:rPr>
      </w:sdtEndPr>
      <w:sdtContent>
        <w:p w:rsidR="00AF08F6" w:rsidRPr="00EC1AB2" w:rsidRDefault="00091BB8" w:rsidP="00AF08F6">
          <w:pPr>
            <w:pStyle w:val="TOC1"/>
            <w:rPr>
              <w:rFonts w:ascii="Times New Roman" w:eastAsiaTheme="minorEastAsia" w:hAnsi="Times New Roman" w:cs="Times New Roman"/>
              <w:noProof/>
              <w:sz w:val="24"/>
              <w:szCs w:val="24"/>
              <w:lang w:eastAsia="lt-LT"/>
            </w:rPr>
          </w:pPr>
          <w:r w:rsidRPr="00EC1AB2">
            <w:rPr>
              <w:rFonts w:ascii="Times New Roman" w:hAnsi="Times New Roman" w:cs="Times New Roman"/>
              <w:b/>
              <w:bCs/>
              <w:sz w:val="24"/>
              <w:szCs w:val="24"/>
            </w:rPr>
            <w:fldChar w:fldCharType="begin"/>
          </w:r>
          <w:r w:rsidRPr="00EC1AB2">
            <w:rPr>
              <w:rFonts w:ascii="Times New Roman" w:hAnsi="Times New Roman" w:cs="Times New Roman"/>
              <w:sz w:val="24"/>
              <w:szCs w:val="24"/>
            </w:rPr>
            <w:instrText xml:space="preserve"> TOC \o "1-3" \h \z \u </w:instrText>
          </w:r>
          <w:r w:rsidRPr="00EC1AB2">
            <w:rPr>
              <w:rFonts w:ascii="Times New Roman" w:hAnsi="Times New Roman" w:cs="Times New Roman"/>
              <w:b/>
              <w:bCs/>
              <w:sz w:val="24"/>
              <w:szCs w:val="24"/>
            </w:rPr>
            <w:fldChar w:fldCharType="separate"/>
          </w:r>
        </w:p>
        <w:p w:rsidR="00AF08F6" w:rsidRPr="00EC1AB2" w:rsidRDefault="00EC1AB2">
          <w:pPr>
            <w:pStyle w:val="TOC1"/>
            <w:rPr>
              <w:rFonts w:ascii="Times New Roman" w:eastAsiaTheme="minorEastAsia" w:hAnsi="Times New Roman" w:cs="Times New Roman"/>
              <w:noProof/>
              <w:sz w:val="24"/>
              <w:szCs w:val="24"/>
              <w:lang w:eastAsia="lt-LT"/>
            </w:rPr>
          </w:pPr>
          <w:hyperlink w:anchor="_Toc321092694" w:history="1">
            <w:r w:rsidR="00AF08F6" w:rsidRPr="00EC1AB2">
              <w:rPr>
                <w:rStyle w:val="Hyperlink"/>
                <w:rFonts w:ascii="Times New Roman" w:hAnsi="Times New Roman" w:cs="Times New Roman"/>
                <w:noProof/>
                <w:sz w:val="24"/>
                <w:szCs w:val="24"/>
              </w:rPr>
              <w:t>1. RIZIKOS KAPITALO FONDŲ TEORINIAI ASPEKTAI</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_Toc321092694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8</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695" w:history="1">
            <w:r w:rsidR="00AF08F6" w:rsidRPr="00EC1AB2">
              <w:rPr>
                <w:rStyle w:val="Hyperlink"/>
                <w:rFonts w:ascii="Times New Roman" w:hAnsi="Times New Roman"/>
                <w:noProof/>
                <w:sz w:val="24"/>
                <w:szCs w:val="24"/>
                <w:lang w:val="lt-LT"/>
              </w:rPr>
              <w:t>1.1.</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Rizikos kapitalo fondų koncepcija</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_Toc321092695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8</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696" w:history="1">
            <w:r w:rsidR="00AF08F6" w:rsidRPr="00EC1AB2">
              <w:rPr>
                <w:rStyle w:val="Hyperlink"/>
                <w:rFonts w:ascii="Times New Roman" w:hAnsi="Times New Roman"/>
                <w:noProof/>
                <w:sz w:val="24"/>
                <w:szCs w:val="24"/>
                <w:lang w:val="lt-LT"/>
              </w:rPr>
              <w:t>1.2.</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Pagrindiniai rizikos kapitalo fondų veiklos bruožai bei teisinis reglamentavimas</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_Toc321092696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12</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697" w:history="1">
            <w:r w:rsidR="00AF08F6" w:rsidRPr="00EC1AB2">
              <w:rPr>
                <w:rStyle w:val="Hyperlink"/>
                <w:rFonts w:ascii="Times New Roman" w:hAnsi="Times New Roman"/>
                <w:noProof/>
                <w:sz w:val="24"/>
                <w:szCs w:val="24"/>
                <w:lang w:val="lt-LT"/>
              </w:rPr>
              <w:t>1.3.</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Rizikos kapitalo fondų įtaka šalies ekonomikai</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_Toc321092697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18</w:t>
            </w:r>
            <w:r w:rsidR="00AF08F6" w:rsidRPr="00EC1AB2">
              <w:rPr>
                <w:rFonts w:ascii="Times New Roman" w:hAnsi="Times New Roman"/>
                <w:noProof/>
                <w:webHidden/>
                <w:sz w:val="24"/>
                <w:szCs w:val="24"/>
                <w:lang w:val="lt-LT"/>
              </w:rPr>
              <w:fldChar w:fldCharType="end"/>
            </w:r>
          </w:hyperlink>
        </w:p>
        <w:p w:rsidR="00AF08F6" w:rsidRPr="00EC1AB2" w:rsidRDefault="00AF08F6">
          <w:pPr>
            <w:pStyle w:val="TOC1"/>
            <w:tabs>
              <w:tab w:val="left" w:pos="1100"/>
            </w:tabs>
            <w:rPr>
              <w:rFonts w:ascii="Times New Roman" w:eastAsiaTheme="minorEastAsia" w:hAnsi="Times New Roman" w:cs="Times New Roman"/>
              <w:noProof/>
              <w:sz w:val="24"/>
              <w:szCs w:val="24"/>
              <w:lang w:eastAsia="lt-LT"/>
            </w:rPr>
          </w:pPr>
          <w:r w:rsidRPr="00EC1AB2">
            <w:rPr>
              <w:rStyle w:val="Hyperlink"/>
              <w:rFonts w:ascii="Times New Roman" w:hAnsi="Times New Roman" w:cs="Times New Roman"/>
              <w:noProof/>
              <w:sz w:val="24"/>
              <w:szCs w:val="24"/>
            </w:rPr>
            <w:t xml:space="preserve">    </w:t>
          </w:r>
          <w:hyperlink w:anchor="_Toc321092698" w:history="1">
            <w:r w:rsidRPr="00EC1AB2">
              <w:rPr>
                <w:rStyle w:val="Hyperlink"/>
                <w:rFonts w:ascii="Times New Roman" w:hAnsi="Times New Roman" w:cs="Times New Roman"/>
                <w:noProof/>
                <w:sz w:val="24"/>
                <w:szCs w:val="24"/>
              </w:rPr>
              <w:t>1.4.</w:t>
            </w:r>
            <w:r w:rsidRPr="00EC1AB2">
              <w:rPr>
                <w:rFonts w:ascii="Times New Roman" w:eastAsiaTheme="minorEastAsia" w:hAnsi="Times New Roman" w:cs="Times New Roman"/>
                <w:noProof/>
                <w:sz w:val="24"/>
                <w:szCs w:val="24"/>
                <w:lang w:eastAsia="lt-LT"/>
              </w:rPr>
              <w:t xml:space="preserve"> </w:t>
            </w:r>
            <w:r w:rsidR="00677707" w:rsidRPr="00EC1AB2">
              <w:rPr>
                <w:rFonts w:ascii="Times New Roman" w:eastAsiaTheme="minorEastAsia" w:hAnsi="Times New Roman" w:cs="Times New Roman"/>
                <w:noProof/>
                <w:sz w:val="24"/>
                <w:szCs w:val="24"/>
                <w:lang w:eastAsia="lt-LT"/>
              </w:rPr>
              <w:t xml:space="preserve"> </w:t>
            </w:r>
            <w:r w:rsidRPr="00EC1AB2">
              <w:rPr>
                <w:rStyle w:val="Hyperlink"/>
                <w:rFonts w:ascii="Times New Roman" w:hAnsi="Times New Roman" w:cs="Times New Roman"/>
                <w:noProof/>
                <w:sz w:val="24"/>
                <w:szCs w:val="24"/>
              </w:rPr>
              <w:t>Rizikos kapitalo fondų plėtrą lemiantys veiksniai</w:t>
            </w:r>
            <w:r w:rsidRPr="00EC1AB2">
              <w:rPr>
                <w:rFonts w:ascii="Times New Roman" w:hAnsi="Times New Roman" w:cs="Times New Roman"/>
                <w:noProof/>
                <w:webHidden/>
                <w:sz w:val="24"/>
                <w:szCs w:val="24"/>
              </w:rPr>
              <w:tab/>
            </w:r>
            <w:r w:rsidRPr="00EC1AB2">
              <w:rPr>
                <w:rFonts w:ascii="Times New Roman" w:hAnsi="Times New Roman" w:cs="Times New Roman"/>
                <w:noProof/>
                <w:webHidden/>
                <w:sz w:val="24"/>
                <w:szCs w:val="24"/>
              </w:rPr>
              <w:fldChar w:fldCharType="begin"/>
            </w:r>
            <w:r w:rsidRPr="00EC1AB2">
              <w:rPr>
                <w:rFonts w:ascii="Times New Roman" w:hAnsi="Times New Roman" w:cs="Times New Roman"/>
                <w:noProof/>
                <w:webHidden/>
                <w:sz w:val="24"/>
                <w:szCs w:val="24"/>
              </w:rPr>
              <w:instrText xml:space="preserve"> PAGEREF _Toc321092698 \h </w:instrText>
            </w:r>
            <w:r w:rsidRPr="00EC1AB2">
              <w:rPr>
                <w:rFonts w:ascii="Times New Roman" w:hAnsi="Times New Roman" w:cs="Times New Roman"/>
                <w:noProof/>
                <w:webHidden/>
                <w:sz w:val="24"/>
                <w:szCs w:val="24"/>
              </w:rPr>
            </w:r>
            <w:r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22</w:t>
            </w:r>
            <w:r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699" w:history="1">
            <w:r w:rsidR="00AF08F6" w:rsidRPr="00EC1AB2">
              <w:rPr>
                <w:rStyle w:val="Hyperlink"/>
                <w:rFonts w:ascii="Times New Roman" w:hAnsi="Times New Roman" w:cs="Times New Roman"/>
                <w:noProof/>
                <w:sz w:val="24"/>
                <w:szCs w:val="24"/>
              </w:rPr>
              <w:t>2. RIZIKOS KAPITALO FONDŲ  PLĖTROS PROBLEMŲ LIETUVOJE TYRIMO METODOLOGIJA</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_Toc321092699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28</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700" w:history="1">
            <w:r w:rsidR="00AF08F6" w:rsidRPr="00EC1AB2">
              <w:rPr>
                <w:rStyle w:val="Hyperlink"/>
                <w:rFonts w:ascii="Times New Roman" w:hAnsi="Times New Roman"/>
                <w:noProof/>
                <w:sz w:val="24"/>
                <w:szCs w:val="24"/>
                <w:lang w:val="lt-LT"/>
              </w:rPr>
              <w:t>2.1.</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Rizikos kapitalo fondų plėtros problemų Lietuvoje tyrimo pagrindimas</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_Toc321092700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28</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701" w:history="1">
            <w:r w:rsidR="00AF08F6" w:rsidRPr="00EC1AB2">
              <w:rPr>
                <w:rStyle w:val="Hyperlink"/>
                <w:rFonts w:ascii="Times New Roman" w:hAnsi="Times New Roman"/>
                <w:noProof/>
                <w:sz w:val="24"/>
                <w:szCs w:val="24"/>
                <w:lang w:val="lt-LT"/>
              </w:rPr>
              <w:t>2.2.</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Tyrimo metodika</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_Toc321092701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34</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02" w:history="1">
            <w:r w:rsidR="00AF08F6" w:rsidRPr="00EC1AB2">
              <w:rPr>
                <w:rStyle w:val="Hyperlink"/>
                <w:rFonts w:ascii="Times New Roman" w:eastAsia="+mn-ea" w:hAnsi="Times New Roman" w:cs="Times New Roman"/>
                <w:noProof/>
                <w:sz w:val="24"/>
                <w:szCs w:val="24"/>
              </w:rPr>
              <w:t>3.</w:t>
            </w:r>
            <w:r w:rsidR="00AF08F6" w:rsidRPr="00EC1AB2">
              <w:rPr>
                <w:rFonts w:ascii="Times New Roman" w:eastAsiaTheme="minorEastAsia" w:hAnsi="Times New Roman" w:cs="Times New Roman"/>
                <w:noProof/>
                <w:sz w:val="24"/>
                <w:szCs w:val="24"/>
                <w:lang w:eastAsia="lt-LT"/>
              </w:rPr>
              <w:tab/>
            </w:r>
            <w:r w:rsidR="00AF08F6" w:rsidRPr="00EC1AB2">
              <w:rPr>
                <w:rStyle w:val="Hyperlink"/>
                <w:rFonts w:ascii="Times New Roman" w:hAnsi="Times New Roman" w:cs="Times New Roman"/>
                <w:noProof/>
                <w:sz w:val="24"/>
                <w:szCs w:val="24"/>
              </w:rPr>
              <w:t>RIZIKOS KAPITALO FONDŲ PLĖTROS PROBLEMOS BEI JŲ ŠALINIMO GAIRĖS</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_Toc321092702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36</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703" w:history="1">
            <w:r w:rsidR="00AF08F6" w:rsidRPr="00EC1AB2">
              <w:rPr>
                <w:rStyle w:val="Hyperlink"/>
                <w:rFonts w:ascii="Times New Roman" w:hAnsi="Times New Roman"/>
                <w:noProof/>
                <w:sz w:val="24"/>
                <w:szCs w:val="24"/>
                <w:lang w:val="lt-LT"/>
              </w:rPr>
              <w:t>3.1.</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Lietuvos suminio inovatyvumo indekso analizė ES kontekste</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_Toc321092703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36</w:t>
            </w:r>
            <w:r w:rsidR="00AF08F6" w:rsidRPr="00EC1AB2">
              <w:rPr>
                <w:rFonts w:ascii="Times New Roman" w:hAnsi="Times New Roman"/>
                <w:noProof/>
                <w:webHidden/>
                <w:sz w:val="24"/>
                <w:szCs w:val="24"/>
                <w:lang w:val="lt-LT"/>
              </w:rPr>
              <w:fldChar w:fldCharType="end"/>
            </w:r>
          </w:hyperlink>
        </w:p>
        <w:p w:rsidR="00AF08F6" w:rsidRPr="00EC1AB2" w:rsidRDefault="00EC1AB2" w:rsidP="00AF08F6">
          <w:pPr>
            <w:pStyle w:val="TOC2"/>
            <w:tabs>
              <w:tab w:val="left" w:pos="1540"/>
            </w:tabs>
            <w:jc w:val="left"/>
            <w:rPr>
              <w:rFonts w:ascii="Times New Roman" w:eastAsiaTheme="minorEastAsia" w:hAnsi="Times New Roman"/>
              <w:noProof/>
              <w:sz w:val="24"/>
              <w:szCs w:val="24"/>
              <w:lang w:val="lt-LT" w:eastAsia="lt-LT"/>
            </w:rPr>
          </w:pPr>
          <w:hyperlink w:anchor="_Toc321092704" w:history="1">
            <w:r w:rsidR="00AF08F6" w:rsidRPr="00EC1AB2">
              <w:rPr>
                <w:rStyle w:val="Hyperlink"/>
                <w:rFonts w:ascii="Times New Roman" w:hAnsi="Times New Roman"/>
                <w:noProof/>
                <w:sz w:val="24"/>
                <w:szCs w:val="24"/>
                <w:lang w:val="lt-LT"/>
              </w:rPr>
              <w:t>3.2.</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Rizikos kapitalo fondų  investicijų ir suminio inovatyvumo indekso sudedamųjų dalių koreliacinė analizė…………...</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_Toc321092704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44</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2"/>
            <w:rPr>
              <w:rFonts w:ascii="Times New Roman" w:eastAsiaTheme="minorEastAsia" w:hAnsi="Times New Roman"/>
              <w:noProof/>
              <w:sz w:val="24"/>
              <w:szCs w:val="24"/>
              <w:lang w:val="lt-LT" w:eastAsia="lt-LT"/>
            </w:rPr>
          </w:pPr>
          <w:hyperlink w:anchor="_Toc321092705" w:history="1">
            <w:r w:rsidR="00AF08F6" w:rsidRPr="00EC1AB2">
              <w:rPr>
                <w:rStyle w:val="Hyperlink"/>
                <w:rFonts w:ascii="Times New Roman" w:hAnsi="Times New Roman"/>
                <w:noProof/>
                <w:sz w:val="24"/>
                <w:szCs w:val="24"/>
                <w:lang w:val="lt-LT"/>
              </w:rPr>
              <w:t>3.3.</w:t>
            </w:r>
            <w:r w:rsidR="00AF08F6" w:rsidRPr="00EC1AB2">
              <w:rPr>
                <w:rFonts w:ascii="Times New Roman" w:eastAsiaTheme="minorEastAsia" w:hAnsi="Times New Roman"/>
                <w:noProof/>
                <w:sz w:val="24"/>
                <w:szCs w:val="24"/>
                <w:lang w:val="lt-LT" w:eastAsia="lt-LT"/>
              </w:rPr>
              <w:tab/>
            </w:r>
            <w:r w:rsidR="00AF08F6" w:rsidRPr="00EC1AB2">
              <w:rPr>
                <w:rStyle w:val="Hyperlink"/>
                <w:rFonts w:ascii="Times New Roman" w:hAnsi="Times New Roman"/>
                <w:noProof/>
                <w:sz w:val="24"/>
                <w:szCs w:val="24"/>
                <w:lang w:val="lt-LT"/>
              </w:rPr>
              <w:t>Rizikos kapitalo fondų plėtros problemų tyrimas</w:t>
            </w:r>
            <w:r w:rsidR="00AF08F6" w:rsidRPr="00EC1AB2">
              <w:rPr>
                <w:rFonts w:ascii="Times New Roman" w:hAnsi="Times New Roman"/>
                <w:noProof/>
                <w:webHidden/>
                <w:sz w:val="24"/>
                <w:szCs w:val="24"/>
                <w:lang w:val="lt-LT"/>
              </w:rPr>
              <w:tab/>
            </w:r>
            <w:r w:rsidR="00AF08F6" w:rsidRPr="00EC1AB2">
              <w:rPr>
                <w:rFonts w:ascii="Times New Roman" w:hAnsi="Times New Roman"/>
                <w:noProof/>
                <w:webHidden/>
                <w:sz w:val="24"/>
                <w:szCs w:val="24"/>
                <w:lang w:val="lt-LT"/>
              </w:rPr>
              <w:fldChar w:fldCharType="begin"/>
            </w:r>
            <w:r w:rsidR="00AF08F6" w:rsidRPr="00EC1AB2">
              <w:rPr>
                <w:rFonts w:ascii="Times New Roman" w:hAnsi="Times New Roman"/>
                <w:noProof/>
                <w:webHidden/>
                <w:sz w:val="24"/>
                <w:szCs w:val="24"/>
                <w:lang w:val="lt-LT"/>
              </w:rPr>
              <w:instrText xml:space="preserve"> PAGEREF _Toc321092705 \h </w:instrText>
            </w:r>
            <w:r w:rsidR="00AF08F6" w:rsidRPr="00EC1AB2">
              <w:rPr>
                <w:rFonts w:ascii="Times New Roman" w:hAnsi="Times New Roman"/>
                <w:noProof/>
                <w:webHidden/>
                <w:sz w:val="24"/>
                <w:szCs w:val="24"/>
                <w:lang w:val="lt-LT"/>
              </w:rPr>
            </w:r>
            <w:r w:rsidR="00AF08F6" w:rsidRPr="00EC1AB2">
              <w:rPr>
                <w:rFonts w:ascii="Times New Roman" w:hAnsi="Times New Roman"/>
                <w:noProof/>
                <w:webHidden/>
                <w:sz w:val="24"/>
                <w:szCs w:val="24"/>
                <w:lang w:val="lt-LT"/>
              </w:rPr>
              <w:fldChar w:fldCharType="separate"/>
            </w:r>
            <w:r w:rsidR="00EB092C" w:rsidRPr="00EC1AB2">
              <w:rPr>
                <w:rFonts w:ascii="Times New Roman" w:hAnsi="Times New Roman"/>
                <w:noProof/>
                <w:webHidden/>
                <w:sz w:val="24"/>
                <w:szCs w:val="24"/>
                <w:lang w:val="lt-LT"/>
              </w:rPr>
              <w:t>47</w:t>
            </w:r>
            <w:r w:rsidR="00AF08F6" w:rsidRPr="00EC1AB2">
              <w:rPr>
                <w:rFonts w:ascii="Times New Roman" w:hAnsi="Times New Roman"/>
                <w:noProof/>
                <w:webHidden/>
                <w:sz w:val="24"/>
                <w:szCs w:val="24"/>
                <w:lang w:val="lt-LT"/>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06" w:history="1">
            <w:r w:rsidR="00AF08F6" w:rsidRPr="00EC1AB2">
              <w:rPr>
                <w:rStyle w:val="Hyperlink"/>
                <w:rFonts w:ascii="Times New Roman" w:hAnsi="Times New Roman" w:cs="Times New Roman"/>
                <w:noProof/>
                <w:sz w:val="24"/>
                <w:szCs w:val="24"/>
              </w:rPr>
              <w:t>IŠVADOS IR SIŪLYMAI</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_Toc321092706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53</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07" w:history="1">
            <w:r w:rsidR="00AF08F6" w:rsidRPr="00EC1AB2">
              <w:rPr>
                <w:rStyle w:val="Hyperlink"/>
                <w:rFonts w:ascii="Times New Roman" w:hAnsi="Times New Roman" w:cs="Times New Roman"/>
                <w:noProof/>
                <w:sz w:val="24"/>
                <w:szCs w:val="24"/>
              </w:rPr>
              <w:t>LITERATŪRA</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_Toc321092707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55</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08" w:history="1">
            <w:r w:rsidR="00AF08F6" w:rsidRPr="00EC1AB2">
              <w:rPr>
                <w:rStyle w:val="Hyperlink"/>
                <w:rFonts w:ascii="Times New Roman" w:eastAsia="TimesNewRomanPSMT" w:hAnsi="Times New Roman" w:cs="Times New Roman"/>
                <w:noProof/>
                <w:sz w:val="24"/>
                <w:szCs w:val="24"/>
              </w:rPr>
              <w:t>ANOTACIJA</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_Toc321092708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60</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09" w:history="1">
            <w:r w:rsidR="00AF08F6" w:rsidRPr="00EC1AB2">
              <w:rPr>
                <w:rStyle w:val="Hyperlink"/>
                <w:rFonts w:ascii="Times New Roman" w:eastAsia="TimesNewRomanPSMT" w:hAnsi="Times New Roman" w:cs="Times New Roman"/>
                <w:noProof/>
                <w:sz w:val="24"/>
                <w:szCs w:val="24"/>
              </w:rPr>
              <w:t>ANNOTATION</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_Toc321092709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61</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11" w:history="1">
            <w:r w:rsidR="00AF08F6" w:rsidRPr="00EC1AB2">
              <w:rPr>
                <w:rStyle w:val="Hyperlink"/>
                <w:rFonts w:ascii="Times New Roman" w:eastAsia="TimesNewRomanPSMT" w:hAnsi="Times New Roman" w:cs="Times New Roman"/>
                <w:noProof/>
                <w:sz w:val="24"/>
                <w:szCs w:val="24"/>
              </w:rPr>
              <w:t>SANTRAUKA</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_Toc321092711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62</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12" w:history="1">
            <w:r w:rsidR="00AF08F6" w:rsidRPr="00EC1AB2">
              <w:rPr>
                <w:rStyle w:val="Hyperlink"/>
                <w:rFonts w:ascii="Times New Roman" w:eastAsia="TimesNewRomanPSMT" w:hAnsi="Times New Roman" w:cs="Times New Roman"/>
                <w:noProof/>
                <w:sz w:val="24"/>
                <w:szCs w:val="24"/>
              </w:rPr>
              <w:t>SUMMARY</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_Toc321092712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64</w:t>
            </w:r>
            <w:r w:rsidR="00AF08F6" w:rsidRPr="00EC1AB2">
              <w:rPr>
                <w:rFonts w:ascii="Times New Roman" w:hAnsi="Times New Roman" w:cs="Times New Roman"/>
                <w:noProof/>
                <w:webHidden/>
                <w:sz w:val="24"/>
                <w:szCs w:val="24"/>
              </w:rPr>
              <w:fldChar w:fldCharType="end"/>
            </w:r>
          </w:hyperlink>
        </w:p>
        <w:p w:rsidR="00AF08F6" w:rsidRPr="00EC1AB2" w:rsidRDefault="00EC1AB2">
          <w:pPr>
            <w:pStyle w:val="TOC1"/>
            <w:rPr>
              <w:rFonts w:ascii="Times New Roman" w:eastAsiaTheme="minorEastAsia" w:hAnsi="Times New Roman" w:cs="Times New Roman"/>
              <w:noProof/>
              <w:sz w:val="24"/>
              <w:szCs w:val="24"/>
              <w:lang w:eastAsia="lt-LT"/>
            </w:rPr>
          </w:pPr>
          <w:hyperlink w:anchor="_Toc321092714" w:history="1">
            <w:r w:rsidR="00AF08F6" w:rsidRPr="00EC1AB2">
              <w:rPr>
                <w:rStyle w:val="Hyperlink"/>
                <w:rFonts w:ascii="Times New Roman" w:hAnsi="Times New Roman" w:cs="Times New Roman"/>
                <w:noProof/>
                <w:sz w:val="24"/>
                <w:szCs w:val="24"/>
              </w:rPr>
              <w:t>PRIEDAI</w:t>
            </w:r>
            <w:r w:rsidR="00AF08F6" w:rsidRPr="00EC1AB2">
              <w:rPr>
                <w:rFonts w:ascii="Times New Roman" w:hAnsi="Times New Roman" w:cs="Times New Roman"/>
                <w:noProof/>
                <w:webHidden/>
                <w:sz w:val="24"/>
                <w:szCs w:val="24"/>
              </w:rPr>
              <w:tab/>
            </w:r>
            <w:r w:rsidR="00AF08F6" w:rsidRPr="00EC1AB2">
              <w:rPr>
                <w:rFonts w:ascii="Times New Roman" w:hAnsi="Times New Roman" w:cs="Times New Roman"/>
                <w:noProof/>
                <w:webHidden/>
                <w:sz w:val="24"/>
                <w:szCs w:val="24"/>
              </w:rPr>
              <w:fldChar w:fldCharType="begin"/>
            </w:r>
            <w:r w:rsidR="00AF08F6" w:rsidRPr="00EC1AB2">
              <w:rPr>
                <w:rFonts w:ascii="Times New Roman" w:hAnsi="Times New Roman" w:cs="Times New Roman"/>
                <w:noProof/>
                <w:webHidden/>
                <w:sz w:val="24"/>
                <w:szCs w:val="24"/>
              </w:rPr>
              <w:instrText xml:space="preserve"> PAGEREF _Toc321092714 \h </w:instrText>
            </w:r>
            <w:r w:rsidR="00AF08F6" w:rsidRPr="00EC1AB2">
              <w:rPr>
                <w:rFonts w:ascii="Times New Roman" w:hAnsi="Times New Roman" w:cs="Times New Roman"/>
                <w:noProof/>
                <w:webHidden/>
                <w:sz w:val="24"/>
                <w:szCs w:val="24"/>
              </w:rPr>
            </w:r>
            <w:r w:rsidR="00AF08F6"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66</w:t>
            </w:r>
            <w:r w:rsidR="00AF08F6" w:rsidRPr="00EC1AB2">
              <w:rPr>
                <w:rFonts w:ascii="Times New Roman" w:hAnsi="Times New Roman" w:cs="Times New Roman"/>
                <w:noProof/>
                <w:webHidden/>
                <w:sz w:val="24"/>
                <w:szCs w:val="24"/>
              </w:rPr>
              <w:fldChar w:fldCharType="end"/>
            </w:r>
          </w:hyperlink>
        </w:p>
        <w:p w:rsidR="00BA5BE2" w:rsidRPr="00EC1AB2" w:rsidRDefault="00091BB8" w:rsidP="007A02A8">
          <w:pPr>
            <w:spacing w:after="0" w:line="360" w:lineRule="auto"/>
            <w:rPr>
              <w:rFonts w:ascii="Times New Roman" w:hAnsi="Times New Roman" w:cs="Times New Roman"/>
              <w:sz w:val="24"/>
              <w:szCs w:val="24"/>
            </w:rPr>
          </w:pPr>
          <w:r w:rsidRPr="00EC1AB2">
            <w:rPr>
              <w:rFonts w:ascii="Times New Roman" w:hAnsi="Times New Roman" w:cs="Times New Roman"/>
              <w:b/>
              <w:bCs/>
              <w:noProof/>
              <w:sz w:val="24"/>
              <w:szCs w:val="24"/>
            </w:rPr>
            <w:fldChar w:fldCharType="end"/>
          </w:r>
        </w:p>
      </w:sdtContent>
    </w:sdt>
    <w:bookmarkStart w:id="0" w:name="_Toc320567175" w:displacedByCustomXml="prev"/>
    <w:bookmarkStart w:id="1" w:name="_Toc320567029" w:displacedByCustomXml="prev"/>
    <w:bookmarkStart w:id="2" w:name="_Toc320566989" w:displacedByCustomXml="prev"/>
    <w:p w:rsidR="00FA1D9A" w:rsidRPr="00EC1AB2" w:rsidRDefault="00FA1D9A" w:rsidP="007A02A8">
      <w:pPr>
        <w:pStyle w:val="Heading1"/>
        <w:spacing w:before="0" w:after="0" w:line="360" w:lineRule="auto"/>
        <w:rPr>
          <w:sz w:val="28"/>
          <w:szCs w:val="28"/>
        </w:rPr>
      </w:pPr>
      <w:bookmarkStart w:id="3" w:name="_Toc320759760"/>
      <w:bookmarkStart w:id="4" w:name="_Toc320761758"/>
      <w:r w:rsidRPr="00EC1AB2">
        <w:rPr>
          <w:sz w:val="28"/>
          <w:szCs w:val="28"/>
        </w:rPr>
        <w:br w:type="page"/>
      </w:r>
    </w:p>
    <w:p w:rsidR="00FA1D9A" w:rsidRPr="00EC1AB2" w:rsidRDefault="00BA5BE2" w:rsidP="007A02A8">
      <w:pPr>
        <w:pStyle w:val="Heading1"/>
        <w:spacing w:before="0" w:after="0" w:line="360" w:lineRule="auto"/>
        <w:rPr>
          <w:sz w:val="24"/>
          <w:szCs w:val="24"/>
        </w:rPr>
      </w:pPr>
      <w:bookmarkStart w:id="5" w:name="_Toc320761900"/>
      <w:bookmarkStart w:id="6" w:name="_Toc320762135"/>
      <w:bookmarkStart w:id="7" w:name="_Toc320762537"/>
      <w:bookmarkStart w:id="8" w:name="_Toc321092692"/>
      <w:r w:rsidRPr="00EC1AB2">
        <w:rPr>
          <w:sz w:val="28"/>
          <w:szCs w:val="28"/>
        </w:rPr>
        <w:lastRenderedPageBreak/>
        <w:t>LENTELĖS</w:t>
      </w:r>
      <w:bookmarkEnd w:id="3"/>
      <w:bookmarkEnd w:id="4"/>
      <w:bookmarkEnd w:id="5"/>
      <w:bookmarkEnd w:id="6"/>
      <w:bookmarkEnd w:id="7"/>
      <w:bookmarkEnd w:id="8"/>
      <w:r w:rsidR="00FA1D9A" w:rsidRPr="00EC1AB2">
        <w:rPr>
          <w:sz w:val="24"/>
          <w:szCs w:val="24"/>
        </w:rPr>
        <w:fldChar w:fldCharType="begin"/>
      </w:r>
      <w:r w:rsidR="00FA1D9A" w:rsidRPr="00EC1AB2">
        <w:rPr>
          <w:sz w:val="24"/>
          <w:szCs w:val="24"/>
        </w:rPr>
        <w:instrText xml:space="preserve"> TOC \o "1-5" \h \z \u </w:instrText>
      </w:r>
      <w:r w:rsidR="00FA1D9A" w:rsidRPr="00EC1AB2">
        <w:rPr>
          <w:sz w:val="24"/>
          <w:szCs w:val="24"/>
        </w:rPr>
        <w:fldChar w:fldCharType="separate"/>
      </w:r>
    </w:p>
    <w:p w:rsidR="00FA1D9A" w:rsidRPr="00EC1AB2" w:rsidRDefault="00FA1D9A" w:rsidP="0034081A">
      <w:pPr>
        <w:pStyle w:val="TOC2"/>
        <w:rPr>
          <w:rFonts w:ascii="Times New Roman" w:hAnsi="Times New Roman"/>
          <w:noProof/>
          <w:lang w:val="lt-LT" w:eastAsia="lt-LT"/>
        </w:rPr>
      </w:pPr>
    </w:p>
    <w:p w:rsidR="00FA1D9A" w:rsidRPr="00EC1AB2" w:rsidRDefault="00EC1AB2" w:rsidP="007A02A8">
      <w:pPr>
        <w:pStyle w:val="TOC4"/>
        <w:rPr>
          <w:rFonts w:ascii="Times New Roman" w:hAnsi="Times New Roman" w:cs="Times New Roman"/>
          <w:noProof/>
          <w:sz w:val="24"/>
          <w:szCs w:val="24"/>
        </w:rPr>
      </w:pPr>
      <w:hyperlink w:anchor="_Toc320761905" w:history="1">
        <w:r w:rsidR="00487EDC" w:rsidRPr="00EC1AB2">
          <w:rPr>
            <w:rStyle w:val="Hyperlink"/>
            <w:rFonts w:ascii="Times New Roman" w:hAnsi="Times New Roman" w:cs="Times New Roman"/>
            <w:noProof/>
            <w:sz w:val="24"/>
            <w:szCs w:val="24"/>
          </w:rPr>
          <w:t>1 lentelė. Rizikos kapitalo t</w:t>
        </w:r>
        <w:r w:rsidR="00FA1D9A" w:rsidRPr="00EC1AB2">
          <w:rPr>
            <w:rStyle w:val="Hyperlink"/>
            <w:rFonts w:ascii="Times New Roman" w:hAnsi="Times New Roman" w:cs="Times New Roman"/>
            <w:noProof/>
            <w:sz w:val="24"/>
            <w:szCs w:val="24"/>
          </w:rPr>
          <w:t>erminologijos skirtumai Europoje bei JAV</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_Toc320761905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13" w:history="1">
        <w:r w:rsidR="00FA1D9A" w:rsidRPr="00EC1AB2">
          <w:rPr>
            <w:rStyle w:val="Hyperlink"/>
            <w:rFonts w:ascii="Times New Roman" w:hAnsi="Times New Roman" w:cs="Times New Roman"/>
            <w:noProof/>
            <w:sz w:val="24"/>
            <w:szCs w:val="24"/>
          </w:rPr>
          <w:t>2 lentelė. Veiksniai, svarbūs rizikos kapitalo plėtrai, bei jų įvertinimo rodikliai</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_Toc320761913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14" w:history="1">
        <w:r w:rsidR="00FA1D9A" w:rsidRPr="00EC1AB2">
          <w:rPr>
            <w:rStyle w:val="Hyperlink"/>
            <w:rFonts w:ascii="Times New Roman" w:eastAsia="MinionPro-Regular" w:hAnsi="Times New Roman" w:cs="Times New Roman"/>
            <w:noProof/>
            <w:sz w:val="24"/>
            <w:szCs w:val="24"/>
            <w:lang w:eastAsia="lt-LT"/>
          </w:rPr>
          <w:t>3 lentelė. Rizikos kapitalo fondų investavimo pobūdis pagal finansavimo šaltinius</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_Toc320761914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15" w:history="1">
        <w:r w:rsidR="00FA1D9A" w:rsidRPr="00EC1AB2">
          <w:rPr>
            <w:rStyle w:val="Hyperlink"/>
            <w:rFonts w:ascii="Times New Roman" w:eastAsia="MinionPro-Regular" w:hAnsi="Times New Roman" w:cs="Times New Roman"/>
            <w:noProof/>
            <w:sz w:val="24"/>
            <w:szCs w:val="24"/>
            <w:lang w:eastAsia="lt-LT"/>
          </w:rPr>
          <w:t>4 lentelė. Pagrindiniai empiriniai rizikos kapitalo veiksnių vertinimo tyrimai</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_Toc320761915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34" w:history="1">
        <w:r w:rsidR="0050598E" w:rsidRPr="00EC1AB2">
          <w:rPr>
            <w:rStyle w:val="Hyperlink"/>
            <w:rFonts w:ascii="Times New Roman" w:hAnsi="Times New Roman" w:cs="Times New Roman"/>
            <w:noProof/>
            <w:sz w:val="24"/>
            <w:szCs w:val="24"/>
          </w:rPr>
          <w:t>5 lentelė. Rizikos kapitalo fondų</w:t>
        </w:r>
        <w:r w:rsidR="00FA1D9A" w:rsidRPr="00EC1AB2">
          <w:rPr>
            <w:rStyle w:val="Hyperlink"/>
            <w:rFonts w:ascii="Times New Roman" w:hAnsi="Times New Roman" w:cs="Times New Roman"/>
            <w:noProof/>
            <w:sz w:val="24"/>
            <w:szCs w:val="24"/>
          </w:rPr>
          <w:t xml:space="preserve"> investicijų proc. nuo BVP ir suminio inovatyvumo indekso nuolatinės veiklos kategorijos rodiklių koreliacija</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_Toc320761934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35" w:history="1">
        <w:r w:rsidR="0050598E" w:rsidRPr="00EC1AB2">
          <w:rPr>
            <w:rStyle w:val="Hyperlink"/>
            <w:rFonts w:ascii="Times New Roman" w:hAnsi="Times New Roman" w:cs="Times New Roman"/>
            <w:noProof/>
            <w:sz w:val="24"/>
            <w:szCs w:val="24"/>
          </w:rPr>
          <w:t>6 lentelė. Rizikos kapitalo fondų</w:t>
        </w:r>
        <w:r w:rsidR="00FA1D9A" w:rsidRPr="00EC1AB2">
          <w:rPr>
            <w:rStyle w:val="Hyperlink"/>
            <w:rFonts w:ascii="Times New Roman" w:hAnsi="Times New Roman" w:cs="Times New Roman"/>
            <w:noProof/>
            <w:sz w:val="24"/>
            <w:szCs w:val="24"/>
          </w:rPr>
          <w:t xml:space="preserve"> investicijų apimties ir suminio inovatyvumo indekso rezultatų kategorijos rodiklių koreliacija</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_Toc320761935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37" w:history="1">
        <w:r w:rsidR="00FA1D9A" w:rsidRPr="00EC1AB2">
          <w:rPr>
            <w:rStyle w:val="Hyperlink"/>
            <w:rFonts w:ascii="Times New Roman" w:eastAsia="Times New Roman" w:hAnsi="Times New Roman" w:cs="Times New Roman"/>
            <w:noProof/>
            <w:sz w:val="24"/>
            <w:szCs w:val="24"/>
            <w:lang w:eastAsia="lt-LT"/>
          </w:rPr>
          <w:t>7 lentelė. Ekspertų vertinimo rangų lentelė</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_Toc320761937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38" w:history="1">
        <w:r w:rsidR="00FA1D9A" w:rsidRPr="00EC1AB2">
          <w:rPr>
            <w:rStyle w:val="Hyperlink"/>
            <w:rFonts w:ascii="Times New Roman" w:eastAsia="Times New Roman" w:hAnsi="Times New Roman" w:cs="Times New Roman"/>
            <w:noProof/>
            <w:sz w:val="24"/>
            <w:szCs w:val="24"/>
            <w:lang w:eastAsia="lt-LT"/>
          </w:rPr>
          <w:t>8 lentelė. Ekspertų vertinimo rangų vidurkiai</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_Toc320761938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39" w:history="1">
        <w:r w:rsidR="00FA1D9A" w:rsidRPr="00EC1AB2">
          <w:rPr>
            <w:rStyle w:val="Hyperlink"/>
            <w:rFonts w:ascii="Times New Roman" w:hAnsi="Times New Roman" w:cs="Times New Roman"/>
            <w:noProof/>
            <w:sz w:val="24"/>
            <w:szCs w:val="24"/>
          </w:rPr>
          <w:t>9 lentelė. Kendall‘s testo rezultatai</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_Toc320761939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40" w:history="1">
        <w:r w:rsidR="00FA1D9A" w:rsidRPr="00EC1AB2">
          <w:rPr>
            <w:rStyle w:val="Hyperlink"/>
            <w:rFonts w:ascii="Times New Roman" w:hAnsi="Times New Roman" w:cs="Times New Roman"/>
            <w:noProof/>
            <w:sz w:val="24"/>
            <w:szCs w:val="24"/>
          </w:rPr>
          <w:t>10 lentelė. The Global Venture Capital and Private Equity Country Attractiveness Index</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_Toc320761940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EC1AB2" w:rsidP="007A02A8">
      <w:pPr>
        <w:pStyle w:val="TOC4"/>
        <w:rPr>
          <w:rFonts w:ascii="Times New Roman" w:hAnsi="Times New Roman" w:cs="Times New Roman"/>
          <w:noProof/>
          <w:sz w:val="24"/>
          <w:szCs w:val="24"/>
        </w:rPr>
      </w:pPr>
      <w:hyperlink w:anchor="_Toc320761941" w:history="1">
        <w:r w:rsidR="00FA1D9A" w:rsidRPr="00EC1AB2">
          <w:rPr>
            <w:rStyle w:val="Hyperlink"/>
            <w:rFonts w:ascii="Times New Roman" w:hAnsi="Times New Roman" w:cs="Times New Roman"/>
            <w:noProof/>
            <w:sz w:val="24"/>
            <w:szCs w:val="24"/>
          </w:rPr>
          <w:t xml:space="preserve">11 lentelė. Rizikos kapitalo </w:t>
        </w:r>
        <w:r w:rsidR="004C3994" w:rsidRPr="00EC1AB2">
          <w:rPr>
            <w:rStyle w:val="Hyperlink"/>
            <w:rFonts w:ascii="Times New Roman" w:hAnsi="Times New Roman" w:cs="Times New Roman"/>
            <w:noProof/>
            <w:sz w:val="24"/>
            <w:szCs w:val="24"/>
          </w:rPr>
          <w:t xml:space="preserve">fondų </w:t>
        </w:r>
        <w:r w:rsidR="00F350BA" w:rsidRPr="00EC1AB2">
          <w:rPr>
            <w:rStyle w:val="Hyperlink"/>
            <w:rFonts w:ascii="Times New Roman" w:hAnsi="Times New Roman" w:cs="Times New Roman"/>
            <w:noProof/>
            <w:sz w:val="24"/>
            <w:szCs w:val="24"/>
          </w:rPr>
          <w:t>plėtros Lietuvoje</w:t>
        </w:r>
        <w:r w:rsidR="00FA1D9A" w:rsidRPr="00EC1AB2">
          <w:rPr>
            <w:rStyle w:val="Hyperlink"/>
            <w:rFonts w:ascii="Times New Roman" w:hAnsi="Times New Roman" w:cs="Times New Roman"/>
            <w:noProof/>
            <w:sz w:val="24"/>
            <w:szCs w:val="24"/>
          </w:rPr>
          <w:t xml:space="preserve"> SWOT analizė</w:t>
        </w:r>
        <w:r w:rsidR="00FA1D9A" w:rsidRPr="00EC1AB2">
          <w:rPr>
            <w:rFonts w:ascii="Times New Roman" w:hAnsi="Times New Roman" w:cs="Times New Roman"/>
            <w:noProof/>
            <w:webHidden/>
            <w:sz w:val="24"/>
            <w:szCs w:val="24"/>
          </w:rPr>
          <w:tab/>
        </w:r>
        <w:r w:rsidR="00FA1D9A" w:rsidRPr="00EC1AB2">
          <w:rPr>
            <w:rFonts w:ascii="Times New Roman" w:hAnsi="Times New Roman" w:cs="Times New Roman"/>
            <w:noProof/>
            <w:webHidden/>
            <w:sz w:val="24"/>
            <w:szCs w:val="24"/>
          </w:rPr>
          <w:fldChar w:fldCharType="begin"/>
        </w:r>
        <w:r w:rsidR="00FA1D9A" w:rsidRPr="00EC1AB2">
          <w:rPr>
            <w:rFonts w:ascii="Times New Roman" w:hAnsi="Times New Roman" w:cs="Times New Roman"/>
            <w:noProof/>
            <w:webHidden/>
            <w:sz w:val="24"/>
            <w:szCs w:val="24"/>
          </w:rPr>
          <w:instrText xml:space="preserve"> PAGEREF _Toc320761941 \h </w:instrText>
        </w:r>
        <w:r w:rsidR="00FA1D9A" w:rsidRPr="00EC1AB2">
          <w:rPr>
            <w:rFonts w:ascii="Times New Roman" w:hAnsi="Times New Roman" w:cs="Times New Roman"/>
            <w:noProof/>
            <w:webHidden/>
            <w:sz w:val="24"/>
            <w:szCs w:val="24"/>
          </w:rPr>
        </w:r>
        <w:r w:rsidR="00FA1D9A"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FA1D9A" w:rsidRPr="00EC1AB2">
          <w:rPr>
            <w:rFonts w:ascii="Times New Roman" w:hAnsi="Times New Roman" w:cs="Times New Roman"/>
            <w:noProof/>
            <w:webHidden/>
            <w:sz w:val="24"/>
            <w:szCs w:val="24"/>
          </w:rPr>
          <w:fldChar w:fldCharType="end"/>
        </w:r>
      </w:hyperlink>
    </w:p>
    <w:p w:rsidR="00FA1D9A" w:rsidRPr="00EC1AB2" w:rsidRDefault="00FA1D9A" w:rsidP="00890D8C">
      <w:pPr>
        <w:spacing w:after="0" w:line="360" w:lineRule="auto"/>
        <w:rPr>
          <w:sz w:val="28"/>
          <w:szCs w:val="28"/>
        </w:rPr>
      </w:pPr>
      <w:r w:rsidRPr="00EC1AB2">
        <w:rPr>
          <w:rFonts w:ascii="Times New Roman" w:hAnsi="Times New Roman" w:cs="Times New Roman"/>
          <w:sz w:val="24"/>
          <w:szCs w:val="24"/>
          <w:lang w:eastAsia="x-none"/>
        </w:rPr>
        <w:fldChar w:fldCharType="end"/>
      </w:r>
      <w:bookmarkStart w:id="9" w:name="_Toc320759761"/>
      <w:bookmarkStart w:id="10" w:name="_Toc320761759"/>
      <w:bookmarkStart w:id="11" w:name="_Toc320761901"/>
      <w:r w:rsidRPr="00EC1AB2">
        <w:rPr>
          <w:sz w:val="28"/>
          <w:szCs w:val="28"/>
        </w:rPr>
        <w:br w:type="page"/>
      </w:r>
    </w:p>
    <w:p w:rsidR="005E02A0" w:rsidRPr="00EC1AB2" w:rsidRDefault="00FB742D" w:rsidP="007A02A8">
      <w:pPr>
        <w:pStyle w:val="Heading1"/>
        <w:spacing w:before="0" w:after="0" w:line="360" w:lineRule="auto"/>
        <w:rPr>
          <w:sz w:val="24"/>
          <w:szCs w:val="24"/>
        </w:rPr>
      </w:pPr>
      <w:bookmarkStart w:id="12" w:name="_Toc320762136"/>
      <w:bookmarkStart w:id="13" w:name="_Toc320762538"/>
      <w:bookmarkStart w:id="14" w:name="_Toc321092693"/>
      <w:r w:rsidRPr="00EC1AB2">
        <w:rPr>
          <w:sz w:val="28"/>
          <w:szCs w:val="28"/>
        </w:rPr>
        <w:lastRenderedPageBreak/>
        <w:t>PAVEIKSLA</w:t>
      </w:r>
      <w:bookmarkEnd w:id="2"/>
      <w:bookmarkEnd w:id="1"/>
      <w:bookmarkEnd w:id="0"/>
      <w:r w:rsidR="00BA5BE2" w:rsidRPr="00EC1AB2">
        <w:rPr>
          <w:sz w:val="28"/>
          <w:szCs w:val="28"/>
        </w:rPr>
        <w:t>I</w:t>
      </w:r>
      <w:bookmarkEnd w:id="9"/>
      <w:bookmarkEnd w:id="10"/>
      <w:bookmarkEnd w:id="11"/>
      <w:bookmarkEnd w:id="12"/>
      <w:bookmarkEnd w:id="13"/>
      <w:bookmarkEnd w:id="14"/>
      <w:r w:rsidR="005E02A0" w:rsidRPr="00EC1AB2">
        <w:rPr>
          <w:b w:val="0"/>
          <w:sz w:val="24"/>
          <w:szCs w:val="24"/>
        </w:rPr>
        <w:fldChar w:fldCharType="begin"/>
      </w:r>
      <w:r w:rsidR="005E02A0" w:rsidRPr="00EC1AB2">
        <w:rPr>
          <w:b w:val="0"/>
          <w:sz w:val="24"/>
          <w:szCs w:val="24"/>
        </w:rPr>
        <w:instrText xml:space="preserve"> TOC \o "1-5" \h \z \u </w:instrText>
      </w:r>
      <w:r w:rsidR="005E02A0" w:rsidRPr="00EC1AB2">
        <w:rPr>
          <w:b w:val="0"/>
          <w:sz w:val="24"/>
          <w:szCs w:val="24"/>
        </w:rPr>
        <w:fldChar w:fldCharType="separate"/>
      </w:r>
    </w:p>
    <w:p w:rsidR="005E02A0" w:rsidRPr="00EC1AB2" w:rsidRDefault="005E02A0" w:rsidP="007A02A8">
      <w:pPr>
        <w:pStyle w:val="TOC1"/>
        <w:rPr>
          <w:rFonts w:ascii="Times New Roman" w:eastAsiaTheme="minorEastAsia" w:hAnsi="Times New Roman" w:cs="Times New Roman"/>
          <w:noProof/>
          <w:sz w:val="24"/>
          <w:szCs w:val="24"/>
          <w:lang w:eastAsia="lt-LT"/>
        </w:rPr>
      </w:pPr>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43" w:history="1">
        <w:r w:rsidR="005E02A0" w:rsidRPr="00EC1AB2">
          <w:rPr>
            <w:rStyle w:val="Hyperlink"/>
            <w:rFonts w:ascii="Times New Roman" w:hAnsi="Times New Roman" w:cs="Times New Roman"/>
            <w:noProof/>
            <w:sz w:val="24"/>
            <w:szCs w:val="24"/>
          </w:rPr>
          <w:t>1 pav. Įmonės veiklos etapai ir finansavimo šaltiniai</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_Toc320762543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45" w:history="1">
        <w:r w:rsidR="005E02A0" w:rsidRPr="00EC1AB2">
          <w:rPr>
            <w:rStyle w:val="Hyperlink"/>
            <w:rFonts w:ascii="Times New Roman" w:hAnsi="Times New Roman" w:cs="Times New Roman"/>
            <w:noProof/>
            <w:sz w:val="24"/>
            <w:szCs w:val="24"/>
          </w:rPr>
          <w:t>2 pav. Rizikos kapitalo fondo struktūra</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_Toc320762545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47" w:history="1">
        <w:r w:rsidR="005E02A0" w:rsidRPr="00EC1AB2">
          <w:rPr>
            <w:rStyle w:val="Hyperlink"/>
            <w:rFonts w:ascii="Times New Roman" w:hAnsi="Times New Roman" w:cs="Times New Roman"/>
            <w:noProof/>
            <w:sz w:val="24"/>
            <w:szCs w:val="24"/>
          </w:rPr>
          <w:t>3 pav. Rizikos kapitalo įtaka regiono konkurencingumui</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_Toc320762547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48" w:history="1">
        <w:r w:rsidR="005E02A0" w:rsidRPr="00EC1AB2">
          <w:rPr>
            <w:rStyle w:val="Hyperlink"/>
            <w:rFonts w:ascii="Times New Roman" w:hAnsi="Times New Roman" w:cs="Times New Roman"/>
            <w:noProof/>
            <w:sz w:val="24"/>
            <w:szCs w:val="24"/>
          </w:rPr>
          <w:t xml:space="preserve">4 pav. </w:t>
        </w:r>
        <w:r w:rsidR="00487EDC" w:rsidRPr="00EC1AB2">
          <w:rPr>
            <w:rStyle w:val="Hyperlink"/>
            <w:rFonts w:ascii="Times New Roman" w:hAnsi="Times New Roman" w:cs="Times New Roman"/>
            <w:noProof/>
            <w:sz w:val="24"/>
            <w:szCs w:val="24"/>
          </w:rPr>
          <w:t>Rizikos kapitalo fondų veiklos fin</w:t>
        </w:r>
        <w:r w:rsidR="005E02A0" w:rsidRPr="00EC1AB2">
          <w:rPr>
            <w:rStyle w:val="Hyperlink"/>
            <w:rFonts w:ascii="Times New Roman" w:hAnsi="Times New Roman" w:cs="Times New Roman"/>
            <w:noProof/>
            <w:sz w:val="24"/>
            <w:szCs w:val="24"/>
          </w:rPr>
          <w:t>ansinis ciklas</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_Toc320762548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55" w:history="1">
        <w:r w:rsidR="004C3994" w:rsidRPr="00EC1AB2">
          <w:rPr>
            <w:rStyle w:val="Hyperlink"/>
            <w:rFonts w:ascii="Times New Roman" w:hAnsi="Times New Roman" w:cs="Times New Roman"/>
            <w:noProof/>
            <w:sz w:val="24"/>
            <w:szCs w:val="24"/>
          </w:rPr>
          <w:t>5 pav. Rizikos kapitalo fondų</w:t>
        </w:r>
        <w:r w:rsidR="005E02A0" w:rsidRPr="00EC1AB2">
          <w:rPr>
            <w:rStyle w:val="Hyperlink"/>
            <w:rFonts w:ascii="Times New Roman" w:hAnsi="Times New Roman" w:cs="Times New Roman"/>
            <w:noProof/>
            <w:sz w:val="24"/>
            <w:szCs w:val="24"/>
          </w:rPr>
          <w:t xml:space="preserve"> investicijų santykis su BVP ES 2010 m.,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_Toc320762555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56" w:history="1">
        <w:r w:rsidR="004C3994" w:rsidRPr="00EC1AB2">
          <w:rPr>
            <w:rStyle w:val="Hyperlink"/>
            <w:rFonts w:ascii="Times New Roman" w:hAnsi="Times New Roman" w:cs="Times New Roman"/>
            <w:noProof/>
            <w:sz w:val="24"/>
            <w:szCs w:val="24"/>
          </w:rPr>
          <w:t>6 pav. Rizikos kapitalo fondų</w:t>
        </w:r>
        <w:r w:rsidR="005E02A0" w:rsidRPr="00EC1AB2">
          <w:rPr>
            <w:rStyle w:val="Hyperlink"/>
            <w:rFonts w:ascii="Times New Roman" w:hAnsi="Times New Roman" w:cs="Times New Roman"/>
            <w:noProof/>
            <w:sz w:val="24"/>
            <w:szCs w:val="24"/>
          </w:rPr>
          <w:t xml:space="preserve"> investicijos Baltijos valstybėse 2004-2010 m., mln. EUR</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_Toc320762556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57" w:history="1">
        <w:r w:rsidR="005E02A0" w:rsidRPr="00EC1AB2">
          <w:rPr>
            <w:rStyle w:val="Hyperlink"/>
            <w:rFonts w:ascii="Times New Roman" w:eastAsia="Batang" w:hAnsi="Times New Roman" w:cs="Times New Roman"/>
            <w:noProof/>
            <w:sz w:val="24"/>
            <w:szCs w:val="24"/>
          </w:rPr>
          <w:t>7 pav. Rizikos kapitalo investicijos ES ir Baltijos valstybėse pagal investicijų tipą 2010 m.,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_Toc320762557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58" w:history="1">
        <w:r w:rsidR="004C3994" w:rsidRPr="00EC1AB2">
          <w:rPr>
            <w:rStyle w:val="Hyperlink"/>
            <w:rFonts w:ascii="Times New Roman" w:hAnsi="Times New Roman" w:cs="Times New Roman"/>
            <w:noProof/>
            <w:sz w:val="24"/>
            <w:szCs w:val="24"/>
          </w:rPr>
          <w:t>8 pav. Rizikos kapitalo fondų</w:t>
        </w:r>
        <w:r w:rsidR="005E02A0" w:rsidRPr="00EC1AB2">
          <w:rPr>
            <w:rStyle w:val="Hyperlink"/>
            <w:rFonts w:ascii="Times New Roman" w:hAnsi="Times New Roman" w:cs="Times New Roman"/>
            <w:noProof/>
            <w:sz w:val="24"/>
            <w:szCs w:val="24"/>
          </w:rPr>
          <w:t xml:space="preserve"> investicijos pagal sektorių, 2010 m.,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_Toc320762558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59" w:history="1">
        <w:r w:rsidR="004C3994" w:rsidRPr="00EC1AB2">
          <w:rPr>
            <w:rStyle w:val="Hyperlink"/>
            <w:rFonts w:ascii="Times New Roman" w:hAnsi="Times New Roman" w:cs="Times New Roman"/>
            <w:noProof/>
            <w:sz w:val="24"/>
            <w:szCs w:val="24"/>
          </w:rPr>
          <w:t>9 pav. Rizikos kapitalo fondų</w:t>
        </w:r>
        <w:r w:rsidR="005E02A0" w:rsidRPr="00EC1AB2">
          <w:rPr>
            <w:rStyle w:val="Hyperlink"/>
            <w:rFonts w:ascii="Times New Roman" w:hAnsi="Times New Roman" w:cs="Times New Roman"/>
            <w:noProof/>
            <w:sz w:val="24"/>
            <w:szCs w:val="24"/>
          </w:rPr>
          <w:t xml:space="preserve"> investuotojai ES ir Baltijos valstybėse, 2010 m.,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_Toc320762559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0" w:history="1">
        <w:r w:rsidR="004C3994" w:rsidRPr="00EC1AB2">
          <w:rPr>
            <w:rStyle w:val="Hyperlink"/>
            <w:rFonts w:ascii="Times New Roman" w:hAnsi="Times New Roman" w:cs="Times New Roman"/>
            <w:noProof/>
            <w:sz w:val="24"/>
            <w:szCs w:val="24"/>
          </w:rPr>
          <w:t>10 pav. Rizikos kapitalo fondų</w:t>
        </w:r>
        <w:r w:rsidR="005E02A0" w:rsidRPr="00EC1AB2">
          <w:rPr>
            <w:rStyle w:val="Hyperlink"/>
            <w:rFonts w:ascii="Times New Roman" w:hAnsi="Times New Roman" w:cs="Times New Roman"/>
            <w:noProof/>
            <w:sz w:val="24"/>
            <w:szCs w:val="24"/>
          </w:rPr>
          <w:t xml:space="preserve"> investicijų realizavimas Baltijos valstybėse 2007-2010 m., mln. EUR</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_Toc320762560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2" w:history="1">
        <w:r w:rsidR="005E02A0" w:rsidRPr="00EC1AB2">
          <w:rPr>
            <w:rStyle w:val="Hyperlink"/>
            <w:rFonts w:ascii="Times New Roman" w:hAnsi="Times New Roman" w:cs="Times New Roman"/>
            <w:noProof/>
            <w:sz w:val="24"/>
            <w:szCs w:val="24"/>
          </w:rPr>
          <w:t xml:space="preserve">11 pav. </w:t>
        </w:r>
        <w:r w:rsidR="004C3994" w:rsidRPr="00EC1AB2">
          <w:rPr>
            <w:rStyle w:val="Hyperlink"/>
            <w:rFonts w:ascii="Times New Roman" w:hAnsi="Times New Roman" w:cs="Times New Roman"/>
            <w:noProof/>
            <w:sz w:val="24"/>
            <w:szCs w:val="24"/>
          </w:rPr>
          <w:t>R</w:t>
        </w:r>
        <w:r w:rsidR="0045673D" w:rsidRPr="00EC1AB2">
          <w:rPr>
            <w:rStyle w:val="Hyperlink"/>
            <w:rFonts w:ascii="Times New Roman" w:hAnsi="Times New Roman" w:cs="Times New Roman"/>
            <w:noProof/>
            <w:sz w:val="24"/>
            <w:szCs w:val="24"/>
          </w:rPr>
          <w:t>i</w:t>
        </w:r>
        <w:r w:rsidR="004C3994" w:rsidRPr="00EC1AB2">
          <w:rPr>
            <w:rStyle w:val="Hyperlink"/>
            <w:rFonts w:ascii="Times New Roman" w:hAnsi="Times New Roman" w:cs="Times New Roman"/>
            <w:noProof/>
            <w:sz w:val="24"/>
            <w:szCs w:val="24"/>
          </w:rPr>
          <w:t>zikos kapitalo fondų plėtros problemų Lietuvoje t</w:t>
        </w:r>
        <w:r w:rsidR="005E02A0" w:rsidRPr="00EC1AB2">
          <w:rPr>
            <w:rStyle w:val="Hyperlink"/>
            <w:rFonts w:ascii="Times New Roman" w:hAnsi="Times New Roman" w:cs="Times New Roman"/>
            <w:noProof/>
            <w:sz w:val="24"/>
            <w:szCs w:val="24"/>
          </w:rPr>
          <w:t>yrimo nuoseklumo schema</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_Toc320762562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5" w:history="1">
        <w:r w:rsidR="005E02A0" w:rsidRPr="00EC1AB2">
          <w:rPr>
            <w:rStyle w:val="Hyperlink"/>
            <w:rFonts w:ascii="Times New Roman" w:hAnsi="Times New Roman" w:cs="Times New Roman"/>
            <w:noProof/>
            <w:sz w:val="24"/>
            <w:szCs w:val="24"/>
          </w:rPr>
          <w:t>12 pav. Suminis inovatyvumo indeksas ES 2011 m.</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_Toc320762565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6" w:history="1">
        <w:r w:rsidR="005E02A0" w:rsidRPr="00EC1AB2">
          <w:rPr>
            <w:rStyle w:val="Hyperlink"/>
            <w:rFonts w:ascii="Times New Roman" w:hAnsi="Times New Roman" w:cs="Times New Roman"/>
            <w:noProof/>
            <w:sz w:val="24"/>
            <w:szCs w:val="24"/>
          </w:rPr>
          <w:t>13 pav. Vidutinis metinis mokslininko atlyginimas išreikštas PGS, 2006 m.</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_Toc320762566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7" w:history="1">
        <w:r w:rsidR="004C3994" w:rsidRPr="00EC1AB2">
          <w:rPr>
            <w:rStyle w:val="Hyperlink"/>
            <w:rFonts w:ascii="Times New Roman" w:hAnsi="Times New Roman" w:cs="Times New Roman"/>
            <w:noProof/>
            <w:sz w:val="24"/>
            <w:szCs w:val="24"/>
          </w:rPr>
          <w:t>14 pav. Išlaidų moksliniams tyrimams ir eksperimentinei plėtrai</w:t>
        </w:r>
        <w:r w:rsidR="005E02A0" w:rsidRPr="00EC1AB2">
          <w:rPr>
            <w:rStyle w:val="Hyperlink"/>
            <w:rFonts w:ascii="Times New Roman" w:hAnsi="Times New Roman" w:cs="Times New Roman"/>
            <w:noProof/>
            <w:sz w:val="24"/>
            <w:szCs w:val="24"/>
          </w:rPr>
          <w:t xml:space="preserve"> santykis su BVP ES 2010 m.,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_Toc320762567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8" w:history="1">
        <w:r w:rsidR="005E02A0" w:rsidRPr="00EC1AB2">
          <w:rPr>
            <w:rStyle w:val="Hyperlink"/>
            <w:rFonts w:ascii="Times New Roman" w:hAnsi="Times New Roman" w:cs="Times New Roman"/>
            <w:noProof/>
            <w:sz w:val="24"/>
            <w:szCs w:val="24"/>
          </w:rPr>
          <w:t>15 pav. Verslo</w:t>
        </w:r>
        <w:r w:rsidR="004C3994" w:rsidRPr="00EC1AB2">
          <w:rPr>
            <w:rStyle w:val="Hyperlink"/>
            <w:rFonts w:ascii="Times New Roman" w:hAnsi="Times New Roman" w:cs="Times New Roman"/>
            <w:noProof/>
            <w:sz w:val="24"/>
            <w:szCs w:val="24"/>
          </w:rPr>
          <w:t xml:space="preserve"> įmonių sektoriaus išlaidos mokslinaims tyrimams ir eksperimentinei plėtrai</w:t>
        </w:r>
        <w:r w:rsidR="005E02A0" w:rsidRPr="00EC1AB2">
          <w:rPr>
            <w:rStyle w:val="Hyperlink"/>
            <w:rFonts w:ascii="Times New Roman" w:hAnsi="Times New Roman" w:cs="Times New Roman"/>
            <w:noProof/>
            <w:sz w:val="24"/>
            <w:szCs w:val="24"/>
          </w:rPr>
          <w:t xml:space="preserve"> 2002-2010, mln. Lt</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_Toc320762568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69" w:history="1">
        <w:r w:rsidR="005E02A0" w:rsidRPr="00EC1AB2">
          <w:rPr>
            <w:rStyle w:val="Hyperlink"/>
            <w:rFonts w:ascii="Times New Roman" w:hAnsi="Times New Roman" w:cs="Times New Roman"/>
            <w:noProof/>
            <w:sz w:val="24"/>
            <w:szCs w:val="24"/>
          </w:rPr>
          <w:t>16 pav. Inovacinių įmonių santykis su visomis įmonėmis Lietuvoje, proc</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_Toc320762569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5E02A0" w:rsidRPr="00EC1AB2" w:rsidRDefault="00EC1AB2" w:rsidP="007A02A8">
      <w:pPr>
        <w:pStyle w:val="TOC5"/>
        <w:rPr>
          <w:rFonts w:ascii="Times New Roman" w:eastAsiaTheme="minorEastAsia" w:hAnsi="Times New Roman" w:cs="Times New Roman"/>
          <w:noProof/>
          <w:sz w:val="24"/>
          <w:szCs w:val="24"/>
          <w:lang w:eastAsia="lt-LT"/>
        </w:rPr>
      </w:pPr>
      <w:hyperlink w:anchor="_Toc320762570" w:history="1">
        <w:r w:rsidR="005E02A0" w:rsidRPr="00EC1AB2">
          <w:rPr>
            <w:rStyle w:val="Hyperlink"/>
            <w:rFonts w:ascii="Times New Roman" w:hAnsi="Times New Roman" w:cs="Times New Roman"/>
            <w:noProof/>
            <w:sz w:val="24"/>
            <w:szCs w:val="24"/>
          </w:rPr>
          <w:t>17 pav. Inovacijų pardavimai rin</w:t>
        </w:r>
        <w:r w:rsidR="004C3994" w:rsidRPr="00EC1AB2">
          <w:rPr>
            <w:rStyle w:val="Hyperlink"/>
            <w:rFonts w:ascii="Times New Roman" w:hAnsi="Times New Roman" w:cs="Times New Roman"/>
            <w:noProof/>
            <w:sz w:val="24"/>
            <w:szCs w:val="24"/>
          </w:rPr>
          <w:t>kai ir įmonėms bei išlaidos moksliniams tyrimam ir eksperimentinei plėtrai</w:t>
        </w:r>
        <w:r w:rsidR="005E02A0" w:rsidRPr="00EC1AB2">
          <w:rPr>
            <w:rFonts w:ascii="Times New Roman" w:hAnsi="Times New Roman" w:cs="Times New Roman"/>
            <w:noProof/>
            <w:webHidden/>
            <w:sz w:val="24"/>
            <w:szCs w:val="24"/>
          </w:rPr>
          <w:tab/>
        </w:r>
        <w:r w:rsidR="005E02A0" w:rsidRPr="00EC1AB2">
          <w:rPr>
            <w:rFonts w:ascii="Times New Roman" w:hAnsi="Times New Roman" w:cs="Times New Roman"/>
            <w:noProof/>
            <w:webHidden/>
            <w:sz w:val="24"/>
            <w:szCs w:val="24"/>
          </w:rPr>
          <w:fldChar w:fldCharType="begin"/>
        </w:r>
        <w:r w:rsidR="005E02A0" w:rsidRPr="00EC1AB2">
          <w:rPr>
            <w:rFonts w:ascii="Times New Roman" w:hAnsi="Times New Roman" w:cs="Times New Roman"/>
            <w:noProof/>
            <w:webHidden/>
            <w:sz w:val="24"/>
            <w:szCs w:val="24"/>
          </w:rPr>
          <w:instrText xml:space="preserve"> PAGEREF _Toc320762570 \h </w:instrText>
        </w:r>
        <w:r w:rsidR="005E02A0" w:rsidRPr="00EC1AB2">
          <w:rPr>
            <w:rFonts w:ascii="Times New Roman" w:hAnsi="Times New Roman" w:cs="Times New Roman"/>
            <w:noProof/>
            <w:webHidden/>
            <w:sz w:val="24"/>
            <w:szCs w:val="24"/>
          </w:rPr>
        </w:r>
        <w:r w:rsidR="005E02A0" w:rsidRPr="00EC1AB2">
          <w:rPr>
            <w:rFonts w:ascii="Times New Roman" w:hAnsi="Times New Roman" w:cs="Times New Roman"/>
            <w:noProof/>
            <w:webHidden/>
            <w:sz w:val="24"/>
            <w:szCs w:val="24"/>
          </w:rPr>
          <w:fldChar w:fldCharType="separate"/>
        </w:r>
        <w:r w:rsidR="00EB092C" w:rsidRPr="00EC1AB2">
          <w:rPr>
            <w:rFonts w:ascii="Times New Roman" w:hAnsi="Times New Roman" w:cs="Times New Roman"/>
            <w:noProof/>
            <w:webHidden/>
            <w:sz w:val="24"/>
            <w:szCs w:val="24"/>
          </w:rPr>
          <w:t>2</w:t>
        </w:r>
        <w:r w:rsidR="005E02A0" w:rsidRPr="00EC1AB2">
          <w:rPr>
            <w:rFonts w:ascii="Times New Roman" w:hAnsi="Times New Roman" w:cs="Times New Roman"/>
            <w:noProof/>
            <w:webHidden/>
            <w:sz w:val="24"/>
            <w:szCs w:val="24"/>
          </w:rPr>
          <w:fldChar w:fldCharType="end"/>
        </w:r>
      </w:hyperlink>
    </w:p>
    <w:p w:rsidR="007915D7" w:rsidRPr="00EC1AB2" w:rsidRDefault="005E02A0" w:rsidP="00890D8C">
      <w:pPr>
        <w:spacing w:after="0" w:line="360" w:lineRule="auto"/>
        <w:jc w:val="center"/>
        <w:rPr>
          <w:rFonts w:ascii="Times New Roman" w:hAnsi="Times New Roman" w:cs="Times New Roman"/>
          <w:b/>
          <w:sz w:val="28"/>
          <w:szCs w:val="28"/>
        </w:rPr>
      </w:pPr>
      <w:r w:rsidRPr="00EC1AB2">
        <w:rPr>
          <w:rFonts w:ascii="Times New Roman" w:hAnsi="Times New Roman" w:cs="Times New Roman"/>
          <w:b/>
          <w:sz w:val="24"/>
          <w:szCs w:val="24"/>
        </w:rPr>
        <w:fldChar w:fldCharType="end"/>
      </w:r>
      <w:bookmarkStart w:id="15" w:name="_Toc320566990"/>
      <w:bookmarkStart w:id="16" w:name="_Toc320567030"/>
      <w:bookmarkStart w:id="17" w:name="_Toc320567176"/>
      <w:r w:rsidR="00FA1D9A" w:rsidRPr="00EC1AB2">
        <w:rPr>
          <w:sz w:val="28"/>
          <w:szCs w:val="28"/>
        </w:rPr>
        <w:br w:type="page"/>
      </w:r>
      <w:bookmarkStart w:id="18" w:name="_Toc320761760"/>
      <w:bookmarkStart w:id="19" w:name="_Toc320761902"/>
      <w:bookmarkStart w:id="20" w:name="_Toc320762137"/>
      <w:bookmarkStart w:id="21" w:name="_Toc320762539"/>
      <w:r w:rsidR="007915D7" w:rsidRPr="00EC1AB2">
        <w:rPr>
          <w:rFonts w:ascii="Times New Roman" w:hAnsi="Times New Roman" w:cs="Times New Roman"/>
          <w:b/>
          <w:sz w:val="28"/>
          <w:szCs w:val="28"/>
        </w:rPr>
        <w:lastRenderedPageBreak/>
        <w:t>ĮVADAS</w:t>
      </w:r>
      <w:bookmarkEnd w:id="15"/>
      <w:bookmarkEnd w:id="16"/>
      <w:bookmarkEnd w:id="17"/>
      <w:bookmarkEnd w:id="18"/>
      <w:bookmarkEnd w:id="19"/>
      <w:bookmarkEnd w:id="20"/>
      <w:bookmarkEnd w:id="21"/>
    </w:p>
    <w:p w:rsidR="007915D7" w:rsidRPr="00EC1AB2" w:rsidRDefault="007915D7" w:rsidP="007A02A8">
      <w:pPr>
        <w:spacing w:after="0" w:line="360" w:lineRule="auto"/>
        <w:jc w:val="center"/>
        <w:rPr>
          <w:rFonts w:ascii="Times New Roman" w:hAnsi="Times New Roman" w:cs="Times New Roman"/>
          <w:b/>
          <w:sz w:val="24"/>
          <w:szCs w:val="24"/>
        </w:rPr>
      </w:pPr>
    </w:p>
    <w:p w:rsidR="00F55D57" w:rsidRPr="00EC1AB2" w:rsidRDefault="00EB2134"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Tyrimo aktualumas.</w:t>
      </w:r>
      <w:r w:rsidRPr="00EC1AB2">
        <w:rPr>
          <w:rFonts w:ascii="Times New Roman" w:hAnsi="Times New Roman" w:cs="Times New Roman"/>
          <w:sz w:val="24"/>
          <w:szCs w:val="24"/>
        </w:rPr>
        <w:t xml:space="preserve"> </w:t>
      </w:r>
      <w:r w:rsidR="0030726E" w:rsidRPr="00EC1AB2">
        <w:rPr>
          <w:rFonts w:ascii="Times New Roman" w:hAnsi="Times New Roman" w:cs="Times New Roman"/>
          <w:sz w:val="24"/>
          <w:szCs w:val="24"/>
        </w:rPr>
        <w:t>Rizikos kapitalas nebuvo natū</w:t>
      </w:r>
      <w:r w:rsidR="006C6BE2" w:rsidRPr="00EC1AB2">
        <w:rPr>
          <w:rFonts w:ascii="Times New Roman" w:hAnsi="Times New Roman" w:cs="Times New Roman"/>
          <w:sz w:val="24"/>
          <w:szCs w:val="24"/>
        </w:rPr>
        <w:t xml:space="preserve">raliai susiformavusi </w:t>
      </w:r>
      <w:r w:rsidR="0000142D" w:rsidRPr="00EC1AB2">
        <w:rPr>
          <w:rFonts w:ascii="Times New Roman" w:hAnsi="Times New Roman" w:cs="Times New Roman"/>
          <w:sz w:val="24"/>
          <w:szCs w:val="24"/>
        </w:rPr>
        <w:t>turto klasė</w:t>
      </w:r>
      <w:r w:rsidR="0078028C" w:rsidRPr="00EC1AB2">
        <w:rPr>
          <w:rFonts w:ascii="Times New Roman" w:hAnsi="Times New Roman" w:cs="Times New Roman"/>
          <w:sz w:val="24"/>
          <w:szCs w:val="24"/>
        </w:rPr>
        <w:t>, o greičiau Jungtinių Amerikos Val</w:t>
      </w:r>
      <w:r w:rsidR="007541B1" w:rsidRPr="00EC1AB2">
        <w:rPr>
          <w:rFonts w:ascii="Times New Roman" w:hAnsi="Times New Roman" w:cs="Times New Roman"/>
          <w:sz w:val="24"/>
          <w:szCs w:val="24"/>
        </w:rPr>
        <w:t>stijų</w:t>
      </w:r>
      <w:r w:rsidR="002F629D" w:rsidRPr="00EC1AB2">
        <w:rPr>
          <w:rFonts w:ascii="Times New Roman" w:hAnsi="Times New Roman" w:cs="Times New Roman"/>
          <w:sz w:val="24"/>
          <w:szCs w:val="24"/>
        </w:rPr>
        <w:t xml:space="preserve"> (JAV)</w:t>
      </w:r>
      <w:r w:rsidR="007541B1" w:rsidRPr="00EC1AB2">
        <w:rPr>
          <w:rFonts w:ascii="Times New Roman" w:hAnsi="Times New Roman" w:cs="Times New Roman"/>
          <w:sz w:val="24"/>
          <w:szCs w:val="24"/>
        </w:rPr>
        <w:t xml:space="preserve"> </w:t>
      </w:r>
      <w:r w:rsidR="0078028C" w:rsidRPr="00EC1AB2">
        <w:rPr>
          <w:rFonts w:ascii="Times New Roman" w:hAnsi="Times New Roman" w:cs="Times New Roman"/>
          <w:sz w:val="24"/>
          <w:szCs w:val="24"/>
        </w:rPr>
        <w:t>intelektualų</w:t>
      </w:r>
      <w:r w:rsidR="00771EAC" w:rsidRPr="00EC1AB2">
        <w:rPr>
          <w:rFonts w:ascii="Times New Roman" w:hAnsi="Times New Roman" w:cs="Times New Roman"/>
          <w:sz w:val="24"/>
          <w:szCs w:val="24"/>
        </w:rPr>
        <w:t xml:space="preserve"> bei verslo lyderių</w:t>
      </w:r>
      <w:r w:rsidR="0078028C" w:rsidRPr="00EC1AB2">
        <w:rPr>
          <w:rFonts w:ascii="Times New Roman" w:hAnsi="Times New Roman" w:cs="Times New Roman"/>
          <w:sz w:val="24"/>
          <w:szCs w:val="24"/>
        </w:rPr>
        <w:t xml:space="preserve"> atsakas į Didžiosios depresijos </w:t>
      </w:r>
      <w:r w:rsidR="005A6B4A" w:rsidRPr="00EC1AB2">
        <w:rPr>
          <w:rFonts w:ascii="Times New Roman" w:hAnsi="Times New Roman" w:cs="Times New Roman"/>
          <w:sz w:val="24"/>
          <w:szCs w:val="24"/>
        </w:rPr>
        <w:t xml:space="preserve">metu </w:t>
      </w:r>
      <w:r w:rsidR="006C1554" w:rsidRPr="00EC1AB2">
        <w:rPr>
          <w:rFonts w:ascii="Times New Roman" w:hAnsi="Times New Roman" w:cs="Times New Roman"/>
          <w:sz w:val="24"/>
          <w:szCs w:val="24"/>
        </w:rPr>
        <w:t xml:space="preserve">susiformavusį socialinį ir ekonominį poreikį. </w:t>
      </w:r>
      <w:r w:rsidR="000D471A" w:rsidRPr="00EC1AB2">
        <w:rPr>
          <w:rFonts w:ascii="Times New Roman" w:hAnsi="Times New Roman" w:cs="Times New Roman"/>
          <w:sz w:val="24"/>
          <w:szCs w:val="24"/>
        </w:rPr>
        <w:t>Kaip teigia Hsu, Kenny (2005), akademi</w:t>
      </w:r>
      <w:r w:rsidR="005949FD" w:rsidRPr="00EC1AB2">
        <w:rPr>
          <w:rFonts w:ascii="Times New Roman" w:hAnsi="Times New Roman" w:cs="Times New Roman"/>
          <w:sz w:val="24"/>
          <w:szCs w:val="24"/>
        </w:rPr>
        <w:t xml:space="preserve">nis elitas buvo įsitikinęs, kad </w:t>
      </w:r>
      <w:r w:rsidR="00977BB7" w:rsidRPr="00EC1AB2">
        <w:rPr>
          <w:rFonts w:ascii="Times New Roman" w:hAnsi="Times New Roman" w:cs="Times New Roman"/>
          <w:sz w:val="24"/>
          <w:szCs w:val="24"/>
        </w:rPr>
        <w:t xml:space="preserve">ankstyvos vystymosi stadijos </w:t>
      </w:r>
      <w:r w:rsidR="00E24C5C" w:rsidRPr="00EC1AB2">
        <w:rPr>
          <w:rFonts w:ascii="Times New Roman" w:hAnsi="Times New Roman" w:cs="Times New Roman"/>
          <w:sz w:val="24"/>
          <w:szCs w:val="24"/>
        </w:rPr>
        <w:t>įmonėms</w:t>
      </w:r>
      <w:r w:rsidR="00534D0F" w:rsidRPr="00EC1AB2">
        <w:rPr>
          <w:rFonts w:ascii="Times New Roman" w:hAnsi="Times New Roman" w:cs="Times New Roman"/>
          <w:sz w:val="24"/>
          <w:szCs w:val="24"/>
        </w:rPr>
        <w:t>,</w:t>
      </w:r>
      <w:r w:rsidR="00977BB7" w:rsidRPr="00EC1AB2">
        <w:rPr>
          <w:rFonts w:ascii="Times New Roman" w:hAnsi="Times New Roman" w:cs="Times New Roman"/>
          <w:sz w:val="24"/>
          <w:szCs w:val="24"/>
        </w:rPr>
        <w:t xml:space="preserve"> suteikus tinkamą finansavimą bei </w:t>
      </w:r>
      <w:r w:rsidR="0000142D" w:rsidRPr="00EC1AB2">
        <w:rPr>
          <w:rFonts w:ascii="Times New Roman" w:hAnsi="Times New Roman" w:cs="Times New Roman"/>
          <w:sz w:val="24"/>
          <w:szCs w:val="24"/>
        </w:rPr>
        <w:t xml:space="preserve">perdavus </w:t>
      </w:r>
      <w:r w:rsidR="00977BB7" w:rsidRPr="00EC1AB2">
        <w:rPr>
          <w:rFonts w:ascii="Times New Roman" w:hAnsi="Times New Roman" w:cs="Times New Roman"/>
          <w:sz w:val="24"/>
          <w:szCs w:val="24"/>
        </w:rPr>
        <w:t>verslininkų sukauptą patirtį</w:t>
      </w:r>
      <w:r w:rsidR="00534D0F" w:rsidRPr="00EC1AB2">
        <w:rPr>
          <w:rFonts w:ascii="Times New Roman" w:hAnsi="Times New Roman" w:cs="Times New Roman"/>
          <w:sz w:val="24"/>
          <w:szCs w:val="24"/>
        </w:rPr>
        <w:t xml:space="preserve">, </w:t>
      </w:r>
      <w:r w:rsidR="00E24C5C" w:rsidRPr="00EC1AB2">
        <w:rPr>
          <w:rFonts w:ascii="Times New Roman" w:hAnsi="Times New Roman" w:cs="Times New Roman"/>
          <w:sz w:val="24"/>
          <w:szCs w:val="24"/>
        </w:rPr>
        <w:t xml:space="preserve">jos </w:t>
      </w:r>
      <w:r w:rsidR="00534D0F" w:rsidRPr="00EC1AB2">
        <w:rPr>
          <w:rFonts w:ascii="Times New Roman" w:hAnsi="Times New Roman" w:cs="Times New Roman"/>
          <w:sz w:val="24"/>
          <w:szCs w:val="24"/>
        </w:rPr>
        <w:t xml:space="preserve">gebės </w:t>
      </w:r>
      <w:r w:rsidR="005949FD" w:rsidRPr="00EC1AB2">
        <w:rPr>
          <w:rFonts w:ascii="Times New Roman" w:hAnsi="Times New Roman" w:cs="Times New Roman"/>
          <w:sz w:val="24"/>
          <w:szCs w:val="24"/>
        </w:rPr>
        <w:t>komerc</w:t>
      </w:r>
      <w:r w:rsidR="00534D0F" w:rsidRPr="00EC1AB2">
        <w:rPr>
          <w:rFonts w:ascii="Times New Roman" w:hAnsi="Times New Roman" w:cs="Times New Roman"/>
          <w:sz w:val="24"/>
          <w:szCs w:val="24"/>
        </w:rPr>
        <w:t>ializuoti</w:t>
      </w:r>
      <w:r w:rsidR="005949FD" w:rsidRPr="00EC1AB2">
        <w:rPr>
          <w:rFonts w:ascii="Times New Roman" w:hAnsi="Times New Roman" w:cs="Times New Roman"/>
          <w:sz w:val="24"/>
          <w:szCs w:val="24"/>
        </w:rPr>
        <w:t xml:space="preserve"> labo</w:t>
      </w:r>
      <w:r w:rsidR="000D471A" w:rsidRPr="00EC1AB2">
        <w:rPr>
          <w:rFonts w:ascii="Times New Roman" w:hAnsi="Times New Roman" w:cs="Times New Roman"/>
          <w:sz w:val="24"/>
          <w:szCs w:val="24"/>
        </w:rPr>
        <w:t>ratorijo</w:t>
      </w:r>
      <w:r w:rsidR="005949FD" w:rsidRPr="00EC1AB2">
        <w:rPr>
          <w:rFonts w:ascii="Times New Roman" w:hAnsi="Times New Roman" w:cs="Times New Roman"/>
          <w:sz w:val="24"/>
          <w:szCs w:val="24"/>
        </w:rPr>
        <w:t xml:space="preserve">se sukurtas naujoves </w:t>
      </w:r>
      <w:r w:rsidR="00E24C5C" w:rsidRPr="00EC1AB2">
        <w:rPr>
          <w:rFonts w:ascii="Times New Roman" w:hAnsi="Times New Roman" w:cs="Times New Roman"/>
          <w:sz w:val="24"/>
          <w:szCs w:val="24"/>
        </w:rPr>
        <w:t xml:space="preserve">ir </w:t>
      </w:r>
      <w:r w:rsidR="00534D0F" w:rsidRPr="00EC1AB2">
        <w:rPr>
          <w:rFonts w:ascii="Times New Roman" w:hAnsi="Times New Roman" w:cs="Times New Roman"/>
          <w:sz w:val="24"/>
          <w:szCs w:val="24"/>
        </w:rPr>
        <w:t>tapti didelio</w:t>
      </w:r>
      <w:r w:rsidR="00EB6E89" w:rsidRPr="00EC1AB2">
        <w:rPr>
          <w:rFonts w:ascii="Times New Roman" w:hAnsi="Times New Roman" w:cs="Times New Roman"/>
          <w:sz w:val="24"/>
          <w:szCs w:val="24"/>
        </w:rPr>
        <w:t xml:space="preserve"> kapitalo prieaugio šaltiniu </w:t>
      </w:r>
      <w:r w:rsidR="00E24C5C" w:rsidRPr="00EC1AB2">
        <w:rPr>
          <w:rFonts w:ascii="Times New Roman" w:hAnsi="Times New Roman" w:cs="Times New Roman"/>
          <w:sz w:val="24"/>
          <w:szCs w:val="24"/>
        </w:rPr>
        <w:t>bei</w:t>
      </w:r>
      <w:r w:rsidR="00EB6E89" w:rsidRPr="00EC1AB2">
        <w:rPr>
          <w:rFonts w:ascii="Times New Roman" w:hAnsi="Times New Roman" w:cs="Times New Roman"/>
          <w:sz w:val="24"/>
          <w:szCs w:val="24"/>
        </w:rPr>
        <w:t xml:space="preserve"> </w:t>
      </w:r>
      <w:r w:rsidR="00534D0F" w:rsidRPr="00EC1AB2">
        <w:rPr>
          <w:rFonts w:ascii="Times New Roman" w:hAnsi="Times New Roman" w:cs="Times New Roman"/>
          <w:sz w:val="24"/>
          <w:szCs w:val="24"/>
        </w:rPr>
        <w:t>pagrindi</w:t>
      </w:r>
      <w:r w:rsidR="00EB6E89" w:rsidRPr="00EC1AB2">
        <w:rPr>
          <w:rFonts w:ascii="Times New Roman" w:hAnsi="Times New Roman" w:cs="Times New Roman"/>
          <w:sz w:val="24"/>
          <w:szCs w:val="24"/>
        </w:rPr>
        <w:t>niu impulsu</w:t>
      </w:r>
      <w:r w:rsidR="005949FD" w:rsidRPr="00EC1AB2">
        <w:rPr>
          <w:rFonts w:ascii="Times New Roman" w:hAnsi="Times New Roman" w:cs="Times New Roman"/>
          <w:sz w:val="24"/>
          <w:szCs w:val="24"/>
        </w:rPr>
        <w:t xml:space="preserve"> </w:t>
      </w:r>
      <w:r w:rsidR="00534D0F" w:rsidRPr="00EC1AB2">
        <w:rPr>
          <w:rFonts w:ascii="Times New Roman" w:hAnsi="Times New Roman" w:cs="Times New Roman"/>
          <w:sz w:val="24"/>
          <w:szCs w:val="24"/>
        </w:rPr>
        <w:t xml:space="preserve">ekonomikos atsigavimui. </w:t>
      </w:r>
    </w:p>
    <w:p w:rsidR="002E42AB" w:rsidRPr="00EC1AB2" w:rsidRDefault="00FA0FED"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w:t>
      </w:r>
      <w:r w:rsidR="0042725F" w:rsidRPr="00EC1AB2">
        <w:rPr>
          <w:rFonts w:ascii="Times New Roman" w:hAnsi="Times New Roman" w:cs="Times New Roman"/>
          <w:sz w:val="24"/>
          <w:szCs w:val="24"/>
        </w:rPr>
        <w:t>izikos ka</w:t>
      </w:r>
      <w:r w:rsidR="002F629D" w:rsidRPr="00EC1AB2">
        <w:rPr>
          <w:rFonts w:ascii="Times New Roman" w:hAnsi="Times New Roman" w:cs="Times New Roman"/>
          <w:sz w:val="24"/>
          <w:szCs w:val="24"/>
        </w:rPr>
        <w:t xml:space="preserve">pitalas </w:t>
      </w:r>
      <w:r w:rsidR="001C3BFA" w:rsidRPr="00EC1AB2">
        <w:rPr>
          <w:rFonts w:ascii="Times New Roman" w:hAnsi="Times New Roman" w:cs="Times New Roman"/>
          <w:sz w:val="24"/>
          <w:szCs w:val="24"/>
        </w:rPr>
        <w:t xml:space="preserve">– specifinis inovatyvių įmonių finansavimo šaltinis, </w:t>
      </w:r>
      <w:r w:rsidR="002F629D" w:rsidRPr="00EC1AB2">
        <w:rPr>
          <w:rFonts w:ascii="Times New Roman" w:hAnsi="Times New Roman" w:cs="Times New Roman"/>
          <w:sz w:val="24"/>
          <w:szCs w:val="24"/>
        </w:rPr>
        <w:t>tapo JAV inovacijų sistemos kertiniu akmeniu</w:t>
      </w:r>
      <w:r w:rsidR="00E90E88" w:rsidRPr="00EC1AB2">
        <w:rPr>
          <w:rFonts w:ascii="Times New Roman" w:hAnsi="Times New Roman" w:cs="Times New Roman"/>
          <w:sz w:val="24"/>
          <w:szCs w:val="24"/>
        </w:rPr>
        <w:t>, todėl šiuo l</w:t>
      </w:r>
      <w:r w:rsidR="00E457E0" w:rsidRPr="00EC1AB2">
        <w:rPr>
          <w:rFonts w:ascii="Times New Roman" w:hAnsi="Times New Roman" w:cs="Times New Roman"/>
          <w:sz w:val="24"/>
          <w:szCs w:val="24"/>
        </w:rPr>
        <w:t>aikotarpiu dauguma pasaulio vyriausybių įvairiais būdais stengiasi, kad jų šalyje rizikos kapitalo fondai</w:t>
      </w:r>
      <w:r w:rsidRPr="00EC1AB2">
        <w:rPr>
          <w:rFonts w:ascii="Times New Roman" w:hAnsi="Times New Roman" w:cs="Times New Roman"/>
          <w:sz w:val="24"/>
          <w:szCs w:val="24"/>
        </w:rPr>
        <w:t xml:space="preserve"> (RKF)</w:t>
      </w:r>
      <w:r w:rsidR="00E457E0" w:rsidRPr="00EC1AB2">
        <w:rPr>
          <w:rFonts w:ascii="Times New Roman" w:hAnsi="Times New Roman" w:cs="Times New Roman"/>
          <w:sz w:val="24"/>
          <w:szCs w:val="24"/>
        </w:rPr>
        <w:t xml:space="preserve"> pasiektų tokią pat sėkmę kaip JAV, nes </w:t>
      </w:r>
      <w:r w:rsidR="00E75EC1" w:rsidRPr="00EC1AB2">
        <w:rPr>
          <w:rFonts w:ascii="Times New Roman" w:hAnsi="Times New Roman" w:cs="Times New Roman"/>
          <w:sz w:val="24"/>
          <w:szCs w:val="24"/>
        </w:rPr>
        <w:t>stabilų ekonomikos augimą didžia dalimi lemia šalyje esantis inovacijų ir verslumo lygis</w:t>
      </w:r>
      <w:r w:rsidRPr="00EC1AB2">
        <w:rPr>
          <w:rFonts w:ascii="Times New Roman" w:hAnsi="Times New Roman" w:cs="Times New Roman"/>
          <w:sz w:val="24"/>
          <w:szCs w:val="24"/>
        </w:rPr>
        <w:t>. A</w:t>
      </w:r>
      <w:r w:rsidR="002877D1" w:rsidRPr="00EC1AB2">
        <w:rPr>
          <w:rFonts w:ascii="Times New Roman" w:hAnsi="Times New Roman" w:cs="Times New Roman"/>
          <w:sz w:val="24"/>
          <w:szCs w:val="24"/>
        </w:rPr>
        <w:t>ktyvios rizikos kapitalo rink</w:t>
      </w:r>
      <w:r w:rsidRPr="00EC1AB2">
        <w:rPr>
          <w:rFonts w:ascii="Times New Roman" w:hAnsi="Times New Roman" w:cs="Times New Roman"/>
          <w:sz w:val="24"/>
          <w:szCs w:val="24"/>
        </w:rPr>
        <w:t>os sukūrimas</w:t>
      </w:r>
      <w:r w:rsidR="002877D1" w:rsidRPr="00EC1AB2">
        <w:rPr>
          <w:rFonts w:ascii="Times New Roman" w:hAnsi="Times New Roman" w:cs="Times New Roman"/>
          <w:sz w:val="24"/>
          <w:szCs w:val="24"/>
        </w:rPr>
        <w:t>, kuri teiktų stiprią paramą ankstyvos stadijos ir moderniųjų technologijų įmonėms, tapo ekonominės politikos prioritetu</w:t>
      </w:r>
      <w:r w:rsidR="00E16C62" w:rsidRPr="00EC1AB2">
        <w:rPr>
          <w:rFonts w:ascii="Times New Roman" w:hAnsi="Times New Roman" w:cs="Times New Roman"/>
          <w:sz w:val="24"/>
          <w:szCs w:val="24"/>
        </w:rPr>
        <w:t xml:space="preserve"> Europos Sąjungoje (ES)</w:t>
      </w:r>
      <w:r w:rsidR="00CB2920" w:rsidRPr="00EC1AB2">
        <w:rPr>
          <w:rFonts w:ascii="Times New Roman" w:hAnsi="Times New Roman" w:cs="Times New Roman"/>
          <w:sz w:val="24"/>
          <w:szCs w:val="24"/>
        </w:rPr>
        <w:t>, tačiau nepaisant vyriausybių</w:t>
      </w:r>
      <w:r w:rsidR="004C3994" w:rsidRPr="00EC1AB2">
        <w:rPr>
          <w:rFonts w:ascii="Times New Roman" w:hAnsi="Times New Roman" w:cs="Times New Roman"/>
          <w:sz w:val="24"/>
          <w:szCs w:val="24"/>
        </w:rPr>
        <w:t xml:space="preserve"> pastangų</w:t>
      </w:r>
      <w:r w:rsidR="00751D72" w:rsidRPr="00EC1AB2">
        <w:rPr>
          <w:rFonts w:ascii="Times New Roman" w:hAnsi="Times New Roman" w:cs="Times New Roman"/>
          <w:sz w:val="24"/>
          <w:szCs w:val="24"/>
        </w:rPr>
        <w:t xml:space="preserve"> RKF </w:t>
      </w:r>
      <w:r w:rsidR="002E42AB" w:rsidRPr="00EC1AB2">
        <w:rPr>
          <w:rFonts w:ascii="Times New Roman" w:hAnsi="Times New Roman" w:cs="Times New Roman"/>
          <w:sz w:val="24"/>
          <w:szCs w:val="24"/>
        </w:rPr>
        <w:t>Europoje nėra</w:t>
      </w:r>
      <w:r w:rsidR="00CB2920" w:rsidRPr="00EC1AB2">
        <w:rPr>
          <w:rFonts w:ascii="Times New Roman" w:hAnsi="Times New Roman" w:cs="Times New Roman"/>
          <w:sz w:val="24"/>
          <w:szCs w:val="24"/>
        </w:rPr>
        <w:t xml:space="preserve"> pakankamai paplitę</w:t>
      </w:r>
      <w:r w:rsidR="009C5BDE" w:rsidRPr="00EC1AB2">
        <w:rPr>
          <w:rFonts w:ascii="Times New Roman" w:hAnsi="Times New Roman" w:cs="Times New Roman"/>
          <w:sz w:val="24"/>
          <w:szCs w:val="24"/>
        </w:rPr>
        <w:t>,</w:t>
      </w:r>
      <w:r w:rsidR="00F55D57" w:rsidRPr="00EC1AB2">
        <w:rPr>
          <w:rFonts w:ascii="Times New Roman" w:hAnsi="Times New Roman" w:cs="Times New Roman"/>
          <w:sz w:val="24"/>
          <w:szCs w:val="24"/>
        </w:rPr>
        <w:t xml:space="preserve"> lyginant su JAV. Šią padėtį</w:t>
      </w:r>
      <w:r w:rsidR="00CB2920" w:rsidRPr="00EC1AB2">
        <w:rPr>
          <w:rFonts w:ascii="Times New Roman" w:hAnsi="Times New Roman" w:cs="Times New Roman"/>
          <w:sz w:val="24"/>
          <w:szCs w:val="24"/>
        </w:rPr>
        <w:t xml:space="preserve"> </w:t>
      </w:r>
      <w:r w:rsidR="000A11A6" w:rsidRPr="00EC1AB2">
        <w:rPr>
          <w:rFonts w:ascii="Times New Roman" w:hAnsi="Times New Roman" w:cs="Times New Roman"/>
          <w:sz w:val="24"/>
          <w:szCs w:val="24"/>
        </w:rPr>
        <w:t>E</w:t>
      </w:r>
      <w:r w:rsidR="002E42AB" w:rsidRPr="00EC1AB2">
        <w:rPr>
          <w:rFonts w:ascii="Times New Roman" w:hAnsi="Times New Roman" w:cs="Times New Roman"/>
          <w:sz w:val="24"/>
          <w:szCs w:val="24"/>
        </w:rPr>
        <w:t>u</w:t>
      </w:r>
      <w:r w:rsidR="000A11A6" w:rsidRPr="00EC1AB2">
        <w:rPr>
          <w:rFonts w:ascii="Times New Roman" w:hAnsi="Times New Roman" w:cs="Times New Roman"/>
          <w:sz w:val="24"/>
          <w:szCs w:val="24"/>
        </w:rPr>
        <w:t>r</w:t>
      </w:r>
      <w:r w:rsidR="0000142D" w:rsidRPr="00EC1AB2">
        <w:rPr>
          <w:rFonts w:ascii="Times New Roman" w:hAnsi="Times New Roman" w:cs="Times New Roman"/>
          <w:sz w:val="24"/>
          <w:szCs w:val="24"/>
        </w:rPr>
        <w:t xml:space="preserve">opos Komisija </w:t>
      </w:r>
      <w:r w:rsidR="001C6188" w:rsidRPr="00EC1AB2">
        <w:rPr>
          <w:rFonts w:ascii="Times New Roman" w:hAnsi="Times New Roman" w:cs="Times New Roman"/>
          <w:sz w:val="24"/>
          <w:szCs w:val="24"/>
        </w:rPr>
        <w:t xml:space="preserve">apibūdino terminu </w:t>
      </w:r>
      <w:r w:rsidR="00CB2920" w:rsidRPr="00EC1AB2">
        <w:rPr>
          <w:rFonts w:ascii="Times New Roman" w:hAnsi="Times New Roman" w:cs="Times New Roman"/>
          <w:sz w:val="24"/>
          <w:szCs w:val="24"/>
        </w:rPr>
        <w:t>„</w:t>
      </w:r>
      <w:r w:rsidR="000A11A6" w:rsidRPr="00EC1AB2">
        <w:rPr>
          <w:rFonts w:ascii="Times New Roman" w:hAnsi="Times New Roman" w:cs="Times New Roman"/>
          <w:sz w:val="24"/>
          <w:szCs w:val="24"/>
        </w:rPr>
        <w:t>Europos paradoks</w:t>
      </w:r>
      <w:r w:rsidR="001C6188" w:rsidRPr="00EC1AB2">
        <w:rPr>
          <w:rFonts w:ascii="Times New Roman" w:hAnsi="Times New Roman" w:cs="Times New Roman"/>
          <w:sz w:val="24"/>
          <w:szCs w:val="24"/>
        </w:rPr>
        <w:t>as</w:t>
      </w:r>
      <w:r w:rsidR="00CB2920" w:rsidRPr="00EC1AB2">
        <w:rPr>
          <w:rFonts w:ascii="Times New Roman" w:hAnsi="Times New Roman" w:cs="Times New Roman"/>
          <w:sz w:val="24"/>
          <w:szCs w:val="24"/>
        </w:rPr>
        <w:t>“</w:t>
      </w:r>
      <w:r w:rsidR="001C6188" w:rsidRPr="00EC1AB2">
        <w:rPr>
          <w:rFonts w:ascii="Times New Roman" w:hAnsi="Times New Roman" w:cs="Times New Roman"/>
          <w:sz w:val="24"/>
          <w:szCs w:val="24"/>
        </w:rPr>
        <w:t xml:space="preserve">, reiškiančiu </w:t>
      </w:r>
      <w:r w:rsidR="00CB2920" w:rsidRPr="00EC1AB2">
        <w:rPr>
          <w:rFonts w:ascii="Times New Roman" w:hAnsi="Times New Roman" w:cs="Times New Roman"/>
          <w:sz w:val="24"/>
          <w:szCs w:val="24"/>
        </w:rPr>
        <w:t>Europo</w:t>
      </w:r>
      <w:r w:rsidR="00EC534A" w:rsidRPr="00EC1AB2">
        <w:rPr>
          <w:rFonts w:ascii="Times New Roman" w:hAnsi="Times New Roman" w:cs="Times New Roman"/>
          <w:sz w:val="24"/>
          <w:szCs w:val="24"/>
        </w:rPr>
        <w:t>s nesugebėjimą mokslinių išradi</w:t>
      </w:r>
      <w:r w:rsidR="0000142D" w:rsidRPr="00EC1AB2">
        <w:rPr>
          <w:rFonts w:ascii="Times New Roman" w:hAnsi="Times New Roman" w:cs="Times New Roman"/>
          <w:sz w:val="24"/>
          <w:szCs w:val="24"/>
        </w:rPr>
        <w:t>mų pritaikyti versle</w:t>
      </w:r>
      <w:r w:rsidR="004C3994" w:rsidRPr="00EC1AB2">
        <w:rPr>
          <w:rFonts w:ascii="Times New Roman" w:hAnsi="Times New Roman" w:cs="Times New Roman"/>
          <w:sz w:val="24"/>
          <w:szCs w:val="24"/>
        </w:rPr>
        <w:t>, nepaisant pastangų</w:t>
      </w:r>
      <w:r w:rsidR="00616AEB" w:rsidRPr="00EC1AB2">
        <w:rPr>
          <w:rFonts w:ascii="Times New Roman" w:hAnsi="Times New Roman" w:cs="Times New Roman"/>
          <w:sz w:val="24"/>
          <w:szCs w:val="24"/>
        </w:rPr>
        <w:t xml:space="preserve"> pakeisti šią padėtį. </w:t>
      </w:r>
    </w:p>
    <w:p w:rsidR="0000142D" w:rsidRPr="00EC1AB2" w:rsidRDefault="0000142D"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Lietuvoje</w:t>
      </w:r>
      <w:r w:rsidR="00CB2920" w:rsidRPr="00EC1AB2">
        <w:rPr>
          <w:rFonts w:ascii="Times New Roman" w:hAnsi="Times New Roman" w:cs="Times New Roman"/>
          <w:sz w:val="24"/>
          <w:szCs w:val="24"/>
        </w:rPr>
        <w:t xml:space="preserve"> </w:t>
      </w:r>
      <w:r w:rsidR="004C3994" w:rsidRPr="00EC1AB2">
        <w:rPr>
          <w:rFonts w:ascii="Times New Roman" w:hAnsi="Times New Roman" w:cs="Times New Roman"/>
          <w:sz w:val="24"/>
          <w:szCs w:val="24"/>
        </w:rPr>
        <w:t>RKF investicijų santykis su bendruoju vidaus produktu (BVP)</w:t>
      </w:r>
      <w:r w:rsidRPr="00EC1AB2">
        <w:rPr>
          <w:rFonts w:ascii="Times New Roman" w:hAnsi="Times New Roman" w:cs="Times New Roman"/>
          <w:sz w:val="24"/>
          <w:szCs w:val="24"/>
        </w:rPr>
        <w:t xml:space="preserve"> yra mažiausias ES, be to</w:t>
      </w:r>
      <w:r w:rsidR="00082246" w:rsidRPr="00EC1AB2">
        <w:rPr>
          <w:rFonts w:ascii="Times New Roman" w:hAnsi="Times New Roman" w:cs="Times New Roman"/>
          <w:sz w:val="24"/>
          <w:szCs w:val="24"/>
        </w:rPr>
        <w:t>,</w:t>
      </w:r>
      <w:r w:rsidRPr="00EC1AB2">
        <w:rPr>
          <w:rFonts w:ascii="Times New Roman" w:hAnsi="Times New Roman" w:cs="Times New Roman"/>
          <w:sz w:val="24"/>
          <w:szCs w:val="24"/>
        </w:rPr>
        <w:t xml:space="preserve"> Liet</w:t>
      </w:r>
      <w:r w:rsidR="00932640" w:rsidRPr="00EC1AB2">
        <w:rPr>
          <w:rFonts w:ascii="Times New Roman" w:hAnsi="Times New Roman" w:cs="Times New Roman"/>
          <w:sz w:val="24"/>
          <w:szCs w:val="24"/>
        </w:rPr>
        <w:t>uva stipriai atsilieka ir nuo CE</w:t>
      </w:r>
      <w:r w:rsidR="004C3994" w:rsidRPr="00EC1AB2">
        <w:rPr>
          <w:rFonts w:ascii="Times New Roman" w:hAnsi="Times New Roman" w:cs="Times New Roman"/>
          <w:sz w:val="24"/>
          <w:szCs w:val="24"/>
        </w:rPr>
        <w:t>E (Centrinės ir Rytų Europos)</w:t>
      </w:r>
      <w:r w:rsidRPr="00EC1AB2">
        <w:rPr>
          <w:rFonts w:ascii="Times New Roman" w:hAnsi="Times New Roman" w:cs="Times New Roman"/>
          <w:sz w:val="24"/>
          <w:szCs w:val="24"/>
        </w:rPr>
        <w:t xml:space="preserve"> šalių vidurkio</w:t>
      </w:r>
      <w:r w:rsidR="00082246" w:rsidRPr="00EC1AB2">
        <w:rPr>
          <w:rFonts w:ascii="Times New Roman" w:hAnsi="Times New Roman" w:cs="Times New Roman"/>
          <w:sz w:val="24"/>
          <w:szCs w:val="24"/>
        </w:rPr>
        <w:t>, todėl verta iš</w:t>
      </w:r>
      <w:r w:rsidRPr="00EC1AB2">
        <w:rPr>
          <w:rFonts w:ascii="Times New Roman" w:hAnsi="Times New Roman" w:cs="Times New Roman"/>
          <w:sz w:val="24"/>
          <w:szCs w:val="24"/>
        </w:rPr>
        <w:t>nagrinėti priežastis, l</w:t>
      </w:r>
      <w:r w:rsidR="00CB4BF9" w:rsidRPr="00EC1AB2">
        <w:rPr>
          <w:rFonts w:ascii="Times New Roman" w:hAnsi="Times New Roman" w:cs="Times New Roman"/>
          <w:sz w:val="24"/>
          <w:szCs w:val="24"/>
        </w:rPr>
        <w:t xml:space="preserve">emiančias </w:t>
      </w:r>
      <w:r w:rsidR="006C15EB" w:rsidRPr="00EC1AB2">
        <w:rPr>
          <w:rFonts w:ascii="Times New Roman" w:hAnsi="Times New Roman" w:cs="Times New Roman"/>
          <w:sz w:val="24"/>
          <w:szCs w:val="24"/>
        </w:rPr>
        <w:t xml:space="preserve">šį </w:t>
      </w:r>
      <w:r w:rsidR="00CB4BF9" w:rsidRPr="00EC1AB2">
        <w:rPr>
          <w:rFonts w:ascii="Times New Roman" w:hAnsi="Times New Roman" w:cs="Times New Roman"/>
          <w:sz w:val="24"/>
          <w:szCs w:val="24"/>
        </w:rPr>
        <w:t>stiprų atsilikim</w:t>
      </w:r>
      <w:r w:rsidR="006C15EB" w:rsidRPr="00EC1AB2">
        <w:rPr>
          <w:rFonts w:ascii="Times New Roman" w:hAnsi="Times New Roman" w:cs="Times New Roman"/>
          <w:sz w:val="24"/>
          <w:szCs w:val="24"/>
        </w:rPr>
        <w:t>ą</w:t>
      </w:r>
      <w:r w:rsidRPr="00EC1AB2">
        <w:rPr>
          <w:rFonts w:ascii="Times New Roman" w:hAnsi="Times New Roman" w:cs="Times New Roman"/>
          <w:sz w:val="24"/>
          <w:szCs w:val="24"/>
        </w:rPr>
        <w:t>.</w:t>
      </w:r>
    </w:p>
    <w:p w:rsidR="009B3F53" w:rsidRPr="00EC1AB2" w:rsidRDefault="009B3F53"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 xml:space="preserve">Problemos ištyrimo lygis. </w:t>
      </w:r>
      <w:r w:rsidRPr="00EC1AB2">
        <w:rPr>
          <w:rFonts w:ascii="Times New Roman" w:hAnsi="Times New Roman" w:cs="Times New Roman"/>
          <w:sz w:val="24"/>
          <w:szCs w:val="24"/>
        </w:rPr>
        <w:t>RKF paplitimą bei veiklą atskirose šalyse (Vengrijoje, Vokietijoje, Le</w:t>
      </w:r>
      <w:r w:rsidR="00932640" w:rsidRPr="00EC1AB2">
        <w:rPr>
          <w:rFonts w:ascii="Times New Roman" w:hAnsi="Times New Roman" w:cs="Times New Roman"/>
          <w:sz w:val="24"/>
          <w:szCs w:val="24"/>
        </w:rPr>
        <w:t>nkijoje, JAV) ar regionuose (CE</w:t>
      </w:r>
      <w:r w:rsidR="00EE08F1" w:rsidRPr="00EC1AB2">
        <w:rPr>
          <w:rFonts w:ascii="Times New Roman" w:hAnsi="Times New Roman" w:cs="Times New Roman"/>
          <w:sz w:val="24"/>
          <w:szCs w:val="24"/>
        </w:rPr>
        <w:t>E) yra nagrinėję atskiri užsienio autoriai</w:t>
      </w:r>
      <w:r w:rsidRPr="00EC1AB2">
        <w:rPr>
          <w:rFonts w:ascii="Times New Roman" w:hAnsi="Times New Roman" w:cs="Times New Roman"/>
          <w:sz w:val="24"/>
          <w:szCs w:val="24"/>
        </w:rPr>
        <w:t xml:space="preserve"> (Bance, Groth, Felix, Gulamhussen, Pires, </w:t>
      </w:r>
      <w:r w:rsidRPr="00EC1AB2">
        <w:rPr>
          <w:rFonts w:ascii="Times New Roman" w:eastAsia="MinionPro-Regular" w:hAnsi="Times New Roman" w:cs="Times New Roman"/>
          <w:sz w:val="24"/>
          <w:szCs w:val="24"/>
        </w:rPr>
        <w:t>Mayer., Schoors, Yafeh ir kt.)</w:t>
      </w:r>
      <w:r w:rsidRPr="00EC1AB2">
        <w:rPr>
          <w:rFonts w:ascii="Times New Roman" w:hAnsi="Times New Roman" w:cs="Times New Roman"/>
          <w:sz w:val="24"/>
          <w:szCs w:val="24"/>
        </w:rPr>
        <w:t>. Lietuvos autoriai skyrę dėmesio rizikos kapitalo temai yra Snieška, Venckuvienė (</w:t>
      </w:r>
      <w:r w:rsidR="0051337C" w:rsidRPr="00EC1AB2">
        <w:rPr>
          <w:rFonts w:ascii="Times New Roman" w:hAnsi="Times New Roman" w:cs="Times New Roman"/>
          <w:sz w:val="24"/>
          <w:szCs w:val="24"/>
        </w:rPr>
        <w:t xml:space="preserve">2009, </w:t>
      </w:r>
      <w:r w:rsidRPr="00EC1AB2">
        <w:rPr>
          <w:rFonts w:ascii="Times New Roman" w:hAnsi="Times New Roman" w:cs="Times New Roman"/>
          <w:sz w:val="24"/>
          <w:szCs w:val="24"/>
        </w:rPr>
        <w:t>2011) bei</w:t>
      </w:r>
      <w:r w:rsidR="00890D8C" w:rsidRPr="00EC1AB2">
        <w:rPr>
          <w:rFonts w:ascii="Times New Roman" w:hAnsi="Times New Roman" w:cs="Times New Roman"/>
          <w:sz w:val="24"/>
          <w:szCs w:val="24"/>
        </w:rPr>
        <w:t xml:space="preserve"> Jankauskienė (2009). R</w:t>
      </w:r>
      <w:r w:rsidRPr="00EC1AB2">
        <w:rPr>
          <w:rFonts w:ascii="Times New Roman" w:hAnsi="Times New Roman" w:cs="Times New Roman"/>
          <w:sz w:val="24"/>
          <w:szCs w:val="24"/>
        </w:rPr>
        <w:t xml:space="preserve">izikos kapitalo </w:t>
      </w:r>
      <w:r w:rsidR="00542101" w:rsidRPr="00EC1AB2">
        <w:rPr>
          <w:rFonts w:ascii="Times New Roman" w:hAnsi="Times New Roman" w:cs="Times New Roman"/>
          <w:sz w:val="24"/>
          <w:szCs w:val="24"/>
        </w:rPr>
        <w:t xml:space="preserve">rinkos </w:t>
      </w:r>
      <w:r w:rsidRPr="00EC1AB2">
        <w:rPr>
          <w:rFonts w:ascii="Times New Roman" w:hAnsi="Times New Roman" w:cs="Times New Roman"/>
          <w:sz w:val="24"/>
          <w:szCs w:val="24"/>
        </w:rPr>
        <w:t>plėtros</w:t>
      </w:r>
      <w:r w:rsidR="00542101"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problemos </w:t>
      </w:r>
      <w:r w:rsidR="00890D8C" w:rsidRPr="00EC1AB2">
        <w:rPr>
          <w:rFonts w:ascii="Times New Roman" w:hAnsi="Times New Roman" w:cs="Times New Roman"/>
          <w:sz w:val="24"/>
          <w:szCs w:val="24"/>
        </w:rPr>
        <w:t xml:space="preserve">Lietuvoje </w:t>
      </w:r>
      <w:r w:rsidRPr="00EC1AB2">
        <w:rPr>
          <w:rFonts w:ascii="Times New Roman" w:hAnsi="Times New Roman" w:cs="Times New Roman"/>
          <w:sz w:val="24"/>
          <w:szCs w:val="24"/>
        </w:rPr>
        <w:t>nėra nagrinė</w:t>
      </w:r>
      <w:r w:rsidR="00EE08F1" w:rsidRPr="00EC1AB2">
        <w:rPr>
          <w:rFonts w:ascii="Times New Roman" w:hAnsi="Times New Roman" w:cs="Times New Roman"/>
          <w:sz w:val="24"/>
          <w:szCs w:val="24"/>
        </w:rPr>
        <w:t>tos.</w:t>
      </w:r>
    </w:p>
    <w:p w:rsidR="007915D7" w:rsidRPr="00EC1AB2" w:rsidRDefault="000C10A9"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Tyrimo</w:t>
      </w:r>
      <w:r w:rsidR="009B3F53" w:rsidRPr="00EC1AB2">
        <w:rPr>
          <w:rFonts w:ascii="Times New Roman" w:hAnsi="Times New Roman" w:cs="Times New Roman"/>
          <w:sz w:val="24"/>
          <w:szCs w:val="24"/>
        </w:rPr>
        <w:t xml:space="preserve"> </w:t>
      </w:r>
      <w:r w:rsidR="007915D7" w:rsidRPr="00EC1AB2">
        <w:rPr>
          <w:rFonts w:ascii="Times New Roman" w:hAnsi="Times New Roman" w:cs="Times New Roman"/>
          <w:b/>
          <w:sz w:val="24"/>
          <w:szCs w:val="24"/>
        </w:rPr>
        <w:t>problema</w:t>
      </w:r>
      <w:r w:rsidR="007915D7" w:rsidRPr="00EC1AB2">
        <w:rPr>
          <w:rFonts w:ascii="Times New Roman" w:hAnsi="Times New Roman" w:cs="Times New Roman"/>
          <w:sz w:val="24"/>
          <w:szCs w:val="24"/>
        </w:rPr>
        <w:t xml:space="preserve"> – kokios priežastys lemia rizikos kapitalo fondų nepakankamą plėtrą Lietuvoje?</w:t>
      </w:r>
    </w:p>
    <w:p w:rsidR="0075454A" w:rsidRPr="00EC1AB2" w:rsidRDefault="00C90C4F"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Tyrimo</w:t>
      </w:r>
      <w:r w:rsidR="007915D7" w:rsidRPr="00EC1AB2">
        <w:rPr>
          <w:rFonts w:ascii="Times New Roman" w:hAnsi="Times New Roman" w:cs="Times New Roman"/>
          <w:b/>
          <w:sz w:val="24"/>
          <w:szCs w:val="24"/>
        </w:rPr>
        <w:t xml:space="preserve"> objektas – </w:t>
      </w:r>
      <w:r w:rsidR="007915D7" w:rsidRPr="00EC1AB2">
        <w:rPr>
          <w:rFonts w:ascii="Times New Roman" w:hAnsi="Times New Roman" w:cs="Times New Roman"/>
          <w:sz w:val="24"/>
          <w:szCs w:val="24"/>
        </w:rPr>
        <w:t>rizikos kapitalo fondų plėtr</w:t>
      </w:r>
      <w:r w:rsidR="00C71747" w:rsidRPr="00EC1AB2">
        <w:rPr>
          <w:rFonts w:ascii="Times New Roman" w:hAnsi="Times New Roman" w:cs="Times New Roman"/>
          <w:sz w:val="24"/>
          <w:szCs w:val="24"/>
        </w:rPr>
        <w:t>os veiksniai</w:t>
      </w:r>
      <w:r w:rsidR="007915D7" w:rsidRPr="00EC1AB2">
        <w:rPr>
          <w:rFonts w:ascii="Times New Roman" w:hAnsi="Times New Roman" w:cs="Times New Roman"/>
          <w:sz w:val="24"/>
          <w:szCs w:val="24"/>
        </w:rPr>
        <w:t>.</w:t>
      </w:r>
    </w:p>
    <w:p w:rsidR="007915D7" w:rsidRPr="00EC1AB2" w:rsidRDefault="00C90C4F"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 xml:space="preserve">Tyrimo </w:t>
      </w:r>
      <w:r w:rsidR="007915D7" w:rsidRPr="00EC1AB2">
        <w:rPr>
          <w:rFonts w:ascii="Times New Roman" w:hAnsi="Times New Roman" w:cs="Times New Roman"/>
          <w:b/>
          <w:sz w:val="24"/>
          <w:szCs w:val="24"/>
        </w:rPr>
        <w:t>tikslas –</w:t>
      </w:r>
      <w:r w:rsidR="007915D7" w:rsidRPr="00EC1AB2">
        <w:rPr>
          <w:rFonts w:ascii="Times New Roman" w:hAnsi="Times New Roman" w:cs="Times New Roman"/>
          <w:sz w:val="24"/>
          <w:szCs w:val="24"/>
        </w:rPr>
        <w:t xml:space="preserve"> identifikuoti ir išanalizuoti veiksnius,</w:t>
      </w:r>
      <w:r w:rsidR="00EE08F1" w:rsidRPr="00EC1AB2">
        <w:rPr>
          <w:rFonts w:ascii="Times New Roman" w:hAnsi="Times New Roman" w:cs="Times New Roman"/>
          <w:sz w:val="24"/>
          <w:szCs w:val="24"/>
        </w:rPr>
        <w:t xml:space="preserve"> neigiamai įtakojančius rizikos kapitalo fondų</w:t>
      </w:r>
      <w:r w:rsidR="007915D7" w:rsidRPr="00EC1AB2">
        <w:rPr>
          <w:rFonts w:ascii="Times New Roman" w:hAnsi="Times New Roman" w:cs="Times New Roman"/>
          <w:sz w:val="24"/>
          <w:szCs w:val="24"/>
        </w:rPr>
        <w:t xml:space="preserve"> plėtrą Lietuvoje</w:t>
      </w:r>
      <w:r w:rsidR="00EC4146" w:rsidRPr="00EC1AB2">
        <w:rPr>
          <w:rFonts w:ascii="Times New Roman" w:hAnsi="Times New Roman" w:cs="Times New Roman"/>
          <w:sz w:val="24"/>
          <w:szCs w:val="24"/>
        </w:rPr>
        <w:t xml:space="preserve">, bei pateikti jų šalinimo galimybes </w:t>
      </w:r>
      <w:r w:rsidR="007915D7" w:rsidRPr="00EC1AB2">
        <w:rPr>
          <w:rFonts w:ascii="Times New Roman" w:hAnsi="Times New Roman" w:cs="Times New Roman"/>
          <w:sz w:val="24"/>
          <w:szCs w:val="24"/>
        </w:rPr>
        <w:t xml:space="preserve">. </w:t>
      </w:r>
    </w:p>
    <w:p w:rsidR="007915D7" w:rsidRPr="00EC1AB2" w:rsidRDefault="00C90C4F" w:rsidP="007A02A8">
      <w:pPr>
        <w:spacing w:after="0" w:line="360" w:lineRule="auto"/>
        <w:ind w:firstLine="567"/>
        <w:jc w:val="both"/>
        <w:rPr>
          <w:rFonts w:ascii="Times New Roman" w:hAnsi="Times New Roman" w:cs="Times New Roman"/>
          <w:b/>
          <w:sz w:val="24"/>
          <w:szCs w:val="24"/>
        </w:rPr>
      </w:pPr>
      <w:r w:rsidRPr="00EC1AB2">
        <w:rPr>
          <w:rFonts w:ascii="Times New Roman" w:hAnsi="Times New Roman" w:cs="Times New Roman"/>
          <w:b/>
          <w:sz w:val="24"/>
          <w:szCs w:val="24"/>
        </w:rPr>
        <w:t>Tyrimo</w:t>
      </w:r>
      <w:r w:rsidR="007915D7" w:rsidRPr="00EC1AB2">
        <w:rPr>
          <w:rFonts w:ascii="Times New Roman" w:hAnsi="Times New Roman" w:cs="Times New Roman"/>
          <w:b/>
          <w:sz w:val="24"/>
          <w:szCs w:val="24"/>
        </w:rPr>
        <w:t xml:space="preserve"> uždaviniai:</w:t>
      </w:r>
    </w:p>
    <w:p w:rsidR="007915D7" w:rsidRPr="00EC1AB2" w:rsidRDefault="000C10A9" w:rsidP="007A02A8">
      <w:pPr>
        <w:pStyle w:val="ListParagraph"/>
        <w:numPr>
          <w:ilvl w:val="0"/>
          <w:numId w:val="27"/>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Pateikti</w:t>
      </w:r>
      <w:r w:rsidR="007915D7" w:rsidRPr="00EC1AB2">
        <w:rPr>
          <w:rFonts w:ascii="Times New Roman" w:hAnsi="Times New Roman" w:cs="Times New Roman"/>
          <w:sz w:val="24"/>
          <w:szCs w:val="24"/>
        </w:rPr>
        <w:t xml:space="preserve"> rizikos kapitalo fondų teorinius aspektus;</w:t>
      </w:r>
    </w:p>
    <w:p w:rsidR="000C10A9" w:rsidRPr="00EC1AB2" w:rsidRDefault="000C10A9" w:rsidP="007A02A8">
      <w:pPr>
        <w:pStyle w:val="ListParagraph"/>
        <w:numPr>
          <w:ilvl w:val="0"/>
          <w:numId w:val="27"/>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Parenti rizikos kapitalo fondų plėtros tyrimo metodologiją;</w:t>
      </w:r>
    </w:p>
    <w:p w:rsidR="000C10A9" w:rsidRPr="00EC1AB2" w:rsidRDefault="000C10A9" w:rsidP="007A02A8">
      <w:pPr>
        <w:pStyle w:val="ListParagraph"/>
        <w:numPr>
          <w:ilvl w:val="0"/>
          <w:numId w:val="27"/>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Įvertinti rizikos kapitalo fondų įt</w:t>
      </w:r>
      <w:r w:rsidR="00EE08F1" w:rsidRPr="00EC1AB2">
        <w:rPr>
          <w:rFonts w:ascii="Times New Roman" w:hAnsi="Times New Roman" w:cs="Times New Roman"/>
          <w:sz w:val="24"/>
          <w:szCs w:val="24"/>
        </w:rPr>
        <w:t>aką Europos Sąjungos šalių inovatyvumui;</w:t>
      </w:r>
    </w:p>
    <w:p w:rsidR="007915D7" w:rsidRPr="00EC1AB2" w:rsidRDefault="000C10A9" w:rsidP="007A02A8">
      <w:pPr>
        <w:pStyle w:val="ListParagraph"/>
        <w:numPr>
          <w:ilvl w:val="0"/>
          <w:numId w:val="27"/>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lastRenderedPageBreak/>
        <w:t xml:space="preserve"> </w:t>
      </w:r>
      <w:r w:rsidR="005208ED" w:rsidRPr="00EC1AB2">
        <w:rPr>
          <w:rFonts w:ascii="Times New Roman" w:hAnsi="Times New Roman" w:cs="Times New Roman"/>
          <w:sz w:val="24"/>
          <w:szCs w:val="24"/>
        </w:rPr>
        <w:t>Išanalizuoti</w:t>
      </w:r>
      <w:r w:rsidR="007915D7" w:rsidRPr="00EC1AB2">
        <w:rPr>
          <w:rFonts w:ascii="Times New Roman" w:hAnsi="Times New Roman" w:cs="Times New Roman"/>
          <w:sz w:val="24"/>
          <w:szCs w:val="24"/>
        </w:rPr>
        <w:t xml:space="preserve"> pagrindines priežastis,</w:t>
      </w:r>
      <w:r w:rsidR="0000142D" w:rsidRPr="00EC1AB2">
        <w:rPr>
          <w:rFonts w:ascii="Times New Roman" w:hAnsi="Times New Roman" w:cs="Times New Roman"/>
          <w:sz w:val="24"/>
          <w:szCs w:val="24"/>
        </w:rPr>
        <w:t xml:space="preserve"> trukdančias plėtotis rizikos kapitalo</w:t>
      </w:r>
      <w:r w:rsidR="005208ED" w:rsidRPr="00EC1AB2">
        <w:rPr>
          <w:rFonts w:ascii="Times New Roman" w:hAnsi="Times New Roman" w:cs="Times New Roman"/>
          <w:sz w:val="24"/>
          <w:szCs w:val="24"/>
        </w:rPr>
        <w:t xml:space="preserve"> fondams</w:t>
      </w:r>
      <w:r w:rsidR="00255B25" w:rsidRPr="00EC1AB2">
        <w:rPr>
          <w:rFonts w:ascii="Times New Roman" w:hAnsi="Times New Roman" w:cs="Times New Roman"/>
          <w:sz w:val="24"/>
          <w:szCs w:val="24"/>
        </w:rPr>
        <w:t xml:space="preserve"> Lietuvoje</w:t>
      </w:r>
      <w:r w:rsidR="003B00BB" w:rsidRPr="00EC1AB2">
        <w:rPr>
          <w:rFonts w:ascii="Times New Roman" w:hAnsi="Times New Roman" w:cs="Times New Roman"/>
          <w:sz w:val="24"/>
          <w:szCs w:val="24"/>
        </w:rPr>
        <w:t xml:space="preserve"> bei pateikti siūlymus šių kliūčių šalinimui. </w:t>
      </w:r>
    </w:p>
    <w:p w:rsidR="007915D7" w:rsidRPr="00EC1AB2" w:rsidRDefault="007915D7" w:rsidP="007A02A8">
      <w:pPr>
        <w:spacing w:after="0" w:line="360" w:lineRule="auto"/>
        <w:ind w:firstLine="567"/>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 xml:space="preserve">Tyrimo metu naudoti šie </w:t>
      </w:r>
      <w:r w:rsidRPr="00EC1AB2">
        <w:rPr>
          <w:rFonts w:ascii="Times New Roman" w:hAnsi="Times New Roman" w:cs="Times New Roman"/>
          <w:b/>
          <w:sz w:val="24"/>
          <w:szCs w:val="24"/>
          <w:lang w:eastAsia="lt-LT"/>
        </w:rPr>
        <w:t>metodai</w:t>
      </w:r>
      <w:r w:rsidRPr="00EC1AB2">
        <w:rPr>
          <w:rFonts w:ascii="Times New Roman" w:hAnsi="Times New Roman" w:cs="Times New Roman"/>
          <w:sz w:val="24"/>
          <w:szCs w:val="24"/>
          <w:lang w:eastAsia="lt-LT"/>
        </w:rPr>
        <w:t xml:space="preserve">: </w:t>
      </w:r>
      <w:r w:rsidRPr="00EC1AB2">
        <w:rPr>
          <w:rFonts w:ascii="Times New Roman" w:hAnsi="Times New Roman" w:cs="Times New Roman"/>
          <w:sz w:val="24"/>
          <w:szCs w:val="24"/>
        </w:rPr>
        <w:t xml:space="preserve">norminių aktų, mokslinės literatūros bei internetinių šaltinių duomenų </w:t>
      </w:r>
      <w:r w:rsidRPr="00EC1AB2">
        <w:rPr>
          <w:rFonts w:ascii="Times New Roman" w:hAnsi="Times New Roman" w:cs="Times New Roman"/>
          <w:sz w:val="24"/>
          <w:szCs w:val="24"/>
          <w:lang w:eastAsia="lt-LT"/>
        </w:rPr>
        <w:t xml:space="preserve">loginė analizė ir sintezė, palyginimo, </w:t>
      </w:r>
      <w:r w:rsidRPr="00EC1AB2">
        <w:rPr>
          <w:rFonts w:ascii="Times New Roman" w:hAnsi="Times New Roman" w:cs="Times New Roman"/>
          <w:sz w:val="24"/>
          <w:szCs w:val="24"/>
        </w:rPr>
        <w:t>statistiniai duomenų apdorojimo ir grafinio vaizdavimo metodai</w:t>
      </w:r>
      <w:r w:rsidR="001A738C" w:rsidRPr="00EC1AB2">
        <w:rPr>
          <w:rFonts w:ascii="Times New Roman" w:hAnsi="Times New Roman" w:cs="Times New Roman"/>
          <w:sz w:val="24"/>
          <w:szCs w:val="24"/>
          <w:lang w:eastAsia="lt-LT"/>
        </w:rPr>
        <w:t>, koreliacinė analizė.</w:t>
      </w:r>
      <w:r w:rsidRPr="00EC1AB2">
        <w:rPr>
          <w:rFonts w:ascii="Times New Roman" w:hAnsi="Times New Roman" w:cs="Times New Roman"/>
          <w:sz w:val="24"/>
          <w:szCs w:val="24"/>
          <w:lang w:eastAsia="lt-LT"/>
        </w:rPr>
        <w:t xml:space="preserve"> Siekiant identifikuoti pagrindines prie</w:t>
      </w:r>
      <w:r w:rsidR="00F350BA" w:rsidRPr="00EC1AB2">
        <w:rPr>
          <w:rFonts w:ascii="Times New Roman" w:hAnsi="Times New Roman" w:cs="Times New Roman"/>
          <w:sz w:val="24"/>
          <w:szCs w:val="24"/>
          <w:lang w:eastAsia="lt-LT"/>
        </w:rPr>
        <w:t>žastis, lemiančias lėtą rizikos kapitalo fondų</w:t>
      </w:r>
      <w:r w:rsidRPr="00EC1AB2">
        <w:rPr>
          <w:rFonts w:ascii="Times New Roman" w:hAnsi="Times New Roman" w:cs="Times New Roman"/>
          <w:sz w:val="24"/>
          <w:szCs w:val="24"/>
          <w:lang w:eastAsia="lt-LT"/>
        </w:rPr>
        <w:t xml:space="preserve"> ri</w:t>
      </w:r>
      <w:r w:rsidR="0061704D" w:rsidRPr="00EC1AB2">
        <w:rPr>
          <w:rFonts w:ascii="Times New Roman" w:hAnsi="Times New Roman" w:cs="Times New Roman"/>
          <w:sz w:val="24"/>
          <w:szCs w:val="24"/>
          <w:lang w:eastAsia="lt-LT"/>
        </w:rPr>
        <w:t>n</w:t>
      </w:r>
      <w:r w:rsidRPr="00EC1AB2">
        <w:rPr>
          <w:rFonts w:ascii="Times New Roman" w:hAnsi="Times New Roman" w:cs="Times New Roman"/>
          <w:sz w:val="24"/>
          <w:szCs w:val="24"/>
          <w:lang w:eastAsia="lt-LT"/>
        </w:rPr>
        <w:t>kos vystymąsi Lietuvo</w:t>
      </w:r>
      <w:r w:rsidR="001A738C" w:rsidRPr="00EC1AB2">
        <w:rPr>
          <w:rFonts w:ascii="Times New Roman" w:hAnsi="Times New Roman" w:cs="Times New Roman"/>
          <w:sz w:val="24"/>
          <w:szCs w:val="24"/>
          <w:lang w:eastAsia="lt-LT"/>
        </w:rPr>
        <w:t>je</w:t>
      </w:r>
      <w:r w:rsidR="0061704D" w:rsidRPr="00EC1AB2">
        <w:rPr>
          <w:rFonts w:ascii="Times New Roman" w:hAnsi="Times New Roman" w:cs="Times New Roman"/>
          <w:sz w:val="24"/>
          <w:szCs w:val="24"/>
          <w:lang w:eastAsia="lt-LT"/>
        </w:rPr>
        <w:t>,</w:t>
      </w:r>
      <w:r w:rsidR="001A738C" w:rsidRPr="00EC1AB2">
        <w:rPr>
          <w:rFonts w:ascii="Times New Roman" w:hAnsi="Times New Roman" w:cs="Times New Roman"/>
          <w:sz w:val="24"/>
          <w:szCs w:val="24"/>
          <w:lang w:eastAsia="lt-LT"/>
        </w:rPr>
        <w:t xml:space="preserve"> atliktas ekspertinis tyrimas,</w:t>
      </w:r>
      <w:r w:rsidR="00D466EF" w:rsidRPr="00EC1AB2">
        <w:rPr>
          <w:rFonts w:ascii="Times New Roman" w:hAnsi="Times New Roman" w:cs="Times New Roman"/>
          <w:sz w:val="24"/>
          <w:szCs w:val="24"/>
          <w:lang w:eastAsia="lt-LT"/>
        </w:rPr>
        <w:t xml:space="preserve"> apibendrinan</w:t>
      </w:r>
      <w:r w:rsidR="001A738C" w:rsidRPr="00EC1AB2">
        <w:rPr>
          <w:rFonts w:ascii="Times New Roman" w:hAnsi="Times New Roman" w:cs="Times New Roman"/>
          <w:sz w:val="24"/>
          <w:szCs w:val="24"/>
          <w:lang w:eastAsia="lt-LT"/>
        </w:rPr>
        <w:t>t</w:t>
      </w:r>
      <w:r w:rsidR="00D466EF" w:rsidRPr="00EC1AB2">
        <w:rPr>
          <w:rFonts w:ascii="Times New Roman" w:hAnsi="Times New Roman" w:cs="Times New Roman"/>
          <w:sz w:val="24"/>
          <w:szCs w:val="24"/>
          <w:lang w:eastAsia="lt-LT"/>
        </w:rPr>
        <w:t xml:space="preserve"> tyrimo rezultatus </w:t>
      </w:r>
      <w:r w:rsidR="00C35C20" w:rsidRPr="00EC1AB2">
        <w:rPr>
          <w:rFonts w:ascii="Times New Roman" w:hAnsi="Times New Roman" w:cs="Times New Roman"/>
          <w:sz w:val="24"/>
          <w:szCs w:val="24"/>
          <w:lang w:eastAsia="lt-LT"/>
        </w:rPr>
        <w:t>pateikta</w:t>
      </w:r>
      <w:r w:rsidR="001A738C" w:rsidRPr="00EC1AB2">
        <w:rPr>
          <w:rFonts w:ascii="Times New Roman" w:hAnsi="Times New Roman" w:cs="Times New Roman"/>
          <w:sz w:val="24"/>
          <w:szCs w:val="24"/>
          <w:lang w:eastAsia="lt-LT"/>
        </w:rPr>
        <w:t xml:space="preserve"> </w:t>
      </w:r>
      <w:r w:rsidR="00724999" w:rsidRPr="00EC1AB2">
        <w:rPr>
          <w:rFonts w:ascii="Times New Roman" w:hAnsi="Times New Roman" w:cs="Times New Roman"/>
          <w:sz w:val="24"/>
          <w:szCs w:val="24"/>
          <w:lang w:eastAsia="lt-LT"/>
        </w:rPr>
        <w:t xml:space="preserve">rizikos kapitalo </w:t>
      </w:r>
      <w:r w:rsidR="00F350BA" w:rsidRPr="00EC1AB2">
        <w:rPr>
          <w:rFonts w:ascii="Times New Roman" w:hAnsi="Times New Roman" w:cs="Times New Roman"/>
          <w:sz w:val="24"/>
          <w:szCs w:val="24"/>
          <w:lang w:eastAsia="lt-LT"/>
        </w:rPr>
        <w:t>fondų</w:t>
      </w:r>
      <w:r w:rsidR="00724999" w:rsidRPr="00EC1AB2">
        <w:rPr>
          <w:rFonts w:ascii="Times New Roman" w:hAnsi="Times New Roman" w:cs="Times New Roman"/>
          <w:sz w:val="24"/>
          <w:szCs w:val="24"/>
          <w:lang w:eastAsia="lt-LT"/>
        </w:rPr>
        <w:t xml:space="preserve"> plėtros </w:t>
      </w:r>
      <w:r w:rsidR="00B97D21" w:rsidRPr="00EC1AB2">
        <w:rPr>
          <w:rFonts w:ascii="Times New Roman" w:hAnsi="Times New Roman" w:cs="Times New Roman"/>
          <w:sz w:val="24"/>
          <w:szCs w:val="24"/>
          <w:lang w:eastAsia="lt-LT"/>
        </w:rPr>
        <w:t xml:space="preserve">Lietuvoje </w:t>
      </w:r>
      <w:r w:rsidR="001A738C" w:rsidRPr="00EC1AB2">
        <w:rPr>
          <w:rFonts w:ascii="Times New Roman" w:hAnsi="Times New Roman" w:cs="Times New Roman"/>
          <w:sz w:val="24"/>
          <w:szCs w:val="24"/>
          <w:lang w:eastAsia="lt-LT"/>
        </w:rPr>
        <w:t xml:space="preserve">SWOT analizė.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 xml:space="preserve">Darbo struktūra. </w:t>
      </w:r>
      <w:r w:rsidR="004B444F" w:rsidRPr="00EC1AB2">
        <w:rPr>
          <w:rFonts w:ascii="Times New Roman" w:hAnsi="Times New Roman" w:cs="Times New Roman"/>
          <w:sz w:val="24"/>
          <w:szCs w:val="24"/>
          <w:lang w:eastAsia="lt-LT"/>
        </w:rPr>
        <w:t>Darbą sudaro įvadas, trys skyriai, išvados ir siūlymai</w:t>
      </w:r>
      <w:r w:rsidRPr="00EC1AB2">
        <w:rPr>
          <w:rFonts w:ascii="Times New Roman" w:hAnsi="Times New Roman" w:cs="Times New Roman"/>
          <w:sz w:val="24"/>
          <w:szCs w:val="24"/>
          <w:lang w:eastAsia="lt-LT"/>
        </w:rPr>
        <w:t>. Pirmame skyriuje analizuojami rizikos kap</w:t>
      </w:r>
      <w:r w:rsidR="009F308E" w:rsidRPr="00EC1AB2">
        <w:rPr>
          <w:rFonts w:ascii="Times New Roman" w:hAnsi="Times New Roman" w:cs="Times New Roman"/>
          <w:sz w:val="24"/>
          <w:szCs w:val="24"/>
          <w:lang w:eastAsia="lt-LT"/>
        </w:rPr>
        <w:t>italo fondų teoriniai aspektai (RKF koncepcija, veiklos bruožai ir teisinis reglamentavimas, įtaka ekonomikai bei remiantis įvairių autorių nuomone, išskiriamos sąlygos, būtinos RKF vystymuisi), antrame skyriuje</w:t>
      </w:r>
      <w:r w:rsidR="00415303" w:rsidRPr="00EC1AB2">
        <w:rPr>
          <w:rFonts w:ascii="Times New Roman" w:hAnsi="Times New Roman" w:cs="Times New Roman"/>
          <w:sz w:val="24"/>
          <w:szCs w:val="24"/>
          <w:lang w:eastAsia="lt-LT"/>
        </w:rPr>
        <w:t xml:space="preserve"> </w:t>
      </w:r>
      <w:r w:rsidR="0039716D" w:rsidRPr="00EC1AB2">
        <w:rPr>
          <w:rFonts w:ascii="Times New Roman" w:hAnsi="Times New Roman" w:cs="Times New Roman"/>
          <w:sz w:val="24"/>
          <w:szCs w:val="24"/>
          <w:lang w:eastAsia="lt-LT"/>
        </w:rPr>
        <w:t>pateikiamas tyrimo pagrindimas,</w:t>
      </w:r>
      <w:r w:rsidRPr="00EC1AB2">
        <w:rPr>
          <w:rFonts w:ascii="Times New Roman" w:hAnsi="Times New Roman" w:cs="Times New Roman"/>
          <w:sz w:val="24"/>
          <w:szCs w:val="24"/>
          <w:lang w:eastAsia="lt-LT"/>
        </w:rPr>
        <w:t xml:space="preserve"> aprašoma tyrimo metodika</w:t>
      </w:r>
      <w:r w:rsidR="0039716D" w:rsidRPr="00EC1AB2">
        <w:rPr>
          <w:rFonts w:ascii="Times New Roman" w:hAnsi="Times New Roman" w:cs="Times New Roman"/>
          <w:sz w:val="24"/>
          <w:szCs w:val="24"/>
          <w:lang w:eastAsia="lt-LT"/>
        </w:rPr>
        <w:t xml:space="preserve"> ir nuoseklumas, suformuluojamos tyrimo hipotezės</w:t>
      </w:r>
      <w:r w:rsidRPr="00EC1AB2">
        <w:rPr>
          <w:rFonts w:ascii="Times New Roman" w:hAnsi="Times New Roman" w:cs="Times New Roman"/>
          <w:sz w:val="24"/>
          <w:szCs w:val="24"/>
          <w:lang w:eastAsia="lt-LT"/>
        </w:rPr>
        <w:t xml:space="preserve">, trečiame </w:t>
      </w:r>
      <w:r w:rsidR="0039716D" w:rsidRPr="00EC1AB2">
        <w:rPr>
          <w:rFonts w:ascii="Times New Roman" w:hAnsi="Times New Roman" w:cs="Times New Roman"/>
          <w:sz w:val="24"/>
          <w:szCs w:val="24"/>
          <w:lang w:eastAsia="lt-LT"/>
        </w:rPr>
        <w:t xml:space="preserve">analizuojami </w:t>
      </w:r>
      <w:r w:rsidR="000A2054" w:rsidRPr="00EC1AB2">
        <w:rPr>
          <w:rFonts w:ascii="Times New Roman" w:hAnsi="Times New Roman" w:cs="Times New Roman"/>
          <w:sz w:val="24"/>
          <w:szCs w:val="24"/>
          <w:lang w:eastAsia="lt-LT"/>
        </w:rPr>
        <w:t xml:space="preserve">Lietuvos rezultatai diegiant inovacijas, atlikta RKF investicijų ir suminio inovatyvumo indekso </w:t>
      </w:r>
      <w:r w:rsidR="006B2A1A" w:rsidRPr="00EC1AB2">
        <w:rPr>
          <w:rFonts w:ascii="Times New Roman" w:hAnsi="Times New Roman" w:cs="Times New Roman"/>
          <w:sz w:val="24"/>
          <w:szCs w:val="24"/>
          <w:lang w:eastAsia="lt-LT"/>
        </w:rPr>
        <w:t>sudedamųjų dalių koreliacinė analizė</w:t>
      </w:r>
      <w:r w:rsidR="004D49D2" w:rsidRPr="00EC1AB2">
        <w:rPr>
          <w:rFonts w:ascii="Times New Roman" w:hAnsi="Times New Roman" w:cs="Times New Roman"/>
          <w:sz w:val="24"/>
          <w:szCs w:val="24"/>
          <w:lang w:eastAsia="lt-LT"/>
        </w:rPr>
        <w:t>, remiantis</w:t>
      </w:r>
      <w:r w:rsidR="00CF5E28" w:rsidRPr="00EC1AB2">
        <w:rPr>
          <w:rFonts w:ascii="Times New Roman" w:hAnsi="Times New Roman" w:cs="Times New Roman"/>
          <w:sz w:val="24"/>
          <w:szCs w:val="24"/>
          <w:lang w:eastAsia="lt-LT"/>
        </w:rPr>
        <w:t xml:space="preserve"> ekspertinio tyrimo </w:t>
      </w:r>
      <w:r w:rsidR="0025412D" w:rsidRPr="00EC1AB2">
        <w:rPr>
          <w:rFonts w:ascii="Times New Roman" w:hAnsi="Times New Roman" w:cs="Times New Roman"/>
          <w:sz w:val="24"/>
          <w:szCs w:val="24"/>
          <w:lang w:eastAsia="lt-LT"/>
        </w:rPr>
        <w:t xml:space="preserve">rezultatais </w:t>
      </w:r>
      <w:r w:rsidR="00CF5E28" w:rsidRPr="00EC1AB2">
        <w:rPr>
          <w:rFonts w:ascii="Times New Roman" w:hAnsi="Times New Roman" w:cs="Times New Roman"/>
          <w:sz w:val="24"/>
          <w:szCs w:val="24"/>
          <w:lang w:eastAsia="lt-LT"/>
        </w:rPr>
        <w:t xml:space="preserve">bei </w:t>
      </w:r>
      <w:r w:rsidR="00CA7629" w:rsidRPr="00EC1AB2">
        <w:rPr>
          <w:rStyle w:val="st"/>
          <w:rFonts w:ascii="Times New Roman" w:hAnsi="Times New Roman" w:cs="Times New Roman"/>
          <w:sz w:val="24"/>
          <w:szCs w:val="24"/>
        </w:rPr>
        <w:t>European Private Equity and Venture Capital Association</w:t>
      </w:r>
      <w:r w:rsidR="00CA7629" w:rsidRPr="00EC1AB2">
        <w:rPr>
          <w:rFonts w:ascii="Times New Roman" w:hAnsi="Times New Roman" w:cs="Times New Roman"/>
          <w:sz w:val="24"/>
          <w:szCs w:val="24"/>
          <w:lang w:eastAsia="lt-LT"/>
        </w:rPr>
        <w:t xml:space="preserve"> (EVCA)</w:t>
      </w:r>
      <w:r w:rsidR="00A01BB1" w:rsidRPr="00EC1AB2">
        <w:rPr>
          <w:rFonts w:ascii="Times New Roman" w:hAnsi="Times New Roman" w:cs="Times New Roman"/>
          <w:sz w:val="24"/>
          <w:szCs w:val="24"/>
          <w:lang w:eastAsia="lt-LT"/>
        </w:rPr>
        <w:t xml:space="preserve"> ataskaitos, kurioje vertinamos šalių teisinės ir mokestinės sąlygos RKF plėtrai bei </w:t>
      </w:r>
      <w:r w:rsidR="00A01BB1" w:rsidRPr="00EC1AB2">
        <w:rPr>
          <w:rFonts w:ascii="Times New Roman" w:hAnsi="Times New Roman" w:cs="Times New Roman"/>
          <w:sz w:val="24"/>
          <w:szCs w:val="24"/>
        </w:rPr>
        <w:t xml:space="preserve">A.Groh, H. Liechtenstein, </w:t>
      </w:r>
      <w:r w:rsidR="00A01BB1" w:rsidRPr="00EC1AB2">
        <w:rPr>
          <w:rFonts w:ascii="Times New Roman" w:hAnsi="Times New Roman" w:cs="Times New Roman"/>
          <w:iCs/>
          <w:sz w:val="24"/>
          <w:szCs w:val="24"/>
        </w:rPr>
        <w:t>Karsten Lieser</w:t>
      </w:r>
      <w:r w:rsidR="00A01BB1" w:rsidRPr="00EC1AB2">
        <w:rPr>
          <w:rFonts w:ascii="Times New Roman" w:hAnsi="Times New Roman" w:cs="Times New Roman"/>
          <w:sz w:val="24"/>
          <w:szCs w:val="24"/>
        </w:rPr>
        <w:t xml:space="preserve"> kartu su audito įmone „Ernst&amp;Young” kasmet skaičiuojamo </w:t>
      </w:r>
      <w:r w:rsidR="006F6BBE" w:rsidRPr="00EC1AB2">
        <w:rPr>
          <w:rFonts w:ascii="Times New Roman" w:hAnsi="Times New Roman" w:cs="Times New Roman"/>
          <w:bCs/>
          <w:sz w:val="24"/>
          <w:szCs w:val="24"/>
        </w:rPr>
        <w:t>The Global Venture Capital and Private Equity</w:t>
      </w:r>
      <w:r w:rsidR="006F6BBE" w:rsidRPr="00EC1AB2">
        <w:rPr>
          <w:rFonts w:ascii="Times New Roman" w:hAnsi="Times New Roman" w:cs="Times New Roman"/>
          <w:bCs/>
          <w:sz w:val="24"/>
          <w:szCs w:val="24"/>
        </w:rPr>
        <w:br/>
        <w:t>Country Attractiveness Index</w:t>
      </w:r>
      <w:r w:rsidR="006F6BBE" w:rsidRPr="00EC1AB2">
        <w:rPr>
          <w:rFonts w:ascii="Times New Roman" w:hAnsi="Times New Roman" w:cs="Times New Roman"/>
          <w:sz w:val="24"/>
          <w:szCs w:val="24"/>
        </w:rPr>
        <w:t xml:space="preserve"> analize, pat</w:t>
      </w:r>
      <w:r w:rsidR="0034095E" w:rsidRPr="00EC1AB2">
        <w:rPr>
          <w:rFonts w:ascii="Times New Roman" w:hAnsi="Times New Roman" w:cs="Times New Roman"/>
          <w:sz w:val="24"/>
          <w:szCs w:val="24"/>
        </w:rPr>
        <w:t>eikiama rizikos kapitalo rinkos SWOT</w:t>
      </w:r>
      <w:r w:rsidR="006F6BBE" w:rsidRPr="00EC1AB2">
        <w:rPr>
          <w:rFonts w:ascii="Times New Roman" w:hAnsi="Times New Roman" w:cs="Times New Roman"/>
          <w:sz w:val="24"/>
          <w:szCs w:val="24"/>
        </w:rPr>
        <w:t xml:space="preserve"> Lietuvoje analizė. </w:t>
      </w:r>
      <w:r w:rsidRPr="00EC1AB2">
        <w:rPr>
          <w:rFonts w:ascii="Times New Roman" w:hAnsi="Times New Roman" w:cs="Times New Roman"/>
          <w:sz w:val="24"/>
          <w:szCs w:val="24"/>
          <w:lang w:eastAsia="lt-LT"/>
        </w:rPr>
        <w:t xml:space="preserve">Pateikiamos išvados bei pasiūlymai. </w:t>
      </w:r>
      <w:r w:rsidR="00B955CB" w:rsidRPr="00EC1AB2">
        <w:rPr>
          <w:rFonts w:ascii="Times New Roman" w:hAnsi="Times New Roman" w:cs="Times New Roman"/>
          <w:sz w:val="24"/>
          <w:szCs w:val="24"/>
          <w:lang w:eastAsia="lt-LT"/>
        </w:rPr>
        <w:t>Darbe pateikta 11 lentelių, 17</w:t>
      </w:r>
      <w:r w:rsidR="00982448" w:rsidRPr="00EC1AB2">
        <w:rPr>
          <w:rFonts w:ascii="Times New Roman" w:hAnsi="Times New Roman" w:cs="Times New Roman"/>
          <w:sz w:val="24"/>
          <w:szCs w:val="24"/>
          <w:lang w:eastAsia="lt-LT"/>
        </w:rPr>
        <w:t xml:space="preserve"> paveikslų. Naudotas 61</w:t>
      </w:r>
      <w:r w:rsidR="00E056E7" w:rsidRPr="00EC1AB2">
        <w:rPr>
          <w:rFonts w:ascii="Times New Roman" w:hAnsi="Times New Roman" w:cs="Times New Roman"/>
          <w:sz w:val="24"/>
          <w:szCs w:val="24"/>
          <w:lang w:eastAsia="lt-LT"/>
        </w:rPr>
        <w:t xml:space="preserve"> literatūros šaltinis</w:t>
      </w:r>
      <w:r w:rsidRPr="00EC1AB2">
        <w:rPr>
          <w:rFonts w:ascii="Times New Roman" w:hAnsi="Times New Roman" w:cs="Times New Roman"/>
          <w:sz w:val="24"/>
          <w:szCs w:val="24"/>
          <w:lang w:eastAsia="lt-LT"/>
        </w:rPr>
        <w:t>.</w:t>
      </w:r>
    </w:p>
    <w:p w:rsidR="000A2054" w:rsidRPr="00EC1AB2" w:rsidRDefault="008B5A00"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Darbo praktinė reikšmė:</w:t>
      </w:r>
      <w:r w:rsidR="002F6749" w:rsidRPr="00EC1AB2">
        <w:rPr>
          <w:rFonts w:ascii="Times New Roman" w:hAnsi="Times New Roman" w:cs="Times New Roman"/>
          <w:b/>
          <w:sz w:val="24"/>
          <w:szCs w:val="24"/>
        </w:rPr>
        <w:t xml:space="preserve"> </w:t>
      </w:r>
      <w:r w:rsidR="002F6749" w:rsidRPr="00EC1AB2">
        <w:rPr>
          <w:rFonts w:ascii="Times New Roman" w:hAnsi="Times New Roman" w:cs="Times New Roman"/>
          <w:sz w:val="24"/>
          <w:szCs w:val="24"/>
        </w:rPr>
        <w:t>išanalizuotas Lietuvos suminis inovatyvumo indeksas</w:t>
      </w:r>
      <w:r w:rsidR="00C47A02" w:rsidRPr="00EC1AB2">
        <w:rPr>
          <w:rFonts w:ascii="Times New Roman" w:hAnsi="Times New Roman" w:cs="Times New Roman"/>
          <w:sz w:val="24"/>
          <w:szCs w:val="24"/>
        </w:rPr>
        <w:t xml:space="preserve"> ir identifikuot</w:t>
      </w:r>
      <w:r w:rsidR="00590792" w:rsidRPr="00EC1AB2">
        <w:rPr>
          <w:rFonts w:ascii="Times New Roman" w:hAnsi="Times New Roman" w:cs="Times New Roman"/>
          <w:sz w:val="24"/>
          <w:szCs w:val="24"/>
        </w:rPr>
        <w:t xml:space="preserve">os stipriosios bei silpnosios </w:t>
      </w:r>
      <w:r w:rsidR="00C47A02" w:rsidRPr="00EC1AB2">
        <w:rPr>
          <w:rFonts w:ascii="Times New Roman" w:hAnsi="Times New Roman" w:cs="Times New Roman"/>
          <w:sz w:val="24"/>
          <w:szCs w:val="24"/>
        </w:rPr>
        <w:t xml:space="preserve">pusės inovacijų diegimo srityje bei </w:t>
      </w:r>
      <w:r w:rsidR="002F6749" w:rsidRPr="00EC1AB2">
        <w:rPr>
          <w:rFonts w:ascii="Times New Roman" w:hAnsi="Times New Roman" w:cs="Times New Roman"/>
          <w:sz w:val="24"/>
          <w:szCs w:val="24"/>
        </w:rPr>
        <w:t>n</w:t>
      </w:r>
      <w:r w:rsidR="003E0E0B" w:rsidRPr="00EC1AB2">
        <w:rPr>
          <w:rFonts w:ascii="Times New Roman" w:hAnsi="Times New Roman" w:cs="Times New Roman"/>
          <w:sz w:val="24"/>
          <w:szCs w:val="24"/>
        </w:rPr>
        <w:t>ustatyta RKF investicijų įtaka</w:t>
      </w:r>
      <w:r w:rsidR="00C47A02" w:rsidRPr="00EC1AB2">
        <w:rPr>
          <w:rFonts w:ascii="Times New Roman" w:hAnsi="Times New Roman" w:cs="Times New Roman"/>
          <w:sz w:val="24"/>
          <w:szCs w:val="24"/>
        </w:rPr>
        <w:t xml:space="preserve"> suminio inovatyvumo indekso sudedamosioms dalims</w:t>
      </w:r>
      <w:r w:rsidR="00590792" w:rsidRPr="00EC1AB2">
        <w:rPr>
          <w:rFonts w:ascii="Times New Roman" w:hAnsi="Times New Roman" w:cs="Times New Roman"/>
          <w:sz w:val="24"/>
          <w:szCs w:val="24"/>
        </w:rPr>
        <w:t>; remia</w:t>
      </w:r>
      <w:r w:rsidR="00C47A02" w:rsidRPr="00EC1AB2">
        <w:rPr>
          <w:rFonts w:ascii="Times New Roman" w:hAnsi="Times New Roman" w:cs="Times New Roman"/>
          <w:sz w:val="24"/>
          <w:szCs w:val="24"/>
        </w:rPr>
        <w:t>ntis atlikto ekspertinio tyrimo rezul</w:t>
      </w:r>
      <w:r w:rsidR="00590792" w:rsidRPr="00EC1AB2">
        <w:rPr>
          <w:rFonts w:ascii="Times New Roman" w:hAnsi="Times New Roman" w:cs="Times New Roman"/>
          <w:sz w:val="24"/>
          <w:szCs w:val="24"/>
        </w:rPr>
        <w:t xml:space="preserve">tatais bei kitais indikatoriais, </w:t>
      </w:r>
      <w:r w:rsidR="00C47A02" w:rsidRPr="00EC1AB2">
        <w:rPr>
          <w:rFonts w:ascii="Times New Roman" w:hAnsi="Times New Roman" w:cs="Times New Roman"/>
          <w:sz w:val="24"/>
          <w:szCs w:val="24"/>
        </w:rPr>
        <w:t>vertinančiai</w:t>
      </w:r>
      <w:r w:rsidR="00590792" w:rsidRPr="00EC1AB2">
        <w:rPr>
          <w:rFonts w:ascii="Times New Roman" w:hAnsi="Times New Roman" w:cs="Times New Roman"/>
          <w:sz w:val="24"/>
          <w:szCs w:val="24"/>
        </w:rPr>
        <w:t>s Lietuvos patrauklumą RKF inve</w:t>
      </w:r>
      <w:r w:rsidR="00C47A02" w:rsidRPr="00EC1AB2">
        <w:rPr>
          <w:rFonts w:ascii="Times New Roman" w:hAnsi="Times New Roman" w:cs="Times New Roman"/>
          <w:sz w:val="24"/>
          <w:szCs w:val="24"/>
        </w:rPr>
        <w:t>s</w:t>
      </w:r>
      <w:r w:rsidR="00590792" w:rsidRPr="00EC1AB2">
        <w:rPr>
          <w:rFonts w:ascii="Times New Roman" w:hAnsi="Times New Roman" w:cs="Times New Roman"/>
          <w:sz w:val="24"/>
          <w:szCs w:val="24"/>
        </w:rPr>
        <w:t>t</w:t>
      </w:r>
      <w:r w:rsidR="00C47A02" w:rsidRPr="00EC1AB2">
        <w:rPr>
          <w:rFonts w:ascii="Times New Roman" w:hAnsi="Times New Roman" w:cs="Times New Roman"/>
          <w:sz w:val="24"/>
          <w:szCs w:val="24"/>
        </w:rPr>
        <w:t>icijoms</w:t>
      </w:r>
      <w:r w:rsidR="00590792" w:rsidRPr="00EC1AB2">
        <w:rPr>
          <w:rFonts w:ascii="Times New Roman" w:hAnsi="Times New Roman" w:cs="Times New Roman"/>
          <w:sz w:val="24"/>
          <w:szCs w:val="24"/>
        </w:rPr>
        <w:t>,</w:t>
      </w:r>
      <w:r w:rsidR="002F6749" w:rsidRPr="00EC1AB2">
        <w:rPr>
          <w:rFonts w:ascii="Times New Roman" w:hAnsi="Times New Roman" w:cs="Times New Roman"/>
          <w:sz w:val="24"/>
          <w:szCs w:val="24"/>
        </w:rPr>
        <w:t xml:space="preserve"> identifikuotos</w:t>
      </w:r>
      <w:r w:rsidR="00C47A02" w:rsidRPr="00EC1AB2">
        <w:rPr>
          <w:rFonts w:ascii="Times New Roman" w:hAnsi="Times New Roman" w:cs="Times New Roman"/>
          <w:sz w:val="24"/>
          <w:szCs w:val="24"/>
        </w:rPr>
        <w:t xml:space="preserve"> pagrindinės problemos bei </w:t>
      </w:r>
      <w:r w:rsidR="00431DC0" w:rsidRPr="00EC1AB2">
        <w:rPr>
          <w:rFonts w:ascii="Times New Roman" w:hAnsi="Times New Roman" w:cs="Times New Roman"/>
          <w:sz w:val="24"/>
          <w:szCs w:val="24"/>
        </w:rPr>
        <w:t>pateikiamos jų šalinimo gairės.</w:t>
      </w:r>
      <w:r w:rsidR="002F6749" w:rsidRPr="00EC1AB2">
        <w:rPr>
          <w:rFonts w:ascii="Times New Roman" w:hAnsi="Times New Roman" w:cs="Times New Roman"/>
          <w:sz w:val="24"/>
          <w:szCs w:val="24"/>
        </w:rPr>
        <w:t xml:space="preserve"> </w:t>
      </w:r>
    </w:p>
    <w:p w:rsidR="00B53200" w:rsidRPr="00EC1AB2" w:rsidRDefault="00B53200" w:rsidP="007A02A8">
      <w:pPr>
        <w:pStyle w:val="Heading1"/>
        <w:numPr>
          <w:ilvl w:val="0"/>
          <w:numId w:val="22"/>
        </w:numPr>
        <w:spacing w:before="0" w:after="0" w:line="360" w:lineRule="auto"/>
        <w:rPr>
          <w:sz w:val="28"/>
          <w:szCs w:val="28"/>
        </w:rPr>
      </w:pPr>
      <w:bookmarkStart w:id="22" w:name="_Toc320566991"/>
      <w:bookmarkStart w:id="23" w:name="_Toc320567031"/>
      <w:bookmarkStart w:id="24" w:name="_Toc320567177"/>
      <w:bookmarkStart w:id="25" w:name="_Toc320761761"/>
      <w:bookmarkStart w:id="26" w:name="_Toc320761903"/>
      <w:bookmarkStart w:id="27" w:name="_Toc320762138"/>
      <w:bookmarkStart w:id="28" w:name="_Toc320762540"/>
      <w:r w:rsidRPr="00EC1AB2">
        <w:rPr>
          <w:sz w:val="28"/>
          <w:szCs w:val="28"/>
        </w:rPr>
        <w:br w:type="page"/>
      </w:r>
    </w:p>
    <w:p w:rsidR="007915D7" w:rsidRPr="00EC1AB2" w:rsidRDefault="000D2AC2" w:rsidP="000D2AC2">
      <w:pPr>
        <w:pStyle w:val="Heading1"/>
        <w:spacing w:before="0" w:after="0" w:line="360" w:lineRule="auto"/>
        <w:ind w:left="360"/>
        <w:rPr>
          <w:sz w:val="28"/>
          <w:szCs w:val="28"/>
        </w:rPr>
      </w:pPr>
      <w:bookmarkStart w:id="29" w:name="_Toc321092694"/>
      <w:r w:rsidRPr="00EC1AB2">
        <w:rPr>
          <w:sz w:val="28"/>
          <w:szCs w:val="28"/>
        </w:rPr>
        <w:lastRenderedPageBreak/>
        <w:t xml:space="preserve">1. </w:t>
      </w:r>
      <w:r w:rsidR="001F798C" w:rsidRPr="00EC1AB2">
        <w:rPr>
          <w:sz w:val="28"/>
          <w:szCs w:val="28"/>
        </w:rPr>
        <w:t>RIZIKOS KAPITALO FONDŲ</w:t>
      </w:r>
      <w:r w:rsidR="007915D7" w:rsidRPr="00EC1AB2">
        <w:rPr>
          <w:sz w:val="28"/>
          <w:szCs w:val="28"/>
        </w:rPr>
        <w:t xml:space="preserve"> TEORINIAI ASPEKTAI</w:t>
      </w:r>
      <w:bookmarkEnd w:id="22"/>
      <w:bookmarkEnd w:id="23"/>
      <w:bookmarkEnd w:id="24"/>
      <w:bookmarkEnd w:id="25"/>
      <w:bookmarkEnd w:id="26"/>
      <w:bookmarkEnd w:id="27"/>
      <w:bookmarkEnd w:id="28"/>
      <w:bookmarkEnd w:id="29"/>
    </w:p>
    <w:p w:rsidR="007915D7" w:rsidRPr="00EC1AB2" w:rsidRDefault="007915D7" w:rsidP="007A02A8">
      <w:pPr>
        <w:pStyle w:val="Heading1"/>
        <w:spacing w:before="0" w:after="0" w:line="360" w:lineRule="auto"/>
        <w:rPr>
          <w:sz w:val="28"/>
          <w:szCs w:val="28"/>
        </w:rPr>
      </w:pP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Šiame skyriuje bus nagrinėjamos įvairios literatūroje s</w:t>
      </w:r>
      <w:r w:rsidR="00E55AF9" w:rsidRPr="00EC1AB2">
        <w:rPr>
          <w:rFonts w:ascii="Times New Roman" w:hAnsi="Times New Roman" w:cs="Times New Roman"/>
          <w:sz w:val="24"/>
          <w:szCs w:val="24"/>
        </w:rPr>
        <w:t>utinkamos RKF</w:t>
      </w:r>
      <w:r w:rsidRPr="00EC1AB2">
        <w:rPr>
          <w:rFonts w:ascii="Times New Roman" w:hAnsi="Times New Roman" w:cs="Times New Roman"/>
          <w:sz w:val="24"/>
          <w:szCs w:val="24"/>
        </w:rPr>
        <w:t xml:space="preserve"> koncepcijos, analizuojami pagrindiniai veiklos bruožai bei aptariamas teisinis regla</w:t>
      </w:r>
      <w:r w:rsidR="00E55AF9" w:rsidRPr="00EC1AB2">
        <w:rPr>
          <w:rFonts w:ascii="Times New Roman" w:hAnsi="Times New Roman" w:cs="Times New Roman"/>
          <w:sz w:val="24"/>
          <w:szCs w:val="24"/>
        </w:rPr>
        <w:t>mentavimas tiek ES</w:t>
      </w:r>
      <w:r w:rsidRPr="00EC1AB2">
        <w:rPr>
          <w:rFonts w:ascii="Times New Roman" w:hAnsi="Times New Roman" w:cs="Times New Roman"/>
          <w:sz w:val="24"/>
          <w:szCs w:val="24"/>
        </w:rPr>
        <w:t>, tiek nacionaliniu lygiu, na</w:t>
      </w:r>
      <w:r w:rsidR="00E55AF9" w:rsidRPr="00EC1AB2">
        <w:rPr>
          <w:rFonts w:ascii="Times New Roman" w:hAnsi="Times New Roman" w:cs="Times New Roman"/>
          <w:sz w:val="24"/>
          <w:szCs w:val="24"/>
        </w:rPr>
        <w:t>grinėjama RKF</w:t>
      </w:r>
      <w:r w:rsidRPr="00EC1AB2">
        <w:rPr>
          <w:rFonts w:ascii="Times New Roman" w:hAnsi="Times New Roman" w:cs="Times New Roman"/>
          <w:sz w:val="24"/>
          <w:szCs w:val="24"/>
        </w:rPr>
        <w:t xml:space="preserve"> įtaka šalies ekonomikai bei, remiantis įvairių autorių nuomone, išskiriamos sąlygos</w:t>
      </w:r>
      <w:r w:rsidR="00E55AF9" w:rsidRPr="00EC1AB2">
        <w:rPr>
          <w:rFonts w:ascii="Times New Roman" w:hAnsi="Times New Roman" w:cs="Times New Roman"/>
          <w:sz w:val="24"/>
          <w:szCs w:val="24"/>
        </w:rPr>
        <w:t>, būtinos RKF</w:t>
      </w:r>
      <w:r w:rsidRPr="00EC1AB2">
        <w:rPr>
          <w:rFonts w:ascii="Times New Roman" w:hAnsi="Times New Roman" w:cs="Times New Roman"/>
          <w:sz w:val="24"/>
          <w:szCs w:val="24"/>
        </w:rPr>
        <w:t xml:space="preserve"> vystymuisi.</w:t>
      </w:r>
    </w:p>
    <w:p w:rsidR="007915D7" w:rsidRPr="00EC1AB2" w:rsidRDefault="007915D7" w:rsidP="007A02A8">
      <w:pPr>
        <w:spacing w:after="0" w:line="360" w:lineRule="auto"/>
        <w:rPr>
          <w:rFonts w:ascii="Times New Roman" w:hAnsi="Times New Roman" w:cs="Times New Roman"/>
          <w:b/>
          <w:sz w:val="24"/>
          <w:szCs w:val="24"/>
        </w:rPr>
      </w:pPr>
    </w:p>
    <w:p w:rsidR="007915D7" w:rsidRPr="00EC1AB2" w:rsidRDefault="001F798C" w:rsidP="007A02A8">
      <w:pPr>
        <w:pStyle w:val="Heading2"/>
        <w:numPr>
          <w:ilvl w:val="1"/>
          <w:numId w:val="22"/>
        </w:numPr>
        <w:tabs>
          <w:tab w:val="left" w:pos="2835"/>
        </w:tabs>
        <w:spacing w:before="0" w:after="0" w:line="360" w:lineRule="auto"/>
        <w:jc w:val="both"/>
        <w:rPr>
          <w:i w:val="0"/>
          <w:sz w:val="24"/>
          <w:szCs w:val="24"/>
        </w:rPr>
      </w:pPr>
      <w:bookmarkStart w:id="30" w:name="_Toc320566992"/>
      <w:bookmarkStart w:id="31" w:name="_Toc320567032"/>
      <w:bookmarkStart w:id="32" w:name="_Toc320567178"/>
      <w:bookmarkStart w:id="33" w:name="_Toc320761762"/>
      <w:bookmarkStart w:id="34" w:name="_Toc320761904"/>
      <w:bookmarkStart w:id="35" w:name="_Toc320762139"/>
      <w:bookmarkStart w:id="36" w:name="_Toc320762541"/>
      <w:bookmarkStart w:id="37" w:name="_Toc321092695"/>
      <w:r w:rsidRPr="00EC1AB2">
        <w:rPr>
          <w:i w:val="0"/>
          <w:sz w:val="24"/>
          <w:szCs w:val="24"/>
        </w:rPr>
        <w:t>Rizikos kapitalo fondų</w:t>
      </w:r>
      <w:r w:rsidR="007915D7" w:rsidRPr="00EC1AB2">
        <w:rPr>
          <w:i w:val="0"/>
          <w:sz w:val="24"/>
          <w:szCs w:val="24"/>
        </w:rPr>
        <w:t xml:space="preserve"> </w:t>
      </w:r>
      <w:bookmarkEnd w:id="30"/>
      <w:bookmarkEnd w:id="31"/>
      <w:bookmarkEnd w:id="32"/>
      <w:bookmarkEnd w:id="33"/>
      <w:bookmarkEnd w:id="34"/>
      <w:bookmarkEnd w:id="35"/>
      <w:bookmarkEnd w:id="36"/>
      <w:r w:rsidR="00C90C4F" w:rsidRPr="00EC1AB2">
        <w:rPr>
          <w:i w:val="0"/>
          <w:sz w:val="24"/>
          <w:szCs w:val="24"/>
        </w:rPr>
        <w:t>koncepcija</w:t>
      </w:r>
      <w:bookmarkEnd w:id="37"/>
    </w:p>
    <w:p w:rsidR="007915D7" w:rsidRPr="00EC1AB2" w:rsidRDefault="007915D7" w:rsidP="007A02A8">
      <w:pPr>
        <w:spacing w:after="0" w:line="360" w:lineRule="auto"/>
        <w:ind w:left="1080"/>
        <w:rPr>
          <w:rFonts w:ascii="Times New Roman" w:hAnsi="Times New Roman" w:cs="Times New Roman"/>
          <w:b/>
          <w:sz w:val="24"/>
          <w:szCs w:val="24"/>
        </w:rPr>
      </w:pPr>
    </w:p>
    <w:p w:rsidR="0002135C" w:rsidRPr="00EC1AB2" w:rsidRDefault="00E55AF9"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RKF</w:t>
      </w:r>
      <w:r w:rsidR="007915D7" w:rsidRPr="00EC1AB2">
        <w:rPr>
          <w:rFonts w:ascii="Times New Roman" w:hAnsi="Times New Roman" w:cs="Times New Roman"/>
          <w:sz w:val="24"/>
          <w:szCs w:val="24"/>
        </w:rPr>
        <w:t xml:space="preserve"> ( angl. venture ca</w:t>
      </w:r>
      <w:r w:rsidRPr="00EC1AB2">
        <w:rPr>
          <w:rFonts w:ascii="Times New Roman" w:hAnsi="Times New Roman" w:cs="Times New Roman"/>
          <w:sz w:val="24"/>
          <w:szCs w:val="24"/>
        </w:rPr>
        <w:t>pital funds)  atsirado JAV Didžiosios depresijos laikais</w:t>
      </w:r>
      <w:r w:rsidR="007915D7" w:rsidRPr="00EC1AB2">
        <w:rPr>
          <w:rFonts w:ascii="Times New Roman" w:hAnsi="Times New Roman" w:cs="Times New Roman"/>
          <w:sz w:val="24"/>
          <w:szCs w:val="24"/>
        </w:rPr>
        <w:t xml:space="preserve">. Praėjus keliems dešimtmečiams rizikos kapitalo investicijos pasiekė Didžiąją Britaniją ir Airiją, o kontinentinėje Europoje šie alternatyvaus investavimo fondai pradėjo vystytis tik 1980 metais (Pukthuanthong, Walker, 2007).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Literatūroje galima sutikti įvairių rizikos kapitalo fondų koncepcijų. Kai kurie autoriai kalbėdami apie alternatyvaus investavimo fondu</w:t>
      </w:r>
      <w:r w:rsidR="006825C3" w:rsidRPr="00EC1AB2">
        <w:rPr>
          <w:rFonts w:ascii="Times New Roman" w:hAnsi="Times New Roman" w:cs="Times New Roman"/>
          <w:sz w:val="24"/>
          <w:szCs w:val="24"/>
        </w:rPr>
        <w:t>s, RKF</w:t>
      </w:r>
      <w:r w:rsidRPr="00EC1AB2">
        <w:rPr>
          <w:rFonts w:ascii="Times New Roman" w:hAnsi="Times New Roman" w:cs="Times New Roman"/>
          <w:sz w:val="24"/>
          <w:szCs w:val="24"/>
        </w:rPr>
        <w:t xml:space="preserve"> tapatina su privataus kapitalo fondais. Vieni iš jų, Bance (2004) bei Hsu, Kinney (2004). Kaip minėta, šie auto</w:t>
      </w:r>
      <w:r w:rsidR="006825C3" w:rsidRPr="00EC1AB2">
        <w:rPr>
          <w:rFonts w:ascii="Times New Roman" w:hAnsi="Times New Roman" w:cs="Times New Roman"/>
          <w:sz w:val="24"/>
          <w:szCs w:val="24"/>
        </w:rPr>
        <w:t>riai nepabrėžia RKF</w:t>
      </w:r>
      <w:r w:rsidRPr="00EC1AB2">
        <w:rPr>
          <w:rFonts w:ascii="Times New Roman" w:hAnsi="Times New Roman" w:cs="Times New Roman"/>
          <w:sz w:val="24"/>
          <w:szCs w:val="24"/>
        </w:rPr>
        <w:t xml:space="preserve"> bei privataus kapitalo fondų skirtumų, priešingai, apibūdina juos remdamiesi šių fondų panašumais: investavimu į nelistinguojamų įmonių akcijas, investavimu į įmonės plėtrą bei siekį gauti didelį pelną iš fondo portfelio įmonių pardavimo.</w:t>
      </w:r>
    </w:p>
    <w:p w:rsidR="007915D7" w:rsidRPr="00EC1AB2" w:rsidRDefault="007915D7" w:rsidP="00A1234D">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Pransky (2008) teigia, kad privatus, kitaip rizikos, kapitalas investuojamas į įmones, kurių numanoma plėtra per penkerius ar septynerius metus gali duoti didelę investicijų grąžą. Taigi, kaip matyti Pransky galima priskirti prie autorių grupės, kurie rizikos kapitalo nenurodo, kaip atskiros privataus kapitalo rūšies. </w:t>
      </w:r>
      <w:r w:rsidR="00A1234D"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Sebroeck (2000) rizikos kapitalą taip pat naudoja kaip privataus kapitalo sinonimą, teigdamas, kad rizikos kapitalas investuojamas visose įmonės gyvavimo stadijose.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Anot Hogan, Hartson (2001), galima pastebėti, jog dažniausiai Europoje rizikos kapitalo ir privataus kapitalo fondai naudojami kaip sinonimai, apibūdinant juos kaip alternatyvaus investavimo fondus, kurie lėšas investuoja į pradinį įmonės kapitalą, verslo vystymą ankstyvoje įmonės gyvavimo stadijoje arba verslo plėtrą, naudodami MBO (angl. management buyout) – valdymo teisę suteikiančios kapitalo dalies išpirkimą, kitaip sakant, įmonės steigėjų/vadovų refinansavimą, ir MBI (angl. management buyin) – naujų įmonės vadovų, kurie anksčiau nebuvo susiję su įmone finansavimą, t.y. valdymo perėmimą. </w:t>
      </w:r>
    </w:p>
    <w:p w:rsidR="006825C3"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Terminologijos skirtumai atskiruose žemynuose išnagrinėti Europos privataus ir rizikos kapitalo asociacijos sudarytos Alternatyvių investicijų ekspertų grupės atliktame tyrime 2006 m. Kaip teigiama ataskaitoje </w:t>
      </w:r>
      <w:r w:rsidRPr="00EC1AB2">
        <w:rPr>
          <w:rFonts w:ascii="Times New Roman" w:hAnsi="Times New Roman" w:cs="Times New Roman"/>
          <w:i/>
          <w:sz w:val="24"/>
          <w:szCs w:val="24"/>
        </w:rPr>
        <w:t>Developing European private equity</w:t>
      </w:r>
      <w:r w:rsidRPr="00EC1AB2">
        <w:rPr>
          <w:rFonts w:ascii="Times New Roman" w:hAnsi="Times New Roman" w:cs="Times New Roman"/>
          <w:sz w:val="24"/>
          <w:szCs w:val="24"/>
        </w:rPr>
        <w:t>, Europoje rizikos kapitalas priskiriamas privataus kapitalo grupei, o JAV jis apibūdinamas kaip atskira kapitalo rūšis (žr. 1 lent.).</w:t>
      </w:r>
    </w:p>
    <w:p w:rsidR="007915D7" w:rsidRPr="00EC1AB2" w:rsidRDefault="007915D7" w:rsidP="007A02A8">
      <w:pPr>
        <w:pStyle w:val="Heading4"/>
        <w:spacing w:before="0" w:line="360" w:lineRule="auto"/>
        <w:jc w:val="center"/>
        <w:rPr>
          <w:rFonts w:ascii="Times New Roman" w:hAnsi="Times New Roman" w:cs="Times New Roman"/>
          <w:b w:val="0"/>
          <w:i w:val="0"/>
          <w:color w:val="auto"/>
          <w:sz w:val="24"/>
          <w:szCs w:val="24"/>
        </w:rPr>
      </w:pPr>
      <w:bookmarkStart w:id="38" w:name="_Toc320567179"/>
      <w:bookmarkStart w:id="39" w:name="_Toc320759765"/>
      <w:bookmarkStart w:id="40" w:name="_Toc320761905"/>
      <w:bookmarkStart w:id="41" w:name="_Toc320762140"/>
      <w:bookmarkStart w:id="42" w:name="_Toc320762542"/>
      <w:r w:rsidRPr="00EC1AB2">
        <w:rPr>
          <w:rFonts w:ascii="Times New Roman" w:hAnsi="Times New Roman" w:cs="Times New Roman"/>
          <w:b w:val="0"/>
          <w:i w:val="0"/>
          <w:color w:val="auto"/>
          <w:sz w:val="24"/>
          <w:szCs w:val="24"/>
        </w:rPr>
        <w:lastRenderedPageBreak/>
        <w:t xml:space="preserve">1 lentelė. </w:t>
      </w:r>
      <w:r w:rsidR="001F798C" w:rsidRPr="00EC1AB2">
        <w:rPr>
          <w:rFonts w:ascii="Times New Roman" w:hAnsi="Times New Roman" w:cs="Times New Roman"/>
          <w:i w:val="0"/>
          <w:color w:val="auto"/>
          <w:sz w:val="24"/>
          <w:szCs w:val="24"/>
        </w:rPr>
        <w:t>Rizikos kapitalo t</w:t>
      </w:r>
      <w:r w:rsidRPr="00EC1AB2">
        <w:rPr>
          <w:rFonts w:ascii="Times New Roman" w:hAnsi="Times New Roman" w:cs="Times New Roman"/>
          <w:i w:val="0"/>
          <w:color w:val="auto"/>
          <w:sz w:val="24"/>
          <w:szCs w:val="24"/>
        </w:rPr>
        <w:t>erminologijos skirtumai Europoje bei JAV</w:t>
      </w:r>
      <w:bookmarkEnd w:id="38"/>
      <w:bookmarkEnd w:id="39"/>
      <w:bookmarkEnd w:id="40"/>
      <w:bookmarkEnd w:id="41"/>
      <w:bookmarkEnd w:id="42"/>
    </w:p>
    <w:p w:rsidR="007915D7" w:rsidRPr="00EC1AB2" w:rsidRDefault="007915D7" w:rsidP="007A02A8">
      <w:pPr>
        <w:pStyle w:val="Heading4"/>
        <w:spacing w:before="0" w:line="360" w:lineRule="auto"/>
        <w:jc w:val="center"/>
        <w:rPr>
          <w:rFonts w:ascii="Times New Roman" w:hAnsi="Times New Roman" w:cs="Times New Roman"/>
          <w:b w:val="0"/>
          <w:i w:val="0"/>
          <w:sz w:val="24"/>
          <w:szCs w:val="24"/>
        </w:rPr>
      </w:pPr>
    </w:p>
    <w:tbl>
      <w:tblPr>
        <w:tblW w:w="8649" w:type="dxa"/>
        <w:jc w:val="center"/>
        <w:tblInd w:w="252" w:type="dxa"/>
        <w:tblBorders>
          <w:top w:val="single" w:sz="12" w:space="0" w:color="215868"/>
          <w:left w:val="single" w:sz="12" w:space="0" w:color="215868"/>
          <w:bottom w:val="single" w:sz="12" w:space="0" w:color="215868"/>
          <w:right w:val="single" w:sz="12" w:space="0" w:color="215868"/>
          <w:insideH w:val="single" w:sz="8" w:space="0" w:color="215868"/>
          <w:insideV w:val="single" w:sz="8" w:space="0" w:color="215868"/>
        </w:tblBorders>
        <w:tblLook w:val="04A0" w:firstRow="1" w:lastRow="0" w:firstColumn="1" w:lastColumn="0" w:noHBand="0" w:noVBand="1"/>
      </w:tblPr>
      <w:tblGrid>
        <w:gridCol w:w="1308"/>
        <w:gridCol w:w="2693"/>
        <w:gridCol w:w="2126"/>
        <w:gridCol w:w="2522"/>
      </w:tblGrid>
      <w:tr w:rsidR="00F25E1F" w:rsidRPr="00EC1AB2" w:rsidTr="007F68B0">
        <w:trPr>
          <w:jc w:val="center"/>
        </w:trPr>
        <w:tc>
          <w:tcPr>
            <w:tcW w:w="1308" w:type="dxa"/>
            <w:shd w:val="clear" w:color="auto" w:fill="FFFFFF"/>
          </w:tcPr>
          <w:p w:rsidR="007915D7" w:rsidRPr="00EC1AB2" w:rsidRDefault="007915D7" w:rsidP="007A02A8">
            <w:pPr>
              <w:tabs>
                <w:tab w:val="center" w:pos="4844"/>
                <w:tab w:val="right" w:pos="9689"/>
              </w:tabs>
              <w:spacing w:after="0" w:line="360" w:lineRule="auto"/>
              <w:rPr>
                <w:rFonts w:ascii="Times New Roman" w:hAnsi="Times New Roman" w:cs="Times New Roman"/>
                <w:b/>
                <w:bCs/>
                <w:sz w:val="24"/>
                <w:szCs w:val="24"/>
              </w:rPr>
            </w:pPr>
          </w:p>
        </w:tc>
        <w:tc>
          <w:tcPr>
            <w:tcW w:w="7341" w:type="dxa"/>
            <w:gridSpan w:val="3"/>
            <w:shd w:val="clear" w:color="auto" w:fill="D9D9D9" w:themeFill="background1" w:themeFillShade="D9"/>
            <w:vAlign w:val="center"/>
          </w:tcPr>
          <w:p w:rsidR="007915D7" w:rsidRPr="00EC1AB2" w:rsidRDefault="007915D7" w:rsidP="007A02A8">
            <w:pPr>
              <w:spacing w:after="0" w:line="360" w:lineRule="auto"/>
              <w:jc w:val="center"/>
              <w:rPr>
                <w:rFonts w:ascii="Times New Roman" w:hAnsi="Times New Roman" w:cs="Times New Roman"/>
                <w:b/>
                <w:bCs/>
                <w:sz w:val="24"/>
                <w:szCs w:val="24"/>
              </w:rPr>
            </w:pPr>
            <w:r w:rsidRPr="00EC1AB2">
              <w:rPr>
                <w:rFonts w:ascii="Times New Roman" w:hAnsi="Times New Roman" w:cs="Times New Roman"/>
                <w:b/>
                <w:bCs/>
                <w:sz w:val="24"/>
                <w:szCs w:val="24"/>
              </w:rPr>
              <w:t>Privataus kapitalo rinka</w:t>
            </w:r>
          </w:p>
        </w:tc>
      </w:tr>
      <w:tr w:rsidR="00F25E1F" w:rsidRPr="00EC1AB2" w:rsidTr="00F3420B">
        <w:trPr>
          <w:trHeight w:val="601"/>
          <w:jc w:val="center"/>
        </w:trPr>
        <w:tc>
          <w:tcPr>
            <w:tcW w:w="1308" w:type="dxa"/>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b/>
                <w:bCs/>
                <w:sz w:val="24"/>
                <w:szCs w:val="24"/>
              </w:rPr>
            </w:pPr>
            <w:r w:rsidRPr="00EC1AB2">
              <w:rPr>
                <w:rFonts w:ascii="Times New Roman" w:hAnsi="Times New Roman" w:cs="Times New Roman"/>
                <w:b/>
                <w:bCs/>
                <w:sz w:val="24"/>
                <w:szCs w:val="24"/>
              </w:rPr>
              <w:t>Europa</w:t>
            </w:r>
          </w:p>
        </w:tc>
        <w:tc>
          <w:tcPr>
            <w:tcW w:w="2693" w:type="dxa"/>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i/>
                <w:sz w:val="24"/>
                <w:szCs w:val="24"/>
              </w:rPr>
            </w:pPr>
            <w:r w:rsidRPr="00EC1AB2">
              <w:rPr>
                <w:rFonts w:ascii="Times New Roman" w:hAnsi="Times New Roman" w:cs="Times New Roman"/>
                <w:i/>
                <w:sz w:val="24"/>
                <w:szCs w:val="24"/>
              </w:rPr>
              <w:t>Rizikos kapitalas</w:t>
            </w:r>
          </w:p>
        </w:tc>
        <w:tc>
          <w:tcPr>
            <w:tcW w:w="2126" w:type="dxa"/>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i/>
                <w:sz w:val="24"/>
                <w:szCs w:val="24"/>
              </w:rPr>
            </w:pPr>
            <w:r w:rsidRPr="00EC1AB2">
              <w:rPr>
                <w:rFonts w:ascii="Times New Roman" w:hAnsi="Times New Roman" w:cs="Times New Roman"/>
                <w:i/>
                <w:sz w:val="24"/>
                <w:szCs w:val="24"/>
              </w:rPr>
              <w:t>Plėtros kapitalas</w:t>
            </w:r>
          </w:p>
        </w:tc>
        <w:tc>
          <w:tcPr>
            <w:tcW w:w="2522" w:type="dxa"/>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i/>
                <w:sz w:val="24"/>
                <w:szCs w:val="24"/>
              </w:rPr>
            </w:pPr>
            <w:r w:rsidRPr="00EC1AB2">
              <w:rPr>
                <w:rFonts w:ascii="Times New Roman" w:hAnsi="Times New Roman" w:cs="Times New Roman"/>
                <w:i/>
                <w:sz w:val="24"/>
                <w:szCs w:val="24"/>
              </w:rPr>
              <w:t>Išpirkimai</w:t>
            </w:r>
          </w:p>
        </w:tc>
      </w:tr>
      <w:tr w:rsidR="00F25E1F" w:rsidRPr="00EC1AB2" w:rsidTr="00F3420B">
        <w:trPr>
          <w:trHeight w:val="411"/>
          <w:jc w:val="center"/>
        </w:trPr>
        <w:tc>
          <w:tcPr>
            <w:tcW w:w="1308" w:type="dxa"/>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b/>
                <w:bCs/>
                <w:sz w:val="24"/>
                <w:szCs w:val="24"/>
              </w:rPr>
            </w:pPr>
            <w:r w:rsidRPr="00EC1AB2">
              <w:rPr>
                <w:rFonts w:ascii="Times New Roman" w:hAnsi="Times New Roman" w:cs="Times New Roman"/>
                <w:b/>
                <w:bCs/>
                <w:sz w:val="24"/>
                <w:szCs w:val="24"/>
              </w:rPr>
              <w:t>JAV</w:t>
            </w:r>
          </w:p>
        </w:tc>
        <w:tc>
          <w:tcPr>
            <w:tcW w:w="4819" w:type="dxa"/>
            <w:gridSpan w:val="2"/>
            <w:shd w:val="clear" w:color="auto" w:fill="FFFFFF"/>
            <w:vAlign w:val="center"/>
          </w:tcPr>
          <w:p w:rsidR="007915D7" w:rsidRPr="00EC1AB2" w:rsidRDefault="007915D7" w:rsidP="007A02A8">
            <w:pPr>
              <w:tabs>
                <w:tab w:val="center" w:pos="4844"/>
                <w:tab w:val="right" w:pos="9689"/>
              </w:tabs>
              <w:spacing w:after="0" w:line="360" w:lineRule="auto"/>
              <w:jc w:val="center"/>
              <w:rPr>
                <w:rFonts w:ascii="Times New Roman" w:hAnsi="Times New Roman" w:cs="Times New Roman"/>
                <w:i/>
                <w:sz w:val="24"/>
                <w:szCs w:val="24"/>
              </w:rPr>
            </w:pPr>
            <w:r w:rsidRPr="00EC1AB2">
              <w:rPr>
                <w:rFonts w:ascii="Times New Roman" w:hAnsi="Times New Roman" w:cs="Times New Roman"/>
                <w:i/>
                <w:sz w:val="24"/>
                <w:szCs w:val="24"/>
              </w:rPr>
              <w:t>Rizikos kapitalas</w:t>
            </w:r>
          </w:p>
        </w:tc>
        <w:tc>
          <w:tcPr>
            <w:tcW w:w="2522" w:type="dxa"/>
            <w:shd w:val="clear" w:color="auto" w:fill="FFFFFF"/>
          </w:tcPr>
          <w:p w:rsidR="007915D7" w:rsidRPr="00EC1AB2" w:rsidRDefault="007915D7" w:rsidP="007A02A8">
            <w:pPr>
              <w:spacing w:after="0" w:line="360" w:lineRule="auto"/>
              <w:rPr>
                <w:rFonts w:ascii="Times New Roman" w:hAnsi="Times New Roman" w:cs="Times New Roman"/>
                <w:b/>
                <w:i/>
                <w:sz w:val="24"/>
                <w:szCs w:val="24"/>
              </w:rPr>
            </w:pPr>
            <w:r w:rsidRPr="00EC1AB2">
              <w:rPr>
                <w:rFonts w:ascii="Times New Roman" w:hAnsi="Times New Roman" w:cs="Times New Roman"/>
                <w:i/>
                <w:sz w:val="24"/>
                <w:szCs w:val="24"/>
              </w:rPr>
              <w:t>Privatus kapitalas</w:t>
            </w:r>
          </w:p>
        </w:tc>
      </w:tr>
    </w:tbl>
    <w:p w:rsidR="007915D7" w:rsidRPr="00EC1AB2" w:rsidRDefault="007915D7" w:rsidP="007A02A8">
      <w:pPr>
        <w:spacing w:after="0" w:line="360" w:lineRule="auto"/>
        <w:jc w:val="both"/>
        <w:rPr>
          <w:rFonts w:ascii="Times New Roman" w:hAnsi="Times New Roman" w:cs="Times New Roman"/>
          <w:sz w:val="24"/>
          <w:szCs w:val="24"/>
        </w:rPr>
      </w:pPr>
    </w:p>
    <w:p w:rsidR="007915D7" w:rsidRPr="00EC1AB2" w:rsidRDefault="007915D7" w:rsidP="007A02A8">
      <w:pPr>
        <w:spacing w:after="0" w:line="360" w:lineRule="auto"/>
        <w:ind w:left="720" w:firstLine="360"/>
        <w:jc w:val="both"/>
        <w:rPr>
          <w:rFonts w:ascii="Times New Roman" w:hAnsi="Times New Roman" w:cs="Times New Roman"/>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Alternatyvių investicijų ekspertų grupė (2006)</w:t>
      </w:r>
    </w:p>
    <w:p w:rsidR="007915D7" w:rsidRPr="00EC1AB2" w:rsidRDefault="007915D7" w:rsidP="007A02A8">
      <w:pPr>
        <w:spacing w:after="0" w:line="360" w:lineRule="auto"/>
        <w:ind w:left="720" w:firstLine="360"/>
        <w:jc w:val="both"/>
        <w:rPr>
          <w:rFonts w:ascii="Times New Roman" w:hAnsi="Times New Roman" w:cs="Times New Roman"/>
          <w:sz w:val="20"/>
          <w:szCs w:val="20"/>
        </w:rPr>
      </w:pP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iš 1 lent. Europoje privataus kapitalo rinkai priskiriamas rizikos kapitalas, plėtros kapitalas ir išpirkimai, tuo tarpu JAV rizikos kapitalo grupę sudaro ne tik rizikos kapitalas, kaip jis suprantamas Europoje, bet ir plėtros kapitalas, o privačiam kapitalui priskiriami tik išpirkimai.</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Taigi, </w:t>
      </w:r>
      <w:r w:rsidRPr="00EC1AB2">
        <w:rPr>
          <w:rFonts w:ascii="Times New Roman" w:hAnsi="Times New Roman" w:cs="Times New Roman"/>
          <w:b/>
          <w:sz w:val="24"/>
          <w:szCs w:val="24"/>
        </w:rPr>
        <w:t>rizikos kapitalas</w:t>
      </w:r>
      <w:r w:rsidRPr="00EC1AB2">
        <w:rPr>
          <w:rFonts w:ascii="Times New Roman" w:hAnsi="Times New Roman" w:cs="Times New Roman"/>
          <w:sz w:val="24"/>
          <w:szCs w:val="24"/>
        </w:rPr>
        <w:t>, kaip jis suprantamas Europos žemyne,</w:t>
      </w:r>
      <w:r w:rsidRPr="00EC1AB2">
        <w:rPr>
          <w:rFonts w:ascii="Times New Roman" w:hAnsi="Times New Roman" w:cs="Times New Roman"/>
          <w:b/>
          <w:sz w:val="24"/>
          <w:szCs w:val="24"/>
        </w:rPr>
        <w:t xml:space="preserve"> </w:t>
      </w:r>
      <w:r w:rsidRPr="00EC1AB2">
        <w:rPr>
          <w:rFonts w:ascii="Times New Roman" w:hAnsi="Times New Roman" w:cs="Times New Roman"/>
          <w:sz w:val="24"/>
          <w:szCs w:val="24"/>
        </w:rPr>
        <w:t>investuojamas į neseniai įkurtas, rizikingas, tačiau perspektyvias įmones. Jis svarbus vertės kūrimo procese, nes teikia pradinį kapitalą steigiamoms įmonėms arba vystančioms savo veiklą ankstyvoje plėtros stadijoje, kitaip sakant, rizikos kapitalas susijęs su įmonių, pasižyminčių dideliu augimo potencialu ankstyvuoju augimo laikotarpiu, nuosavo kapitalo finansavimu.</w:t>
      </w:r>
    </w:p>
    <w:p w:rsidR="007915D7" w:rsidRPr="00EC1AB2" w:rsidRDefault="007915D7" w:rsidP="007A02A8">
      <w:pPr>
        <w:pStyle w:val="Default"/>
        <w:spacing w:line="360" w:lineRule="auto"/>
        <w:ind w:firstLine="567"/>
        <w:jc w:val="both"/>
        <w:rPr>
          <w:color w:val="auto"/>
          <w:lang w:val="lt-LT"/>
        </w:rPr>
      </w:pPr>
      <w:r w:rsidRPr="00EC1AB2">
        <w:rPr>
          <w:color w:val="auto"/>
          <w:lang w:val="lt-LT"/>
        </w:rPr>
        <w:t xml:space="preserve">Anot Schertler (2000), rizikos kapitalas yra būtinas mažoms ir jaunoms įmonėms, kurios turi didelį augimo potencialą, bet negali savo veiklos finansuoti pasitelkus tradicinius skolinimosi instrumentus. Pagrindinė jaunų įmonių finansinių lėšų trūkumo priežastis yra ta, jog tradiciniai skolinimosi instrumentai, kuriuos siūlo kredito įstaigos, yra lengviau prieinami ilgesnį laikotarpį veikiančioms, turinčioms patikimą veiklos istoriją ir stabilioms įmonėms, o kapitalo rinkos dažniausiai yra prieinamos tik stambioms akcinėms bendrovėms.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Didžioji dalis rizikos kapitalo investuojama į sektorius, susijusius su naujosiomis technologijomis, t.y. bioinžineriją, biomediciną, naująsias informacines bei komunikacines technologijas, sveikatos priežiūrą, elektroniką bei kitas inovatyvias sritis, nes rizikos kapitalo investuotojai siekia prisiimti didesnę riziką už didesnį nei vidutinis pelnas iš investuoto nuosavo kapitalo (Alternatyvių investicijų ekspertų grupė, 2006).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Reikia paminėti, kad esant rizikos kapitalo investicijoms, investuotojai įsitraukia į įmonės valdymą, jos strategijos kūrimą, pagrindinių darbuotojų priėmimą, inicijuoja ir vadovauja papildomų finansinių išteklių gavimui, taip pat dažnai atstovauja įmonei ir veda derybas su didesnėmis, ilgesnį laikotarpį veikiančiomis įmonėmis (Sebroeck, 2000). Vėlesnėje plėtros stadijoje, kitaip sakant augimo etape, įmonė finansuojama </w:t>
      </w:r>
      <w:r w:rsidRPr="00EC1AB2">
        <w:rPr>
          <w:rFonts w:ascii="Times New Roman" w:hAnsi="Times New Roman" w:cs="Times New Roman"/>
          <w:b/>
          <w:sz w:val="24"/>
          <w:szCs w:val="24"/>
        </w:rPr>
        <w:t xml:space="preserve">plėtros kapitalu. </w:t>
      </w:r>
      <w:r w:rsidRPr="00EC1AB2">
        <w:rPr>
          <w:rFonts w:ascii="Times New Roman" w:hAnsi="Times New Roman" w:cs="Times New Roman"/>
          <w:sz w:val="24"/>
          <w:szCs w:val="24"/>
        </w:rPr>
        <w:t xml:space="preserve">Plėtros kapitalo investuotojai siekia įsigyti pelningai veikiančių įmonių akcijų. Taigi šiuo atveju investicijų objektu tampa įmonės, turinčios augimo profilį, kuomet reikalinga jų finansinės struktūros konsolidacija, pavyzdžiui, naujų produktų ar paslaugų vystymas, dukterinės įmonės užsienyje steigimas, įsigijimo atveju arba tiesiog didinant gamybinius </w:t>
      </w:r>
      <w:r w:rsidRPr="00EC1AB2">
        <w:rPr>
          <w:rFonts w:ascii="Times New Roman" w:hAnsi="Times New Roman" w:cs="Times New Roman"/>
          <w:sz w:val="24"/>
          <w:szCs w:val="24"/>
        </w:rPr>
        <w:lastRenderedPageBreak/>
        <w:t xml:space="preserve">pajėgumus (Alternatyvių investicijų ekspertų grupė, 2006). Praėjus dvejiems metams po tyrimo Europos rizikos ir privataus kapitalo asociacija plėtros kapitalą išskyrė į dar į dvi dalis – </w:t>
      </w:r>
      <w:r w:rsidRPr="00EC1AB2">
        <w:rPr>
          <w:rFonts w:ascii="Times New Roman" w:hAnsi="Times New Roman" w:cs="Times New Roman"/>
          <w:b/>
          <w:sz w:val="24"/>
          <w:szCs w:val="24"/>
        </w:rPr>
        <w:t>vėlyvos stadijos</w:t>
      </w:r>
      <w:r w:rsidRPr="00EC1AB2">
        <w:rPr>
          <w:rFonts w:ascii="Times New Roman" w:hAnsi="Times New Roman" w:cs="Times New Roman"/>
          <w:sz w:val="24"/>
          <w:szCs w:val="24"/>
        </w:rPr>
        <w:t xml:space="preserve"> </w:t>
      </w:r>
      <w:r w:rsidRPr="00EC1AB2">
        <w:rPr>
          <w:rFonts w:ascii="Times New Roman" w:hAnsi="Times New Roman" w:cs="Times New Roman"/>
          <w:b/>
          <w:sz w:val="24"/>
          <w:szCs w:val="24"/>
        </w:rPr>
        <w:t>kapitalą</w:t>
      </w:r>
      <w:r w:rsidRPr="00EC1AB2">
        <w:rPr>
          <w:rFonts w:ascii="Times New Roman" w:hAnsi="Times New Roman" w:cs="Times New Roman"/>
          <w:sz w:val="24"/>
          <w:szCs w:val="24"/>
        </w:rPr>
        <w:t xml:space="preserve"> ir </w:t>
      </w:r>
      <w:r w:rsidRPr="00EC1AB2">
        <w:rPr>
          <w:rFonts w:ascii="Times New Roman" w:hAnsi="Times New Roman" w:cs="Times New Roman"/>
          <w:b/>
          <w:sz w:val="24"/>
          <w:szCs w:val="24"/>
        </w:rPr>
        <w:t>augimo kapitalą</w:t>
      </w:r>
      <w:r w:rsidRPr="00EC1AB2">
        <w:rPr>
          <w:rFonts w:ascii="Times New Roman" w:hAnsi="Times New Roman" w:cs="Times New Roman"/>
          <w:sz w:val="24"/>
          <w:szCs w:val="24"/>
        </w:rPr>
        <w:t xml:space="preserve">. Pirmoji dalis priskirta prie rizikos kapitalo, o antroji jau prie išpirkimo kapitalo. </w:t>
      </w:r>
    </w:p>
    <w:p w:rsidR="007915D7" w:rsidRPr="00EC1AB2" w:rsidRDefault="007915D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Išpirkimai</w:t>
      </w:r>
      <w:r w:rsidRPr="00EC1AB2">
        <w:rPr>
          <w:rFonts w:ascii="Times New Roman" w:hAnsi="Times New Roman" w:cs="Times New Roman"/>
          <w:sz w:val="24"/>
          <w:szCs w:val="24"/>
        </w:rPr>
        <w:t xml:space="preserve"> (MBO ir MBI) tiek JAV, tiek Europoje priskiriami privačiam kapitalui. Kaip teigia Simons ir Renneboog (2005), MBO (angl. management buyout) – procesas, kurio metu įmonės vadovybė, su privataus kapitalo fondo finansavimu, perima įmonės akcijų kontrolinį paketą. Pažymėtina, kad tokiu atveju įmonės vadovybė turi visą reikiamą informaciją apie įmonę, kuri būtina užtikrinant kapitalo grąžos augimą. Įmonės akcijų išpirkimas leidžia vadovams įgyvendinti savo strategiją, be to vadovams tapus akcininkais sumažėja atstovavimo kaštai (angl. agency costs), kurie atsiranda dėl savininko ir valdytojo interesų galimo nesutapimo. JAV įmonės vadovybei išperkant įmonės akcijas, yra reikalaujama, kad bent du investiciniai bankai pateiktų savo nuomonę, ar siūloma kaina už akcijas atitinka realią įmonės vertę. Taip siekiama išvengti galimų vėlesnių ieškinių teismuose, dėl specialiai nenaudingų įmonei vadovybės sprendimų, dirbtinai mažinant įmonės akcijų vertę iki išpirkimo proceso. MBI (angl. management buyin) – įmonės perėmimas į procesą įtraukiant vadovų komandą iš išorės. Nupirkus įmonę naujai suformuota vadovų komanda perima visą įmonės valdymą. Ši išpirkimo rūšis skiriasi nuo anksčiau minėtos tuo, kad MBO atveju vadovų komanda jau dirba įmonėje, kai tuo tarpu MBI atveju komanda ateina iš išorės. MBI išpirkimams paprastai ieškoma įmonių, kurios atsilieka nuo rinkos konkurentų dėl silpnos ir nekompetentingos įmonės vadovybės, todėl šie perėmimai dažnai yra priešiški ir vykdomi be esamos vadovybės sutikimo.</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Priežastys lemiančios išpirkimą dažniausiai yra grynųjų pinigų trūkumas įmonėje, bendros strategijos tarp akcininkų nebuvimas, vadovaujančių asmenų noras perimti įmonės nuosavybės teises bei daryti lemiamą įtaką strategijai ir tikslams. Paminėtina, kad prieši</w:t>
      </w:r>
      <w:r w:rsidR="006E744C" w:rsidRPr="00EC1AB2">
        <w:rPr>
          <w:rFonts w:ascii="Times New Roman" w:hAnsi="Times New Roman" w:cs="Times New Roman"/>
          <w:sz w:val="24"/>
          <w:szCs w:val="24"/>
        </w:rPr>
        <w:t>ngai nei RKF</w:t>
      </w:r>
      <w:r w:rsidRPr="00EC1AB2">
        <w:rPr>
          <w:rFonts w:ascii="Times New Roman" w:hAnsi="Times New Roman" w:cs="Times New Roman"/>
          <w:sz w:val="24"/>
          <w:szCs w:val="24"/>
        </w:rPr>
        <w:t xml:space="preserve">, privataus kapitalo (išpirkimo) fondai nesispecializuoja tam tikroje pramonės šakoje, tačiau atskirų fondų valdytojai dažniausiai išpirkimams pasirenka tuos sektorius, kuriuose turi daugiausiai patirties (Alternatyvių investicijų ekspertų grupė, 2006).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Lietuvių autoriai nagrinėdami inovatyvių įmonių finansavimą, nurodo skirtingus finansavimo šaltinius skirtingose įmonių veiklos stadijose (žr. 1 pav.).</w:t>
      </w:r>
    </w:p>
    <w:p w:rsidR="006E744C" w:rsidRPr="00EC1AB2" w:rsidRDefault="006E744C" w:rsidP="007A02A8">
      <w:pPr>
        <w:spacing w:after="0" w:line="360" w:lineRule="auto"/>
        <w:ind w:firstLine="720"/>
        <w:jc w:val="both"/>
        <w:rPr>
          <w:rFonts w:ascii="Times New Roman" w:hAnsi="Times New Roman" w:cs="Times New Roman"/>
          <w:sz w:val="24"/>
          <w:szCs w:val="24"/>
        </w:rPr>
      </w:pPr>
    </w:p>
    <w:p w:rsidR="006E744C" w:rsidRPr="00EC1AB2" w:rsidRDefault="006E744C" w:rsidP="007A02A8">
      <w:pPr>
        <w:spacing w:after="0" w:line="360" w:lineRule="auto"/>
        <w:ind w:firstLine="720"/>
        <w:jc w:val="both"/>
        <w:rPr>
          <w:rFonts w:ascii="Times New Roman" w:hAnsi="Times New Roman" w:cs="Times New Roman"/>
          <w:sz w:val="24"/>
          <w:szCs w:val="24"/>
        </w:rPr>
      </w:pPr>
    </w:p>
    <w:p w:rsidR="006E744C" w:rsidRPr="00EC1AB2" w:rsidRDefault="006E744C" w:rsidP="007A02A8">
      <w:pPr>
        <w:spacing w:after="0" w:line="360" w:lineRule="auto"/>
        <w:ind w:firstLine="720"/>
        <w:jc w:val="both"/>
        <w:rPr>
          <w:rFonts w:ascii="Times New Roman" w:hAnsi="Times New Roman" w:cs="Times New Roman"/>
          <w:sz w:val="24"/>
          <w:szCs w:val="24"/>
        </w:rPr>
      </w:pPr>
    </w:p>
    <w:p w:rsidR="006E744C" w:rsidRPr="00EC1AB2" w:rsidRDefault="006E744C" w:rsidP="007A02A8">
      <w:pPr>
        <w:spacing w:after="0" w:line="360" w:lineRule="auto"/>
        <w:ind w:firstLine="720"/>
        <w:jc w:val="both"/>
        <w:rPr>
          <w:rFonts w:ascii="Times New Roman" w:hAnsi="Times New Roman" w:cs="Times New Roman"/>
          <w:sz w:val="24"/>
          <w:szCs w:val="24"/>
        </w:rPr>
      </w:pPr>
    </w:p>
    <w:p w:rsidR="007915D7" w:rsidRPr="00EC1AB2" w:rsidRDefault="007915D7" w:rsidP="007A02A8">
      <w:pPr>
        <w:spacing w:after="0" w:line="360" w:lineRule="auto"/>
        <w:jc w:val="both"/>
        <w:rPr>
          <w:rFonts w:ascii="Times New Roman" w:hAnsi="Times New Roman" w:cs="Times New Roman"/>
          <w:sz w:val="24"/>
          <w:szCs w:val="24"/>
        </w:rPr>
      </w:pPr>
    </w:p>
    <w:p w:rsidR="007915D7" w:rsidRPr="00EC1AB2" w:rsidRDefault="007915D7" w:rsidP="007A02A8">
      <w:pPr>
        <w:spacing w:after="0" w:line="360" w:lineRule="auto"/>
        <w:ind w:left="720" w:firstLine="360"/>
        <w:jc w:val="center"/>
        <w:rPr>
          <w:rFonts w:ascii="Times New Roman" w:hAnsi="Times New Roman" w:cs="Times New Roman"/>
          <w:sz w:val="24"/>
          <w:szCs w:val="24"/>
        </w:rPr>
      </w:pPr>
      <w:r w:rsidRPr="00EC1AB2">
        <w:rPr>
          <w:rFonts w:ascii="Times New Roman" w:hAnsi="Times New Roman" w:cs="Times New Roman"/>
          <w:noProof/>
          <w:sz w:val="24"/>
          <w:szCs w:val="24"/>
          <w:lang w:eastAsia="lt-LT"/>
        </w:rPr>
        <w:lastRenderedPageBreak/>
        <w:drawing>
          <wp:inline distT="0" distB="0" distL="0" distR="0" wp14:anchorId="423878A1" wp14:editId="0B788C30">
            <wp:extent cx="4391025" cy="3994150"/>
            <wp:effectExtent l="0" t="0" r="9525"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3994150"/>
                    </a:xfrm>
                    <a:prstGeom prst="rect">
                      <a:avLst/>
                    </a:prstGeom>
                    <a:noFill/>
                    <a:ln>
                      <a:noFill/>
                    </a:ln>
                  </pic:spPr>
                </pic:pic>
              </a:graphicData>
            </a:graphic>
          </wp:inline>
        </w:drawing>
      </w:r>
    </w:p>
    <w:p w:rsidR="006E744C" w:rsidRPr="00EC1AB2" w:rsidRDefault="006E744C" w:rsidP="007A02A8">
      <w:pPr>
        <w:spacing w:after="0" w:line="360" w:lineRule="auto"/>
        <w:ind w:left="720" w:firstLine="360"/>
        <w:rPr>
          <w:rFonts w:ascii="Times New Roman" w:hAnsi="Times New Roman" w:cs="Times New Roman"/>
          <w:b/>
          <w:sz w:val="20"/>
          <w:szCs w:val="20"/>
        </w:rPr>
      </w:pPr>
    </w:p>
    <w:p w:rsidR="007915D7" w:rsidRPr="00EC1AB2" w:rsidRDefault="007915D7" w:rsidP="007A02A8">
      <w:pPr>
        <w:spacing w:after="0" w:line="360" w:lineRule="auto"/>
        <w:ind w:left="720" w:firstLine="360"/>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Strazdas ir kt. (2003)</w:t>
      </w:r>
    </w:p>
    <w:p w:rsidR="007915D7" w:rsidRPr="00EC1AB2" w:rsidRDefault="007915D7" w:rsidP="007A02A8">
      <w:pPr>
        <w:pStyle w:val="Heading5"/>
        <w:spacing w:before="0" w:line="360" w:lineRule="auto"/>
        <w:jc w:val="center"/>
        <w:rPr>
          <w:rFonts w:ascii="Times New Roman" w:hAnsi="Times New Roman" w:cs="Times New Roman"/>
          <w:b/>
          <w:color w:val="auto"/>
          <w:sz w:val="24"/>
          <w:szCs w:val="24"/>
        </w:rPr>
      </w:pPr>
      <w:bookmarkStart w:id="43" w:name="_Toc320761906"/>
      <w:bookmarkStart w:id="44" w:name="_Toc320762141"/>
      <w:bookmarkStart w:id="45" w:name="_Toc320762543"/>
      <w:r w:rsidRPr="00EC1AB2">
        <w:rPr>
          <w:rFonts w:ascii="Times New Roman" w:hAnsi="Times New Roman" w:cs="Times New Roman"/>
          <w:color w:val="auto"/>
          <w:sz w:val="24"/>
          <w:szCs w:val="24"/>
        </w:rPr>
        <w:t xml:space="preserve">1 pav. </w:t>
      </w:r>
      <w:r w:rsidRPr="00EC1AB2">
        <w:rPr>
          <w:rFonts w:ascii="Times New Roman" w:hAnsi="Times New Roman" w:cs="Times New Roman"/>
          <w:b/>
          <w:color w:val="auto"/>
          <w:sz w:val="24"/>
          <w:szCs w:val="24"/>
        </w:rPr>
        <w:t>Įmonės veiklos etapai ir finansavimo šaltiniai</w:t>
      </w:r>
      <w:bookmarkEnd w:id="43"/>
      <w:bookmarkEnd w:id="44"/>
      <w:bookmarkEnd w:id="45"/>
    </w:p>
    <w:p w:rsidR="007915D7" w:rsidRPr="00EC1AB2" w:rsidRDefault="007915D7" w:rsidP="007A02A8">
      <w:pPr>
        <w:pStyle w:val="Heading5"/>
        <w:spacing w:before="0" w:line="360" w:lineRule="auto"/>
        <w:jc w:val="center"/>
        <w:rPr>
          <w:rFonts w:ascii="Times New Roman" w:hAnsi="Times New Roman" w:cs="Times New Roman"/>
          <w:b/>
          <w:color w:val="auto"/>
          <w:sz w:val="24"/>
          <w:szCs w:val="24"/>
        </w:rPr>
      </w:pP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Anot Strazdo ir kt. (2003), į įmonės sėjos etapą gali investuoti patys steigėjai arba verslo angelai – turtingi fiziniai asmenys, patyrę antrepreneriai, pasirengę panaudoti savo turimas lėšas rizikingoms investicijoms bei perduoti įmonei savo žinias ir patirtį. Jie kapitalą investuoja, įsigydami įmonės akcijų ir patys asmeniškai įsitraukia į investuojamą verslą (European Business Angels Network, 2010). Įmonės ankstyvos plėtros etape, kuomet reikalingos lėšos pradėti komercinę gamybą ir produkto pardavimą pagrindiniai investuot</w:t>
      </w:r>
      <w:r w:rsidR="004540BB" w:rsidRPr="00EC1AB2">
        <w:rPr>
          <w:rFonts w:ascii="Times New Roman" w:hAnsi="Times New Roman" w:cs="Times New Roman"/>
          <w:sz w:val="24"/>
          <w:szCs w:val="24"/>
        </w:rPr>
        <w:t>ojai yra RKF</w:t>
      </w:r>
      <w:r w:rsidRPr="00EC1AB2">
        <w:rPr>
          <w:rFonts w:ascii="Times New Roman" w:hAnsi="Times New Roman" w:cs="Times New Roman"/>
          <w:sz w:val="24"/>
          <w:szCs w:val="24"/>
        </w:rPr>
        <w:t>, tačiau pradinių investicijų atveju, bendra apimtimi finansavimas iš verslo angelų yra d</w:t>
      </w:r>
      <w:r w:rsidR="004540BB" w:rsidRPr="00EC1AB2">
        <w:rPr>
          <w:rFonts w:ascii="Times New Roman" w:hAnsi="Times New Roman" w:cs="Times New Roman"/>
          <w:sz w:val="24"/>
          <w:szCs w:val="24"/>
        </w:rPr>
        <w:t>idesnis nei iš RKF</w:t>
      </w:r>
      <w:r w:rsidRPr="00EC1AB2">
        <w:rPr>
          <w:rFonts w:ascii="Times New Roman" w:hAnsi="Times New Roman" w:cs="Times New Roman"/>
          <w:sz w:val="24"/>
          <w:szCs w:val="24"/>
        </w:rPr>
        <w:t>. Kaip teigia Strazdas ir kt.</w:t>
      </w:r>
      <w:r w:rsidR="004540BB" w:rsidRPr="00EC1AB2">
        <w:rPr>
          <w:rFonts w:ascii="Times New Roman" w:hAnsi="Times New Roman" w:cs="Times New Roman"/>
          <w:sz w:val="24"/>
          <w:szCs w:val="24"/>
        </w:rPr>
        <w:t xml:space="preserve"> (2003), RKF</w:t>
      </w:r>
      <w:r w:rsidRPr="00EC1AB2">
        <w:rPr>
          <w:rFonts w:ascii="Times New Roman" w:hAnsi="Times New Roman" w:cs="Times New Roman"/>
          <w:sz w:val="24"/>
          <w:szCs w:val="24"/>
        </w:rPr>
        <w:t xml:space="preserve"> orientuojasi į mažas ir vidutines įmones, kurios kuria naujas technologijas, įvedinėja naujus produktus į rinką, ar net kuria visiškai naujus rinkos segmentus. Jie siekia pelningai parduoti fondo investicijas strateginiams investuotojams, savininkams arba atliekant pirminį viešąjį pasiūlymą akcijų biržoje ( IPO – angl.Initial Price Offering), kai įmonė pasiekia reikalaujamus rezultatus.</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Įmonei pasiekus ank</w:t>
      </w:r>
      <w:r w:rsidR="004540BB" w:rsidRPr="00EC1AB2">
        <w:rPr>
          <w:rFonts w:ascii="Times New Roman" w:hAnsi="Times New Roman" w:cs="Times New Roman"/>
          <w:sz w:val="24"/>
          <w:szCs w:val="24"/>
        </w:rPr>
        <w:t>s</w:t>
      </w:r>
      <w:r w:rsidRPr="00EC1AB2">
        <w:rPr>
          <w:rFonts w:ascii="Times New Roman" w:hAnsi="Times New Roman" w:cs="Times New Roman"/>
          <w:sz w:val="24"/>
          <w:szCs w:val="24"/>
        </w:rPr>
        <w:t>tyvosios plėtros etapo pabaigą</w:t>
      </w:r>
      <w:r w:rsidR="004540BB" w:rsidRPr="00EC1AB2">
        <w:rPr>
          <w:rFonts w:ascii="Times New Roman" w:hAnsi="Times New Roman" w:cs="Times New Roman"/>
          <w:sz w:val="24"/>
          <w:szCs w:val="24"/>
        </w:rPr>
        <w:t>,</w:t>
      </w:r>
      <w:r w:rsidRPr="00EC1AB2">
        <w:rPr>
          <w:rFonts w:ascii="Times New Roman" w:hAnsi="Times New Roman" w:cs="Times New Roman"/>
          <w:sz w:val="24"/>
          <w:szCs w:val="24"/>
        </w:rPr>
        <w:t xml:space="preserve"> bankai taip pat gali tapti finansavimo  šaltiniais, teikdami įprastas bankininkystės paslaugas: čekius, kredito perviršio paslaugas ir kt. Įmonės savininkai gali tikėtis finansavimo iš šių institu</w:t>
      </w:r>
      <w:r w:rsidR="004540BB" w:rsidRPr="00EC1AB2">
        <w:rPr>
          <w:rFonts w:ascii="Times New Roman" w:hAnsi="Times New Roman" w:cs="Times New Roman"/>
          <w:sz w:val="24"/>
          <w:szCs w:val="24"/>
        </w:rPr>
        <w:t>cijų  tik vėlyvosios plėtros sta</w:t>
      </w:r>
      <w:r w:rsidRPr="00EC1AB2">
        <w:rPr>
          <w:rFonts w:ascii="Times New Roman" w:hAnsi="Times New Roman" w:cs="Times New Roman"/>
          <w:sz w:val="24"/>
          <w:szCs w:val="24"/>
        </w:rPr>
        <w:t xml:space="preserve">dijoje, kuomet įmonė pradeda augti stabiliai.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Kaip matyti, Lietuvių autoriai, tyrinėję rizikos kapitalo fondus, t.y. Strazdas ir kt. laikosi Europos žemyne paplitusios terminologijos ir rizikos kapitalą, nurodo, kaip privataus kapitalo rūšį, kuri investuojama į įmonės veiklos pradžią bei ankstyvą plėtrą. Šiame d</w:t>
      </w:r>
      <w:r w:rsidR="004540BB" w:rsidRPr="00EC1AB2">
        <w:rPr>
          <w:rFonts w:ascii="Times New Roman" w:hAnsi="Times New Roman" w:cs="Times New Roman"/>
          <w:sz w:val="24"/>
          <w:szCs w:val="24"/>
        </w:rPr>
        <w:t>ar</w:t>
      </w:r>
      <w:r w:rsidRPr="00EC1AB2">
        <w:rPr>
          <w:rFonts w:ascii="Times New Roman" w:hAnsi="Times New Roman" w:cs="Times New Roman"/>
          <w:sz w:val="24"/>
          <w:szCs w:val="24"/>
        </w:rPr>
        <w:t>be bus laikomasi europietiško požiūrio į rizikos kapitalą.</w:t>
      </w:r>
    </w:p>
    <w:p w:rsidR="007915D7" w:rsidRPr="00EC1AB2" w:rsidRDefault="007915D7" w:rsidP="007A02A8">
      <w:pPr>
        <w:spacing w:after="0" w:line="360" w:lineRule="auto"/>
        <w:jc w:val="both"/>
        <w:rPr>
          <w:rFonts w:ascii="Times New Roman" w:hAnsi="Times New Roman" w:cs="Times New Roman"/>
          <w:sz w:val="24"/>
          <w:szCs w:val="24"/>
        </w:rPr>
      </w:pPr>
    </w:p>
    <w:p w:rsidR="007915D7" w:rsidRPr="00EC1AB2" w:rsidRDefault="00837DED" w:rsidP="007A02A8">
      <w:pPr>
        <w:pStyle w:val="Heading2"/>
        <w:numPr>
          <w:ilvl w:val="1"/>
          <w:numId w:val="22"/>
        </w:numPr>
        <w:spacing w:before="0" w:after="0" w:line="360" w:lineRule="auto"/>
        <w:jc w:val="both"/>
        <w:rPr>
          <w:i w:val="0"/>
          <w:sz w:val="24"/>
          <w:szCs w:val="24"/>
        </w:rPr>
      </w:pPr>
      <w:bookmarkStart w:id="46" w:name="_Toc320566993"/>
      <w:bookmarkStart w:id="47" w:name="_Toc320567033"/>
      <w:bookmarkStart w:id="48" w:name="_Toc320567180"/>
      <w:bookmarkStart w:id="49" w:name="_Toc320761763"/>
      <w:bookmarkStart w:id="50" w:name="_Toc320761907"/>
      <w:bookmarkStart w:id="51" w:name="_Toc320762142"/>
      <w:bookmarkStart w:id="52" w:name="_Toc320762544"/>
      <w:bookmarkStart w:id="53" w:name="_Toc321092696"/>
      <w:r w:rsidRPr="00EC1AB2">
        <w:rPr>
          <w:i w:val="0"/>
          <w:sz w:val="24"/>
          <w:szCs w:val="24"/>
        </w:rPr>
        <w:t>Pagrindiniai rizikos kapitalo fondų</w:t>
      </w:r>
      <w:r w:rsidR="007915D7" w:rsidRPr="00EC1AB2">
        <w:rPr>
          <w:i w:val="0"/>
          <w:sz w:val="24"/>
          <w:szCs w:val="24"/>
        </w:rPr>
        <w:t xml:space="preserve"> veiklos bruožai bei teisinis reglamentavimas</w:t>
      </w:r>
      <w:bookmarkEnd w:id="46"/>
      <w:bookmarkEnd w:id="47"/>
      <w:bookmarkEnd w:id="48"/>
      <w:bookmarkEnd w:id="49"/>
      <w:bookmarkEnd w:id="50"/>
      <w:bookmarkEnd w:id="51"/>
      <w:bookmarkEnd w:id="52"/>
      <w:bookmarkEnd w:id="53"/>
    </w:p>
    <w:p w:rsidR="007915D7" w:rsidRPr="00EC1AB2" w:rsidRDefault="007915D7" w:rsidP="007A02A8">
      <w:pPr>
        <w:pStyle w:val="Heading2"/>
        <w:spacing w:before="0" w:after="0" w:line="360" w:lineRule="auto"/>
        <w:jc w:val="center"/>
        <w:rPr>
          <w:i w:val="0"/>
          <w:sz w:val="28"/>
          <w:szCs w:val="28"/>
        </w:rPr>
      </w:pPr>
    </w:p>
    <w:p w:rsidR="007915D7" w:rsidRPr="00EC1AB2" w:rsidRDefault="0075367B" w:rsidP="007A02A8">
      <w:pPr>
        <w:spacing w:after="0" w:line="360" w:lineRule="auto"/>
        <w:ind w:firstLine="567"/>
        <w:jc w:val="both"/>
        <w:textAlignment w:val="baseline"/>
        <w:rPr>
          <w:rFonts w:ascii="Times New Roman" w:hAnsi="Times New Roman" w:cs="Times New Roman"/>
          <w:sz w:val="24"/>
          <w:szCs w:val="24"/>
        </w:rPr>
      </w:pPr>
      <w:r w:rsidRPr="00EC1AB2">
        <w:rPr>
          <w:rFonts w:ascii="Times New Roman" w:hAnsi="Times New Roman" w:cs="Times New Roman"/>
          <w:sz w:val="24"/>
          <w:szCs w:val="24"/>
        </w:rPr>
        <w:t>RKF</w:t>
      </w:r>
      <w:r w:rsidR="007915D7" w:rsidRPr="00EC1AB2">
        <w:rPr>
          <w:rFonts w:ascii="Times New Roman" w:hAnsi="Times New Roman" w:cs="Times New Roman"/>
          <w:sz w:val="24"/>
          <w:szCs w:val="24"/>
        </w:rPr>
        <w:t xml:space="preserve"> – </w:t>
      </w:r>
      <w:r w:rsidR="007915D7" w:rsidRPr="00EC1AB2">
        <w:rPr>
          <w:rFonts w:ascii="Times New Roman" w:eastAsia="+mn-ea" w:hAnsi="Times New Roman" w:cs="Times New Roman"/>
          <w:sz w:val="24"/>
          <w:szCs w:val="24"/>
        </w:rPr>
        <w:t xml:space="preserve">investiciniai fondai, įsteigti profesionalių rizikos kapitalo investuotojų, daugiausiai investuojantys į nelistinguojamas, o kartais ir į naujai kuriamas įmones pagal iš anksto patvirtintas fondo investavimo taisykles, </w:t>
      </w:r>
      <w:r w:rsidR="007915D7" w:rsidRPr="00EC1AB2">
        <w:rPr>
          <w:rFonts w:ascii="Times New Roman" w:hAnsi="Times New Roman" w:cs="Times New Roman"/>
          <w:sz w:val="24"/>
          <w:szCs w:val="24"/>
        </w:rPr>
        <w:t xml:space="preserve">organizuojami pagal vienodą visame pasaulyje paplitusią struktūrą (žr. 2 pav.) . </w:t>
      </w:r>
    </w:p>
    <w:p w:rsidR="0075367B" w:rsidRPr="00EC1AB2" w:rsidRDefault="0075367B" w:rsidP="007A02A8">
      <w:pPr>
        <w:spacing w:after="0" w:line="360" w:lineRule="auto"/>
        <w:ind w:firstLine="720"/>
        <w:jc w:val="both"/>
        <w:textAlignment w:val="baseline"/>
        <w:rPr>
          <w:rFonts w:ascii="Times New Roman" w:hAnsi="Times New Roman" w:cs="Times New Roman"/>
          <w:sz w:val="24"/>
          <w:szCs w:val="24"/>
        </w:rPr>
      </w:pPr>
      <w:r w:rsidRPr="00EC1AB2">
        <w:rPr>
          <w:rFonts w:ascii="Times New Roman" w:hAnsi="Times New Roman" w:cs="Times New Roman"/>
          <w:noProof/>
          <w:sz w:val="24"/>
          <w:szCs w:val="24"/>
          <w:lang w:eastAsia="lt-LT"/>
        </w:rPr>
        <w:drawing>
          <wp:anchor distT="0" distB="0" distL="114300" distR="114300" simplePos="0" relativeHeight="251856896" behindDoc="1" locked="0" layoutInCell="1" allowOverlap="1" wp14:anchorId="2AA6BCCB" wp14:editId="59A589CB">
            <wp:simplePos x="0" y="0"/>
            <wp:positionH relativeFrom="column">
              <wp:posOffset>355600</wp:posOffset>
            </wp:positionH>
            <wp:positionV relativeFrom="paragraph">
              <wp:posOffset>250825</wp:posOffset>
            </wp:positionV>
            <wp:extent cx="5820410" cy="3400425"/>
            <wp:effectExtent l="0" t="0" r="8890" b="9525"/>
            <wp:wrapTight wrapText="bothSides">
              <wp:wrapPolygon edited="0">
                <wp:start x="0" y="0"/>
                <wp:lineTo x="0" y="21539"/>
                <wp:lineTo x="21562" y="21539"/>
                <wp:lineTo x="21562"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0410"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67B" w:rsidRPr="00EC1AB2" w:rsidRDefault="0075367B" w:rsidP="007A02A8">
      <w:pPr>
        <w:spacing w:after="0" w:line="360" w:lineRule="auto"/>
        <w:ind w:firstLine="720"/>
        <w:jc w:val="both"/>
        <w:textAlignment w:val="baseline"/>
        <w:rPr>
          <w:rFonts w:ascii="Times New Roman" w:eastAsia="+mn-ea" w:hAnsi="Times New Roman" w:cs="Times New Roman"/>
          <w:sz w:val="24"/>
          <w:szCs w:val="24"/>
        </w:rPr>
      </w:pPr>
    </w:p>
    <w:p w:rsidR="007915D7" w:rsidRPr="00EC1AB2" w:rsidRDefault="007915D7" w:rsidP="007A02A8">
      <w:pPr>
        <w:pStyle w:val="ListParagraph"/>
        <w:spacing w:after="0" w:line="360" w:lineRule="auto"/>
        <w:ind w:firstLine="360"/>
        <w:jc w:val="both"/>
        <w:textAlignment w:val="baseline"/>
        <w:rPr>
          <w:rFonts w:ascii="Times New Roman" w:hAnsi="Times New Roman" w:cs="Times New Roman"/>
          <w:sz w:val="24"/>
          <w:szCs w:val="24"/>
        </w:rPr>
      </w:pPr>
    </w:p>
    <w:p w:rsidR="007915D7" w:rsidRPr="00EC1AB2" w:rsidRDefault="007915D7" w:rsidP="007A02A8">
      <w:pPr>
        <w:spacing w:after="0" w:line="360" w:lineRule="auto"/>
        <w:ind w:left="720" w:firstLine="720"/>
        <w:jc w:val="both"/>
        <w:rPr>
          <w:rFonts w:ascii="Times New Roman" w:hAnsi="Times New Roman" w:cs="Times New Roman"/>
          <w:sz w:val="24"/>
          <w:szCs w:val="24"/>
        </w:rPr>
      </w:pPr>
    </w:p>
    <w:p w:rsidR="007915D7" w:rsidRPr="00EC1AB2" w:rsidRDefault="007915D7"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9E5D76" w:rsidRPr="00EC1AB2" w:rsidRDefault="009E5D76" w:rsidP="007A02A8">
      <w:pPr>
        <w:spacing w:after="0" w:line="360" w:lineRule="auto"/>
        <w:ind w:left="720" w:firstLine="720"/>
        <w:jc w:val="center"/>
        <w:rPr>
          <w:rFonts w:ascii="Times New Roman" w:hAnsi="Times New Roman" w:cs="Times New Roman"/>
          <w:sz w:val="24"/>
          <w:szCs w:val="24"/>
        </w:rPr>
      </w:pPr>
    </w:p>
    <w:p w:rsidR="0075367B" w:rsidRPr="00EC1AB2" w:rsidRDefault="0075367B" w:rsidP="007A02A8">
      <w:pPr>
        <w:spacing w:after="0" w:line="360" w:lineRule="auto"/>
        <w:ind w:left="720" w:firstLine="720"/>
        <w:jc w:val="both"/>
        <w:rPr>
          <w:rFonts w:ascii="Times New Roman" w:hAnsi="Times New Roman" w:cs="Times New Roman"/>
          <w:b/>
          <w:sz w:val="20"/>
          <w:szCs w:val="20"/>
        </w:rPr>
      </w:pPr>
    </w:p>
    <w:p w:rsidR="0075367B" w:rsidRPr="00EC1AB2" w:rsidRDefault="0075367B" w:rsidP="007A02A8">
      <w:pPr>
        <w:spacing w:after="0" w:line="360" w:lineRule="auto"/>
        <w:ind w:left="720" w:firstLine="720"/>
        <w:jc w:val="both"/>
        <w:rPr>
          <w:rFonts w:ascii="Times New Roman" w:hAnsi="Times New Roman" w:cs="Times New Roman"/>
          <w:b/>
          <w:sz w:val="20"/>
          <w:szCs w:val="20"/>
        </w:rPr>
      </w:pPr>
    </w:p>
    <w:p w:rsidR="0075367B" w:rsidRPr="00EC1AB2" w:rsidRDefault="0075367B" w:rsidP="007A02A8">
      <w:pPr>
        <w:spacing w:after="0" w:line="360" w:lineRule="auto"/>
        <w:ind w:left="720" w:firstLine="720"/>
        <w:jc w:val="both"/>
        <w:rPr>
          <w:rFonts w:ascii="Times New Roman" w:hAnsi="Times New Roman" w:cs="Times New Roman"/>
          <w:b/>
          <w:sz w:val="20"/>
          <w:szCs w:val="20"/>
        </w:rPr>
      </w:pPr>
    </w:p>
    <w:p w:rsidR="0075367B" w:rsidRPr="00EC1AB2" w:rsidRDefault="0075367B" w:rsidP="007A02A8">
      <w:pPr>
        <w:spacing w:after="0" w:line="360" w:lineRule="auto"/>
        <w:ind w:left="720" w:firstLine="720"/>
        <w:jc w:val="both"/>
        <w:rPr>
          <w:rFonts w:ascii="Times New Roman" w:hAnsi="Times New Roman" w:cs="Times New Roman"/>
          <w:b/>
          <w:sz w:val="20"/>
          <w:szCs w:val="20"/>
        </w:rPr>
      </w:pPr>
    </w:p>
    <w:p w:rsidR="0075367B" w:rsidRPr="00EC1AB2" w:rsidRDefault="0075367B" w:rsidP="007A02A8">
      <w:pPr>
        <w:spacing w:after="0" w:line="360" w:lineRule="auto"/>
        <w:ind w:left="720" w:firstLine="720"/>
        <w:jc w:val="both"/>
        <w:rPr>
          <w:rFonts w:ascii="Times New Roman" w:hAnsi="Times New Roman" w:cs="Times New Roman"/>
          <w:b/>
          <w:sz w:val="20"/>
          <w:szCs w:val="20"/>
        </w:rPr>
      </w:pPr>
    </w:p>
    <w:p w:rsidR="007915D7" w:rsidRPr="00EC1AB2" w:rsidRDefault="007915D7" w:rsidP="007A02A8">
      <w:pPr>
        <w:spacing w:after="0" w:line="360" w:lineRule="auto"/>
        <w:ind w:left="720" w:firstLine="720"/>
        <w:jc w:val="both"/>
        <w:rPr>
          <w:rFonts w:ascii="Times New Roman" w:hAnsi="Times New Roman" w:cs="Times New Roman"/>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adaptuota pagal Rimą (2010)</w:t>
      </w:r>
    </w:p>
    <w:p w:rsidR="007915D7" w:rsidRPr="00EC1AB2" w:rsidRDefault="007915D7" w:rsidP="007A02A8">
      <w:pPr>
        <w:pStyle w:val="Heading5"/>
        <w:spacing w:before="0" w:line="360" w:lineRule="auto"/>
        <w:jc w:val="center"/>
        <w:rPr>
          <w:rFonts w:ascii="Times New Roman" w:hAnsi="Times New Roman" w:cs="Times New Roman"/>
          <w:b/>
          <w:color w:val="auto"/>
          <w:sz w:val="24"/>
          <w:szCs w:val="24"/>
        </w:rPr>
      </w:pPr>
      <w:bookmarkStart w:id="54" w:name="_Toc320761908"/>
      <w:bookmarkStart w:id="55" w:name="_Toc320762143"/>
      <w:bookmarkStart w:id="56" w:name="_Toc320762545"/>
      <w:r w:rsidRPr="00EC1AB2">
        <w:rPr>
          <w:rFonts w:ascii="Times New Roman" w:hAnsi="Times New Roman" w:cs="Times New Roman"/>
          <w:color w:val="auto"/>
          <w:sz w:val="24"/>
          <w:szCs w:val="24"/>
        </w:rPr>
        <w:t>2 pav.</w:t>
      </w:r>
      <w:r w:rsidRPr="00EC1AB2">
        <w:rPr>
          <w:rFonts w:ascii="Times New Roman" w:hAnsi="Times New Roman" w:cs="Times New Roman"/>
          <w:b/>
          <w:color w:val="auto"/>
          <w:sz w:val="24"/>
          <w:szCs w:val="24"/>
        </w:rPr>
        <w:t xml:space="preserve"> Rizikos kapitalo fondo struktūra</w:t>
      </w:r>
      <w:bookmarkEnd w:id="54"/>
      <w:bookmarkEnd w:id="55"/>
      <w:bookmarkEnd w:id="56"/>
    </w:p>
    <w:p w:rsidR="007915D7" w:rsidRPr="00EC1AB2" w:rsidRDefault="007915D7" w:rsidP="007A02A8">
      <w:pPr>
        <w:pStyle w:val="Heading5"/>
        <w:spacing w:before="0" w:line="360" w:lineRule="auto"/>
        <w:jc w:val="center"/>
        <w:rPr>
          <w:rFonts w:ascii="Times New Roman" w:hAnsi="Times New Roman" w:cs="Times New Roman"/>
          <w:b/>
          <w:color w:val="auto"/>
          <w:sz w:val="24"/>
          <w:szCs w:val="24"/>
        </w:rPr>
      </w:pPr>
    </w:p>
    <w:p w:rsidR="007915D7" w:rsidRPr="00EC1AB2" w:rsidRDefault="007915D7" w:rsidP="007A02A8">
      <w:pPr>
        <w:spacing w:after="0" w:line="360" w:lineRule="auto"/>
        <w:ind w:firstLine="567"/>
        <w:jc w:val="both"/>
        <w:rPr>
          <w:rFonts w:ascii="Times New Roman" w:hAnsi="Times New Roman" w:cs="Times New Roman"/>
          <w:bCs/>
          <w:sz w:val="24"/>
          <w:szCs w:val="24"/>
        </w:rPr>
      </w:pPr>
      <w:r w:rsidRPr="00EC1AB2">
        <w:rPr>
          <w:rFonts w:ascii="Times New Roman" w:hAnsi="Times New Roman" w:cs="Times New Roman"/>
          <w:sz w:val="24"/>
          <w:szCs w:val="24"/>
        </w:rPr>
        <w:t>Kaip matyti iš 2 pav. rizikos kapitalo fondo turtą sudaro investuotojų bei valdytojo (rizikos kapitalo v</w:t>
      </w:r>
      <w:r w:rsidR="0075367B" w:rsidRPr="00EC1AB2">
        <w:rPr>
          <w:rFonts w:ascii="Times New Roman" w:hAnsi="Times New Roman" w:cs="Times New Roman"/>
          <w:sz w:val="24"/>
          <w:szCs w:val="24"/>
        </w:rPr>
        <w:t>aldymo įmonės) įnašai. RKF inve</w:t>
      </w:r>
      <w:r w:rsidRPr="00EC1AB2">
        <w:rPr>
          <w:rFonts w:ascii="Times New Roman" w:hAnsi="Times New Roman" w:cs="Times New Roman"/>
          <w:sz w:val="24"/>
          <w:szCs w:val="24"/>
        </w:rPr>
        <w:t>stuotojus galima suskir</w:t>
      </w:r>
      <w:r w:rsidR="0075367B" w:rsidRPr="00EC1AB2">
        <w:rPr>
          <w:rFonts w:ascii="Times New Roman" w:hAnsi="Times New Roman" w:cs="Times New Roman"/>
          <w:sz w:val="24"/>
          <w:szCs w:val="24"/>
        </w:rPr>
        <w:t>s</w:t>
      </w:r>
      <w:r w:rsidRPr="00EC1AB2">
        <w:rPr>
          <w:rFonts w:ascii="Times New Roman" w:hAnsi="Times New Roman" w:cs="Times New Roman"/>
          <w:sz w:val="24"/>
          <w:szCs w:val="24"/>
        </w:rPr>
        <w:t xml:space="preserve">tyti į individualius (privačius asmenis) ir institucinius (draudimo įmonės, fondų fondai, pensijų fondai ir kt.). Paminėtina, kad valdytojas gali būti </w:t>
      </w:r>
      <w:r w:rsidRPr="00EC1AB2">
        <w:rPr>
          <w:rFonts w:ascii="Times New Roman" w:hAnsi="Times New Roman" w:cs="Times New Roman"/>
          <w:bCs/>
          <w:sz w:val="24"/>
          <w:szCs w:val="24"/>
        </w:rPr>
        <w:t>nepriklausomas</w:t>
      </w:r>
      <w:r w:rsidRPr="00EC1AB2">
        <w:rPr>
          <w:rFonts w:ascii="Times New Roman" w:hAnsi="Times New Roman" w:cs="Times New Roman"/>
          <w:sz w:val="24"/>
          <w:szCs w:val="24"/>
        </w:rPr>
        <w:t xml:space="preserve">, </w:t>
      </w:r>
      <w:r w:rsidRPr="00EC1AB2">
        <w:rPr>
          <w:rFonts w:ascii="Times New Roman" w:hAnsi="Times New Roman" w:cs="Times New Roman"/>
          <w:bCs/>
          <w:sz w:val="24"/>
          <w:szCs w:val="24"/>
        </w:rPr>
        <w:t xml:space="preserve">priklausomas arba pusiau priklausomas. „Priklausomi ir pusiau priklausomi valdytojai paprastai yra antrinės bankų ar kitų finansų įstaigų bendrovės, </w:t>
      </w:r>
      <w:r w:rsidRPr="00EC1AB2">
        <w:rPr>
          <w:rFonts w:ascii="Times New Roman" w:hAnsi="Times New Roman" w:cs="Times New Roman"/>
          <w:bCs/>
          <w:sz w:val="24"/>
          <w:szCs w:val="24"/>
        </w:rPr>
        <w:lastRenderedPageBreak/>
        <w:t>bendradarbiaujančios, atitinkamai, išimtinai su vienu ar su vienu dominuojančiu fondo investuotoju (t.y. valdančios savo pagrindinės bendrovės pateiktas lėšas)“ (Rimas, 2010, p. 56).</w:t>
      </w:r>
    </w:p>
    <w:p w:rsidR="007915D7" w:rsidRPr="00EC1AB2" w:rsidRDefault="0075367B" w:rsidP="007A02A8">
      <w:pPr>
        <w:autoSpaceDE w:val="0"/>
        <w:autoSpaceDN w:val="0"/>
        <w:adjustRightInd w:val="0"/>
        <w:spacing w:after="0" w:line="360" w:lineRule="auto"/>
        <w:ind w:firstLine="567"/>
        <w:jc w:val="both"/>
        <w:rPr>
          <w:rFonts w:ascii="Times New Roman" w:hAnsi="Times New Roman" w:cs="Times New Roman"/>
          <w:color w:val="0D0D0D" w:themeColor="text1" w:themeTint="F2"/>
          <w:sz w:val="24"/>
          <w:szCs w:val="24"/>
        </w:rPr>
      </w:pPr>
      <w:r w:rsidRPr="00EC1AB2">
        <w:rPr>
          <w:rFonts w:ascii="Times New Roman" w:hAnsi="Times New Roman" w:cs="Times New Roman"/>
          <w:sz w:val="24"/>
          <w:szCs w:val="24"/>
        </w:rPr>
        <w:t>Dažnai RKF</w:t>
      </w:r>
      <w:r w:rsidR="007915D7" w:rsidRPr="00EC1AB2">
        <w:rPr>
          <w:rFonts w:ascii="Times New Roman" w:hAnsi="Times New Roman" w:cs="Times New Roman"/>
          <w:sz w:val="24"/>
          <w:szCs w:val="24"/>
        </w:rPr>
        <w:t xml:space="preserve"> organizuojami komanditinės ūkinės bendrijos forma, kur inve</w:t>
      </w:r>
      <w:r w:rsidRPr="00EC1AB2">
        <w:rPr>
          <w:rFonts w:ascii="Times New Roman" w:hAnsi="Times New Roman" w:cs="Times New Roman"/>
          <w:sz w:val="24"/>
          <w:szCs w:val="24"/>
        </w:rPr>
        <w:t>st</w:t>
      </w:r>
      <w:r w:rsidR="007915D7" w:rsidRPr="00EC1AB2">
        <w:rPr>
          <w:rFonts w:ascii="Times New Roman" w:hAnsi="Times New Roman" w:cs="Times New Roman"/>
          <w:sz w:val="24"/>
          <w:szCs w:val="24"/>
        </w:rPr>
        <w:t xml:space="preserve">uotojai yra nariai komanditoriai, t.y. atsako tik savo įnašais, o rizikos kapitalo valdymo įmonė – tikrasis narys, rizikuojantis </w:t>
      </w:r>
      <w:r w:rsidR="006B35FC" w:rsidRPr="00EC1AB2">
        <w:rPr>
          <w:rFonts w:ascii="Times New Roman" w:hAnsi="Times New Roman" w:cs="Times New Roman"/>
          <w:sz w:val="24"/>
          <w:szCs w:val="24"/>
        </w:rPr>
        <w:t xml:space="preserve">visu savo turtu. </w:t>
      </w:r>
      <w:r w:rsidR="00285AFE" w:rsidRPr="00EC1AB2">
        <w:rPr>
          <w:rFonts w:ascii="Times New Roman" w:hAnsi="Times New Roman" w:cs="Times New Roman"/>
          <w:sz w:val="24"/>
          <w:szCs w:val="24"/>
        </w:rPr>
        <w:t xml:space="preserve">Kaip teigia Gompers, Lerner (2004), </w:t>
      </w:r>
      <w:r w:rsidR="007915D7" w:rsidRPr="00EC1AB2">
        <w:rPr>
          <w:rFonts w:ascii="Times New Roman" w:hAnsi="Times New Roman" w:cs="Times New Roman"/>
          <w:sz w:val="24"/>
          <w:szCs w:val="24"/>
        </w:rPr>
        <w:t xml:space="preserve">dažniausiai narių komanditorių įnašai sudaro 99 % fondo kapitalo, kai tuo tarpu valdymo įmonei priklauso tik 1 % kapitalo. </w:t>
      </w:r>
      <w:r w:rsidRPr="00EC1AB2">
        <w:rPr>
          <w:rFonts w:ascii="Times New Roman" w:eastAsia="+mn-ea" w:hAnsi="Times New Roman" w:cs="Times New Roman"/>
          <w:sz w:val="24"/>
          <w:szCs w:val="24"/>
        </w:rPr>
        <w:t xml:space="preserve">Rizikos kapitalo </w:t>
      </w:r>
      <w:r w:rsidR="006B35FC" w:rsidRPr="00EC1AB2">
        <w:rPr>
          <w:rFonts w:ascii="Times New Roman" w:eastAsia="+mn-ea" w:hAnsi="Times New Roman" w:cs="Times New Roman"/>
          <w:color w:val="0D0D0D" w:themeColor="text1" w:themeTint="F2"/>
          <w:sz w:val="24"/>
          <w:szCs w:val="24"/>
        </w:rPr>
        <w:t xml:space="preserve">valdymo </w:t>
      </w:r>
      <w:r w:rsidRPr="00EC1AB2">
        <w:rPr>
          <w:rFonts w:ascii="Times New Roman" w:eastAsia="+mn-ea" w:hAnsi="Times New Roman" w:cs="Times New Roman"/>
          <w:color w:val="0D0D0D" w:themeColor="text1" w:themeTint="F2"/>
          <w:sz w:val="24"/>
          <w:szCs w:val="24"/>
        </w:rPr>
        <w:t>įmonės</w:t>
      </w:r>
      <w:r w:rsidR="007915D7" w:rsidRPr="00EC1AB2">
        <w:rPr>
          <w:rFonts w:ascii="Times New Roman" w:eastAsia="+mn-ea" w:hAnsi="Times New Roman" w:cs="Times New Roman"/>
          <w:color w:val="0D0D0D" w:themeColor="text1" w:themeTint="F2"/>
          <w:sz w:val="24"/>
          <w:szCs w:val="24"/>
        </w:rPr>
        <w:t xml:space="preserve"> įnašas yra daugiau ne </w:t>
      </w:r>
      <w:r w:rsidR="00C63329" w:rsidRPr="00EC1AB2">
        <w:rPr>
          <w:rFonts w:ascii="Times New Roman" w:eastAsia="+mn-ea" w:hAnsi="Times New Roman" w:cs="Times New Roman"/>
          <w:color w:val="0D0D0D" w:themeColor="text1" w:themeTint="F2"/>
          <w:sz w:val="24"/>
          <w:szCs w:val="24"/>
        </w:rPr>
        <w:t>finansinis kapitalas, o intelekt</w:t>
      </w:r>
      <w:r w:rsidR="007915D7" w:rsidRPr="00EC1AB2">
        <w:rPr>
          <w:rFonts w:ascii="Times New Roman" w:eastAsia="+mn-ea" w:hAnsi="Times New Roman" w:cs="Times New Roman"/>
          <w:color w:val="0D0D0D" w:themeColor="text1" w:themeTint="F2"/>
          <w:sz w:val="24"/>
          <w:szCs w:val="24"/>
        </w:rPr>
        <w:t xml:space="preserve">inis. Ji taip pat atlieka fondo valdymo funkcijas: </w:t>
      </w:r>
    </w:p>
    <w:p w:rsidR="007915D7" w:rsidRPr="00EC1AB2" w:rsidRDefault="00C63329" w:rsidP="007A02A8">
      <w:pPr>
        <w:pStyle w:val="ListParagraph"/>
        <w:numPr>
          <w:ilvl w:val="0"/>
          <w:numId w:val="28"/>
        </w:numPr>
        <w:spacing w:after="0" w:line="360" w:lineRule="auto"/>
        <w:jc w:val="both"/>
        <w:textAlignment w:val="baseline"/>
        <w:rPr>
          <w:rFonts w:ascii="Times New Roman" w:hAnsi="Times New Roman" w:cs="Times New Roman"/>
          <w:color w:val="0D0D0D" w:themeColor="text1" w:themeTint="F2"/>
          <w:sz w:val="24"/>
          <w:szCs w:val="24"/>
        </w:rPr>
      </w:pPr>
      <w:r w:rsidRPr="00EC1AB2">
        <w:rPr>
          <w:rFonts w:ascii="Times New Roman" w:hAnsi="Times New Roman" w:cs="Times New Roman"/>
          <w:color w:val="0D0D0D" w:themeColor="text1" w:themeTint="F2"/>
          <w:sz w:val="24"/>
          <w:szCs w:val="24"/>
        </w:rPr>
        <w:t>Suformuoja investavimo politiką;</w:t>
      </w:r>
      <w:r w:rsidR="007915D7" w:rsidRPr="00EC1AB2">
        <w:rPr>
          <w:rFonts w:ascii="Times New Roman" w:hAnsi="Times New Roman" w:cs="Times New Roman"/>
          <w:color w:val="0D0D0D" w:themeColor="text1" w:themeTint="F2"/>
          <w:sz w:val="24"/>
          <w:szCs w:val="24"/>
        </w:rPr>
        <w:t xml:space="preserve"> </w:t>
      </w:r>
    </w:p>
    <w:p w:rsidR="007915D7" w:rsidRPr="00EC1AB2" w:rsidRDefault="00A1234D" w:rsidP="007A02A8">
      <w:pPr>
        <w:pStyle w:val="ListParagraph"/>
        <w:numPr>
          <w:ilvl w:val="0"/>
          <w:numId w:val="28"/>
        </w:numPr>
        <w:spacing w:after="0" w:line="360" w:lineRule="auto"/>
        <w:jc w:val="both"/>
        <w:textAlignment w:val="baseline"/>
        <w:rPr>
          <w:rFonts w:ascii="Times New Roman" w:hAnsi="Times New Roman" w:cs="Times New Roman"/>
          <w:color w:val="0D0D0D" w:themeColor="text1" w:themeTint="F2"/>
          <w:sz w:val="24"/>
          <w:szCs w:val="24"/>
        </w:rPr>
      </w:pPr>
      <w:r w:rsidRPr="00EC1AB2">
        <w:rPr>
          <w:rFonts w:ascii="Times New Roman" w:hAnsi="Times New Roman" w:cs="Times New Roman"/>
          <w:color w:val="0D0D0D" w:themeColor="text1" w:themeTint="F2"/>
          <w:sz w:val="24"/>
          <w:szCs w:val="24"/>
        </w:rPr>
        <w:t>I</w:t>
      </w:r>
      <w:r w:rsidR="007915D7" w:rsidRPr="00EC1AB2">
        <w:rPr>
          <w:rFonts w:ascii="Times New Roman" w:hAnsi="Times New Roman" w:cs="Times New Roman"/>
          <w:color w:val="0D0D0D" w:themeColor="text1" w:themeTint="F2"/>
          <w:sz w:val="24"/>
          <w:szCs w:val="24"/>
        </w:rPr>
        <w:t>eško ir atrenka investavimo politiką ati</w:t>
      </w:r>
      <w:r w:rsidR="00837DED" w:rsidRPr="00EC1AB2">
        <w:rPr>
          <w:rFonts w:ascii="Times New Roman" w:hAnsi="Times New Roman" w:cs="Times New Roman"/>
          <w:color w:val="0D0D0D" w:themeColor="text1" w:themeTint="F2"/>
          <w:sz w:val="24"/>
          <w:szCs w:val="24"/>
        </w:rPr>
        <w:t>tinkančius projektus;</w:t>
      </w:r>
      <w:r w:rsidR="007915D7" w:rsidRPr="00EC1AB2">
        <w:rPr>
          <w:rFonts w:ascii="Times New Roman" w:hAnsi="Times New Roman" w:cs="Times New Roman"/>
          <w:color w:val="0D0D0D" w:themeColor="text1" w:themeTint="F2"/>
          <w:sz w:val="24"/>
          <w:szCs w:val="24"/>
        </w:rPr>
        <w:t xml:space="preserve"> </w:t>
      </w:r>
    </w:p>
    <w:p w:rsidR="007915D7" w:rsidRPr="00EC1AB2" w:rsidRDefault="00A1234D" w:rsidP="007A02A8">
      <w:pPr>
        <w:pStyle w:val="ListParagraph"/>
        <w:numPr>
          <w:ilvl w:val="0"/>
          <w:numId w:val="28"/>
        </w:numPr>
        <w:spacing w:after="0" w:line="360" w:lineRule="auto"/>
        <w:jc w:val="both"/>
        <w:textAlignment w:val="baseline"/>
        <w:rPr>
          <w:rFonts w:ascii="Times New Roman" w:hAnsi="Times New Roman" w:cs="Times New Roman"/>
          <w:color w:val="0D0D0D" w:themeColor="text1" w:themeTint="F2"/>
          <w:sz w:val="24"/>
          <w:szCs w:val="24"/>
        </w:rPr>
      </w:pPr>
      <w:r w:rsidRPr="00EC1AB2">
        <w:rPr>
          <w:rFonts w:ascii="Times New Roman" w:hAnsi="Times New Roman" w:cs="Times New Roman"/>
          <w:color w:val="0D0D0D" w:themeColor="text1" w:themeTint="F2"/>
          <w:sz w:val="24"/>
          <w:szCs w:val="24"/>
        </w:rPr>
        <w:t>P</w:t>
      </w:r>
      <w:r w:rsidR="007915D7" w:rsidRPr="00EC1AB2">
        <w:rPr>
          <w:rFonts w:ascii="Times New Roman" w:hAnsi="Times New Roman" w:cs="Times New Roman"/>
          <w:color w:val="0D0D0D" w:themeColor="text1" w:themeTint="F2"/>
          <w:sz w:val="24"/>
          <w:szCs w:val="24"/>
        </w:rPr>
        <w:t>erteikia savo patirtį, žinias, verslo kontak</w:t>
      </w:r>
      <w:r w:rsidR="00837DED" w:rsidRPr="00EC1AB2">
        <w:rPr>
          <w:rFonts w:ascii="Times New Roman" w:hAnsi="Times New Roman" w:cs="Times New Roman"/>
          <w:color w:val="0D0D0D" w:themeColor="text1" w:themeTint="F2"/>
          <w:sz w:val="24"/>
          <w:szCs w:val="24"/>
        </w:rPr>
        <w:t>tus įmonėms, į kurias investavo;</w:t>
      </w:r>
      <w:r w:rsidR="007915D7" w:rsidRPr="00EC1AB2">
        <w:rPr>
          <w:rFonts w:ascii="Times New Roman" w:hAnsi="Times New Roman" w:cs="Times New Roman"/>
          <w:color w:val="0D0D0D" w:themeColor="text1" w:themeTint="F2"/>
          <w:sz w:val="24"/>
          <w:szCs w:val="24"/>
        </w:rPr>
        <w:t xml:space="preserve"> </w:t>
      </w:r>
    </w:p>
    <w:p w:rsidR="007915D7" w:rsidRPr="00EC1AB2" w:rsidRDefault="00A1234D" w:rsidP="007A02A8">
      <w:pPr>
        <w:pStyle w:val="ListParagraph"/>
        <w:numPr>
          <w:ilvl w:val="0"/>
          <w:numId w:val="28"/>
        </w:numPr>
        <w:spacing w:after="0" w:line="360" w:lineRule="auto"/>
        <w:jc w:val="both"/>
        <w:textAlignment w:val="baseline"/>
        <w:rPr>
          <w:rFonts w:ascii="Times New Roman" w:hAnsi="Times New Roman" w:cs="Times New Roman"/>
          <w:color w:val="0D0D0D" w:themeColor="text1" w:themeTint="F2"/>
          <w:sz w:val="24"/>
          <w:szCs w:val="24"/>
        </w:rPr>
      </w:pPr>
      <w:r w:rsidRPr="00EC1AB2">
        <w:rPr>
          <w:rFonts w:ascii="Times New Roman" w:hAnsi="Times New Roman" w:cs="Times New Roman"/>
          <w:color w:val="0D0D0D" w:themeColor="text1" w:themeTint="F2"/>
          <w:sz w:val="24"/>
          <w:szCs w:val="24"/>
        </w:rPr>
        <w:t>A</w:t>
      </w:r>
      <w:r w:rsidR="007915D7" w:rsidRPr="00EC1AB2">
        <w:rPr>
          <w:rFonts w:ascii="Times New Roman" w:hAnsi="Times New Roman" w:cs="Times New Roman"/>
          <w:color w:val="0D0D0D" w:themeColor="text1" w:themeTint="F2"/>
          <w:sz w:val="24"/>
          <w:szCs w:val="24"/>
        </w:rPr>
        <w:t xml:space="preserve">tlieka investicijų monitoringą, priima sprendimus dėl pasitraukimo. </w:t>
      </w:r>
    </w:p>
    <w:p w:rsidR="007915D7" w:rsidRPr="00EC1AB2" w:rsidRDefault="007915D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color w:val="0D0D0D" w:themeColor="text1" w:themeTint="F2"/>
          <w:sz w:val="24"/>
          <w:szCs w:val="24"/>
        </w:rPr>
        <w:t xml:space="preserve">Vadovaujančiam partneriui </w:t>
      </w:r>
      <w:r w:rsidRPr="00EC1AB2">
        <w:rPr>
          <w:rFonts w:ascii="Times New Roman" w:hAnsi="Times New Roman" w:cs="Times New Roman"/>
          <w:sz w:val="24"/>
          <w:szCs w:val="24"/>
        </w:rPr>
        <w:t>sprendimus padeda priimti atskira i</w:t>
      </w:r>
      <w:r w:rsidR="008B114F" w:rsidRPr="00EC1AB2">
        <w:rPr>
          <w:rFonts w:ascii="Times New Roman" w:hAnsi="Times New Roman" w:cs="Times New Roman"/>
          <w:sz w:val="24"/>
          <w:szCs w:val="24"/>
        </w:rPr>
        <w:t>nvestavimo patarėjų įmonė</w:t>
      </w:r>
      <w:r w:rsidRPr="00EC1AB2">
        <w:rPr>
          <w:rFonts w:ascii="Times New Roman" w:hAnsi="Times New Roman" w:cs="Times New Roman"/>
          <w:sz w:val="24"/>
          <w:szCs w:val="24"/>
        </w:rPr>
        <w:t>, kuriose dirba asmenys, turintys specialių žinių investavimo objektų atrinkimo, investavimo vykdymo ir investicijų valdymo klausimais.</w:t>
      </w:r>
    </w:p>
    <w:p w:rsidR="007915D7" w:rsidRPr="00EC1AB2" w:rsidRDefault="007915D7" w:rsidP="007A02A8">
      <w:pPr>
        <w:spacing w:after="0" w:line="360" w:lineRule="auto"/>
        <w:ind w:firstLine="567"/>
        <w:jc w:val="both"/>
        <w:textAlignment w:val="baseline"/>
        <w:rPr>
          <w:rFonts w:ascii="Times New Roman" w:eastAsia="+mn-ea" w:hAnsi="Times New Roman" w:cs="Times New Roman"/>
          <w:sz w:val="24"/>
          <w:szCs w:val="24"/>
        </w:rPr>
      </w:pPr>
      <w:r w:rsidRPr="00EC1AB2">
        <w:rPr>
          <w:rFonts w:ascii="Times New Roman" w:eastAsia="+mn-ea" w:hAnsi="Times New Roman" w:cs="Times New Roman"/>
          <w:sz w:val="24"/>
          <w:szCs w:val="24"/>
        </w:rPr>
        <w:t>Skirstant uždirbtą pel</w:t>
      </w:r>
      <w:r w:rsidR="008B114F" w:rsidRPr="00EC1AB2">
        <w:rPr>
          <w:rFonts w:ascii="Times New Roman" w:eastAsia="+mn-ea" w:hAnsi="Times New Roman" w:cs="Times New Roman"/>
          <w:sz w:val="24"/>
          <w:szCs w:val="24"/>
        </w:rPr>
        <w:t>ną rizikos kapitalo valdymo įmonei</w:t>
      </w:r>
      <w:r w:rsidRPr="00EC1AB2">
        <w:rPr>
          <w:rFonts w:ascii="Times New Roman" w:eastAsia="+mn-ea" w:hAnsi="Times New Roman" w:cs="Times New Roman"/>
          <w:sz w:val="24"/>
          <w:szCs w:val="24"/>
        </w:rPr>
        <w:t xml:space="preserve"> atitenka apie 20 procentų visos RKF grąžos, t.y. neproporcingai jos finansiniam įnašui. Toks pelno skirstymas suteikia stiprią motyvaciją fondo valdytojui atlikti savo darbą kuo geriau.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Investuotojai (nariai komanditoriai), nedalyvaujantys RKF valdyme moka metinį valdymo mokestį, kuris svyruoja apie 2,5 % fondo kapitalo. Anot Rimo (2010), valdymo moke</w:t>
      </w:r>
      <w:r w:rsidR="00847FFA" w:rsidRPr="00EC1AB2">
        <w:rPr>
          <w:rFonts w:ascii="Times New Roman" w:hAnsi="Times New Roman" w:cs="Times New Roman"/>
          <w:sz w:val="24"/>
          <w:szCs w:val="24"/>
        </w:rPr>
        <w:t>s</w:t>
      </w:r>
      <w:r w:rsidRPr="00EC1AB2">
        <w:rPr>
          <w:rFonts w:ascii="Times New Roman" w:hAnsi="Times New Roman" w:cs="Times New Roman"/>
          <w:sz w:val="24"/>
          <w:szCs w:val="24"/>
        </w:rPr>
        <w:t>tis – realios fondo valdytojo darbo sąnaudos, priklauso nuo šių veiksnių:</w:t>
      </w:r>
    </w:p>
    <w:p w:rsidR="007915D7" w:rsidRPr="00EC1AB2" w:rsidRDefault="00837DED" w:rsidP="007A02A8">
      <w:pPr>
        <w:autoSpaceDE w:val="0"/>
        <w:autoSpaceDN w:val="0"/>
        <w:adjustRightInd w:val="0"/>
        <w:spacing w:after="0" w:line="360" w:lineRule="auto"/>
        <w:ind w:left="567"/>
        <w:jc w:val="both"/>
        <w:rPr>
          <w:rFonts w:ascii="Times New Roman" w:hAnsi="Times New Roman" w:cs="Times New Roman"/>
          <w:sz w:val="24"/>
          <w:szCs w:val="24"/>
        </w:rPr>
      </w:pPr>
      <w:r w:rsidRPr="00EC1AB2">
        <w:rPr>
          <w:rFonts w:ascii="Times New Roman" w:hAnsi="Times New Roman" w:cs="Times New Roman"/>
          <w:sz w:val="24"/>
          <w:szCs w:val="24"/>
        </w:rPr>
        <w:t>1. F</w:t>
      </w:r>
      <w:r w:rsidR="007915D7" w:rsidRPr="00EC1AB2">
        <w:rPr>
          <w:rFonts w:ascii="Times New Roman" w:hAnsi="Times New Roman" w:cs="Times New Roman"/>
          <w:sz w:val="24"/>
          <w:szCs w:val="24"/>
        </w:rPr>
        <w:t>ondo dydžio (dažniausiai, kuo didesnis fondas, tuo valdymo mokesčio procentinė išraiška mažesnė);</w:t>
      </w:r>
    </w:p>
    <w:p w:rsidR="007915D7" w:rsidRPr="00EC1AB2" w:rsidRDefault="00837DED" w:rsidP="007A02A8">
      <w:pPr>
        <w:autoSpaceDE w:val="0"/>
        <w:autoSpaceDN w:val="0"/>
        <w:adjustRightInd w:val="0"/>
        <w:spacing w:after="0" w:line="360" w:lineRule="auto"/>
        <w:ind w:left="567"/>
        <w:jc w:val="both"/>
        <w:rPr>
          <w:rFonts w:ascii="Times New Roman" w:hAnsi="Times New Roman" w:cs="Times New Roman"/>
          <w:sz w:val="24"/>
          <w:szCs w:val="24"/>
        </w:rPr>
      </w:pPr>
      <w:r w:rsidRPr="00EC1AB2">
        <w:rPr>
          <w:rFonts w:ascii="Times New Roman" w:hAnsi="Times New Roman" w:cs="Times New Roman"/>
          <w:sz w:val="24"/>
          <w:szCs w:val="24"/>
        </w:rPr>
        <w:t>2. I</w:t>
      </w:r>
      <w:r w:rsidR="007915D7" w:rsidRPr="00EC1AB2">
        <w:rPr>
          <w:rFonts w:ascii="Times New Roman" w:hAnsi="Times New Roman" w:cs="Times New Roman"/>
          <w:sz w:val="24"/>
          <w:szCs w:val="24"/>
        </w:rPr>
        <w:t>nvestavimo strategijos (kuo didesnis bendrovių, į kurias investuojama, skaičius ir kuo didesnės darbo sąnaudos, tuo šis mokestis didesnis. Pavyzdžiui, rizikos kapitalo valdymas prižiūrint veiklą pradedančią bendrovę gali pareikalauti didelių darbo sąnaudų).</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Pasak Compers, Lerner (2001), išskiriamos</w:t>
      </w:r>
      <w:r w:rsidR="00B17956" w:rsidRPr="00EC1AB2">
        <w:rPr>
          <w:rFonts w:ascii="Times New Roman" w:hAnsi="Times New Roman" w:cs="Times New Roman"/>
          <w:sz w:val="24"/>
          <w:szCs w:val="24"/>
        </w:rPr>
        <w:t xml:space="preserve"> keturios RKF</w:t>
      </w:r>
      <w:r w:rsidRPr="00EC1AB2">
        <w:rPr>
          <w:rFonts w:ascii="Times New Roman" w:hAnsi="Times New Roman" w:cs="Times New Roman"/>
          <w:sz w:val="24"/>
          <w:szCs w:val="24"/>
        </w:rPr>
        <w:t xml:space="preserve"> gyvavimo stadijos. Fondo veikla dažniausiai trunka dešimtmetį. P</w:t>
      </w:r>
      <w:r w:rsidR="00837DED" w:rsidRPr="00EC1AB2">
        <w:rPr>
          <w:rFonts w:ascii="Times New Roman" w:hAnsi="Times New Roman" w:cs="Times New Roman"/>
          <w:sz w:val="24"/>
          <w:szCs w:val="24"/>
        </w:rPr>
        <w:t>irmame etape</w:t>
      </w:r>
      <w:r w:rsidR="00B17956" w:rsidRPr="00EC1AB2">
        <w:rPr>
          <w:rFonts w:ascii="Times New Roman" w:hAnsi="Times New Roman" w:cs="Times New Roman"/>
          <w:sz w:val="24"/>
          <w:szCs w:val="24"/>
        </w:rPr>
        <w:t xml:space="preserve"> pagrindinis rizikos kapitalo valdymo įmonės</w:t>
      </w:r>
      <w:r w:rsidRPr="00EC1AB2">
        <w:rPr>
          <w:rFonts w:ascii="Times New Roman" w:hAnsi="Times New Roman" w:cs="Times New Roman"/>
          <w:sz w:val="24"/>
          <w:szCs w:val="24"/>
        </w:rPr>
        <w:t xml:space="preserve"> tikslas yra lėšų į fondą pritraukimas, kitaip sakant investuotojų paieška. Šis etapas trunka nuo pusės iki vienerių metų. Suformavus fondo kapitalą ieškoma investicijų objektų ir finansuojamos įmonės, ši fondo veikla trunka nuo trijų iki šešerių me</w:t>
      </w:r>
      <w:r w:rsidR="00B17956" w:rsidRPr="00EC1AB2">
        <w:rPr>
          <w:rFonts w:ascii="Times New Roman" w:hAnsi="Times New Roman" w:cs="Times New Roman"/>
          <w:sz w:val="24"/>
          <w:szCs w:val="24"/>
        </w:rPr>
        <w:t xml:space="preserve">tų. Kitas žingsnis yra  </w:t>
      </w:r>
      <w:r w:rsidRPr="00EC1AB2">
        <w:rPr>
          <w:rFonts w:ascii="Times New Roman" w:hAnsi="Times New Roman" w:cs="Times New Roman"/>
          <w:sz w:val="24"/>
          <w:szCs w:val="24"/>
        </w:rPr>
        <w:t xml:space="preserve">portfelio įmonės </w:t>
      </w:r>
      <w:r w:rsidR="00B17956" w:rsidRPr="00EC1AB2">
        <w:rPr>
          <w:rFonts w:ascii="Times New Roman" w:hAnsi="Times New Roman" w:cs="Times New Roman"/>
          <w:sz w:val="24"/>
          <w:szCs w:val="24"/>
        </w:rPr>
        <w:t>augimo siekimas.</w:t>
      </w:r>
      <w:r w:rsidRPr="00EC1AB2">
        <w:rPr>
          <w:rFonts w:ascii="Times New Roman" w:hAnsi="Times New Roman" w:cs="Times New Roman"/>
          <w:sz w:val="24"/>
          <w:szCs w:val="24"/>
        </w:rPr>
        <w:t xml:space="preserve"> P</w:t>
      </w:r>
      <w:r w:rsidR="00D3575A" w:rsidRPr="00EC1AB2">
        <w:rPr>
          <w:rFonts w:ascii="Times New Roman" w:hAnsi="Times New Roman" w:cs="Times New Roman"/>
          <w:sz w:val="24"/>
          <w:szCs w:val="24"/>
        </w:rPr>
        <w:t>askutinis RKF</w:t>
      </w:r>
      <w:r w:rsidRPr="00EC1AB2">
        <w:rPr>
          <w:rFonts w:ascii="Times New Roman" w:hAnsi="Times New Roman" w:cs="Times New Roman"/>
          <w:sz w:val="24"/>
          <w:szCs w:val="24"/>
        </w:rPr>
        <w:t xml:space="preserve"> veiklos etapas yra fondo uždarymas. Šiuo laikotarpiu likviduojamos visos fondo turėtos investicijos, tai padarom vienu iš šių būdų: investicijų pardavimu trečiosioms šalims, kitiems įmonės akcininkams arba įmonės turimų akcijų parda</w:t>
      </w:r>
      <w:r w:rsidR="007D7BA3" w:rsidRPr="00EC1AB2">
        <w:rPr>
          <w:rFonts w:ascii="Times New Roman" w:hAnsi="Times New Roman" w:cs="Times New Roman"/>
          <w:sz w:val="24"/>
          <w:szCs w:val="24"/>
        </w:rPr>
        <w:t>vimu per IPO</w:t>
      </w:r>
      <w:r w:rsidRPr="00EC1AB2">
        <w:rPr>
          <w:rFonts w:ascii="Times New Roman" w:hAnsi="Times New Roman" w:cs="Times New Roman"/>
          <w:sz w:val="24"/>
          <w:szCs w:val="24"/>
        </w:rPr>
        <w:t xml:space="preserve">. Paminėtina, kad pastarasis būdas pelningiausias.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Apibendrinant galima išskirti šiuos esminius RKF veiklos bruožus:</w:t>
      </w:r>
    </w:p>
    <w:p w:rsidR="007915D7" w:rsidRPr="00EC1AB2" w:rsidRDefault="007915D7" w:rsidP="007A02A8">
      <w:pPr>
        <w:pStyle w:val="ListParagraph"/>
        <w:numPr>
          <w:ilvl w:val="0"/>
          <w:numId w:val="29"/>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Dažnia</w:t>
      </w:r>
      <w:r w:rsidR="00C5078D" w:rsidRPr="00EC1AB2">
        <w:rPr>
          <w:rFonts w:ascii="Times New Roman" w:hAnsi="Times New Roman" w:cs="Times New Roman"/>
          <w:sz w:val="24"/>
          <w:szCs w:val="24"/>
        </w:rPr>
        <w:t>usiai RKF yra komanditinė ūkinė</w:t>
      </w:r>
      <w:r w:rsidRPr="00EC1AB2">
        <w:rPr>
          <w:rFonts w:ascii="Times New Roman" w:hAnsi="Times New Roman" w:cs="Times New Roman"/>
          <w:sz w:val="24"/>
          <w:szCs w:val="24"/>
        </w:rPr>
        <w:t xml:space="preserve"> bendrija, kurią sudaro tikrasis narys – valdymo įmonė ir ribotos atsakomybės nariai, kurie valdyme nedalyvauja;</w:t>
      </w:r>
    </w:p>
    <w:p w:rsidR="007915D7" w:rsidRPr="00EC1AB2" w:rsidRDefault="007915D7" w:rsidP="007A02A8">
      <w:pPr>
        <w:pStyle w:val="ListParagraph"/>
        <w:numPr>
          <w:ilvl w:val="0"/>
          <w:numId w:val="29"/>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Paprastai fiksuojamas tiek fondo terminas, tiek dydis;</w:t>
      </w:r>
    </w:p>
    <w:p w:rsidR="007915D7" w:rsidRPr="00EC1AB2" w:rsidRDefault="007915D7" w:rsidP="007A02A8">
      <w:pPr>
        <w:pStyle w:val="ListParagraph"/>
        <w:numPr>
          <w:ilvl w:val="0"/>
          <w:numId w:val="29"/>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Narių komanditorių investicija į fondą palyginus nelikvidi, nes ribojamas jos išpirkimas ar perleidimas investavimo laikotarpiu ar iki visos investicijos realizuojamos;</w:t>
      </w:r>
    </w:p>
    <w:p w:rsidR="007915D7" w:rsidRPr="00EC1AB2" w:rsidRDefault="007915D7" w:rsidP="007A02A8">
      <w:pPr>
        <w:pStyle w:val="ListParagraph"/>
        <w:numPr>
          <w:ilvl w:val="0"/>
          <w:numId w:val="29"/>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Tiek valdymo įmonė, tiek nariai koma</w:t>
      </w:r>
      <w:r w:rsidR="00C5078D" w:rsidRPr="00EC1AB2">
        <w:rPr>
          <w:rFonts w:ascii="Times New Roman" w:hAnsi="Times New Roman" w:cs="Times New Roman"/>
          <w:sz w:val="24"/>
          <w:szCs w:val="24"/>
        </w:rPr>
        <w:t>n</w:t>
      </w:r>
      <w:r w:rsidRPr="00EC1AB2">
        <w:rPr>
          <w:rFonts w:ascii="Times New Roman" w:hAnsi="Times New Roman" w:cs="Times New Roman"/>
          <w:sz w:val="24"/>
          <w:szCs w:val="24"/>
        </w:rPr>
        <w:t>ditoriai, investuodami į fondą, siekia išskirtinai didelės grąžos.</w:t>
      </w:r>
    </w:p>
    <w:p w:rsidR="007915D7" w:rsidRPr="00EC1AB2" w:rsidRDefault="007915D7"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Privataus kapitalo rinka nacionaliniais teisės aktais reglamentu</w:t>
      </w:r>
      <w:r w:rsidR="001C3BFA" w:rsidRPr="00EC1AB2">
        <w:rPr>
          <w:rFonts w:ascii="Times New Roman" w:hAnsi="Times New Roman" w:cs="Times New Roman"/>
          <w:sz w:val="24"/>
          <w:szCs w:val="24"/>
        </w:rPr>
        <w:t>ojama daugelyje ES</w:t>
      </w:r>
      <w:r w:rsidRPr="00EC1AB2">
        <w:rPr>
          <w:rFonts w:ascii="Times New Roman" w:hAnsi="Times New Roman" w:cs="Times New Roman"/>
          <w:sz w:val="24"/>
          <w:szCs w:val="24"/>
        </w:rPr>
        <w:t xml:space="preserve"> šalių, tačiau </w:t>
      </w:r>
      <w:r w:rsidR="00761E80" w:rsidRPr="00EC1AB2">
        <w:rPr>
          <w:rFonts w:ascii="Times New Roman" w:hAnsi="Times New Roman" w:cs="Times New Roman"/>
          <w:sz w:val="24"/>
          <w:szCs w:val="24"/>
        </w:rPr>
        <w:t>iki 2011</w:t>
      </w:r>
      <w:r w:rsidR="00D54F63" w:rsidRPr="00EC1AB2">
        <w:rPr>
          <w:rFonts w:ascii="Times New Roman" w:hAnsi="Times New Roman" w:cs="Times New Roman"/>
          <w:sz w:val="24"/>
          <w:szCs w:val="24"/>
        </w:rPr>
        <w:t xml:space="preserve"> m. vidurio, kuomet buvo priimta </w:t>
      </w:r>
      <w:r w:rsidR="002E643E" w:rsidRPr="00EC1AB2">
        <w:rPr>
          <w:rFonts w:ascii="Times New Roman" w:hAnsi="Times New Roman" w:cs="Times New Roman"/>
          <w:bCs/>
          <w:sz w:val="24"/>
          <w:szCs w:val="24"/>
        </w:rPr>
        <w:t>Alternatyvaus investavimo fondų valdytojų (AIFV)</w:t>
      </w:r>
      <w:r w:rsidR="002E643E" w:rsidRPr="00EC1AB2">
        <w:rPr>
          <w:bCs/>
        </w:rPr>
        <w:t xml:space="preserve"> </w:t>
      </w:r>
      <w:r w:rsidR="002E643E" w:rsidRPr="00EC1AB2">
        <w:rPr>
          <w:rFonts w:ascii="Times New Roman" w:hAnsi="Times New Roman" w:cs="Times New Roman"/>
          <w:sz w:val="24"/>
          <w:szCs w:val="24"/>
        </w:rPr>
        <w:t xml:space="preserve"> direktyva,</w:t>
      </w:r>
      <w:r w:rsidR="00D54F63" w:rsidRPr="00EC1AB2">
        <w:rPr>
          <w:rFonts w:ascii="Times New Roman" w:hAnsi="Times New Roman" w:cs="Times New Roman"/>
          <w:sz w:val="24"/>
          <w:szCs w:val="24"/>
        </w:rPr>
        <w:t xml:space="preserve"> nebuvo</w:t>
      </w:r>
      <w:r w:rsidRPr="00EC1AB2">
        <w:rPr>
          <w:rFonts w:ascii="Times New Roman" w:hAnsi="Times New Roman" w:cs="Times New Roman"/>
          <w:sz w:val="24"/>
          <w:szCs w:val="24"/>
        </w:rPr>
        <w:t xml:space="preserve"> harm</w:t>
      </w:r>
      <w:r w:rsidR="001C3BFA" w:rsidRPr="00EC1AB2">
        <w:rPr>
          <w:rFonts w:ascii="Times New Roman" w:hAnsi="Times New Roman" w:cs="Times New Roman"/>
          <w:sz w:val="24"/>
          <w:szCs w:val="24"/>
        </w:rPr>
        <w:t>onizuotos bazės ES</w:t>
      </w:r>
      <w:r w:rsidR="002E643E" w:rsidRPr="00EC1AB2">
        <w:rPr>
          <w:rFonts w:ascii="Times New Roman" w:hAnsi="Times New Roman" w:cs="Times New Roman"/>
          <w:sz w:val="24"/>
          <w:szCs w:val="24"/>
        </w:rPr>
        <w:t xml:space="preserve"> lygiu ir buvo taikomos </w:t>
      </w:r>
      <w:r w:rsidRPr="00EC1AB2">
        <w:rPr>
          <w:rFonts w:ascii="Times New Roman" w:hAnsi="Times New Roman" w:cs="Times New Roman"/>
          <w:sz w:val="24"/>
          <w:szCs w:val="24"/>
        </w:rPr>
        <w:t>kelios tei</w:t>
      </w:r>
      <w:r w:rsidR="002E643E" w:rsidRPr="00EC1AB2">
        <w:rPr>
          <w:rFonts w:ascii="Times New Roman" w:hAnsi="Times New Roman" w:cs="Times New Roman"/>
          <w:sz w:val="24"/>
          <w:szCs w:val="24"/>
        </w:rPr>
        <w:t xml:space="preserve">sinės priemonės, kurios </w:t>
      </w:r>
      <w:r w:rsidR="00761E80" w:rsidRPr="00EC1AB2">
        <w:rPr>
          <w:rFonts w:ascii="Times New Roman" w:hAnsi="Times New Roman" w:cs="Times New Roman"/>
          <w:sz w:val="24"/>
          <w:szCs w:val="24"/>
        </w:rPr>
        <w:t>netiesiogiai veikė</w:t>
      </w:r>
      <w:r w:rsidRPr="00EC1AB2">
        <w:rPr>
          <w:rFonts w:ascii="Times New Roman" w:hAnsi="Times New Roman" w:cs="Times New Roman"/>
          <w:sz w:val="24"/>
          <w:szCs w:val="24"/>
        </w:rPr>
        <w:t xml:space="preserve"> šią rinką, tačia</w:t>
      </w:r>
      <w:r w:rsidR="002E643E" w:rsidRPr="00EC1AB2">
        <w:rPr>
          <w:rFonts w:ascii="Times New Roman" w:hAnsi="Times New Roman" w:cs="Times New Roman"/>
          <w:sz w:val="24"/>
          <w:szCs w:val="24"/>
        </w:rPr>
        <w:t>u galiojo</w:t>
      </w:r>
      <w:r w:rsidR="00D20AE5" w:rsidRPr="00EC1AB2">
        <w:rPr>
          <w:rFonts w:ascii="Times New Roman" w:hAnsi="Times New Roman" w:cs="Times New Roman"/>
          <w:sz w:val="24"/>
          <w:szCs w:val="24"/>
        </w:rPr>
        <w:t xml:space="preserve"> visos ES</w:t>
      </w:r>
      <w:r w:rsidRPr="00EC1AB2">
        <w:rPr>
          <w:rFonts w:ascii="Times New Roman" w:hAnsi="Times New Roman" w:cs="Times New Roman"/>
          <w:sz w:val="24"/>
          <w:szCs w:val="24"/>
        </w:rPr>
        <w:t xml:space="preserve"> mastu, t.y. </w:t>
      </w:r>
      <w:r w:rsidRPr="00EC1AB2">
        <w:rPr>
          <w:rStyle w:val="Strong"/>
          <w:rFonts w:ascii="Times New Roman" w:hAnsi="Times New Roman" w:cs="Times New Roman"/>
          <w:b w:val="0"/>
          <w:sz w:val="24"/>
          <w:szCs w:val="24"/>
        </w:rPr>
        <w:t>Finansinių priemonių rinkų direktyva (MiFiD),</w:t>
      </w:r>
      <w:r w:rsidRPr="00EC1AB2">
        <w:rPr>
          <w:rStyle w:val="Strong"/>
          <w:rFonts w:ascii="Times New Roman" w:hAnsi="Times New Roman" w:cs="Times New Roman"/>
          <w:sz w:val="24"/>
          <w:szCs w:val="24"/>
        </w:rPr>
        <w:t xml:space="preserve"> </w:t>
      </w:r>
      <w:r w:rsidRPr="00EC1AB2">
        <w:rPr>
          <w:rFonts w:ascii="Times New Roman" w:hAnsi="Times New Roman" w:cs="Times New Roman"/>
          <w:sz w:val="24"/>
          <w:szCs w:val="24"/>
        </w:rPr>
        <w:t>Kolektyvinio investavimo į perleidžiamuosius vertybinius popierius subjektų direktyva (UCITS), Pensijų fondų direktyva bei Kapitalo reikal</w:t>
      </w:r>
      <w:r w:rsidR="000728C1" w:rsidRPr="00EC1AB2">
        <w:rPr>
          <w:rFonts w:ascii="Times New Roman" w:hAnsi="Times New Roman" w:cs="Times New Roman"/>
          <w:sz w:val="24"/>
          <w:szCs w:val="24"/>
        </w:rPr>
        <w:t>a</w:t>
      </w:r>
      <w:r w:rsidRPr="00EC1AB2">
        <w:rPr>
          <w:rFonts w:ascii="Times New Roman" w:hAnsi="Times New Roman" w:cs="Times New Roman"/>
          <w:sz w:val="24"/>
          <w:szCs w:val="24"/>
        </w:rPr>
        <w:t xml:space="preserve">vimų direktyva.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Investicinių fondų ir jų valdytojų veiklą Lietuvos Respublikoje nuo 2003 m. reglamentuoja Kolektyvinio investavimo subjektų įstatymas (Žin., 2003, Nr. 74-3424 </w:t>
      </w:r>
      <w:bookmarkStart w:id="57" w:name="html"/>
      <w:r w:rsidRPr="00EC1AB2">
        <w:rPr>
          <w:rFonts w:ascii="Times New Roman" w:hAnsi="Times New Roman" w:cs="Times New Roman"/>
          <w:sz w:val="24"/>
          <w:szCs w:val="24"/>
        </w:rPr>
        <w:t xml:space="preserve">) </w:t>
      </w:r>
      <w:bookmarkEnd w:id="57"/>
      <w:r w:rsidRPr="00EC1AB2">
        <w:rPr>
          <w:rFonts w:ascii="Times New Roman" w:hAnsi="Times New Roman" w:cs="Times New Roman"/>
          <w:sz w:val="24"/>
          <w:szCs w:val="24"/>
        </w:rPr>
        <w:t xml:space="preserve">(toliau – KISĮ). Specialiuosius kolektyvinio investavimo subjektus (toliau – SKIS) (privataus kapitalo, alternatyviuosius, nekilnojamojo turto ir kitus specialiuosius KIS) Lietuvoje imta reglamentuoti nuo 2007 m., atlikus KISĮ pakeitimus. Nežiūrint į tai, Lietuvoje šiai dienai įsteigti tik keli privataus kapitalo ir alternatyvaus investavimo KIS, o dauguma užsiimančių šia veikla rinkos profesionalų ieškosi palankesnių sąlygų kaimyninėse šalyse (Estijoje, Švedijoje, Suomijoje) ar kitose ES valstybėse narėse (Liuksemburge, Olandijoje ir kt.).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KISĮ pakeitimo ir papildymo projekto aiškinamajame rašte, po konsultacijų su rinkos profesionalais bei atlikus SKIS teisinės bazės analizę prieita išvada, kad vienomis iš svarbiausių nepakankamo speci</w:t>
      </w:r>
      <w:r w:rsidR="005D506A" w:rsidRPr="00EC1AB2">
        <w:rPr>
          <w:rFonts w:ascii="Times New Roman" w:hAnsi="Times New Roman" w:cs="Times New Roman"/>
          <w:sz w:val="24"/>
          <w:szCs w:val="24"/>
        </w:rPr>
        <w:t>aliųjų KIS steigimosi</w:t>
      </w:r>
      <w:r w:rsidRPr="00EC1AB2">
        <w:rPr>
          <w:rFonts w:ascii="Times New Roman" w:hAnsi="Times New Roman" w:cs="Times New Roman"/>
          <w:sz w:val="24"/>
          <w:szCs w:val="24"/>
        </w:rPr>
        <w:t xml:space="preserve"> Lietuvoje priežasčių laikytinos: </w:t>
      </w:r>
    </w:p>
    <w:p w:rsidR="007915D7" w:rsidRPr="00EC1AB2" w:rsidRDefault="00837DED" w:rsidP="007A02A8">
      <w:pPr>
        <w:pStyle w:val="NormalWeb"/>
        <w:numPr>
          <w:ilvl w:val="0"/>
          <w:numId w:val="30"/>
        </w:numPr>
        <w:shd w:val="clear" w:color="auto" w:fill="FFFFFF" w:themeFill="background1"/>
        <w:spacing w:line="360" w:lineRule="auto"/>
        <w:jc w:val="both"/>
      </w:pPr>
      <w:r w:rsidRPr="00EC1AB2">
        <w:rPr>
          <w:shd w:val="clear" w:color="auto" w:fill="FFFFFF" w:themeFill="background1"/>
        </w:rPr>
        <w:t>Ū</w:t>
      </w:r>
      <w:r w:rsidR="007915D7" w:rsidRPr="00EC1AB2">
        <w:rPr>
          <w:shd w:val="clear" w:color="auto" w:fill="FFFFFF" w:themeFill="background1"/>
        </w:rPr>
        <w:t>kinių bendrijų veiklą reglamentuojančios teisinės bazės netinkamumas investicinei veiklai ir neatitikimas įprastai tarptautinei praktikai</w:t>
      </w:r>
      <w:r w:rsidR="007915D7" w:rsidRPr="00EC1AB2">
        <w:t>;</w:t>
      </w:r>
    </w:p>
    <w:p w:rsidR="007915D7" w:rsidRPr="00EC1AB2" w:rsidRDefault="00837DED" w:rsidP="007A02A8">
      <w:pPr>
        <w:pStyle w:val="NormalWeb"/>
        <w:numPr>
          <w:ilvl w:val="0"/>
          <w:numId w:val="30"/>
        </w:numPr>
        <w:shd w:val="clear" w:color="auto" w:fill="FFFFFF" w:themeFill="background1"/>
        <w:spacing w:line="360" w:lineRule="auto"/>
        <w:jc w:val="both"/>
      </w:pPr>
      <w:r w:rsidRPr="00EC1AB2">
        <w:t>P</w:t>
      </w:r>
      <w:r w:rsidR="007915D7" w:rsidRPr="00EC1AB2">
        <w:t xml:space="preserve">asaulinės praktikos neatitinkanti </w:t>
      </w:r>
      <w:r w:rsidR="007915D7" w:rsidRPr="00EC1AB2">
        <w:rPr>
          <w:i/>
          <w:iCs/>
        </w:rPr>
        <w:t xml:space="preserve">profesionaliesiems investuotojams </w:t>
      </w:r>
      <w:r w:rsidR="007915D7" w:rsidRPr="00EC1AB2">
        <w:t>skirtų SKIS (ypač privataus ir rizikos kapitalo) teisinė bazė.</w:t>
      </w:r>
    </w:p>
    <w:p w:rsidR="007915D7" w:rsidRPr="00EC1AB2" w:rsidRDefault="005D506A" w:rsidP="007A02A8">
      <w:pPr>
        <w:pStyle w:val="NormalWeb"/>
        <w:spacing w:line="360" w:lineRule="auto"/>
        <w:ind w:firstLine="567"/>
        <w:jc w:val="both"/>
      </w:pPr>
      <w:r w:rsidRPr="00EC1AB2">
        <w:t xml:space="preserve">Taip pat aiškinamajame rašte teigiama, kad </w:t>
      </w:r>
      <w:r w:rsidR="00A674D2" w:rsidRPr="00EC1AB2">
        <w:t>š</w:t>
      </w:r>
      <w:r w:rsidR="007915D7" w:rsidRPr="00EC1AB2">
        <w:t xml:space="preserve">iuo metu galiojančio KISĮ nuostatos reglamentuoja tik tų SKIS veiklą, kurių investiciniai vienetai ar akcijos Lietuvos Respublikoje siūlomi viešai, o tai reiškia, jog  neviešai savo investicinius vienetus ar akcijas siūlantys SKIS apskritai neturi galimybės licencijuotis ir veikti pagal minėtąjį įstatymą bei įgyti prižiūrimo KIS statusą, kuris neretai yra reikalingas potencialių institucinių investuotojų pritraukimui. Tokie SKIS gali veikti tik vadovaudamiesi bendrosiomis bendrovių teisės nuostatomis, dažnai negalinčiomis patenkinti </w:t>
      </w:r>
      <w:r w:rsidR="007915D7" w:rsidRPr="00EC1AB2">
        <w:lastRenderedPageBreak/>
        <w:t>profesionaliesiems investuotojams skirtų SKIS valdytojų bei investuotojų specifinius interesus (akcijų išleidimas, jų apmokėjimas, įstatinio kapitalo didinimas, pelno/nuostolio paskirstymas ir pan.). Taip pat  šiuo metu tik profesionaliesiems investuotojams skirtų SKIS veiklą reglamentuoja KISĮ, kuriuo iš esmės siekiama užtikrinti aukštą, visų pirma, neprofesionaliųjų investuotojų interesų apsaugos lygį. Tuo tarpu profesionaliesiems investuotojams skirtiems SKIS KISĮ numato tik fragmentiškas išimtis, kurios neužtikrina pasaulyje įprasto šios veiklos teisinio reguliavimo ir praktikos, todėl yra nepakankamos.</w:t>
      </w:r>
    </w:p>
    <w:p w:rsidR="007915D7" w:rsidRPr="00EC1AB2" w:rsidRDefault="007915D7" w:rsidP="007A02A8">
      <w:pPr>
        <w:pStyle w:val="NormalWeb"/>
        <w:spacing w:line="360" w:lineRule="auto"/>
        <w:ind w:firstLine="567"/>
        <w:jc w:val="both"/>
      </w:pPr>
      <w:r w:rsidRPr="00EC1AB2">
        <w:t>Siekiant Lietuvos investicinio patrauklumo didinimo ir aktyvesnio ekonomikos vystymosi Vertybinių popierių komisijos (VPK) inicijuota tarpinstitucinė darbo grupė parengė naujo Informuotiesiems investuotojams skirtų kolektyvinio investavimo subjektų įs</w:t>
      </w:r>
      <w:r w:rsidR="002265CD" w:rsidRPr="00EC1AB2">
        <w:t>tatymo ir galiojančio KISĮ</w:t>
      </w:r>
      <w:r w:rsidRPr="00EC1AB2">
        <w:t xml:space="preserve"> pakeitimo projektus. Šiais projektais siekiama nustatyti pasaulinę SKIS veiklos praktiką atitinkančius reikalavimus.</w:t>
      </w:r>
    </w:p>
    <w:p w:rsidR="007915D7" w:rsidRPr="00EC1AB2" w:rsidRDefault="007915D7" w:rsidP="007A02A8">
      <w:pPr>
        <w:pStyle w:val="NormalWeb"/>
        <w:spacing w:line="360" w:lineRule="auto"/>
        <w:ind w:firstLine="567"/>
        <w:jc w:val="both"/>
      </w:pPr>
      <w:r w:rsidRPr="00EC1AB2">
        <w:t>Pažymėtina, kad siekiant minėtų tikslų, darbo grupės dalyvių bendru sutarimu, rengiant SKIS reguliavimo teisinės bazės pakeitimus remtasi vienos populiariausių ir geriausiai pasaulyje žinomų jurisdikcijų – Liuksemburgo Kunigaikštystės specialiųjų KIS teisinio reglamentavimo principais. Liuksemburgas kaip pavyzdinė jurisdikcija buvo pasirinktas taip pat ir dėl jo patrauklumo pasaulio investuotojams, kurį visų pirma lemia egzistuojančio teisinio reguliavimo lankstumas, palanki mokesčių sistema bei gerai išvystytos SKIS investicinių ir susijusių paslaugų infrastruktūros. Galima išskirti tris pagrindinius uždavinius, kurių siekiama šiuo įstatymo projektu:</w:t>
      </w:r>
    </w:p>
    <w:p w:rsidR="00B76560" w:rsidRPr="00EC1AB2" w:rsidRDefault="007915D7" w:rsidP="007A02A8">
      <w:pPr>
        <w:pStyle w:val="NormalWeb"/>
        <w:numPr>
          <w:ilvl w:val="0"/>
          <w:numId w:val="31"/>
        </w:numPr>
        <w:spacing w:line="360" w:lineRule="auto"/>
        <w:jc w:val="both"/>
      </w:pPr>
      <w:r w:rsidRPr="00EC1AB2">
        <w:rPr>
          <w:i/>
        </w:rPr>
        <w:t xml:space="preserve">Subalansuoti informuotiesiems investuotojams skirtų SKIS veiklai, informacijos atskleidimui bei priežiūrai keliamus reikalavimus </w:t>
      </w:r>
      <w:r w:rsidRPr="00EC1AB2">
        <w:t xml:space="preserve">(Projekte numatyta, kad neviešo investicinių vienetų, akcijų siūlymo ar neviešo siūlymo įnešti įnašus atveju SKIS (t. y. investicinė bendrovė arba investicinis fondas) skirtingai nei valdymo įmonė ar investicinė bendrovė prieš pradedant viešą akcijų (investicinių vienetų) siūlymą ar viešą siūlymą įnešti įnašus, dėl veiklos leidimo išdavimo (ar analogiškų veiksmų investicinio fondo atžvilgiu) į VPK gali kreiptis jau pradėjus neviešą platinimą ar siūlymą, bet ne vėliau kaip per vieną mėnesį nuo SKIS įsteigimo dienos. Šiais su platinimo pobūdžiu susietais reglamentavimo skirtumais siekiama atsižvelgti į SKIS veiklos specifiką ir įprastą praktiką, jog veiklos leidimo gavimą SKIS įprastai inicijuota tik jau turėdamas investuotojus (gavęs jų įsipareigojimus investuoti konkrečią sumą). Tokios praktikos susiformavimą sąlygojo investuotojų paieškos proceso sudėtingumas – neretai valdytojo planuojama kritinė suma (investuotojų įsipareigojimai) gali būti ir nesurinkta, dėl ko SKIS valdytojai, įsisteigę ir gavę leidimus veiklai </w:t>
      </w:r>
      <w:r w:rsidRPr="00EC1AB2">
        <w:rPr>
          <w:i/>
          <w:iCs/>
        </w:rPr>
        <w:t xml:space="preserve">a priori </w:t>
      </w:r>
      <w:r w:rsidRPr="00EC1AB2">
        <w:t xml:space="preserve">, patirtų laiko ir finansinių nuostolių. Taip pat Projekte įtvirtintos nuostatos supaprastinančios reikalavimus </w:t>
      </w:r>
      <w:r w:rsidRPr="00EC1AB2">
        <w:rPr>
          <w:bCs/>
          <w:iCs/>
        </w:rPr>
        <w:t>SKIS prospekt</w:t>
      </w:r>
      <w:r w:rsidR="00837DED" w:rsidRPr="00EC1AB2">
        <w:rPr>
          <w:bCs/>
          <w:iCs/>
        </w:rPr>
        <w:t>ui (informaciniam memorandumui);</w:t>
      </w:r>
      <w:r w:rsidRPr="00EC1AB2">
        <w:t xml:space="preserve"> </w:t>
      </w:r>
    </w:p>
    <w:p w:rsidR="007915D7" w:rsidRPr="00EC1AB2" w:rsidRDefault="007915D7" w:rsidP="007A02A8">
      <w:pPr>
        <w:pStyle w:val="NormalWeb"/>
        <w:numPr>
          <w:ilvl w:val="0"/>
          <w:numId w:val="31"/>
        </w:numPr>
        <w:spacing w:line="360" w:lineRule="auto"/>
        <w:jc w:val="both"/>
      </w:pPr>
      <w:r w:rsidRPr="00EC1AB2">
        <w:rPr>
          <w:i/>
        </w:rPr>
        <w:lastRenderedPageBreak/>
        <w:t xml:space="preserve">Praplėsti galimų SKIS veiklos formų spektrą </w:t>
      </w:r>
      <w:r w:rsidRPr="00EC1AB2">
        <w:t>(Projekte pagal jį veikiantiems SKIS numatoma galimybė investicinę veiklą vykdyti: valdymo įmonės valdomo investicinio fondo forma, arba investicinės bendrovės forma, pastarąją steigiant akcinės bendrovės, uždarosios akcinės bendrovės arba pasaulyje įprastos ūkinės bendrijos (tikrosios ir komanditinės) teisine veiklos forma. Pažymėtina, kad Projektu nepanaikinama galimybė SKIS steigti kaip atviro arba uždaro tipo SKIS);</w:t>
      </w:r>
    </w:p>
    <w:p w:rsidR="007915D7" w:rsidRPr="00EC1AB2" w:rsidRDefault="007915D7" w:rsidP="007A02A8">
      <w:pPr>
        <w:pStyle w:val="NormalWeb"/>
        <w:numPr>
          <w:ilvl w:val="0"/>
          <w:numId w:val="31"/>
        </w:numPr>
        <w:spacing w:line="360" w:lineRule="auto"/>
        <w:jc w:val="both"/>
      </w:pPr>
      <w:r w:rsidRPr="00EC1AB2">
        <w:rPr>
          <w:i/>
        </w:rPr>
        <w:t xml:space="preserve">Įtvirtinti bendrąjį principą, kad priežiūrai mažiau reikšmingi valdytojų ir investuotojų santykiai </w:t>
      </w:r>
      <w:r w:rsidRPr="00EC1AB2">
        <w:t xml:space="preserve">(pavyzdžiui, informacijos investuotojams teikimas, šalių tarpusavio teisės ir pareigos, SKIS investavimo strategija, investicijų vertės nustatymas, specialiųjų KIS akcijų, vienetų įsigijimas ar įnašų mokėjimas, išlaidų dengimo principai ir kt.) </w:t>
      </w:r>
      <w:r w:rsidRPr="00EC1AB2">
        <w:rPr>
          <w:i/>
        </w:rPr>
        <w:t xml:space="preserve">nustatomi bendru SKIS valdytojo ir investuotojų sutarimu ir įtvirtinami tokio SKIS sudarymo dokumentuose. </w:t>
      </w:r>
    </w:p>
    <w:p w:rsidR="007915D7" w:rsidRPr="00EC1AB2" w:rsidRDefault="007915D7" w:rsidP="007A02A8">
      <w:pPr>
        <w:pStyle w:val="NormalWeb"/>
        <w:spacing w:line="360" w:lineRule="auto"/>
        <w:ind w:firstLine="567"/>
        <w:jc w:val="both"/>
      </w:pPr>
      <w:r w:rsidRPr="00EC1AB2">
        <w:t>Grįž</w:t>
      </w:r>
      <w:r w:rsidR="006046E7" w:rsidRPr="00EC1AB2">
        <w:t>tant prie RKF</w:t>
      </w:r>
      <w:r w:rsidRPr="00EC1AB2">
        <w:t xml:space="preserve"> reglamentavimo ES lygiu</w:t>
      </w:r>
      <w:r w:rsidR="002E643E" w:rsidRPr="00EC1AB2">
        <w:t>, kaip jau minėta, palyginti neseniai įsigaliojo</w:t>
      </w:r>
      <w:r w:rsidR="004A037E" w:rsidRPr="00EC1AB2">
        <w:t xml:space="preserve"> (2011 m. rugpjūčio mėn.) </w:t>
      </w:r>
      <w:r w:rsidR="0098255A" w:rsidRPr="00EC1AB2">
        <w:rPr>
          <w:bCs/>
        </w:rPr>
        <w:t>AIFV</w:t>
      </w:r>
      <w:r w:rsidR="002E643E" w:rsidRPr="00EC1AB2">
        <w:rPr>
          <w:bCs/>
        </w:rPr>
        <w:t xml:space="preserve"> direktyva</w:t>
      </w:r>
      <w:r w:rsidRPr="00EC1AB2">
        <w:rPr>
          <w:bCs/>
        </w:rPr>
        <w:t xml:space="preserve">, </w:t>
      </w:r>
      <w:r w:rsidRPr="00EC1AB2">
        <w:t>kurio</w:t>
      </w:r>
      <w:r w:rsidR="00D841D1" w:rsidRPr="00EC1AB2">
        <w:t>s</w:t>
      </w:r>
      <w:r w:rsidRPr="00EC1AB2">
        <w:t xml:space="preserve"> kūrimą paskatino pasaulio finansų krizė. </w:t>
      </w:r>
    </w:p>
    <w:p w:rsidR="007915D7" w:rsidRPr="00EC1AB2" w:rsidRDefault="002265CD" w:rsidP="007A02A8">
      <w:pPr>
        <w:pStyle w:val="NormalWeb"/>
        <w:spacing w:line="360" w:lineRule="auto"/>
        <w:ind w:firstLine="567"/>
        <w:jc w:val="both"/>
      </w:pPr>
      <w:r w:rsidRPr="00EC1AB2">
        <w:t>EVCA</w:t>
      </w:r>
      <w:r w:rsidR="007915D7" w:rsidRPr="00EC1AB2">
        <w:t xml:space="preserve"> (2010) ataskaitoje minimos dvi rizikos rūšys, kurios paskat</w:t>
      </w:r>
      <w:r w:rsidR="004A037E" w:rsidRPr="00EC1AB2">
        <w:t xml:space="preserve">ino reguliuoti </w:t>
      </w:r>
      <w:r w:rsidR="0014384D" w:rsidRPr="00EC1AB2">
        <w:t>AIFV</w:t>
      </w:r>
      <w:r w:rsidR="007915D7" w:rsidRPr="00EC1AB2">
        <w:t>:</w:t>
      </w:r>
    </w:p>
    <w:p w:rsidR="007915D7" w:rsidRPr="00EC1AB2" w:rsidRDefault="007915D7" w:rsidP="007A02A8">
      <w:pPr>
        <w:pStyle w:val="ListParagraph"/>
        <w:numPr>
          <w:ilvl w:val="0"/>
          <w:numId w:val="32"/>
        </w:numPr>
        <w:spacing w:after="0" w:line="360" w:lineRule="auto"/>
        <w:jc w:val="both"/>
        <w:textAlignment w:val="baseline"/>
        <w:rPr>
          <w:rFonts w:ascii="Times New Roman" w:hAnsi="Times New Roman" w:cs="Times New Roman"/>
          <w:sz w:val="24"/>
          <w:szCs w:val="24"/>
        </w:rPr>
      </w:pPr>
      <w:r w:rsidRPr="00EC1AB2">
        <w:rPr>
          <w:rFonts w:ascii="Times New Roman" w:eastAsia="+mn-ea" w:hAnsi="Times New Roman" w:cs="Times New Roman"/>
          <w:bCs/>
          <w:i/>
          <w:sz w:val="24"/>
          <w:szCs w:val="24"/>
        </w:rPr>
        <w:t>Makro rizika</w:t>
      </w:r>
      <w:r w:rsidRPr="00EC1AB2">
        <w:rPr>
          <w:rFonts w:ascii="Times New Roman" w:eastAsia="+mn-ea" w:hAnsi="Times New Roman" w:cs="Times New Roman"/>
          <w:bCs/>
          <w:sz w:val="24"/>
          <w:szCs w:val="24"/>
        </w:rPr>
        <w:t xml:space="preserve">, kurią </w:t>
      </w:r>
      <w:r w:rsidRPr="00EC1AB2">
        <w:rPr>
          <w:rFonts w:ascii="Times New Roman" w:eastAsia="+mn-ea" w:hAnsi="Times New Roman" w:cs="Times New Roman"/>
          <w:b/>
          <w:bCs/>
          <w:sz w:val="24"/>
          <w:szCs w:val="24"/>
        </w:rPr>
        <w:t xml:space="preserve"> </w:t>
      </w:r>
      <w:r w:rsidRPr="00EC1AB2">
        <w:rPr>
          <w:rFonts w:ascii="Times New Roman" w:eastAsia="+mn-ea" w:hAnsi="Times New Roman" w:cs="Times New Roman"/>
          <w:sz w:val="24"/>
          <w:szCs w:val="24"/>
        </w:rPr>
        <w:t xml:space="preserve">daugiausia kelia rizikos draudimo fondai (angl. - </w:t>
      </w:r>
      <w:r w:rsidRPr="00EC1AB2">
        <w:rPr>
          <w:rFonts w:ascii="Times New Roman" w:eastAsia="+mn-ea" w:hAnsi="Times New Roman" w:cs="Times New Roman"/>
          <w:i/>
          <w:iCs/>
          <w:sz w:val="24"/>
          <w:szCs w:val="24"/>
        </w:rPr>
        <w:t>hedge funds</w:t>
      </w:r>
      <w:r w:rsidRPr="00EC1AB2">
        <w:rPr>
          <w:rFonts w:ascii="Times New Roman" w:eastAsia="+mn-ea" w:hAnsi="Times New Roman" w:cs="Times New Roman"/>
          <w:sz w:val="24"/>
          <w:szCs w:val="24"/>
        </w:rPr>
        <w:t>) ir žaliavų fondai, naudojantys finansinius svertus, taip pat investiciniame portfelyje esančių bendrovių valdymo rizikos priskirtinos privataus kapitalo investiciniams fondams;</w:t>
      </w:r>
    </w:p>
    <w:p w:rsidR="007915D7" w:rsidRPr="00EC1AB2" w:rsidRDefault="007915D7" w:rsidP="007A02A8">
      <w:pPr>
        <w:pStyle w:val="ListParagraph"/>
        <w:numPr>
          <w:ilvl w:val="0"/>
          <w:numId w:val="32"/>
        </w:numPr>
        <w:spacing w:after="0" w:line="360" w:lineRule="auto"/>
        <w:jc w:val="both"/>
        <w:textAlignment w:val="baseline"/>
        <w:rPr>
          <w:rFonts w:ascii="Times New Roman" w:hAnsi="Times New Roman" w:cs="Times New Roman"/>
          <w:sz w:val="24"/>
          <w:szCs w:val="24"/>
        </w:rPr>
      </w:pPr>
      <w:r w:rsidRPr="00EC1AB2">
        <w:rPr>
          <w:rFonts w:ascii="Times New Roman" w:eastAsia="+mn-ea" w:hAnsi="Times New Roman" w:cs="Times New Roman"/>
          <w:bCs/>
          <w:i/>
          <w:sz w:val="24"/>
          <w:szCs w:val="24"/>
        </w:rPr>
        <w:t>Mikro rizika</w:t>
      </w:r>
      <w:r w:rsidRPr="00EC1AB2">
        <w:rPr>
          <w:rFonts w:ascii="Times New Roman" w:eastAsia="+mn-ea" w:hAnsi="Times New Roman" w:cs="Times New Roman"/>
          <w:sz w:val="24"/>
          <w:szCs w:val="24"/>
        </w:rPr>
        <w:t xml:space="preserve">, kuri kyla dėl nepakankamos vidaus rizikos kontrolės sistemos, būdingos visiems fondams. </w:t>
      </w:r>
    </w:p>
    <w:p w:rsidR="007915D7" w:rsidRPr="00EC1AB2" w:rsidRDefault="007915D7" w:rsidP="007A02A8">
      <w:pPr>
        <w:spacing w:after="0" w:line="360" w:lineRule="auto"/>
        <w:ind w:firstLine="567"/>
        <w:jc w:val="both"/>
        <w:textAlignment w:val="baseline"/>
        <w:rPr>
          <w:rFonts w:ascii="Times New Roman" w:eastAsia="+mn-ea" w:hAnsi="Times New Roman" w:cs="Times New Roman"/>
          <w:sz w:val="24"/>
          <w:szCs w:val="24"/>
        </w:rPr>
      </w:pPr>
      <w:r w:rsidRPr="00EC1AB2">
        <w:rPr>
          <w:rFonts w:ascii="Times New Roman" w:eastAsia="+mn-ea" w:hAnsi="Times New Roman" w:cs="Times New Roman"/>
          <w:bCs/>
          <w:sz w:val="24"/>
          <w:szCs w:val="24"/>
        </w:rPr>
        <w:t>Anot Raidla Lejins &amp; Norcous (2010), reguliavimo būtinumas pagrindžiamas tuo, jog</w:t>
      </w:r>
      <w:r w:rsidRPr="00EC1AB2">
        <w:rPr>
          <w:rFonts w:ascii="Times New Roman" w:eastAsia="+mn-ea" w:hAnsi="Times New Roman" w:cs="Times New Roman"/>
          <w:sz w:val="24"/>
          <w:szCs w:val="24"/>
        </w:rPr>
        <w:t xml:space="preserve"> dėl fondų veiklos </w:t>
      </w:r>
      <w:r w:rsidRPr="00EC1AB2">
        <w:rPr>
          <w:rFonts w:ascii="Times New Roman" w:eastAsia="+mn-ea" w:hAnsi="Times New Roman" w:cs="Times New Roman"/>
          <w:bCs/>
          <w:sz w:val="24"/>
          <w:szCs w:val="24"/>
        </w:rPr>
        <w:t>tarptautinio pobūdžio</w:t>
      </w:r>
      <w:r w:rsidRPr="00EC1AB2">
        <w:rPr>
          <w:rFonts w:ascii="Times New Roman" w:eastAsia="+mn-ea" w:hAnsi="Times New Roman" w:cs="Times New Roman"/>
          <w:b/>
          <w:bCs/>
          <w:sz w:val="24"/>
          <w:szCs w:val="24"/>
        </w:rPr>
        <w:t xml:space="preserve"> </w:t>
      </w:r>
      <w:r w:rsidRPr="00EC1AB2">
        <w:rPr>
          <w:rFonts w:ascii="Times New Roman" w:eastAsia="+mn-ea" w:hAnsi="Times New Roman" w:cs="Times New Roman"/>
          <w:sz w:val="24"/>
          <w:szCs w:val="24"/>
        </w:rPr>
        <w:t xml:space="preserve">jų keliamos rizikos yra tarptautinės, t.y. nesusijusios tik su viena rinka ar turto rūšimi. AIFV dažnai veikia skirtingose valstybėse (AIF registravimo vieta, AIFV registravimo vieta, AIF siūlymo vieta, investuotojų vieta, kreditorių vieta, įsigijimo objektų vieta), kadangi rizika peržengia vienos valstybės ribas, šių fondų veikla ypač pavojinga rinkos stabilumui. </w:t>
      </w:r>
      <w:r w:rsidRPr="00EC1AB2">
        <w:rPr>
          <w:rFonts w:ascii="Times New Roman" w:hAnsi="Times New Roman" w:cs="Times New Roman"/>
          <w:sz w:val="24"/>
          <w:szCs w:val="24"/>
        </w:rPr>
        <w:t xml:space="preserve"> </w:t>
      </w:r>
      <w:r w:rsidRPr="00EC1AB2">
        <w:rPr>
          <w:rFonts w:ascii="Times New Roman" w:eastAsia="+mn-ea" w:hAnsi="Times New Roman" w:cs="Times New Roman"/>
          <w:sz w:val="24"/>
          <w:szCs w:val="24"/>
        </w:rPr>
        <w:t>AIFV gali turėti esminę įtaką kainų formavimui ir likvidumui skirtingose finansų rinkose.</w:t>
      </w:r>
      <w:r w:rsidRPr="00EC1AB2">
        <w:rPr>
          <w:rFonts w:ascii="Times New Roman" w:hAnsi="Times New Roman" w:cs="Times New Roman"/>
          <w:sz w:val="24"/>
          <w:szCs w:val="24"/>
        </w:rPr>
        <w:t xml:space="preserve"> </w:t>
      </w:r>
      <w:r w:rsidRPr="00EC1AB2">
        <w:rPr>
          <w:rFonts w:ascii="Times New Roman" w:eastAsia="+mn-ea" w:hAnsi="Times New Roman" w:cs="Times New Roman"/>
          <w:sz w:val="24"/>
          <w:szCs w:val="24"/>
        </w:rPr>
        <w:t xml:space="preserve">Finansų rinkos glaudžiai susijusios, rizikos, kilusios vienoje nacionalinėje rinkoje, greitai įtakoja kitas rinkas, todėl buvo nuspręsta, kad tik per bendrą rinkų reguliavimą galima efektyviai sumažinti rizikas. </w:t>
      </w:r>
    </w:p>
    <w:p w:rsidR="007915D7" w:rsidRPr="00EC1AB2" w:rsidRDefault="0014384D" w:rsidP="007A02A8">
      <w:pPr>
        <w:pStyle w:val="NormalWeb"/>
        <w:spacing w:line="360" w:lineRule="auto"/>
        <w:ind w:firstLine="567"/>
        <w:jc w:val="both"/>
        <w:textAlignment w:val="baseline"/>
      </w:pPr>
      <w:r w:rsidRPr="00EC1AB2">
        <w:rPr>
          <w:rFonts w:eastAsia="+mn-ea"/>
        </w:rPr>
        <w:t xml:space="preserve">Remiantis </w:t>
      </w:r>
      <w:r w:rsidRPr="00EC1AB2">
        <w:rPr>
          <w:bCs/>
        </w:rPr>
        <w:t xml:space="preserve">Charles Rivers Associate (2010), </w:t>
      </w:r>
      <w:r w:rsidRPr="00EC1AB2">
        <w:rPr>
          <w:rFonts w:eastAsia="+mn-ea"/>
        </w:rPr>
        <w:t>g</w:t>
      </w:r>
      <w:r w:rsidR="007915D7" w:rsidRPr="00EC1AB2">
        <w:rPr>
          <w:rFonts w:eastAsia="+mn-ea"/>
        </w:rPr>
        <w:t>alima išskirti šiuos pagrindinius AIFV direktyvos tikslus:</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Užtikrinti, kad AIFV būtų taikomi tinkami veiklos leidimo ir registracijos reikalavimai;</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Sukurti tinkamą makrolygio rizikos ribojimo ir stebėsenos sistemą;</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Nustatyti AIF investuotojų apsaugos metodus;</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Didinti AIFV, turinčių bendrovių kontrolinius paketus, atsakomybę;</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Sukurti vieningą AIF rinką;</w:t>
      </w:r>
    </w:p>
    <w:p w:rsidR="007915D7" w:rsidRPr="00EC1AB2" w:rsidRDefault="007915D7" w:rsidP="007A02A8">
      <w:pPr>
        <w:pStyle w:val="ListParagraph"/>
        <w:numPr>
          <w:ilvl w:val="0"/>
          <w:numId w:val="33"/>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lastRenderedPageBreak/>
        <w:t>Užtikrinti veiksmų proporcingumą keliamai rizikai ir tinkamą diferencijavimą, atsižvelgiant į AIFV verslo modelio skirtumus.</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eastAsia="+mn-ea" w:hAnsi="Times New Roman" w:cs="Times New Roman"/>
          <w:sz w:val="24"/>
          <w:szCs w:val="24"/>
        </w:rPr>
        <w:t>P</w:t>
      </w:r>
      <w:r w:rsidR="00D841D1" w:rsidRPr="00EC1AB2">
        <w:rPr>
          <w:rFonts w:ascii="Times New Roman" w:eastAsia="+mn-ea" w:hAnsi="Times New Roman" w:cs="Times New Roman"/>
          <w:sz w:val="24"/>
          <w:szCs w:val="24"/>
        </w:rPr>
        <w:t xml:space="preserve">aminėtina, kad direktyva siekiama </w:t>
      </w:r>
      <w:r w:rsidRPr="00EC1AB2">
        <w:rPr>
          <w:rFonts w:ascii="Times New Roman" w:eastAsia="+mn-ea" w:hAnsi="Times New Roman" w:cs="Times New Roman"/>
          <w:sz w:val="24"/>
          <w:szCs w:val="24"/>
        </w:rPr>
        <w:t>reguliuoti tik tuos AIFV, kurių investicinė veikla kelia makro-lygio riziką finansų rinkoms, todėl direktyva numato</w:t>
      </w:r>
      <w:r w:rsidRPr="00EC1AB2">
        <w:rPr>
          <w:rFonts w:ascii="Times New Roman" w:eastAsia="+mn-ea" w:hAnsi="Times New Roman" w:cs="Times New Roman"/>
          <w:i/>
          <w:iCs/>
          <w:sz w:val="24"/>
          <w:szCs w:val="24"/>
        </w:rPr>
        <w:t xml:space="preserve"> </w:t>
      </w:r>
      <w:r w:rsidRPr="00EC1AB2">
        <w:rPr>
          <w:rFonts w:ascii="Times New Roman" w:eastAsia="+mn-ea" w:hAnsi="Times New Roman" w:cs="Times New Roman"/>
          <w:sz w:val="24"/>
          <w:szCs w:val="24"/>
        </w:rPr>
        <w:t xml:space="preserve">išimtis AIFV valdantiems portfelius tokių AIF, kurių bendras valdomas turtas, įskaitant visą turtą, įgytą naudojant finansinį svertą, neviršija 100 mln. EUR ribos arba 500 mln. EUR ribos, kai AIF portfelį sudaro AIF, kurie nenaudoja finansinio sverto ir neturi išpirkimo teisių, vykdytinų per 5 metus nuo kiekvieno AIF įsteigimo datos. </w:t>
      </w:r>
    </w:p>
    <w:p w:rsidR="007915D7" w:rsidRPr="00EC1AB2" w:rsidRDefault="00CC1E52" w:rsidP="007A02A8">
      <w:pPr>
        <w:kinsoku w:val="0"/>
        <w:overflowPunct w:val="0"/>
        <w:spacing w:after="0" w:line="360" w:lineRule="auto"/>
        <w:ind w:firstLine="567"/>
        <w:jc w:val="both"/>
        <w:textAlignment w:val="baseline"/>
        <w:rPr>
          <w:rFonts w:ascii="Times New Roman" w:eastAsia="+mn-ea" w:hAnsi="Times New Roman" w:cs="Times New Roman"/>
          <w:sz w:val="24"/>
          <w:szCs w:val="24"/>
        </w:rPr>
      </w:pPr>
      <w:r w:rsidRPr="00EC1AB2">
        <w:rPr>
          <w:rFonts w:ascii="Times New Roman" w:eastAsia="+mn-ea" w:hAnsi="Times New Roman" w:cs="Times New Roman"/>
          <w:kern w:val="24"/>
          <w:sz w:val="24"/>
          <w:szCs w:val="24"/>
        </w:rPr>
        <w:t>AIFV d</w:t>
      </w:r>
      <w:r w:rsidR="007915D7" w:rsidRPr="00EC1AB2">
        <w:rPr>
          <w:rFonts w:ascii="Times New Roman" w:eastAsia="+mn-ea" w:hAnsi="Times New Roman" w:cs="Times New Roman"/>
          <w:kern w:val="24"/>
          <w:sz w:val="24"/>
          <w:szCs w:val="24"/>
        </w:rPr>
        <w:t>irektyvoje įtvirtinta nuostata, kad Jeigu AIFV išduotas leidimas vykdyti veiklą vienoje ES valstybėje narėje, AIFV gali vykdyti tą pačią veiklą taip pat ir visose likusiose ES valstybėse narėse, taip pat nustatyta AIFV teisė teikti AIF, kuris registruotas kitoje ES valstybėje narėje, valdymo paslaugas tiesiogiai arba per įsteigtą filialą. Europos Sąjungos valstybė narė, kurioje AIFV paslaugos yra teikiamos, tampa atsakinga už AIFV priežiūrą.</w:t>
      </w:r>
      <w:r w:rsidR="007915D7" w:rsidRPr="00EC1AB2">
        <w:rPr>
          <w:rFonts w:ascii="Times New Roman" w:hAnsi="Times New Roman" w:cs="Times New Roman"/>
          <w:sz w:val="24"/>
          <w:szCs w:val="24"/>
        </w:rPr>
        <w:t xml:space="preserve"> Paminėtina, kad </w:t>
      </w:r>
      <w:r w:rsidR="005734F3" w:rsidRPr="00EC1AB2">
        <w:rPr>
          <w:rFonts w:ascii="Times New Roman" w:eastAsia="+mn-ea" w:hAnsi="Times New Roman" w:cs="Times New Roman"/>
          <w:kern w:val="24"/>
          <w:sz w:val="24"/>
          <w:szCs w:val="24"/>
        </w:rPr>
        <w:t>ne ES</w:t>
      </w:r>
      <w:r w:rsidR="007915D7" w:rsidRPr="00EC1AB2">
        <w:rPr>
          <w:rFonts w:ascii="Times New Roman" w:eastAsia="+mn-ea" w:hAnsi="Times New Roman" w:cs="Times New Roman"/>
          <w:kern w:val="24"/>
          <w:sz w:val="24"/>
          <w:szCs w:val="24"/>
        </w:rPr>
        <w:t xml:space="preserve"> AI</w:t>
      </w:r>
      <w:r w:rsidR="005734F3" w:rsidRPr="00EC1AB2">
        <w:rPr>
          <w:rFonts w:ascii="Times New Roman" w:eastAsia="+mn-ea" w:hAnsi="Times New Roman" w:cs="Times New Roman"/>
          <w:kern w:val="24"/>
          <w:sz w:val="24"/>
          <w:szCs w:val="24"/>
        </w:rPr>
        <w:t>FV gali veikti ES</w:t>
      </w:r>
      <w:r w:rsidR="007915D7" w:rsidRPr="00EC1AB2">
        <w:rPr>
          <w:rFonts w:ascii="Times New Roman" w:eastAsia="+mn-ea" w:hAnsi="Times New Roman" w:cs="Times New Roman"/>
          <w:kern w:val="24"/>
          <w:sz w:val="24"/>
          <w:szCs w:val="24"/>
        </w:rPr>
        <w:t>, tik jeigu gauna veiklos leidi</w:t>
      </w:r>
      <w:r w:rsidR="005734F3" w:rsidRPr="00EC1AB2">
        <w:rPr>
          <w:rFonts w:ascii="Times New Roman" w:eastAsia="+mn-ea" w:hAnsi="Times New Roman" w:cs="Times New Roman"/>
          <w:kern w:val="24"/>
          <w:sz w:val="24"/>
          <w:szCs w:val="24"/>
        </w:rPr>
        <w:t>mą kurioje nors ES</w:t>
      </w:r>
      <w:r w:rsidR="007915D7" w:rsidRPr="00EC1AB2">
        <w:rPr>
          <w:rFonts w:ascii="Times New Roman" w:eastAsia="+mn-ea" w:hAnsi="Times New Roman" w:cs="Times New Roman"/>
          <w:kern w:val="24"/>
          <w:sz w:val="24"/>
          <w:szCs w:val="24"/>
        </w:rPr>
        <w:t xml:space="preserve"> valstybėje narėje.</w:t>
      </w:r>
      <w:r w:rsidR="007915D7" w:rsidRPr="00EC1AB2">
        <w:rPr>
          <w:rFonts w:ascii="Times New Roman" w:hAnsi="Times New Roman" w:cs="Times New Roman"/>
          <w:sz w:val="24"/>
          <w:szCs w:val="24"/>
        </w:rPr>
        <w:t xml:space="preserve"> </w:t>
      </w:r>
    </w:p>
    <w:p w:rsidR="007915D7" w:rsidRPr="00EC1AB2" w:rsidRDefault="007915D7" w:rsidP="007A02A8">
      <w:pPr>
        <w:kinsoku w:val="0"/>
        <w:overflowPunct w:val="0"/>
        <w:spacing w:after="0" w:line="360" w:lineRule="auto"/>
        <w:ind w:firstLine="567"/>
        <w:jc w:val="both"/>
        <w:textAlignment w:val="baseline"/>
        <w:rPr>
          <w:rFonts w:ascii="Times New Roman" w:hAnsi="Times New Roman" w:cs="Times New Roman"/>
          <w:sz w:val="24"/>
          <w:szCs w:val="24"/>
        </w:rPr>
      </w:pPr>
      <w:r w:rsidRPr="00EC1AB2">
        <w:rPr>
          <w:rFonts w:ascii="Times New Roman" w:eastAsia="+mn-ea" w:hAnsi="Times New Roman" w:cs="Times New Roman"/>
          <w:sz w:val="24"/>
          <w:szCs w:val="24"/>
        </w:rPr>
        <w:t xml:space="preserve">Taigi, </w:t>
      </w:r>
      <w:r w:rsidR="003E73F2" w:rsidRPr="00EC1AB2">
        <w:rPr>
          <w:rFonts w:ascii="Times New Roman" w:eastAsia="+mn-ea" w:hAnsi="Times New Roman" w:cs="Times New Roman"/>
          <w:sz w:val="24"/>
          <w:szCs w:val="24"/>
        </w:rPr>
        <w:t xml:space="preserve">kaip teigiama EVCA (2010) </w:t>
      </w:r>
      <w:r w:rsidR="00CC1E52" w:rsidRPr="00EC1AB2">
        <w:rPr>
          <w:rFonts w:ascii="Times New Roman" w:eastAsia="+mn-ea" w:hAnsi="Times New Roman" w:cs="Times New Roman"/>
          <w:sz w:val="24"/>
          <w:szCs w:val="24"/>
        </w:rPr>
        <w:t>AIFV d</w:t>
      </w:r>
      <w:r w:rsidRPr="00EC1AB2">
        <w:rPr>
          <w:rFonts w:ascii="Times New Roman" w:eastAsia="+mn-ea" w:hAnsi="Times New Roman" w:cs="Times New Roman"/>
          <w:sz w:val="24"/>
          <w:szCs w:val="24"/>
        </w:rPr>
        <w:t>irektyva siekiama reguliuoti AIFV, kurie valdo AIF ir sistemiškai naudoja didelius finansinius svertus.</w:t>
      </w:r>
      <w:r w:rsidRPr="00EC1AB2">
        <w:rPr>
          <w:rFonts w:ascii="Times New Roman" w:hAnsi="Times New Roman" w:cs="Times New Roman"/>
          <w:sz w:val="24"/>
          <w:szCs w:val="24"/>
        </w:rPr>
        <w:t xml:space="preserve"> </w:t>
      </w:r>
      <w:r w:rsidRPr="00EC1AB2">
        <w:rPr>
          <w:rFonts w:ascii="Times New Roman" w:eastAsia="+mn-ea" w:hAnsi="Times New Roman" w:cs="Times New Roman"/>
          <w:sz w:val="24"/>
          <w:szCs w:val="24"/>
        </w:rPr>
        <w:t>AIFV turi pareigą kas ketvirtį įvertinti, ar sistemiškai naudoja didelį finansinį svertą, ir informuoti atitinkamas institucijas. Laikoma, kad AIF sistemiškai naudoja didelį finansinį svertą, kai bendras finansinis svertas iš visų šaltinių viršija AIF nuosavą kapitalą du iš paskutinių keturių ketvirčių.</w:t>
      </w:r>
      <w:r w:rsidRPr="00EC1AB2">
        <w:rPr>
          <w:rFonts w:ascii="Times New Roman" w:hAnsi="Times New Roman" w:cs="Times New Roman"/>
          <w:sz w:val="24"/>
          <w:szCs w:val="24"/>
        </w:rPr>
        <w:t xml:space="preserve"> </w:t>
      </w:r>
      <w:r w:rsidRPr="00EC1AB2">
        <w:rPr>
          <w:rFonts w:ascii="Times New Roman" w:eastAsia="+mn-ea" w:hAnsi="Times New Roman" w:cs="Times New Roman"/>
          <w:sz w:val="24"/>
          <w:szCs w:val="24"/>
        </w:rPr>
        <w:t>Jeigu sistemiškai naudojamas didelis finansinis svertas, kyla pareiga atskleisti informaciją apie svertus ir skolint</w:t>
      </w:r>
      <w:r w:rsidR="005734F3" w:rsidRPr="00EC1AB2">
        <w:rPr>
          <w:rFonts w:ascii="Times New Roman" w:eastAsia="+mn-ea" w:hAnsi="Times New Roman" w:cs="Times New Roman"/>
          <w:sz w:val="24"/>
          <w:szCs w:val="24"/>
        </w:rPr>
        <w:t>ojus investuotojams bei kompetent</w:t>
      </w:r>
      <w:r w:rsidRPr="00EC1AB2">
        <w:rPr>
          <w:rFonts w:ascii="Times New Roman" w:eastAsia="+mn-ea" w:hAnsi="Times New Roman" w:cs="Times New Roman"/>
          <w:sz w:val="24"/>
          <w:szCs w:val="24"/>
        </w:rPr>
        <w:t xml:space="preserve">ingoms institucijoms. </w:t>
      </w:r>
    </w:p>
    <w:p w:rsidR="007915D7" w:rsidRPr="00EC1AB2" w:rsidRDefault="005734F3" w:rsidP="007A02A8">
      <w:pPr>
        <w:spacing w:after="0" w:line="360" w:lineRule="auto"/>
        <w:ind w:firstLine="567"/>
        <w:jc w:val="both"/>
        <w:textAlignment w:val="baseline"/>
        <w:rPr>
          <w:rFonts w:ascii="Times New Roman" w:hAnsi="Times New Roman" w:cs="Times New Roman"/>
          <w:sz w:val="24"/>
          <w:szCs w:val="24"/>
        </w:rPr>
      </w:pPr>
      <w:r w:rsidRPr="00EC1AB2">
        <w:rPr>
          <w:rFonts w:ascii="Times New Roman" w:eastAsia="+mn-ea" w:hAnsi="Times New Roman" w:cs="Times New Roman"/>
          <w:sz w:val="24"/>
          <w:szCs w:val="24"/>
        </w:rPr>
        <w:t>Direktyvoje</w:t>
      </w:r>
      <w:r w:rsidR="007915D7" w:rsidRPr="00EC1AB2">
        <w:rPr>
          <w:rFonts w:ascii="Times New Roman" w:eastAsia="+mn-ea" w:hAnsi="Times New Roman" w:cs="Times New Roman"/>
          <w:sz w:val="24"/>
          <w:szCs w:val="24"/>
        </w:rPr>
        <w:t xml:space="preserve"> įtvirtinta </w:t>
      </w:r>
      <w:r w:rsidR="007915D7" w:rsidRPr="00EC1AB2">
        <w:rPr>
          <w:rFonts w:ascii="Times New Roman" w:eastAsia="+mn-ea" w:hAnsi="Times New Roman" w:cs="Times New Roman"/>
          <w:kern w:val="24"/>
          <w:sz w:val="24"/>
          <w:szCs w:val="24"/>
        </w:rPr>
        <w:t>minimalaus kapitalo riba – 125 000 EUR, j</w:t>
      </w:r>
      <w:r w:rsidRPr="00EC1AB2">
        <w:rPr>
          <w:rFonts w:ascii="Times New Roman" w:eastAsia="+mn-ea" w:hAnsi="Times New Roman" w:cs="Times New Roman"/>
          <w:kern w:val="24"/>
          <w:sz w:val="24"/>
          <w:szCs w:val="24"/>
        </w:rPr>
        <w:t>eigu AIFV portfelio vertė viršija 250 mln. EUR, AIFV privalo</w:t>
      </w:r>
      <w:r w:rsidR="007915D7" w:rsidRPr="00EC1AB2">
        <w:rPr>
          <w:rFonts w:ascii="Times New Roman" w:eastAsia="+mn-ea" w:hAnsi="Times New Roman" w:cs="Times New Roman"/>
          <w:kern w:val="24"/>
          <w:sz w:val="24"/>
          <w:szCs w:val="24"/>
        </w:rPr>
        <w:t xml:space="preserve"> turėti papildomą kiekį</w:t>
      </w:r>
      <w:r w:rsidRPr="00EC1AB2">
        <w:rPr>
          <w:rFonts w:ascii="Times New Roman" w:eastAsia="+mn-ea" w:hAnsi="Times New Roman" w:cs="Times New Roman"/>
          <w:kern w:val="24"/>
          <w:sz w:val="24"/>
          <w:szCs w:val="24"/>
        </w:rPr>
        <w:t xml:space="preserve"> nuosavų lėšų. Toks kiekis turi</w:t>
      </w:r>
      <w:r w:rsidR="007915D7" w:rsidRPr="00EC1AB2">
        <w:rPr>
          <w:rFonts w:ascii="Times New Roman" w:eastAsia="+mn-ea" w:hAnsi="Times New Roman" w:cs="Times New Roman"/>
          <w:kern w:val="24"/>
          <w:sz w:val="24"/>
          <w:szCs w:val="24"/>
        </w:rPr>
        <w:t xml:space="preserve"> būti lygus 0.02%, skaičiuojant šį procentą nuo sumos, kuria portfelių vertė viršija 250 mln. EUR. </w:t>
      </w:r>
    </w:p>
    <w:p w:rsidR="007915D7" w:rsidRPr="00EC1AB2" w:rsidRDefault="007915D7" w:rsidP="007A02A8">
      <w:pPr>
        <w:spacing w:after="0" w:line="360" w:lineRule="auto"/>
        <w:ind w:firstLine="567"/>
        <w:jc w:val="both"/>
        <w:textAlignment w:val="baseline"/>
        <w:rPr>
          <w:rFonts w:ascii="Times New Roman" w:hAnsi="Times New Roman" w:cs="Times New Roman"/>
          <w:sz w:val="24"/>
          <w:szCs w:val="24"/>
        </w:rPr>
      </w:pPr>
      <w:r w:rsidRPr="00EC1AB2">
        <w:rPr>
          <w:rFonts w:ascii="Times New Roman" w:eastAsia="+mn-ea" w:hAnsi="Times New Roman" w:cs="Times New Roman"/>
          <w:kern w:val="24"/>
          <w:sz w:val="24"/>
          <w:szCs w:val="24"/>
        </w:rPr>
        <w:t>Galima pastebėti, jog privataus kapitalo, rizikos draudimo bei nekilnojamojo turto fondai turi skirtingus verslo</w:t>
      </w:r>
      <w:r w:rsidR="003E73F2" w:rsidRPr="00EC1AB2">
        <w:rPr>
          <w:rFonts w:ascii="Times New Roman" w:eastAsia="+mn-ea" w:hAnsi="Times New Roman" w:cs="Times New Roman"/>
          <w:kern w:val="24"/>
          <w:sz w:val="24"/>
          <w:szCs w:val="24"/>
        </w:rPr>
        <w:t xml:space="preserve"> modelius, to nepaisymas šioje d</w:t>
      </w:r>
      <w:r w:rsidRPr="00EC1AB2">
        <w:rPr>
          <w:rFonts w:ascii="Times New Roman" w:eastAsia="+mn-ea" w:hAnsi="Times New Roman" w:cs="Times New Roman"/>
          <w:kern w:val="24"/>
          <w:sz w:val="24"/>
          <w:szCs w:val="24"/>
        </w:rPr>
        <w:t xml:space="preserve">irektyvoje iškreipia konkurencijos sąlygas skirtingiems fondams. </w:t>
      </w:r>
      <w:r w:rsidRPr="00EC1AB2">
        <w:rPr>
          <w:rFonts w:ascii="Times New Roman" w:hAnsi="Times New Roman" w:cs="Times New Roman"/>
          <w:sz w:val="24"/>
          <w:szCs w:val="24"/>
        </w:rPr>
        <w:t xml:space="preserve">EVCA (2010)  vertindama </w:t>
      </w:r>
      <w:r w:rsidR="003E73F2" w:rsidRPr="00EC1AB2">
        <w:rPr>
          <w:rFonts w:ascii="Times New Roman" w:hAnsi="Times New Roman" w:cs="Times New Roman"/>
          <w:sz w:val="24"/>
          <w:szCs w:val="24"/>
        </w:rPr>
        <w:t>d</w:t>
      </w:r>
      <w:r w:rsidRPr="00EC1AB2">
        <w:rPr>
          <w:rFonts w:ascii="Times New Roman" w:eastAsia="+mn-ea" w:hAnsi="Times New Roman" w:cs="Times New Roman"/>
          <w:kern w:val="24"/>
          <w:sz w:val="24"/>
          <w:szCs w:val="24"/>
        </w:rPr>
        <w:t>irektyvą, kaip neigiamas pasekmes/grėsmes išskiria:</w:t>
      </w:r>
    </w:p>
    <w:p w:rsidR="007915D7" w:rsidRPr="00EC1AB2" w:rsidRDefault="007915D7" w:rsidP="007A02A8">
      <w:pPr>
        <w:pStyle w:val="ListParagraph"/>
        <w:numPr>
          <w:ilvl w:val="0"/>
          <w:numId w:val="34"/>
        </w:numPr>
        <w:spacing w:after="0" w:line="360" w:lineRule="auto"/>
        <w:jc w:val="both"/>
        <w:textAlignment w:val="baseline"/>
        <w:rPr>
          <w:rFonts w:ascii="Times New Roman" w:hAnsi="Times New Roman" w:cs="Times New Roman"/>
          <w:sz w:val="24"/>
          <w:szCs w:val="24"/>
        </w:rPr>
      </w:pPr>
      <w:r w:rsidRPr="00EC1AB2">
        <w:rPr>
          <w:rFonts w:ascii="Times New Roman" w:eastAsia="+mn-ea" w:hAnsi="Times New Roman" w:cs="Times New Roman"/>
          <w:kern w:val="24"/>
          <w:sz w:val="24"/>
          <w:szCs w:val="24"/>
        </w:rPr>
        <w:t>Smarkiai išaugsiantį reguliuojančių institucijų darbo krūvį;</w:t>
      </w:r>
    </w:p>
    <w:p w:rsidR="007915D7" w:rsidRPr="00EC1AB2" w:rsidRDefault="007915D7" w:rsidP="007A02A8">
      <w:pPr>
        <w:pStyle w:val="ListParagraph"/>
        <w:numPr>
          <w:ilvl w:val="0"/>
          <w:numId w:val="34"/>
        </w:numPr>
        <w:spacing w:after="0" w:line="360" w:lineRule="auto"/>
        <w:jc w:val="both"/>
        <w:textAlignment w:val="baseline"/>
        <w:rPr>
          <w:rFonts w:ascii="Times New Roman" w:hAnsi="Times New Roman" w:cs="Times New Roman"/>
          <w:sz w:val="24"/>
          <w:szCs w:val="24"/>
        </w:rPr>
      </w:pPr>
      <w:r w:rsidRPr="00EC1AB2">
        <w:rPr>
          <w:rFonts w:ascii="Times New Roman" w:eastAsia="+mn-ea" w:hAnsi="Times New Roman" w:cs="Times New Roman"/>
          <w:kern w:val="24"/>
          <w:sz w:val="24"/>
          <w:szCs w:val="24"/>
        </w:rPr>
        <w:t xml:space="preserve">Mažėsiantį finansinių produktų inovatyvumą; </w:t>
      </w:r>
    </w:p>
    <w:p w:rsidR="007915D7" w:rsidRPr="00EC1AB2" w:rsidRDefault="007915D7" w:rsidP="007A02A8">
      <w:pPr>
        <w:pStyle w:val="ListParagraph"/>
        <w:numPr>
          <w:ilvl w:val="0"/>
          <w:numId w:val="34"/>
        </w:numPr>
        <w:kinsoku w:val="0"/>
        <w:overflowPunct w:val="0"/>
        <w:spacing w:after="0" w:line="360" w:lineRule="auto"/>
        <w:jc w:val="both"/>
        <w:textAlignment w:val="baseline"/>
        <w:rPr>
          <w:rFonts w:ascii="Times New Roman" w:hAnsi="Times New Roman" w:cs="Times New Roman"/>
          <w:sz w:val="24"/>
          <w:szCs w:val="24"/>
        </w:rPr>
      </w:pPr>
      <w:r w:rsidRPr="00EC1AB2">
        <w:rPr>
          <w:rFonts w:ascii="Times New Roman" w:eastAsia="+mn-ea" w:hAnsi="Times New Roman" w:cs="Times New Roman"/>
          <w:kern w:val="24"/>
          <w:sz w:val="24"/>
          <w:szCs w:val="24"/>
        </w:rPr>
        <w:t>Apsunkinamą privataus kapitalo fondų veiklą (vertinimas, informacijos atskleidimas);</w:t>
      </w:r>
    </w:p>
    <w:p w:rsidR="007915D7" w:rsidRPr="00EC1AB2" w:rsidRDefault="005734F3" w:rsidP="007A02A8">
      <w:pPr>
        <w:kinsoku w:val="0"/>
        <w:overflowPunct w:val="0"/>
        <w:spacing w:after="0" w:line="360" w:lineRule="auto"/>
        <w:ind w:firstLine="567"/>
        <w:jc w:val="both"/>
        <w:textAlignment w:val="baseline"/>
        <w:rPr>
          <w:rFonts w:ascii="Times New Roman" w:eastAsia="+mn-ea" w:hAnsi="Times New Roman" w:cs="Times New Roman"/>
          <w:kern w:val="24"/>
          <w:sz w:val="24"/>
          <w:szCs w:val="24"/>
        </w:rPr>
      </w:pPr>
      <w:r w:rsidRPr="00EC1AB2">
        <w:rPr>
          <w:rFonts w:ascii="Times New Roman" w:eastAsia="+mn-ea" w:hAnsi="Times New Roman" w:cs="Times New Roman"/>
          <w:bCs/>
          <w:sz w:val="24"/>
          <w:szCs w:val="24"/>
        </w:rPr>
        <w:t>Anot Raidla Lejins &amp; Norcous (2010),</w:t>
      </w:r>
      <w:r w:rsidRPr="00EC1AB2">
        <w:rPr>
          <w:rFonts w:ascii="Times New Roman" w:eastAsia="+mj-ea" w:hAnsi="Times New Roman" w:cs="Times New Roman"/>
          <w:sz w:val="24"/>
          <w:szCs w:val="24"/>
        </w:rPr>
        <w:t xml:space="preserve"> dauguma ES</w:t>
      </w:r>
      <w:r w:rsidR="007915D7" w:rsidRPr="00EC1AB2">
        <w:rPr>
          <w:rFonts w:ascii="Times New Roman" w:eastAsia="+mn-ea" w:hAnsi="Times New Roman" w:cs="Times New Roman"/>
          <w:sz w:val="24"/>
          <w:szCs w:val="24"/>
        </w:rPr>
        <w:t xml:space="preserve"> jurisdikcijų išliks nepaveiktos, nes jos turi nedaug AIFV. </w:t>
      </w:r>
      <w:r w:rsidR="007915D7" w:rsidRPr="00EC1AB2">
        <w:rPr>
          <w:rFonts w:ascii="Times New Roman" w:eastAsia="+mn-ea" w:hAnsi="Times New Roman" w:cs="Times New Roman"/>
          <w:bCs/>
          <w:sz w:val="24"/>
          <w:szCs w:val="24"/>
        </w:rPr>
        <w:t xml:space="preserve">Labiausiai paveikiamos šalys bus: </w:t>
      </w:r>
      <w:r w:rsidR="007915D7" w:rsidRPr="00EC1AB2">
        <w:rPr>
          <w:rFonts w:ascii="Times New Roman" w:eastAsia="+mn-ea" w:hAnsi="Times New Roman" w:cs="Times New Roman"/>
          <w:sz w:val="24"/>
          <w:szCs w:val="24"/>
        </w:rPr>
        <w:t xml:space="preserve">Jungtinė Karalystė, Prancūzija, Vokietija, Liuksemburgas, Airija, Nyderlandų Karalystė. Prie mažiausiai paveikiamų jurisdikcijų galima priskirti Švediją, Italiją, Ispaniją, taip pat ir Lietuvą. </w:t>
      </w:r>
      <w:r w:rsidR="007915D7" w:rsidRPr="00EC1AB2">
        <w:rPr>
          <w:rFonts w:ascii="Times New Roman" w:eastAsia="+mn-ea" w:hAnsi="Times New Roman" w:cs="Times New Roman"/>
          <w:kern w:val="24"/>
          <w:sz w:val="24"/>
          <w:szCs w:val="24"/>
        </w:rPr>
        <w:t xml:space="preserve">Lietuvoje nėra AIF, kurių dydis siektų 100 mln. EUR ir </w:t>
      </w:r>
      <w:r w:rsidR="007915D7" w:rsidRPr="00EC1AB2">
        <w:rPr>
          <w:rFonts w:ascii="Times New Roman" w:eastAsia="+mn-ea" w:hAnsi="Times New Roman" w:cs="Times New Roman"/>
          <w:kern w:val="24"/>
          <w:sz w:val="24"/>
          <w:szCs w:val="24"/>
        </w:rPr>
        <w:lastRenderedPageBreak/>
        <w:t>kurie potencialiai galėtų kelti sisteminę riziką tarptautinėms fi</w:t>
      </w:r>
      <w:r w:rsidR="00CC1E52" w:rsidRPr="00EC1AB2">
        <w:rPr>
          <w:rFonts w:ascii="Times New Roman" w:eastAsia="+mn-ea" w:hAnsi="Times New Roman" w:cs="Times New Roman"/>
          <w:kern w:val="24"/>
          <w:sz w:val="24"/>
          <w:szCs w:val="24"/>
        </w:rPr>
        <w:t>nansų rinkoms, taigi, perkėlus d</w:t>
      </w:r>
      <w:r w:rsidR="007915D7" w:rsidRPr="00EC1AB2">
        <w:rPr>
          <w:rFonts w:ascii="Times New Roman" w:eastAsia="+mn-ea" w:hAnsi="Times New Roman" w:cs="Times New Roman"/>
          <w:kern w:val="24"/>
          <w:sz w:val="24"/>
          <w:szCs w:val="24"/>
        </w:rPr>
        <w:t xml:space="preserve">irektyvą į nacionalinę teisę 2012 metais, Lietuvos AIF nebūtų reguliuojami. </w:t>
      </w:r>
    </w:p>
    <w:p w:rsidR="0002135C" w:rsidRPr="00EC1AB2" w:rsidRDefault="00223F41" w:rsidP="007A02A8">
      <w:pPr>
        <w:kinsoku w:val="0"/>
        <w:overflowPunct w:val="0"/>
        <w:spacing w:after="0" w:line="360" w:lineRule="auto"/>
        <w:ind w:firstLine="567"/>
        <w:jc w:val="both"/>
        <w:textAlignment w:val="baseline"/>
        <w:rPr>
          <w:rFonts w:ascii="Times New Roman" w:eastAsia="+mn-ea" w:hAnsi="Times New Roman" w:cs="Times New Roman"/>
          <w:kern w:val="24"/>
          <w:sz w:val="24"/>
          <w:szCs w:val="24"/>
        </w:rPr>
      </w:pPr>
      <w:r w:rsidRPr="00EC1AB2">
        <w:rPr>
          <w:rFonts w:ascii="Times New Roman" w:eastAsia="+mn-ea" w:hAnsi="Times New Roman" w:cs="Times New Roman"/>
          <w:kern w:val="24"/>
          <w:sz w:val="24"/>
          <w:szCs w:val="24"/>
        </w:rPr>
        <w:t>Taigi, ES mastu RKF n</w:t>
      </w:r>
      <w:r w:rsidR="00FC4AAF" w:rsidRPr="00EC1AB2">
        <w:rPr>
          <w:rFonts w:ascii="Times New Roman" w:eastAsia="+mn-ea" w:hAnsi="Times New Roman" w:cs="Times New Roman"/>
          <w:kern w:val="24"/>
          <w:sz w:val="24"/>
          <w:szCs w:val="24"/>
        </w:rPr>
        <w:t>uo 2011 m. imta reguliuoti</w:t>
      </w:r>
      <w:r w:rsidR="007915D7" w:rsidRPr="00EC1AB2">
        <w:rPr>
          <w:rFonts w:ascii="Times New Roman" w:eastAsia="+mn-ea" w:hAnsi="Times New Roman" w:cs="Times New Roman"/>
          <w:kern w:val="24"/>
          <w:sz w:val="24"/>
          <w:szCs w:val="24"/>
        </w:rPr>
        <w:t xml:space="preserve"> AIFV direktyva, kuri dauge</w:t>
      </w:r>
      <w:r w:rsidRPr="00EC1AB2">
        <w:rPr>
          <w:rFonts w:ascii="Times New Roman" w:eastAsia="+mn-ea" w:hAnsi="Times New Roman" w:cs="Times New Roman"/>
          <w:kern w:val="24"/>
          <w:sz w:val="24"/>
          <w:szCs w:val="24"/>
        </w:rPr>
        <w:t>lio ekspertų nuomone ne skatins,</w:t>
      </w:r>
      <w:r w:rsidR="007915D7" w:rsidRPr="00EC1AB2">
        <w:rPr>
          <w:rFonts w:ascii="Times New Roman" w:eastAsia="+mn-ea" w:hAnsi="Times New Roman" w:cs="Times New Roman"/>
          <w:kern w:val="24"/>
          <w:sz w:val="24"/>
          <w:szCs w:val="24"/>
        </w:rPr>
        <w:t xml:space="preserve"> o apsunki</w:t>
      </w:r>
      <w:r w:rsidRPr="00EC1AB2">
        <w:rPr>
          <w:rFonts w:ascii="Times New Roman" w:eastAsia="+mn-ea" w:hAnsi="Times New Roman" w:cs="Times New Roman"/>
          <w:kern w:val="24"/>
          <w:sz w:val="24"/>
          <w:szCs w:val="24"/>
        </w:rPr>
        <w:t>n</w:t>
      </w:r>
      <w:r w:rsidR="007915D7" w:rsidRPr="00EC1AB2">
        <w:rPr>
          <w:rFonts w:ascii="Times New Roman" w:eastAsia="+mn-ea" w:hAnsi="Times New Roman" w:cs="Times New Roman"/>
          <w:kern w:val="24"/>
          <w:sz w:val="24"/>
          <w:szCs w:val="24"/>
        </w:rPr>
        <w:t>s šių fondų ve</w:t>
      </w:r>
      <w:r w:rsidR="00CC1E52" w:rsidRPr="00EC1AB2">
        <w:rPr>
          <w:rFonts w:ascii="Times New Roman" w:eastAsia="+mn-ea" w:hAnsi="Times New Roman" w:cs="Times New Roman"/>
          <w:kern w:val="24"/>
          <w:sz w:val="24"/>
          <w:szCs w:val="24"/>
        </w:rPr>
        <w:t>iklą, tačiau kaip minėta, šios d</w:t>
      </w:r>
      <w:r w:rsidR="007915D7" w:rsidRPr="00EC1AB2">
        <w:rPr>
          <w:rFonts w:ascii="Times New Roman" w:eastAsia="+mn-ea" w:hAnsi="Times New Roman" w:cs="Times New Roman"/>
          <w:kern w:val="24"/>
          <w:sz w:val="24"/>
          <w:szCs w:val="24"/>
        </w:rPr>
        <w:t>irektyvos nuostatos tiesiogiai neįtakos Lietuvoje v</w:t>
      </w:r>
      <w:r w:rsidRPr="00EC1AB2">
        <w:rPr>
          <w:rFonts w:ascii="Times New Roman" w:eastAsia="+mn-ea" w:hAnsi="Times New Roman" w:cs="Times New Roman"/>
          <w:kern w:val="24"/>
          <w:sz w:val="24"/>
          <w:szCs w:val="24"/>
        </w:rPr>
        <w:t>eikiančių RKF</w:t>
      </w:r>
      <w:r w:rsidR="00E962AA" w:rsidRPr="00EC1AB2">
        <w:rPr>
          <w:rFonts w:ascii="Times New Roman" w:eastAsia="+mn-ea" w:hAnsi="Times New Roman" w:cs="Times New Roman"/>
          <w:kern w:val="24"/>
          <w:sz w:val="24"/>
          <w:szCs w:val="24"/>
        </w:rPr>
        <w:t>.</w:t>
      </w:r>
      <w:r w:rsidR="007915D7" w:rsidRPr="00EC1AB2">
        <w:rPr>
          <w:rFonts w:ascii="Times New Roman" w:eastAsia="+mn-ea" w:hAnsi="Times New Roman" w:cs="Times New Roman"/>
          <w:kern w:val="24"/>
          <w:sz w:val="24"/>
          <w:szCs w:val="24"/>
        </w:rPr>
        <w:t xml:space="preserve"> Įsigaliojus SKIS įstatymo p</w:t>
      </w:r>
      <w:r w:rsidR="00690DA9" w:rsidRPr="00EC1AB2">
        <w:rPr>
          <w:rFonts w:ascii="Times New Roman" w:eastAsia="+mn-ea" w:hAnsi="Times New Roman" w:cs="Times New Roman"/>
          <w:kern w:val="24"/>
          <w:sz w:val="24"/>
          <w:szCs w:val="24"/>
        </w:rPr>
        <w:t>rojektui, RKF</w:t>
      </w:r>
      <w:r w:rsidR="007915D7" w:rsidRPr="00EC1AB2">
        <w:rPr>
          <w:rFonts w:ascii="Times New Roman" w:eastAsia="+mn-ea" w:hAnsi="Times New Roman" w:cs="Times New Roman"/>
          <w:kern w:val="24"/>
          <w:sz w:val="24"/>
          <w:szCs w:val="24"/>
        </w:rPr>
        <w:t xml:space="preserve"> veiklai taikomos sąlygos turėtų būti priartintos prie Europos vakarų valstybėse egzistuojančių.</w:t>
      </w:r>
    </w:p>
    <w:p w:rsidR="007915D7" w:rsidRPr="00EC1AB2" w:rsidRDefault="007915D7" w:rsidP="007A02A8">
      <w:pPr>
        <w:pStyle w:val="ListParagraph"/>
        <w:kinsoku w:val="0"/>
        <w:overflowPunct w:val="0"/>
        <w:spacing w:after="0" w:line="360" w:lineRule="auto"/>
        <w:ind w:left="0"/>
        <w:jc w:val="both"/>
        <w:textAlignment w:val="baseline"/>
        <w:rPr>
          <w:rFonts w:ascii="Times New Roman" w:eastAsia="+mn-ea" w:hAnsi="Times New Roman" w:cs="Times New Roman"/>
          <w:kern w:val="24"/>
          <w:sz w:val="24"/>
          <w:szCs w:val="24"/>
        </w:rPr>
      </w:pPr>
    </w:p>
    <w:p w:rsidR="007915D7" w:rsidRPr="00EC1AB2" w:rsidRDefault="00CC1E52" w:rsidP="007A02A8">
      <w:pPr>
        <w:pStyle w:val="Heading2"/>
        <w:numPr>
          <w:ilvl w:val="1"/>
          <w:numId w:val="22"/>
        </w:numPr>
        <w:spacing w:before="0" w:after="0" w:line="360" w:lineRule="auto"/>
        <w:rPr>
          <w:i w:val="0"/>
          <w:sz w:val="24"/>
          <w:szCs w:val="24"/>
        </w:rPr>
      </w:pPr>
      <w:bookmarkStart w:id="58" w:name="_Toc320566994"/>
      <w:bookmarkStart w:id="59" w:name="_Toc320567034"/>
      <w:bookmarkStart w:id="60" w:name="_Toc320567181"/>
      <w:bookmarkStart w:id="61" w:name="_Toc320761764"/>
      <w:bookmarkStart w:id="62" w:name="_Toc320761909"/>
      <w:bookmarkStart w:id="63" w:name="_Toc320762144"/>
      <w:bookmarkStart w:id="64" w:name="_Toc320762546"/>
      <w:bookmarkStart w:id="65" w:name="_Toc321092697"/>
      <w:r w:rsidRPr="00EC1AB2">
        <w:rPr>
          <w:i w:val="0"/>
          <w:sz w:val="24"/>
          <w:szCs w:val="24"/>
        </w:rPr>
        <w:t>Rizikos kapitalo fondų</w:t>
      </w:r>
      <w:r w:rsidR="007915D7" w:rsidRPr="00EC1AB2">
        <w:rPr>
          <w:i w:val="0"/>
          <w:sz w:val="24"/>
          <w:szCs w:val="24"/>
        </w:rPr>
        <w:t xml:space="preserve"> įtaka šalies ekonomikai</w:t>
      </w:r>
      <w:bookmarkEnd w:id="58"/>
      <w:bookmarkEnd w:id="59"/>
      <w:bookmarkEnd w:id="60"/>
      <w:bookmarkEnd w:id="61"/>
      <w:bookmarkEnd w:id="62"/>
      <w:bookmarkEnd w:id="63"/>
      <w:bookmarkEnd w:id="64"/>
      <w:bookmarkEnd w:id="65"/>
    </w:p>
    <w:p w:rsidR="007915D7" w:rsidRPr="00EC1AB2" w:rsidRDefault="007915D7" w:rsidP="007A02A8">
      <w:pPr>
        <w:pStyle w:val="ListParagraph"/>
        <w:kinsoku w:val="0"/>
        <w:overflowPunct w:val="0"/>
        <w:spacing w:after="0" w:line="360" w:lineRule="auto"/>
        <w:ind w:left="1080"/>
        <w:textAlignment w:val="baseline"/>
        <w:rPr>
          <w:rFonts w:ascii="Times New Roman" w:hAnsi="Times New Roman" w:cs="Times New Roman"/>
          <w:b/>
          <w:sz w:val="28"/>
          <w:szCs w:val="28"/>
        </w:rPr>
      </w:pPr>
    </w:p>
    <w:p w:rsidR="00CB5B00" w:rsidRPr="00EC1AB2" w:rsidRDefault="006375F9"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RKF</w:t>
      </w:r>
      <w:r w:rsidR="007915D7" w:rsidRPr="00EC1AB2">
        <w:rPr>
          <w:rFonts w:ascii="Times New Roman" w:hAnsi="Times New Roman" w:cs="Times New Roman"/>
          <w:sz w:val="24"/>
          <w:szCs w:val="24"/>
        </w:rPr>
        <w:t xml:space="preserve"> investicijos yra neabejotinai rizikingos</w:t>
      </w:r>
      <w:r w:rsidR="00EC7DF5" w:rsidRPr="00EC1AB2">
        <w:rPr>
          <w:rFonts w:ascii="Times New Roman" w:hAnsi="Times New Roman" w:cs="Times New Roman"/>
          <w:sz w:val="24"/>
          <w:szCs w:val="24"/>
        </w:rPr>
        <w:t>, nes investuojama į novatoriškas idėjas</w:t>
      </w:r>
      <w:r w:rsidR="007915D7" w:rsidRPr="00EC1AB2">
        <w:rPr>
          <w:rFonts w:ascii="Times New Roman" w:hAnsi="Times New Roman" w:cs="Times New Roman"/>
          <w:sz w:val="24"/>
          <w:szCs w:val="24"/>
        </w:rPr>
        <w:t>. Kai</w:t>
      </w:r>
      <w:r w:rsidRPr="00EC1AB2">
        <w:rPr>
          <w:rFonts w:ascii="Times New Roman" w:hAnsi="Times New Roman" w:cs="Times New Roman"/>
          <w:sz w:val="24"/>
          <w:szCs w:val="24"/>
        </w:rPr>
        <w:t>p žinoma, RKF</w:t>
      </w:r>
      <w:r w:rsidR="007915D7" w:rsidRPr="00EC1AB2">
        <w:rPr>
          <w:rFonts w:ascii="Times New Roman" w:hAnsi="Times New Roman" w:cs="Times New Roman"/>
          <w:sz w:val="24"/>
          <w:szCs w:val="24"/>
        </w:rPr>
        <w:t xml:space="preserve"> skatina inov</w:t>
      </w:r>
      <w:r w:rsidR="00BC6842" w:rsidRPr="00EC1AB2">
        <w:rPr>
          <w:rFonts w:ascii="Times New Roman" w:hAnsi="Times New Roman" w:cs="Times New Roman"/>
          <w:sz w:val="24"/>
          <w:szCs w:val="24"/>
        </w:rPr>
        <w:t>acijas</w:t>
      </w:r>
      <w:r w:rsidR="00C80848" w:rsidRPr="00EC1AB2">
        <w:rPr>
          <w:rFonts w:ascii="Times New Roman" w:hAnsi="Times New Roman" w:cs="Times New Roman"/>
          <w:sz w:val="24"/>
          <w:szCs w:val="24"/>
        </w:rPr>
        <w:t xml:space="preserve"> finansuodami neseniai pradėjusias savo veiklą arba ankstyvoje plėtros stadijoje esančias įmones, kurios kuria</w:t>
      </w:r>
      <w:r w:rsidR="00100BB5" w:rsidRPr="00EC1AB2">
        <w:rPr>
          <w:rFonts w:ascii="Times New Roman" w:hAnsi="Times New Roman" w:cs="Times New Roman"/>
          <w:sz w:val="24"/>
          <w:szCs w:val="24"/>
        </w:rPr>
        <w:t xml:space="preserve"> naujus, inovatyvius produktus bei procesus.</w:t>
      </w:r>
      <w:r w:rsidR="00826486" w:rsidRPr="00EC1AB2">
        <w:rPr>
          <w:rFonts w:ascii="Times New Roman" w:hAnsi="Times New Roman" w:cs="Times New Roman"/>
          <w:sz w:val="24"/>
          <w:szCs w:val="24"/>
        </w:rPr>
        <w:t xml:space="preserve"> Kaip teigia </w:t>
      </w:r>
      <w:r w:rsidR="001F1252" w:rsidRPr="00EC1AB2">
        <w:rPr>
          <w:rFonts w:ascii="Times New Roman" w:hAnsi="Times New Roman" w:cs="Times New Roman"/>
          <w:sz w:val="24"/>
          <w:szCs w:val="24"/>
        </w:rPr>
        <w:t>Snieška, Venckuvienė (2011),</w:t>
      </w:r>
      <w:r w:rsidR="00AB66CF" w:rsidRPr="00EC1AB2">
        <w:rPr>
          <w:rFonts w:ascii="Times New Roman" w:hAnsi="Times New Roman" w:cs="Times New Roman"/>
          <w:sz w:val="24"/>
          <w:szCs w:val="24"/>
        </w:rPr>
        <w:t xml:space="preserve"> finansavimo stoka </w:t>
      </w:r>
      <w:r w:rsidR="001F1252" w:rsidRPr="00EC1AB2">
        <w:rPr>
          <w:rFonts w:ascii="Times New Roman" w:hAnsi="Times New Roman" w:cs="Times New Roman"/>
          <w:sz w:val="24"/>
          <w:szCs w:val="24"/>
        </w:rPr>
        <w:t>–</w:t>
      </w:r>
      <w:r w:rsidR="00AB66CF" w:rsidRPr="00EC1AB2">
        <w:rPr>
          <w:rFonts w:ascii="Times New Roman" w:hAnsi="Times New Roman" w:cs="Times New Roman"/>
          <w:sz w:val="24"/>
          <w:szCs w:val="24"/>
        </w:rPr>
        <w:t xml:space="preserve"> tai</w:t>
      </w:r>
      <w:r w:rsidR="001F1252" w:rsidRPr="00EC1AB2">
        <w:rPr>
          <w:rFonts w:ascii="Times New Roman" w:hAnsi="Times New Roman" w:cs="Times New Roman"/>
          <w:sz w:val="24"/>
          <w:szCs w:val="24"/>
        </w:rPr>
        <w:t xml:space="preserve"> </w:t>
      </w:r>
      <w:r w:rsidR="00AB66CF" w:rsidRPr="00EC1AB2">
        <w:rPr>
          <w:rFonts w:ascii="Times New Roman" w:hAnsi="Times New Roman" w:cs="Times New Roman"/>
          <w:sz w:val="24"/>
          <w:szCs w:val="24"/>
        </w:rPr>
        <w:t>pagrindinė problema, su kuria susiduria MVĮ ankstyvajame plėtros etape</w:t>
      </w:r>
      <w:r w:rsidR="00C80848" w:rsidRPr="00EC1AB2">
        <w:rPr>
          <w:rFonts w:ascii="Times New Roman" w:hAnsi="Times New Roman" w:cs="Times New Roman"/>
          <w:sz w:val="24"/>
          <w:szCs w:val="24"/>
        </w:rPr>
        <w:t>. J</w:t>
      </w:r>
      <w:r w:rsidR="00E432AE" w:rsidRPr="00EC1AB2">
        <w:rPr>
          <w:rFonts w:ascii="Times New Roman" w:hAnsi="Times New Roman" w:cs="Times New Roman"/>
          <w:sz w:val="24"/>
          <w:szCs w:val="24"/>
        </w:rPr>
        <w:t>aunos ir</w:t>
      </w:r>
      <w:r w:rsidR="00C80848" w:rsidRPr="00EC1AB2">
        <w:rPr>
          <w:rFonts w:ascii="Times New Roman" w:hAnsi="Times New Roman" w:cs="Times New Roman"/>
          <w:sz w:val="24"/>
          <w:szCs w:val="24"/>
        </w:rPr>
        <w:t xml:space="preserve"> </w:t>
      </w:r>
      <w:r w:rsidR="00E432AE" w:rsidRPr="00EC1AB2">
        <w:rPr>
          <w:rFonts w:ascii="Times New Roman" w:hAnsi="Times New Roman" w:cs="Times New Roman"/>
          <w:sz w:val="24"/>
          <w:szCs w:val="24"/>
        </w:rPr>
        <w:t>perspektyvios įmonės neturi ilgalaikės veiklos rezultatų,</w:t>
      </w:r>
      <w:r w:rsidR="00C80848" w:rsidRPr="00EC1AB2">
        <w:rPr>
          <w:rFonts w:ascii="Times New Roman" w:hAnsi="Times New Roman" w:cs="Times New Roman"/>
          <w:sz w:val="24"/>
          <w:szCs w:val="24"/>
        </w:rPr>
        <w:t xml:space="preserve"> todėl</w:t>
      </w:r>
      <w:r w:rsidR="00E432AE" w:rsidRPr="00EC1AB2">
        <w:rPr>
          <w:rFonts w:ascii="Times New Roman" w:hAnsi="Times New Roman" w:cs="Times New Roman"/>
          <w:sz w:val="24"/>
          <w:szCs w:val="24"/>
        </w:rPr>
        <w:t xml:space="preserve"> dažnai s</w:t>
      </w:r>
      <w:r w:rsidR="00C80848" w:rsidRPr="00EC1AB2">
        <w:rPr>
          <w:rFonts w:ascii="Times New Roman" w:hAnsi="Times New Roman" w:cs="Times New Roman"/>
          <w:sz w:val="24"/>
          <w:szCs w:val="24"/>
        </w:rPr>
        <w:t>usiduria su apyvartinių lėšų trū</w:t>
      </w:r>
      <w:r w:rsidR="00E432AE" w:rsidRPr="00EC1AB2">
        <w:rPr>
          <w:rFonts w:ascii="Times New Roman" w:hAnsi="Times New Roman" w:cs="Times New Roman"/>
          <w:sz w:val="24"/>
          <w:szCs w:val="24"/>
        </w:rPr>
        <w:t>kumu ir neturi pakankamai</w:t>
      </w:r>
      <w:r w:rsidR="00C80848" w:rsidRPr="00EC1AB2">
        <w:rPr>
          <w:rFonts w:ascii="Times New Roman" w:hAnsi="Times New Roman" w:cs="Times New Roman"/>
          <w:sz w:val="24"/>
          <w:szCs w:val="24"/>
        </w:rPr>
        <w:t xml:space="preserve"> turto, kad galėtų naudoti kaip </w:t>
      </w:r>
      <w:r w:rsidR="00E432AE" w:rsidRPr="00EC1AB2">
        <w:rPr>
          <w:rFonts w:ascii="Times New Roman" w:hAnsi="Times New Roman" w:cs="Times New Roman"/>
          <w:sz w:val="24"/>
          <w:szCs w:val="24"/>
        </w:rPr>
        <w:t>užstatą banku</w:t>
      </w:r>
      <w:r w:rsidR="00C80848" w:rsidRPr="00EC1AB2">
        <w:rPr>
          <w:rFonts w:ascii="Times New Roman" w:hAnsi="Times New Roman" w:cs="Times New Roman"/>
          <w:sz w:val="24"/>
          <w:szCs w:val="24"/>
        </w:rPr>
        <w:t xml:space="preserve">i, </w:t>
      </w:r>
      <w:r w:rsidR="00EC23FE" w:rsidRPr="00EC1AB2">
        <w:rPr>
          <w:rFonts w:ascii="Times New Roman" w:hAnsi="Times New Roman" w:cs="Times New Roman"/>
          <w:sz w:val="24"/>
          <w:szCs w:val="24"/>
        </w:rPr>
        <w:t xml:space="preserve">todėl rizikos kapitalo vaidmuo </w:t>
      </w:r>
      <w:r w:rsidR="00100BB5" w:rsidRPr="00EC1AB2">
        <w:rPr>
          <w:rFonts w:ascii="Times New Roman" w:hAnsi="Times New Roman" w:cs="Times New Roman"/>
          <w:sz w:val="24"/>
          <w:szCs w:val="24"/>
        </w:rPr>
        <w:t xml:space="preserve">šiame įmonės vystymosi etape </w:t>
      </w:r>
      <w:r w:rsidR="00EC23FE" w:rsidRPr="00EC1AB2">
        <w:rPr>
          <w:rFonts w:ascii="Times New Roman" w:hAnsi="Times New Roman" w:cs="Times New Roman"/>
          <w:sz w:val="24"/>
          <w:szCs w:val="24"/>
        </w:rPr>
        <w:t xml:space="preserve">tampa </w:t>
      </w:r>
      <w:r w:rsidR="00100BB5" w:rsidRPr="00EC1AB2">
        <w:rPr>
          <w:rFonts w:ascii="Times New Roman" w:hAnsi="Times New Roman" w:cs="Times New Roman"/>
          <w:sz w:val="24"/>
          <w:szCs w:val="24"/>
        </w:rPr>
        <w:t>ypač</w:t>
      </w:r>
      <w:r w:rsidR="00EC23FE" w:rsidRPr="00EC1AB2">
        <w:rPr>
          <w:rFonts w:ascii="Times New Roman" w:hAnsi="Times New Roman" w:cs="Times New Roman"/>
          <w:sz w:val="24"/>
          <w:szCs w:val="24"/>
        </w:rPr>
        <w:t xml:space="preserve"> svarbus.</w:t>
      </w:r>
    </w:p>
    <w:p w:rsidR="00F548CD" w:rsidRPr="00EC1AB2" w:rsidRDefault="006972A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jau minėta, RKF portfelio įmonei suteikia ne tik finansinį kapitalą, bet ir </w:t>
      </w:r>
      <w:r w:rsidR="000D621F" w:rsidRPr="00EC1AB2">
        <w:rPr>
          <w:rFonts w:ascii="Times New Roman" w:hAnsi="Times New Roman" w:cs="Times New Roman"/>
          <w:sz w:val="24"/>
          <w:szCs w:val="24"/>
        </w:rPr>
        <w:t xml:space="preserve">nepakeičiamos vertės </w:t>
      </w:r>
      <w:r w:rsidRPr="00EC1AB2">
        <w:rPr>
          <w:rFonts w:ascii="Times New Roman" w:hAnsi="Times New Roman" w:cs="Times New Roman"/>
          <w:sz w:val="24"/>
          <w:szCs w:val="24"/>
        </w:rPr>
        <w:t>konsultacijas verslo plėtojimo, produkto plėtojimo ir kt. klausimais.</w:t>
      </w:r>
      <w:r w:rsidR="00673EE8" w:rsidRPr="00EC1AB2">
        <w:rPr>
          <w:rFonts w:ascii="Times New Roman" w:hAnsi="Times New Roman" w:cs="Times New Roman"/>
          <w:sz w:val="24"/>
          <w:szCs w:val="24"/>
        </w:rPr>
        <w:t xml:space="preserve"> Taigi, </w:t>
      </w:r>
      <w:r w:rsidR="00F548CD" w:rsidRPr="00EC1AB2">
        <w:rPr>
          <w:rFonts w:ascii="Times New Roman" w:hAnsi="Times New Roman" w:cs="Times New Roman"/>
          <w:sz w:val="24"/>
          <w:szCs w:val="24"/>
        </w:rPr>
        <w:t xml:space="preserve">RKF </w:t>
      </w:r>
      <w:r w:rsidR="00673EE8" w:rsidRPr="00EC1AB2">
        <w:rPr>
          <w:rFonts w:ascii="Times New Roman" w:hAnsi="Times New Roman" w:cs="Times New Roman"/>
          <w:sz w:val="24"/>
          <w:szCs w:val="24"/>
        </w:rPr>
        <w:t xml:space="preserve">finansuodamas įmones daro </w:t>
      </w:r>
      <w:r w:rsidR="000D621F" w:rsidRPr="00EC1AB2">
        <w:rPr>
          <w:rFonts w:ascii="Times New Roman" w:hAnsi="Times New Roman" w:cs="Times New Roman"/>
          <w:sz w:val="24"/>
          <w:szCs w:val="24"/>
        </w:rPr>
        <w:t xml:space="preserve">teigiamą </w:t>
      </w:r>
      <w:r w:rsidR="00673EE8" w:rsidRPr="00EC1AB2">
        <w:rPr>
          <w:rFonts w:ascii="Times New Roman" w:hAnsi="Times New Roman" w:cs="Times New Roman"/>
          <w:sz w:val="24"/>
          <w:szCs w:val="24"/>
        </w:rPr>
        <w:t>įtaką ekonomikai</w:t>
      </w:r>
      <w:r w:rsidR="000D621F" w:rsidRPr="00EC1AB2">
        <w:rPr>
          <w:rFonts w:ascii="Times New Roman" w:hAnsi="Times New Roman" w:cs="Times New Roman"/>
          <w:sz w:val="24"/>
          <w:szCs w:val="24"/>
        </w:rPr>
        <w:t>, nors ir netiesiogiai</w:t>
      </w:r>
      <w:r w:rsidR="002B0A9F" w:rsidRPr="00EC1AB2">
        <w:rPr>
          <w:rFonts w:ascii="Times New Roman" w:hAnsi="Times New Roman" w:cs="Times New Roman"/>
          <w:sz w:val="24"/>
          <w:szCs w:val="24"/>
        </w:rPr>
        <w:t xml:space="preserve"> </w:t>
      </w:r>
      <w:r w:rsidR="001C446E" w:rsidRPr="00EC1AB2">
        <w:rPr>
          <w:rFonts w:ascii="Times New Roman" w:hAnsi="Times New Roman" w:cs="Times New Roman"/>
          <w:sz w:val="24"/>
          <w:szCs w:val="24"/>
        </w:rPr>
        <w:t>(žr. 3 pav.).</w:t>
      </w:r>
    </w:p>
    <w:p w:rsidR="0080367C" w:rsidRPr="00EC1AB2" w:rsidRDefault="0080367C" w:rsidP="007A02A8">
      <w:pPr>
        <w:autoSpaceDE w:val="0"/>
        <w:autoSpaceDN w:val="0"/>
        <w:adjustRightInd w:val="0"/>
        <w:spacing w:after="0" w:line="360" w:lineRule="auto"/>
        <w:ind w:firstLine="567"/>
        <w:jc w:val="both"/>
        <w:rPr>
          <w:rFonts w:ascii="Times New Roman" w:hAnsi="Times New Roman" w:cs="Times New Roman"/>
          <w:sz w:val="24"/>
          <w:szCs w:val="24"/>
        </w:rPr>
      </w:pPr>
    </w:p>
    <w:p w:rsidR="0080367C" w:rsidRPr="00EC1AB2" w:rsidRDefault="006951A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rPr>
        <w:object w:dxaOrig="11140" w:dyaOrig="5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15.25pt" o:ole="">
            <v:imagedata r:id="rId12" o:title="" gain="109227f" grayscale="t" bilevel="t"/>
          </v:shape>
          <o:OLEObject Type="Embed" ProgID="Visio.Drawing.11" ShapeID="_x0000_i1025" DrawAspect="Content" ObjectID="_1396379494" r:id="rId13"/>
        </w:object>
      </w:r>
    </w:p>
    <w:p w:rsidR="0080367C" w:rsidRPr="00EC1AB2" w:rsidRDefault="006951AF"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Snieška, Venckuvienė (2009)</w:t>
      </w:r>
    </w:p>
    <w:p w:rsidR="006951AF" w:rsidRPr="00EC1AB2" w:rsidRDefault="006951AF" w:rsidP="007A02A8">
      <w:pPr>
        <w:pStyle w:val="Heading5"/>
        <w:spacing w:before="0" w:line="360" w:lineRule="auto"/>
        <w:jc w:val="center"/>
        <w:rPr>
          <w:rFonts w:ascii="Times New Roman" w:hAnsi="Times New Roman" w:cs="Times New Roman"/>
          <w:b/>
          <w:color w:val="auto"/>
          <w:sz w:val="24"/>
          <w:szCs w:val="24"/>
        </w:rPr>
      </w:pPr>
      <w:bookmarkStart w:id="66" w:name="_Toc320761910"/>
      <w:bookmarkStart w:id="67" w:name="_Toc320762145"/>
      <w:bookmarkStart w:id="68" w:name="_Toc320762547"/>
      <w:r w:rsidRPr="00EC1AB2">
        <w:rPr>
          <w:rFonts w:ascii="Times New Roman" w:hAnsi="Times New Roman" w:cs="Times New Roman"/>
          <w:color w:val="auto"/>
          <w:sz w:val="24"/>
          <w:szCs w:val="24"/>
        </w:rPr>
        <w:t>3 pav.</w:t>
      </w:r>
      <w:r w:rsidRPr="00EC1AB2">
        <w:rPr>
          <w:rFonts w:ascii="Times New Roman" w:hAnsi="Times New Roman" w:cs="Times New Roman"/>
          <w:b/>
          <w:color w:val="auto"/>
          <w:sz w:val="24"/>
          <w:szCs w:val="24"/>
        </w:rPr>
        <w:t xml:space="preserve"> </w:t>
      </w:r>
      <w:r w:rsidR="00E30D9F" w:rsidRPr="00EC1AB2">
        <w:rPr>
          <w:rFonts w:ascii="Times New Roman" w:hAnsi="Times New Roman" w:cs="Times New Roman"/>
          <w:b/>
          <w:color w:val="auto"/>
          <w:sz w:val="24"/>
          <w:szCs w:val="24"/>
        </w:rPr>
        <w:t>Rizikos kapitalo įtaka regiono konkurencingumui</w:t>
      </w:r>
      <w:bookmarkEnd w:id="66"/>
      <w:bookmarkEnd w:id="67"/>
      <w:bookmarkEnd w:id="68"/>
    </w:p>
    <w:p w:rsidR="00E30D9F" w:rsidRPr="00EC1AB2" w:rsidRDefault="00E30D9F" w:rsidP="007A02A8">
      <w:pPr>
        <w:autoSpaceDE w:val="0"/>
        <w:autoSpaceDN w:val="0"/>
        <w:adjustRightInd w:val="0"/>
        <w:spacing w:after="0" w:line="360" w:lineRule="auto"/>
        <w:ind w:firstLine="567"/>
        <w:jc w:val="both"/>
        <w:rPr>
          <w:rFonts w:ascii="Times New Roman" w:hAnsi="Times New Roman" w:cs="Times New Roman"/>
          <w:sz w:val="24"/>
          <w:szCs w:val="24"/>
        </w:rPr>
      </w:pPr>
    </w:p>
    <w:p w:rsidR="0080367C" w:rsidRPr="00EC1AB2" w:rsidRDefault="006D13D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 xml:space="preserve">Kaip matyti iš 3 pav. </w:t>
      </w:r>
      <w:r w:rsidR="00FD31D1" w:rsidRPr="00EC1AB2">
        <w:rPr>
          <w:rFonts w:ascii="Times New Roman" w:hAnsi="Times New Roman" w:cs="Times New Roman"/>
          <w:sz w:val="24"/>
          <w:szCs w:val="24"/>
        </w:rPr>
        <w:t xml:space="preserve">investavus kapitalą į ankstyvos plėtros stadijos inovatyvią įmonę, t.y. finansuojant inovatyvius projektus auga produktyvumas, taip pat įmonės sukuriama pridėtinė vertė, užimama rinkos dalis, </w:t>
      </w:r>
      <w:r w:rsidR="00792014" w:rsidRPr="00EC1AB2">
        <w:rPr>
          <w:rFonts w:ascii="Times New Roman" w:hAnsi="Times New Roman" w:cs="Times New Roman"/>
          <w:sz w:val="24"/>
          <w:szCs w:val="24"/>
        </w:rPr>
        <w:t>skatinamas</w:t>
      </w:r>
      <w:r w:rsidR="00627547" w:rsidRPr="00EC1AB2">
        <w:rPr>
          <w:rFonts w:ascii="Times New Roman" w:hAnsi="Times New Roman" w:cs="Times New Roman"/>
          <w:sz w:val="24"/>
          <w:szCs w:val="24"/>
        </w:rPr>
        <w:t xml:space="preserve"> ekonomik</w:t>
      </w:r>
      <w:r w:rsidR="00792014" w:rsidRPr="00EC1AB2">
        <w:rPr>
          <w:rFonts w:ascii="Times New Roman" w:hAnsi="Times New Roman" w:cs="Times New Roman"/>
          <w:sz w:val="24"/>
          <w:szCs w:val="24"/>
        </w:rPr>
        <w:t xml:space="preserve">os augimas, </w:t>
      </w:r>
      <w:r w:rsidR="00FD31D1" w:rsidRPr="00EC1AB2">
        <w:rPr>
          <w:rFonts w:ascii="Times New Roman" w:hAnsi="Times New Roman" w:cs="Times New Roman"/>
          <w:sz w:val="24"/>
          <w:szCs w:val="24"/>
        </w:rPr>
        <w:t>nedarb</w:t>
      </w:r>
      <w:r w:rsidR="00792014" w:rsidRPr="00EC1AB2">
        <w:rPr>
          <w:rFonts w:ascii="Times New Roman" w:hAnsi="Times New Roman" w:cs="Times New Roman"/>
          <w:sz w:val="24"/>
          <w:szCs w:val="24"/>
        </w:rPr>
        <w:t xml:space="preserve">o lygio mažėjimas, </w:t>
      </w:r>
      <w:r w:rsidR="00FD31D1" w:rsidRPr="00EC1AB2">
        <w:rPr>
          <w:rFonts w:ascii="Times New Roman" w:hAnsi="Times New Roman" w:cs="Times New Roman"/>
          <w:sz w:val="24"/>
          <w:szCs w:val="24"/>
        </w:rPr>
        <w:t>pragyvenimo</w:t>
      </w:r>
      <w:r w:rsidR="00792014" w:rsidRPr="00EC1AB2">
        <w:rPr>
          <w:rFonts w:ascii="Times New Roman" w:hAnsi="Times New Roman" w:cs="Times New Roman"/>
          <w:sz w:val="24"/>
          <w:szCs w:val="24"/>
        </w:rPr>
        <w:t xml:space="preserve"> lygio augimas, taigi </w:t>
      </w:r>
      <w:r w:rsidR="00FD31D1" w:rsidRPr="00EC1AB2">
        <w:rPr>
          <w:rFonts w:ascii="Times New Roman" w:hAnsi="Times New Roman" w:cs="Times New Roman"/>
          <w:sz w:val="24"/>
          <w:szCs w:val="24"/>
        </w:rPr>
        <w:t>didėja viso regiono konkurencingumas.</w:t>
      </w:r>
    </w:p>
    <w:p w:rsidR="000009AE" w:rsidRPr="00EC1AB2" w:rsidRDefault="0021588B"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RKF</w:t>
      </w:r>
      <w:r w:rsidR="00895A55" w:rsidRPr="00EC1AB2">
        <w:rPr>
          <w:rFonts w:ascii="Times New Roman" w:hAnsi="Times New Roman" w:cs="Times New Roman"/>
          <w:sz w:val="24"/>
          <w:szCs w:val="24"/>
        </w:rPr>
        <w:t xml:space="preserve"> galima apibūdinti kaip lėšų perdavimo kanalus, nes jie teikia finansavimą</w:t>
      </w:r>
      <w:r w:rsidR="004F615C" w:rsidRPr="00EC1AB2">
        <w:rPr>
          <w:rFonts w:ascii="Times New Roman" w:hAnsi="Times New Roman" w:cs="Times New Roman"/>
          <w:sz w:val="24"/>
          <w:szCs w:val="24"/>
        </w:rPr>
        <w:t xml:space="preserve"> </w:t>
      </w:r>
      <w:r w:rsidR="007915D7" w:rsidRPr="00EC1AB2">
        <w:rPr>
          <w:rFonts w:ascii="Times New Roman" w:hAnsi="Times New Roman" w:cs="Times New Roman"/>
          <w:sz w:val="24"/>
          <w:szCs w:val="24"/>
        </w:rPr>
        <w:t>ek</w:t>
      </w:r>
      <w:r w:rsidR="004F615C" w:rsidRPr="00EC1AB2">
        <w:rPr>
          <w:rFonts w:ascii="Times New Roman" w:hAnsi="Times New Roman" w:cs="Times New Roman"/>
          <w:sz w:val="24"/>
          <w:szCs w:val="24"/>
        </w:rPr>
        <w:t xml:space="preserve">onomikos sektoriams, </w:t>
      </w:r>
      <w:r w:rsidR="007915D7" w:rsidRPr="00EC1AB2">
        <w:rPr>
          <w:rFonts w:ascii="Times New Roman" w:hAnsi="Times New Roman" w:cs="Times New Roman"/>
          <w:sz w:val="24"/>
          <w:szCs w:val="24"/>
        </w:rPr>
        <w:t>neturi</w:t>
      </w:r>
      <w:r w:rsidR="004F615C" w:rsidRPr="00EC1AB2">
        <w:rPr>
          <w:rFonts w:ascii="Times New Roman" w:hAnsi="Times New Roman" w:cs="Times New Roman"/>
          <w:sz w:val="24"/>
          <w:szCs w:val="24"/>
        </w:rPr>
        <w:t>ntiems</w:t>
      </w:r>
      <w:r w:rsidR="007915D7" w:rsidRPr="00EC1AB2">
        <w:rPr>
          <w:rFonts w:ascii="Times New Roman" w:hAnsi="Times New Roman" w:cs="Times New Roman"/>
          <w:sz w:val="24"/>
          <w:szCs w:val="24"/>
        </w:rPr>
        <w:t xml:space="preserve"> galimybės tiesiogiai d</w:t>
      </w:r>
      <w:r w:rsidR="00895A55" w:rsidRPr="00EC1AB2">
        <w:rPr>
          <w:rFonts w:ascii="Times New Roman" w:hAnsi="Times New Roman" w:cs="Times New Roman"/>
          <w:sz w:val="24"/>
          <w:szCs w:val="24"/>
        </w:rPr>
        <w:t>alyvauti kapitalo rinkoje (žr. 4</w:t>
      </w:r>
      <w:r w:rsidR="007915D7" w:rsidRPr="00EC1AB2">
        <w:rPr>
          <w:rFonts w:ascii="Times New Roman" w:hAnsi="Times New Roman" w:cs="Times New Roman"/>
          <w:sz w:val="24"/>
          <w:szCs w:val="24"/>
        </w:rPr>
        <w:t xml:space="preserve"> pav.). </w:t>
      </w:r>
    </w:p>
    <w:p w:rsidR="00EE7118" w:rsidRPr="00EC1AB2" w:rsidRDefault="007A02A8"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noProof/>
          <w:sz w:val="24"/>
          <w:szCs w:val="24"/>
          <w:lang w:eastAsia="lt-LT"/>
        </w:rPr>
        <w:drawing>
          <wp:anchor distT="0" distB="0" distL="114300" distR="114300" simplePos="0" relativeHeight="251961344" behindDoc="0" locked="0" layoutInCell="1" allowOverlap="1" wp14:anchorId="3EA4069D" wp14:editId="359E9505">
            <wp:simplePos x="0" y="0"/>
            <wp:positionH relativeFrom="column">
              <wp:posOffset>413385</wp:posOffset>
            </wp:positionH>
            <wp:positionV relativeFrom="paragraph">
              <wp:posOffset>520700</wp:posOffset>
            </wp:positionV>
            <wp:extent cx="5486400" cy="3200400"/>
            <wp:effectExtent l="0" t="0" r="19050" b="57150"/>
            <wp:wrapTopAndBottom/>
            <wp:docPr id="168" name="Diagram 1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D934D3" w:rsidRPr="00EC1AB2">
        <w:rPr>
          <w:rFonts w:ascii="Times New Roman" w:hAnsi="Times New Roman" w:cs="Times New Roman"/>
          <w:noProof/>
          <w:lang w:eastAsia="lt-LT"/>
        </w:rPr>
        <mc:AlternateContent>
          <mc:Choice Requires="wpg">
            <w:drawing>
              <wp:anchor distT="0" distB="0" distL="114300" distR="114300" simplePos="0" relativeHeight="251945984" behindDoc="0" locked="0" layoutInCell="1" allowOverlap="1" wp14:anchorId="1FC7AE72" wp14:editId="4A7C05C8">
                <wp:simplePos x="0" y="0"/>
                <wp:positionH relativeFrom="column">
                  <wp:posOffset>533173</wp:posOffset>
                </wp:positionH>
                <wp:positionV relativeFrom="paragraph">
                  <wp:posOffset>645985</wp:posOffset>
                </wp:positionV>
                <wp:extent cx="4854575" cy="3094990"/>
                <wp:effectExtent l="0" t="0" r="3175" b="0"/>
                <wp:wrapNone/>
                <wp:docPr id="6" name="Group 6"/>
                <wp:cNvGraphicFramePr/>
                <a:graphic xmlns:a="http://schemas.openxmlformats.org/drawingml/2006/main">
                  <a:graphicData uri="http://schemas.microsoft.com/office/word/2010/wordprocessingGroup">
                    <wpg:wgp>
                      <wpg:cNvGrpSpPr/>
                      <wpg:grpSpPr>
                        <a:xfrm>
                          <a:off x="0" y="0"/>
                          <a:ext cx="4854575" cy="3094990"/>
                          <a:chOff x="0" y="0"/>
                          <a:chExt cx="4854956" cy="3095283"/>
                        </a:xfrm>
                      </wpg:grpSpPr>
                      <wps:wsp>
                        <wps:cNvPr id="169" name="Text Box 169"/>
                        <wps:cNvSpPr txBox="1"/>
                        <wps:spPr>
                          <a:xfrm>
                            <a:off x="3496666" y="0"/>
                            <a:ext cx="1073426"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Pr="00EE7118" w:rsidRDefault="00EC1AB2" w:rsidP="002A4D40">
                              <w:pPr>
                                <w:jc w:val="center"/>
                                <w:rPr>
                                  <w:rFonts w:ascii="Times New Roman" w:hAnsi="Times New Roman" w:cs="Times New Roman"/>
                                  <w:sz w:val="18"/>
                                  <w:szCs w:val="18"/>
                                </w:rPr>
                              </w:pPr>
                              <w:r>
                                <w:rPr>
                                  <w:rFonts w:ascii="Times New Roman" w:hAnsi="Times New Roman" w:cs="Times New Roman"/>
                                  <w:sz w:val="18"/>
                                  <w:szCs w:val="18"/>
                                </w:rPr>
                                <w:t>Indėliai, pensijų sutartys ir 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4059936" y="1221638"/>
                            <a:ext cx="79502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EE7118">
                              <w:r w:rsidRPr="002A4D40">
                                <w:rPr>
                                  <w:rFonts w:ascii="Times New Roman" w:hAnsi="Times New Roman" w:cs="Times New Roman"/>
                                  <w:sz w:val="18"/>
                                  <w:szCs w:val="18"/>
                                </w:rPr>
                                <w:t>Investicijo</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3408883" y="2545689"/>
                            <a:ext cx="136762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Pr="002A4D40" w:rsidRDefault="00EC1AB2" w:rsidP="002A4D40">
                              <w:pPr>
                                <w:jc w:val="center"/>
                                <w:rPr>
                                  <w:rFonts w:ascii="Times New Roman" w:hAnsi="Times New Roman" w:cs="Times New Roman"/>
                                  <w:sz w:val="18"/>
                                  <w:szCs w:val="18"/>
                                </w:rPr>
                              </w:pPr>
                              <w:r w:rsidRPr="002A4D40">
                                <w:rPr>
                                  <w:rFonts w:ascii="Times New Roman" w:hAnsi="Times New Roman" w:cs="Times New Roman"/>
                                  <w:sz w:val="18"/>
                                  <w:szCs w:val="18"/>
                                </w:rPr>
                                <w:t xml:space="preserve">Finansinis bei intelektinis </w:t>
                              </w:r>
                              <w:r>
                                <w:rPr>
                                  <w:rFonts w:ascii="Times New Roman" w:hAnsi="Times New Roman" w:cs="Times New Roman"/>
                                  <w:sz w:val="18"/>
                                  <w:szCs w:val="18"/>
                                </w:rPr>
                                <w:t xml:space="preserve">       </w:t>
                              </w:r>
                              <w:r w:rsidRPr="002A4D40">
                                <w:rPr>
                                  <w:rFonts w:ascii="Times New Roman" w:hAnsi="Times New Roman" w:cs="Times New Roman"/>
                                  <w:sz w:val="18"/>
                                  <w:szCs w:val="18"/>
                                </w:rPr>
                                <w:t>kapitalas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541325" y="2626156"/>
                            <a:ext cx="1343660" cy="4691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Pr="002A4D40" w:rsidRDefault="00EC1AB2" w:rsidP="002A4D40">
                              <w:pPr>
                                <w:jc w:val="center"/>
                                <w:rPr>
                                  <w:rFonts w:ascii="Times New Roman" w:hAnsi="Times New Roman" w:cs="Times New Roman"/>
                                  <w:sz w:val="18"/>
                                  <w:szCs w:val="18"/>
                                </w:rPr>
                              </w:pPr>
                              <w:r w:rsidRPr="002A4D40">
                                <w:rPr>
                                  <w:rFonts w:ascii="Times New Roman" w:hAnsi="Times New Roman" w:cs="Times New Roman"/>
                                  <w:sz w:val="18"/>
                                  <w:szCs w:val="18"/>
                                </w:rPr>
                                <w:t>Investuotas finansini</w:t>
                              </w:r>
                              <w:r>
                                <w:rPr>
                                  <w:rFonts w:ascii="Times New Roman" w:hAnsi="Times New Roman" w:cs="Times New Roman"/>
                                  <w:sz w:val="18"/>
                                  <w:szCs w:val="18"/>
                                </w:rPr>
                                <w:t xml:space="preserve">s kapitalas </w:t>
                              </w:r>
                              <w:r w:rsidRPr="002A4D40">
                                <w:rPr>
                                  <w:rFonts w:ascii="Times New Roman" w:hAnsi="Times New Roman" w:cs="Times New Roman"/>
                                  <w:sz w:val="18"/>
                                  <w:szCs w:val="18"/>
                                </w:rPr>
                                <w:t>ir pelno dalis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760781" y="0"/>
                            <a:ext cx="1120361" cy="4691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Pr="002A4D40" w:rsidRDefault="00EC1AB2" w:rsidP="002A4D40">
                              <w:pPr>
                                <w:jc w:val="center"/>
                                <w:rPr>
                                  <w:rFonts w:ascii="Times New Roman" w:hAnsi="Times New Roman" w:cs="Times New Roman"/>
                                  <w:sz w:val="18"/>
                                  <w:szCs w:val="18"/>
                                </w:rPr>
                              </w:pPr>
                              <w:r w:rsidRPr="002A4D40">
                                <w:rPr>
                                  <w:rFonts w:ascii="Times New Roman" w:hAnsi="Times New Roman" w:cs="Times New Roman"/>
                                  <w:sz w:val="18"/>
                                  <w:szCs w:val="18"/>
                                </w:rPr>
                                <w:t>Palūkanos, kapitalo prieaugis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0" y="1119225"/>
                            <a:ext cx="1168841" cy="5963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AB2" w:rsidRPr="002A4D40" w:rsidRDefault="00EC1AB2" w:rsidP="002A4D40">
                              <w:pPr>
                                <w:jc w:val="center"/>
                                <w:rPr>
                                  <w:rFonts w:ascii="Times New Roman" w:hAnsi="Times New Roman" w:cs="Times New Roman"/>
                                  <w:sz w:val="18"/>
                                  <w:szCs w:val="18"/>
                                </w:rPr>
                              </w:pPr>
                              <w:r w:rsidRPr="002A4D40">
                                <w:rPr>
                                  <w:rFonts w:ascii="Times New Roman" w:hAnsi="Times New Roman" w:cs="Times New Roman"/>
                                  <w:sz w:val="18"/>
                                  <w:szCs w:val="18"/>
                                </w:rPr>
                                <w:t>Investuotas finansini</w:t>
                              </w:r>
                              <w:r>
                                <w:rPr>
                                  <w:rFonts w:ascii="Times New Roman" w:hAnsi="Times New Roman" w:cs="Times New Roman"/>
                                  <w:sz w:val="18"/>
                                  <w:szCs w:val="18"/>
                                </w:rPr>
                                <w:t xml:space="preserve">s kapitalas </w:t>
                              </w:r>
                              <w:r w:rsidRPr="002A4D40">
                                <w:rPr>
                                  <w:rFonts w:ascii="Times New Roman" w:hAnsi="Times New Roman" w:cs="Times New Roman"/>
                                  <w:sz w:val="18"/>
                                  <w:szCs w:val="18"/>
                                </w:rPr>
                                <w:t>ir pelno dalis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26" style="position:absolute;left:0;text-align:left;margin-left:42pt;margin-top:50.85pt;width:382.25pt;height:243.7pt;z-index:251945984" coordsize="48549,3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oZJAQAAAobAAAOAAAAZHJzL2Uyb0RvYy54bWzsmUtv4zYQx+8F+h0I3RvrSUtGnEWabYIC&#10;wW7QpNgzQ1O2UIlkSSZ29tN3hnrYjn1xCiw2gXJwJHL4mL+GPw6l80+bpibPwthKyXkQnYUBEZKr&#10;RSWX8+Dvh+vf8oBYx+SC1UqKefAibPDp4tdfztd6JmK1UvVCGAKdSDtb63mwck7PJhPLV6Jh9kxp&#10;IaGyVKZhDm7NcrIwbA29N/UkDkM6WSuz0EZxYS2Ufm4rgwvff1kK7r6WpRWO1PMA5ub8r/G/j/g7&#10;uThns6VhelXxbhrsDbNoWCVh0KGrz8wx8mSqg66aihtlVenOuGomqiwrLrwP4E0UvvLmxqgn7X1Z&#10;ztZLPcgE0r7S6c3d8i/Pd4ZUi3lAAyJZA4/Ij0ooSrPWyxlY3Bh9r+9MV7Bs79DbTWka/A9+kI0X&#10;9WUQVWwc4VCY5lmaTbOAcKhLwiItik52voJnc9COr/7YaVlkMK+uZRbnCc5q0g88wfkN01lrCCG7&#10;Vcn+P5XuV0wLL75FDTqVIlr0Oj2gh7+rDcEyr403RKWI20AFrIe+3ELhEcGStKDwF5BD2aJwmqRx&#10;73wxzWi25zubaWPdjVANwYt5YCDWfQiy51vrWpl6ExzaqrpaXFd17W9wfYmr2pBnBiujdn6mIOye&#10;VS3JGgIjyULfsVTYvO25ltiN8CusGw71b/30V+6lFmhTy79ECRHm4+PI2IxzIYfxvTValTDUKQ07&#10;++2sTmnc+gEt/MhKuqFxU0llvPceSVvJFv/0kpWtPcTljt946TaPmy4uHtXiBcLCqBZAVvPrCp7a&#10;LbPujhkgDrAJKOq+wk9ZK1BddVcBWSnz/Vg52kOIQ21A1kCweWD/fWJGBKT+U0LwF1GaIvL8DSzB&#10;GG7Mbs3jbo18aq4UhEIEvNbcX6K9q/vL0qjmG8D2EkeFKiY5jD0PXH955VquAqy5uLz0RgA5zdyt&#10;vNccu0Z5MSYfNt+Y0V3gOlhHX1S/3NjsVfy2tthSqssnp8rKBzcK3KraCQ9LH4H1IxgwBfdbVm4Z&#10;AGVvY0AaZkWRtAyI4jiiSY49weLqMDgtshCfHVIwnuZR4kcaIDiCYJ8gPykI/B477AcjDz4UDwCa&#10;BzwYnjUkD6flBGGeQ6KDOUEMqRPNfXax5UGU0CmNu4QqLeIi73eiPh3rt/0xM8Bc8WcGQtxvGiMQ&#10;PhQQ4iNAGJ71iUDI0ijB5Y48oDGN4ES0lx9ESZpQ2iUIKS2ieIoGY4IwHG/eT4Lgz7fb1HY8MHyQ&#10;A0N6hAdpz/4TeTClIZwCjr4ziOIwoVCFRwVPAo+KkQTvkARDdIyZwYfKDGAjPzgq+Dd7SP0TSQB7&#10;Piz0KIqKGBKE/aQgonmedijICpqk/q3CiIJ3iIIhPEYU/BgU+O8K8MHFJ9HdxyH8orN77986bj9h&#10;XfwHAAD//wMAUEsDBBQABgAIAAAAIQBy0sgc4QAAAAoBAAAPAAAAZHJzL2Rvd25yZXYueG1sTI/B&#10;TsMwEETvSPyDtUjcqGNowIQ4VVUBp6oSLVLVmxtvk6ixHcVukv49ywmOszOafZMvJtuyAfvQeKdA&#10;zBJg6EpvGlcp+N59PEhgIWpndOsdKrhigEVxe5PrzPjRfeGwjRWjEhcyraCOscs4D2WNVoeZ79CR&#10;d/K91ZFkX3HT65HKbcsfk+SZW904+lDrDlc1luftxSr4HPW4fBLvw/p8Wl0Pu3SzXwtU6v5uWr4B&#10;izjFvzD84hM6FMR09BdnAmsVyDlNiXRPxAswCsi5TIEdFaTyVQAvcv5/QvEDAAD//wMAUEsBAi0A&#10;FAAGAAgAAAAhALaDOJL+AAAA4QEAABMAAAAAAAAAAAAAAAAAAAAAAFtDb250ZW50X1R5cGVzXS54&#10;bWxQSwECLQAUAAYACAAAACEAOP0h/9YAAACUAQAACwAAAAAAAAAAAAAAAAAvAQAAX3JlbHMvLnJl&#10;bHNQSwECLQAUAAYACAAAACEApTH6GSQEAAAKGwAADgAAAAAAAAAAAAAAAAAuAgAAZHJzL2Uyb0Rv&#10;Yy54bWxQSwECLQAUAAYACAAAACEActLIHOEAAAAKAQAADwAAAAAAAAAAAAAAAAB+BgAAZHJzL2Rv&#10;d25yZXYueG1sUEsFBgAAAAAEAAQA8wAAAIwHAAAAAA==&#10;">
                <v:shapetype id="_x0000_t202" coordsize="21600,21600" o:spt="202" path="m,l,21600r21600,l21600,xe">
                  <v:stroke joinstyle="miter"/>
                  <v:path gradientshapeok="t" o:connecttype="rect"/>
                </v:shapetype>
                <v:shape id="Text Box 169" o:spid="_x0000_s1027" type="#_x0000_t202" style="position:absolute;left:34966;width:10734;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zw8QA&#10;AADcAAAADwAAAGRycy9kb3ducmV2LnhtbERPTWvCQBC9C/0PyxR6KbpppWqjq5SiVbxptKW3ITsm&#10;odnZkF2T9N+7guBtHu9zZovOlKKh2hWWFbwMIhDEqdUFZwoOyao/AeE8ssbSMin4JweL+UNvhrG2&#10;Le+o2ftMhBB2MSrIva9iKV2ak0E3sBVx4E62NugDrDOpa2xDuCnlaxSNpMGCQ0OOFX3mlP7tz0bB&#10;73P2s3Xd17Edvg2r5bpJxt86UerpsfuYgvDU+bv45t7oMH/0Dt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c8PEAAAA3AAAAA8AAAAAAAAAAAAAAAAAmAIAAGRycy9k&#10;b3ducmV2LnhtbFBLBQYAAAAABAAEAPUAAACJAwAAAAA=&#10;" fillcolor="white [3201]" stroked="f" strokeweight=".5pt">
                  <v:textbox>
                    <w:txbxContent>
                      <w:p w:rsidR="00A03476" w:rsidRPr="00EE7118" w:rsidRDefault="00A03476" w:rsidP="002A4D40">
                        <w:pPr>
                          <w:jc w:val="center"/>
                          <w:rPr>
                            <w:rFonts w:ascii="Times New Roman" w:hAnsi="Times New Roman" w:cs="Times New Roman"/>
                            <w:sz w:val="18"/>
                            <w:szCs w:val="18"/>
                          </w:rPr>
                        </w:pPr>
                        <w:r>
                          <w:rPr>
                            <w:rFonts w:ascii="Times New Roman" w:hAnsi="Times New Roman" w:cs="Times New Roman"/>
                            <w:sz w:val="18"/>
                            <w:szCs w:val="18"/>
                          </w:rPr>
                          <w:t>Indėliai, pensijų sutartys ir kt.</w:t>
                        </w:r>
                      </w:p>
                    </w:txbxContent>
                  </v:textbox>
                </v:shape>
                <v:shape id="Text Box 170" o:spid="_x0000_s1028" type="#_x0000_t202" style="position:absolute;left:40599;top:12216;width:7950;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Mg8cA&#10;AADcAAAADwAAAGRycy9kb3ducmV2LnhtbESPT2vCQBDF74LfYZlCL0U3rVQldZVS+g9vGm3pbchO&#10;k2B2NmS3Sfz2zqHgbYb35r3frDaDq1VHbag8G7ifJqCIc28rLgwcsrfJElSIyBZrz2TgTAE26/Fo&#10;han1Pe+o28dCSQiHFA2UMTap1iEvyWGY+oZYtF/fOoyytoW2LfYS7mr9kCRz7bBiaSixoZeS8tP+&#10;zxn4uSu+t2F4P/azx1nz+tFliy+bGXN7Mzw/gYo0xKv5//rTCv5C8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2TIPHAAAA3AAAAA8AAAAAAAAAAAAAAAAAmAIAAGRy&#10;cy9kb3ducmV2LnhtbFBLBQYAAAAABAAEAPUAAACMAwAAAAA=&#10;" fillcolor="white [3201]" stroked="f" strokeweight=".5pt">
                  <v:textbox>
                    <w:txbxContent>
                      <w:p w:rsidR="00A03476" w:rsidRDefault="00A03476" w:rsidP="00EE7118">
                        <w:r w:rsidRPr="002A4D40">
                          <w:rPr>
                            <w:rFonts w:ascii="Times New Roman" w:hAnsi="Times New Roman" w:cs="Times New Roman"/>
                            <w:sz w:val="18"/>
                            <w:szCs w:val="18"/>
                          </w:rPr>
                          <w:t>Investicijo</w:t>
                        </w:r>
                        <w:r>
                          <w:t>s</w:t>
                        </w:r>
                      </w:p>
                    </w:txbxContent>
                  </v:textbox>
                </v:shape>
                <v:shape id="Text Box 171" o:spid="_x0000_s1029" type="#_x0000_t202" style="position:absolute;left:34088;top:25456;width:13677;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pGMQA&#10;AADcAAAADwAAAGRycy9kb3ducmV2LnhtbERPS2vCQBC+C/0Pywi9iG6s+CC6SiltLd402uJtyI5J&#10;aHY2ZLdJ/PddQfA2H99zVpvOlKKh2hWWFYxHEQji1OqCMwXH5GO4AOE8ssbSMim4koPN+qm3wljb&#10;lvfUHHwmQgi7GBXk3lexlC7NyaAb2Yo4cBdbG/QB1pnUNbYh3JTyJYpm0mDBoSHHit5ySn8Pf0bB&#10;eZD97Fz3eWon00n1vm2S+bdOlHrud69LEJ46/xDf3V86zJ+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66RjEAAAA3AAAAA8AAAAAAAAAAAAAAAAAmAIAAGRycy9k&#10;b3ducmV2LnhtbFBLBQYAAAAABAAEAPUAAACJAwAAAAA=&#10;" fillcolor="white [3201]" stroked="f" strokeweight=".5pt">
                  <v:textbox>
                    <w:txbxContent>
                      <w:p w:rsidR="00A03476" w:rsidRPr="002A4D40" w:rsidRDefault="00A03476" w:rsidP="002A4D40">
                        <w:pPr>
                          <w:jc w:val="center"/>
                          <w:rPr>
                            <w:rFonts w:ascii="Times New Roman" w:hAnsi="Times New Roman" w:cs="Times New Roman"/>
                            <w:sz w:val="18"/>
                            <w:szCs w:val="18"/>
                          </w:rPr>
                        </w:pPr>
                        <w:r w:rsidRPr="002A4D40">
                          <w:rPr>
                            <w:rFonts w:ascii="Times New Roman" w:hAnsi="Times New Roman" w:cs="Times New Roman"/>
                            <w:sz w:val="18"/>
                            <w:szCs w:val="18"/>
                          </w:rPr>
                          <w:t xml:space="preserve">Finansinis bei intelektinis </w:t>
                        </w:r>
                        <w:r>
                          <w:rPr>
                            <w:rFonts w:ascii="Times New Roman" w:hAnsi="Times New Roman" w:cs="Times New Roman"/>
                            <w:sz w:val="18"/>
                            <w:szCs w:val="18"/>
                          </w:rPr>
                          <w:t xml:space="preserve">       </w:t>
                        </w:r>
                        <w:r w:rsidRPr="002A4D40">
                          <w:rPr>
                            <w:rFonts w:ascii="Times New Roman" w:hAnsi="Times New Roman" w:cs="Times New Roman"/>
                            <w:sz w:val="18"/>
                            <w:szCs w:val="18"/>
                          </w:rPr>
                          <w:t>kapitalas</w:t>
                        </w:r>
                      </w:p>
                    </w:txbxContent>
                  </v:textbox>
                </v:shape>
                <v:shape id="Text Box 172" o:spid="_x0000_s1030" type="#_x0000_t202" style="position:absolute;left:5413;top:26261;width:13436;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3b8QA&#10;AADcAAAADwAAAGRycy9kb3ducmV2LnhtbERPTWvCQBC9F/wPyxS8lLpRsUrqKiJai7cmVeltyE6T&#10;YHY2ZLdJ/PddodDbPN7nLNe9qURLjSstKxiPIhDEmdUl5wo+0/3zAoTzyBory6TgRg7Wq8HDEmNt&#10;O/6gNvG5CCHsYlRQeF/HUrqsIINuZGviwH3bxqAPsMmlbrAL4aaSkyh6kQZLDg0F1rQtKLsmP0bB&#10;11N+Obr+7dRNZ9N6d2jT+VmnSg0f+80rCE+9/xf/ud91mD+fwP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d2/EAAAA3AAAAA8AAAAAAAAAAAAAAAAAmAIAAGRycy9k&#10;b3ducmV2LnhtbFBLBQYAAAAABAAEAPUAAACJAwAAAAA=&#10;" fillcolor="white [3201]" stroked="f" strokeweight=".5pt">
                  <v:textbox>
                    <w:txbxContent>
                      <w:p w:rsidR="00A03476" w:rsidRPr="002A4D40" w:rsidRDefault="00A03476" w:rsidP="002A4D40">
                        <w:pPr>
                          <w:jc w:val="center"/>
                          <w:rPr>
                            <w:rFonts w:ascii="Times New Roman" w:hAnsi="Times New Roman" w:cs="Times New Roman"/>
                            <w:sz w:val="18"/>
                            <w:szCs w:val="18"/>
                          </w:rPr>
                        </w:pPr>
                        <w:r w:rsidRPr="002A4D40">
                          <w:rPr>
                            <w:rFonts w:ascii="Times New Roman" w:hAnsi="Times New Roman" w:cs="Times New Roman"/>
                            <w:sz w:val="18"/>
                            <w:szCs w:val="18"/>
                          </w:rPr>
                          <w:t>Investuotas finansini</w:t>
                        </w:r>
                        <w:r>
                          <w:rPr>
                            <w:rFonts w:ascii="Times New Roman" w:hAnsi="Times New Roman" w:cs="Times New Roman"/>
                            <w:sz w:val="18"/>
                            <w:szCs w:val="18"/>
                          </w:rPr>
                          <w:t xml:space="preserve">s kapitalas </w:t>
                        </w:r>
                        <w:r w:rsidRPr="002A4D40">
                          <w:rPr>
                            <w:rFonts w:ascii="Times New Roman" w:hAnsi="Times New Roman" w:cs="Times New Roman"/>
                            <w:sz w:val="18"/>
                            <w:szCs w:val="18"/>
                          </w:rPr>
                          <w:t>ir pelno dalis</w:t>
                        </w:r>
                      </w:p>
                    </w:txbxContent>
                  </v:textbox>
                </v:shape>
                <v:shape id="Text Box 174" o:spid="_x0000_s1031" type="#_x0000_t202" style="position:absolute;left:7607;width:11204;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KgMQA&#10;AADcAAAADwAAAGRycy9kb3ducmV2LnhtbERPS2vCQBC+F/oflin0UnTju6SuItKqeNOopbchO01C&#10;s7Mhu03iv3eFQm/z8T1nvuxMKRqqXWFZwaAfgSBOrS44U3BKPnqvIJxH1lhaJgVXcrBcPD7MMda2&#10;5QM1R5+JEMIuRgW591UspUtzMuj6tiIO3LetDfoA60zqGtsQbko5jKKpNFhwaMixonVO6c/x1yj4&#10;esk+967bnNvRZFS9b5tkdtGJUs9P3eoNhKfO/4v/3Dsd5s/GcH8mX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SoDEAAAA3AAAAA8AAAAAAAAAAAAAAAAAmAIAAGRycy9k&#10;b3ducmV2LnhtbFBLBQYAAAAABAAEAPUAAACJAwAAAAA=&#10;" fillcolor="white [3201]" stroked="f" strokeweight=".5pt">
                  <v:textbox>
                    <w:txbxContent>
                      <w:p w:rsidR="00A03476" w:rsidRPr="002A4D40" w:rsidRDefault="00A03476" w:rsidP="002A4D40">
                        <w:pPr>
                          <w:jc w:val="center"/>
                          <w:rPr>
                            <w:rFonts w:ascii="Times New Roman" w:hAnsi="Times New Roman" w:cs="Times New Roman"/>
                            <w:sz w:val="18"/>
                            <w:szCs w:val="18"/>
                          </w:rPr>
                        </w:pPr>
                        <w:r w:rsidRPr="002A4D40">
                          <w:rPr>
                            <w:rFonts w:ascii="Times New Roman" w:hAnsi="Times New Roman" w:cs="Times New Roman"/>
                            <w:sz w:val="18"/>
                            <w:szCs w:val="18"/>
                          </w:rPr>
                          <w:t>Palūkanos, kapitalo prieaugis</w:t>
                        </w:r>
                      </w:p>
                    </w:txbxContent>
                  </v:textbox>
                </v:shape>
                <v:shape id="Text Box 175" o:spid="_x0000_s1032" type="#_x0000_t202" style="position:absolute;top:11192;width:11688;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vG8QA&#10;AADcAAAADwAAAGRycy9kb3ducmV2LnhtbERPS2vCQBC+C/0PyxR6kbqxYpXUVaTUB96a1Jbehuw0&#10;Cc3OhuyaxH/vCoK3+fies1j1phItNa60rGA8ikAQZ1aXnCv4SjfPcxDOI2usLJOCMzlYLR8GC4y1&#10;7fiT2sTnIoSwi1FB4X0dS+myggy6ka2JA/dnG4M+wCaXusEuhJtKvkTRqzRYcmgosKb3grL/5GQU&#10;/A7zn4Prt8duMp3UH7s2nX3rVKmnx379BsJT7+/im3uvw/zZF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B7xvEAAAA3AAAAA8AAAAAAAAAAAAAAAAAmAIAAGRycy9k&#10;b3ducmV2LnhtbFBLBQYAAAAABAAEAPUAAACJAwAAAAA=&#10;" fillcolor="white [3201]" stroked="f" strokeweight=".5pt">
                  <v:textbox>
                    <w:txbxContent>
                      <w:p w:rsidR="00A03476" w:rsidRPr="002A4D40" w:rsidRDefault="00A03476" w:rsidP="002A4D40">
                        <w:pPr>
                          <w:jc w:val="center"/>
                          <w:rPr>
                            <w:rFonts w:ascii="Times New Roman" w:hAnsi="Times New Roman" w:cs="Times New Roman"/>
                            <w:sz w:val="18"/>
                            <w:szCs w:val="18"/>
                          </w:rPr>
                        </w:pPr>
                        <w:r w:rsidRPr="002A4D40">
                          <w:rPr>
                            <w:rFonts w:ascii="Times New Roman" w:hAnsi="Times New Roman" w:cs="Times New Roman"/>
                            <w:sz w:val="18"/>
                            <w:szCs w:val="18"/>
                          </w:rPr>
                          <w:t>Investuotas finansini</w:t>
                        </w:r>
                        <w:r>
                          <w:rPr>
                            <w:rFonts w:ascii="Times New Roman" w:hAnsi="Times New Roman" w:cs="Times New Roman"/>
                            <w:sz w:val="18"/>
                            <w:szCs w:val="18"/>
                          </w:rPr>
                          <w:t xml:space="preserve">s kapitalas </w:t>
                        </w:r>
                        <w:r w:rsidRPr="002A4D40">
                          <w:rPr>
                            <w:rFonts w:ascii="Times New Roman" w:hAnsi="Times New Roman" w:cs="Times New Roman"/>
                            <w:sz w:val="18"/>
                            <w:szCs w:val="18"/>
                          </w:rPr>
                          <w:t>ir pelno dalis</w:t>
                        </w:r>
                      </w:p>
                    </w:txbxContent>
                  </v:textbox>
                </v:shape>
              </v:group>
            </w:pict>
          </mc:Fallback>
        </mc:AlternateContent>
      </w:r>
    </w:p>
    <w:p w:rsidR="00EE7118" w:rsidRPr="00EC1AB2" w:rsidRDefault="00EE7118" w:rsidP="007A02A8">
      <w:pPr>
        <w:pStyle w:val="ListParagraph"/>
        <w:kinsoku w:val="0"/>
        <w:overflowPunct w:val="0"/>
        <w:spacing w:after="0" w:line="360" w:lineRule="auto"/>
        <w:ind w:left="1080"/>
        <w:jc w:val="center"/>
        <w:textAlignment w:val="baseline"/>
        <w:rPr>
          <w:rFonts w:ascii="Times New Roman" w:hAnsi="Times New Roman" w:cs="Times New Roman"/>
          <w:sz w:val="24"/>
          <w:szCs w:val="24"/>
        </w:rPr>
      </w:pPr>
    </w:p>
    <w:p w:rsidR="007915D7" w:rsidRPr="00EC1AB2" w:rsidRDefault="007915D7" w:rsidP="007A02A8">
      <w:pPr>
        <w:kinsoku w:val="0"/>
        <w:overflowPunct w:val="0"/>
        <w:spacing w:after="0" w:line="360" w:lineRule="auto"/>
        <w:textAlignment w:val="baseline"/>
        <w:rPr>
          <w:rFonts w:ascii="Times New Roman" w:hAnsi="Times New Roman" w:cs="Times New Roman"/>
          <w:sz w:val="24"/>
          <w:szCs w:val="24"/>
        </w:rPr>
      </w:pPr>
    </w:p>
    <w:p w:rsidR="007915D7" w:rsidRPr="00EC1AB2" w:rsidRDefault="007915D7" w:rsidP="007A02A8">
      <w:pPr>
        <w:spacing w:after="0" w:line="360" w:lineRule="auto"/>
        <w:ind w:left="720" w:firstLine="720"/>
        <w:rPr>
          <w:rFonts w:ascii="Times New Roman" w:hAnsi="Times New Roman" w:cs="Times New Roman"/>
          <w:bCs/>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 xml:space="preserve">sudaryta pagal </w:t>
      </w:r>
      <w:r w:rsidRPr="00EC1AB2">
        <w:rPr>
          <w:rFonts w:ascii="Times New Roman" w:hAnsi="Times New Roman" w:cs="Times New Roman"/>
          <w:bCs/>
          <w:sz w:val="20"/>
          <w:szCs w:val="20"/>
        </w:rPr>
        <w:t>Tolppanen, Russel (2002)</w:t>
      </w:r>
    </w:p>
    <w:p w:rsidR="007915D7" w:rsidRPr="00EC1AB2" w:rsidRDefault="002A4D40" w:rsidP="007A02A8">
      <w:pPr>
        <w:pStyle w:val="Heading5"/>
        <w:spacing w:before="0" w:line="360" w:lineRule="auto"/>
        <w:jc w:val="center"/>
        <w:rPr>
          <w:rFonts w:ascii="Times New Roman" w:hAnsi="Times New Roman" w:cs="Times New Roman"/>
          <w:b/>
          <w:color w:val="auto"/>
          <w:sz w:val="24"/>
          <w:szCs w:val="24"/>
        </w:rPr>
      </w:pPr>
      <w:bookmarkStart w:id="69" w:name="_Toc320761911"/>
      <w:bookmarkStart w:id="70" w:name="_Toc320762146"/>
      <w:bookmarkStart w:id="71" w:name="_Toc320762548"/>
      <w:r w:rsidRPr="00EC1AB2">
        <w:rPr>
          <w:rFonts w:ascii="Times New Roman" w:hAnsi="Times New Roman" w:cs="Times New Roman"/>
          <w:color w:val="auto"/>
          <w:sz w:val="24"/>
          <w:szCs w:val="24"/>
        </w:rPr>
        <w:t>4</w:t>
      </w:r>
      <w:r w:rsidR="007915D7" w:rsidRPr="00EC1AB2">
        <w:rPr>
          <w:rFonts w:ascii="Times New Roman" w:hAnsi="Times New Roman" w:cs="Times New Roman"/>
          <w:color w:val="auto"/>
          <w:sz w:val="24"/>
          <w:szCs w:val="24"/>
        </w:rPr>
        <w:t xml:space="preserve"> pav.</w:t>
      </w:r>
      <w:r w:rsidR="007915D7" w:rsidRPr="00EC1AB2">
        <w:rPr>
          <w:rFonts w:ascii="Times New Roman" w:hAnsi="Times New Roman" w:cs="Times New Roman"/>
          <w:b/>
          <w:color w:val="auto"/>
          <w:sz w:val="24"/>
          <w:szCs w:val="24"/>
        </w:rPr>
        <w:t xml:space="preserve"> </w:t>
      </w:r>
      <w:r w:rsidR="00012725" w:rsidRPr="00EC1AB2">
        <w:rPr>
          <w:rFonts w:ascii="Times New Roman" w:hAnsi="Times New Roman" w:cs="Times New Roman"/>
          <w:b/>
          <w:color w:val="auto"/>
          <w:sz w:val="24"/>
          <w:szCs w:val="24"/>
        </w:rPr>
        <w:t>Rizikos kapitalo fondų veiklos f</w:t>
      </w:r>
      <w:r w:rsidR="007915D7" w:rsidRPr="00EC1AB2">
        <w:rPr>
          <w:rFonts w:ascii="Times New Roman" w:hAnsi="Times New Roman" w:cs="Times New Roman"/>
          <w:b/>
          <w:color w:val="auto"/>
          <w:sz w:val="24"/>
          <w:szCs w:val="24"/>
        </w:rPr>
        <w:t>inansinis ciklas</w:t>
      </w:r>
      <w:bookmarkEnd w:id="69"/>
      <w:bookmarkEnd w:id="70"/>
      <w:bookmarkEnd w:id="71"/>
    </w:p>
    <w:p w:rsidR="007915D7" w:rsidRPr="00EC1AB2" w:rsidRDefault="007915D7" w:rsidP="007A02A8">
      <w:pPr>
        <w:pStyle w:val="Heading5"/>
        <w:spacing w:before="0" w:line="360" w:lineRule="auto"/>
        <w:jc w:val="center"/>
        <w:rPr>
          <w:rFonts w:ascii="Times New Roman" w:hAnsi="Times New Roman" w:cs="Times New Roman"/>
          <w:b/>
          <w:color w:val="auto"/>
          <w:sz w:val="24"/>
          <w:szCs w:val="24"/>
        </w:rPr>
      </w:pPr>
    </w:p>
    <w:p w:rsidR="007915D7" w:rsidRPr="00EC1AB2" w:rsidRDefault="002A4D40"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iš 4</w:t>
      </w:r>
      <w:r w:rsidR="007915D7" w:rsidRPr="00EC1AB2">
        <w:rPr>
          <w:rFonts w:ascii="Times New Roman" w:hAnsi="Times New Roman" w:cs="Times New Roman"/>
          <w:sz w:val="24"/>
          <w:szCs w:val="24"/>
        </w:rPr>
        <w:t xml:space="preserve"> pav. RKF surenka lėšas iš institucinių investuotojų, t.y. bankų, pensijų fondų, draudimo kompanijų ir kitų finansines paslaugas teikiančių įmonių, kurie per įvairius finansinius instrumentus – indėlius, obligacijas ir kt. atitinkamai surinko lėšas iš namų ūkių bei verslo vienetų.  Kitoje ciklo stadijoje fondai gautus įnašus invest</w:t>
      </w:r>
      <w:r w:rsidR="00266E3E" w:rsidRPr="00EC1AB2">
        <w:rPr>
          <w:rFonts w:ascii="Times New Roman" w:hAnsi="Times New Roman" w:cs="Times New Roman"/>
          <w:sz w:val="24"/>
          <w:szCs w:val="24"/>
        </w:rPr>
        <w:t>uoja į inovatyvias įmones. Panau</w:t>
      </w:r>
      <w:r w:rsidR="007915D7" w:rsidRPr="00EC1AB2">
        <w:rPr>
          <w:rFonts w:ascii="Times New Roman" w:hAnsi="Times New Roman" w:cs="Times New Roman"/>
          <w:sz w:val="24"/>
          <w:szCs w:val="24"/>
        </w:rPr>
        <w:t>dojant n</w:t>
      </w:r>
      <w:r w:rsidR="00740733" w:rsidRPr="00EC1AB2">
        <w:rPr>
          <w:rFonts w:ascii="Times New Roman" w:hAnsi="Times New Roman" w:cs="Times New Roman"/>
          <w:sz w:val="24"/>
          <w:szCs w:val="24"/>
        </w:rPr>
        <w:t>e tik finansinį bet ir intelekti</w:t>
      </w:r>
      <w:r w:rsidR="00266E3E" w:rsidRPr="00EC1AB2">
        <w:rPr>
          <w:rFonts w:ascii="Times New Roman" w:hAnsi="Times New Roman" w:cs="Times New Roman"/>
          <w:sz w:val="24"/>
          <w:szCs w:val="24"/>
        </w:rPr>
        <w:t>nį kapitalą,</w:t>
      </w:r>
      <w:r w:rsidR="007915D7" w:rsidRPr="00EC1AB2">
        <w:rPr>
          <w:rFonts w:ascii="Times New Roman" w:hAnsi="Times New Roman" w:cs="Times New Roman"/>
          <w:sz w:val="24"/>
          <w:szCs w:val="24"/>
        </w:rPr>
        <w:t xml:space="preserve"> siekiama  įmonės ir fondo bendro tikslo – įmonės vertės augimo. Taigi, įmonei išsiplėtus generuojami pastovūs pinigų srautai, mokami pastovūs mokesčiai valstybei bei nuolat </w:t>
      </w:r>
      <w:r w:rsidR="00266E3E" w:rsidRPr="00EC1AB2">
        <w:rPr>
          <w:rFonts w:ascii="Times New Roman" w:hAnsi="Times New Roman" w:cs="Times New Roman"/>
          <w:sz w:val="24"/>
          <w:szCs w:val="24"/>
        </w:rPr>
        <w:t>generuojama pridėtinė vertė, o tai, kaip jau minėta,</w:t>
      </w:r>
      <w:r w:rsidR="007915D7" w:rsidRPr="00EC1AB2">
        <w:rPr>
          <w:rFonts w:ascii="Times New Roman" w:hAnsi="Times New Roman" w:cs="Times New Roman"/>
          <w:sz w:val="24"/>
          <w:szCs w:val="24"/>
        </w:rPr>
        <w:t xml:space="preserve"> skatina ekonomikos augimą. Fondui likvidavus investicijas, pelnas padalijamas investuotojams, kurie savo ruožtu gauto pelno dalį pasilieka sau, o kitą dalį išdalija savo investuotojams, kurių lėšas buvo investavę į RKF, t.y. namų ūkiams ir verslo vienetams. </w:t>
      </w:r>
    </w:p>
    <w:p w:rsidR="007374DF"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Taigi, kaip pastebi Alternatyvių investicijų ekspertų grupė (2006) RKF investicijos nauding</w:t>
      </w:r>
      <w:r w:rsidR="00E45A99" w:rsidRPr="00EC1AB2">
        <w:rPr>
          <w:rFonts w:ascii="Times New Roman" w:hAnsi="Times New Roman" w:cs="Times New Roman"/>
          <w:sz w:val="24"/>
          <w:szCs w:val="24"/>
        </w:rPr>
        <w:t>os ne tik įmonei, į kurią invest</w:t>
      </w:r>
      <w:r w:rsidRPr="00EC1AB2">
        <w:rPr>
          <w:rFonts w:ascii="Times New Roman" w:hAnsi="Times New Roman" w:cs="Times New Roman"/>
          <w:sz w:val="24"/>
          <w:szCs w:val="24"/>
        </w:rPr>
        <w:t>uojama, ne tik valstybei, bet ir pensijų fondų investicijos į RKF gali ypač padidinti senstančios Europos pensijų išmokas. Kaupelytė, Jankauskienė (2009) teigi</w:t>
      </w:r>
      <w:r w:rsidR="00E45A99" w:rsidRPr="00EC1AB2">
        <w:rPr>
          <w:rFonts w:ascii="Times New Roman" w:hAnsi="Times New Roman" w:cs="Times New Roman"/>
          <w:sz w:val="24"/>
          <w:szCs w:val="24"/>
        </w:rPr>
        <w:t>a, kad tose rinkose, kur priežiū</w:t>
      </w:r>
      <w:r w:rsidRPr="00EC1AB2">
        <w:rPr>
          <w:rFonts w:ascii="Times New Roman" w:hAnsi="Times New Roman" w:cs="Times New Roman"/>
          <w:sz w:val="24"/>
          <w:szCs w:val="24"/>
        </w:rPr>
        <w:t>ros institucijos ir įstatyminė aplinka leidžia pensijų fondams diversifikuoti jų portfelį į rizikos kapitalą ir privačią nuosavybę, šios turto klasės jau yra padarę ženklų indėlį į pensijų fondų grąžos rezultatus.</w:t>
      </w:r>
    </w:p>
    <w:p w:rsidR="007915D7"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Anot Rimo (2010), </w:t>
      </w:r>
      <w:r w:rsidRPr="00EC1AB2">
        <w:rPr>
          <w:rFonts w:ascii="Times New Roman" w:hAnsi="Times New Roman" w:cs="Times New Roman"/>
          <w:sz w:val="24"/>
          <w:szCs w:val="24"/>
          <w:lang w:eastAsia="lt-LT"/>
        </w:rPr>
        <w:t>g</w:t>
      </w:r>
      <w:r w:rsidR="00E45A99" w:rsidRPr="00EC1AB2">
        <w:rPr>
          <w:rFonts w:ascii="Times New Roman" w:hAnsi="Times New Roman" w:cs="Times New Roman"/>
          <w:sz w:val="24"/>
          <w:szCs w:val="24"/>
          <w:lang w:eastAsia="lt-LT"/>
        </w:rPr>
        <w:t>a</w:t>
      </w:r>
      <w:r w:rsidRPr="00EC1AB2">
        <w:rPr>
          <w:rFonts w:ascii="Times New Roman" w:hAnsi="Times New Roman" w:cs="Times New Roman"/>
          <w:sz w:val="24"/>
          <w:szCs w:val="24"/>
          <w:lang w:eastAsia="lt-LT"/>
        </w:rPr>
        <w:t>lima išskirti šias pagrindines privataus kapitalo rinkos funkcijas:</w:t>
      </w:r>
    </w:p>
    <w:p w:rsidR="007915D7" w:rsidRPr="00EC1AB2" w:rsidRDefault="005C2E1B" w:rsidP="007A02A8">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S</w:t>
      </w:r>
      <w:r w:rsidR="007915D7" w:rsidRPr="00EC1AB2">
        <w:rPr>
          <w:rFonts w:ascii="Times New Roman" w:hAnsi="Times New Roman" w:cs="Times New Roman"/>
          <w:sz w:val="24"/>
          <w:szCs w:val="24"/>
          <w:lang w:eastAsia="lt-LT"/>
        </w:rPr>
        <w:t>udaryti gal</w:t>
      </w:r>
      <w:r w:rsidR="007D4FC5" w:rsidRPr="00EC1AB2">
        <w:rPr>
          <w:rFonts w:ascii="Times New Roman" w:hAnsi="Times New Roman" w:cs="Times New Roman"/>
          <w:sz w:val="24"/>
          <w:szCs w:val="24"/>
          <w:lang w:eastAsia="lt-LT"/>
        </w:rPr>
        <w:t>imybę gauti finansavimą kapitalu</w:t>
      </w:r>
      <w:r w:rsidR="007915D7" w:rsidRPr="00EC1AB2">
        <w:rPr>
          <w:rFonts w:ascii="Times New Roman" w:hAnsi="Times New Roman" w:cs="Times New Roman"/>
          <w:sz w:val="24"/>
          <w:szCs w:val="24"/>
          <w:lang w:eastAsia="lt-LT"/>
        </w:rPr>
        <w:t xml:space="preserve"> įmonėms, kurios negali pasinaudoti viešojo kapitalo rinkomis (angl. </w:t>
      </w:r>
      <w:r w:rsidR="007915D7" w:rsidRPr="00EC1AB2">
        <w:rPr>
          <w:rFonts w:ascii="Times New Roman" w:hAnsi="Times New Roman" w:cs="Times New Roman"/>
          <w:i/>
          <w:iCs/>
          <w:sz w:val="24"/>
          <w:szCs w:val="24"/>
          <w:lang w:eastAsia="lt-LT"/>
        </w:rPr>
        <w:t>public equity markets</w:t>
      </w:r>
      <w:r w:rsidR="00012725" w:rsidRPr="00EC1AB2">
        <w:rPr>
          <w:rFonts w:ascii="Times New Roman" w:hAnsi="Times New Roman" w:cs="Times New Roman"/>
          <w:sz w:val="24"/>
          <w:szCs w:val="24"/>
          <w:lang w:eastAsia="lt-LT"/>
        </w:rPr>
        <w:t>);</w:t>
      </w:r>
    </w:p>
    <w:p w:rsidR="008745AC" w:rsidRPr="00EC1AB2" w:rsidRDefault="007915D7" w:rsidP="007A02A8">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 xml:space="preserve">Suteikti galimybę įmonėms, kurios pajėgios naudotis viešojo kapitalo rinkomis, pasitraukti iš jų siekiant įvykdyti transformacijas, kurios būtinos tolesnei įmonių </w:t>
      </w:r>
      <w:r w:rsidR="00012725" w:rsidRPr="00EC1AB2">
        <w:rPr>
          <w:rFonts w:ascii="Times New Roman" w:hAnsi="Times New Roman" w:cs="Times New Roman"/>
          <w:sz w:val="24"/>
          <w:szCs w:val="24"/>
          <w:lang w:eastAsia="lt-LT"/>
        </w:rPr>
        <w:t>veiklai užtikrinti;</w:t>
      </w:r>
    </w:p>
    <w:p w:rsidR="007915D7" w:rsidRPr="00EC1AB2" w:rsidRDefault="007915D7" w:rsidP="007A02A8">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Suteikti galimybę investuotojams diversifikuoti individualią investicijos riziką pasinaudojant portfelio bendrovių principu organizuo</w:t>
      </w:r>
      <w:r w:rsidR="006F194B" w:rsidRPr="00EC1AB2">
        <w:rPr>
          <w:rFonts w:ascii="Times New Roman" w:hAnsi="Times New Roman" w:cs="Times New Roman"/>
          <w:sz w:val="24"/>
          <w:szCs w:val="24"/>
          <w:lang w:eastAsia="lt-LT"/>
        </w:rPr>
        <w:t>tomis</w:t>
      </w:r>
      <w:r w:rsidR="00C40E84" w:rsidRPr="00EC1AB2">
        <w:rPr>
          <w:rFonts w:ascii="Times New Roman" w:hAnsi="Times New Roman" w:cs="Times New Roman"/>
          <w:sz w:val="24"/>
          <w:szCs w:val="24"/>
          <w:lang w:eastAsia="lt-LT"/>
        </w:rPr>
        <w:t xml:space="preserve"> privataus kapitalo fondų </w:t>
      </w:r>
      <w:r w:rsidRPr="00EC1AB2">
        <w:rPr>
          <w:rFonts w:ascii="Times New Roman" w:hAnsi="Times New Roman" w:cs="Times New Roman"/>
          <w:sz w:val="24"/>
          <w:szCs w:val="24"/>
          <w:lang w:eastAsia="lt-LT"/>
        </w:rPr>
        <w:t>struktūromis, ir priskirti lėšas potencialiai produktyviausioms reikmėms.</w:t>
      </w:r>
    </w:p>
    <w:p w:rsidR="007915D7" w:rsidRPr="00EC1AB2" w:rsidRDefault="007915D7" w:rsidP="007A02A8">
      <w:pPr>
        <w:autoSpaceDE w:val="0"/>
        <w:autoSpaceDN w:val="0"/>
        <w:adjustRightInd w:val="0"/>
        <w:spacing w:after="0" w:line="360" w:lineRule="auto"/>
        <w:ind w:firstLine="567"/>
        <w:jc w:val="both"/>
        <w:rPr>
          <w:rFonts w:ascii="Times New Roman" w:hAnsi="Times New Roman" w:cs="Times New Roman"/>
          <w:sz w:val="24"/>
          <w:szCs w:val="24"/>
          <w:lang w:eastAsia="lt-LT"/>
        </w:rPr>
      </w:pPr>
      <w:r w:rsidRPr="00EC1AB2">
        <w:rPr>
          <w:rFonts w:ascii="Times New Roman" w:hAnsi="Times New Roman" w:cs="Times New Roman"/>
          <w:sz w:val="24"/>
          <w:szCs w:val="24"/>
        </w:rPr>
        <w:t xml:space="preserve">Kaip pažymi Alternatyvių investicijų ekspertų grupė (2006) </w:t>
      </w:r>
      <w:r w:rsidRPr="00EC1AB2">
        <w:rPr>
          <w:rFonts w:ascii="Times New Roman" w:hAnsi="Times New Roman" w:cs="Times New Roman"/>
          <w:sz w:val="24"/>
          <w:szCs w:val="24"/>
          <w:lang w:eastAsia="lt-LT"/>
        </w:rPr>
        <w:t>privataus kapitalo rinkos ekonominė  reikšmė priklauso nuo finansavimo stadijos:</w:t>
      </w:r>
    </w:p>
    <w:p w:rsidR="007915D7" w:rsidRPr="00EC1AB2" w:rsidRDefault="007915D7" w:rsidP="007A02A8">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Rizikos kapitalo investicijos skatina inovacijas, nes remia veiklą pradedančias įmones, kurių steigimo tikslas – įgyvendinti novatoriškas idėjas, sukurti ir vystyti naujas technologijas, pritaikyti neišbandytas, bet potencialiai perspektyvias verslo strategijas. Tokiu būdu, kaip jau minėta,  rizikos kapitalo rinka prisideda prie aukštos kvalifik</w:t>
      </w:r>
      <w:r w:rsidR="00576C7F" w:rsidRPr="00EC1AB2">
        <w:rPr>
          <w:rFonts w:ascii="Times New Roman" w:hAnsi="Times New Roman" w:cs="Times New Roman"/>
          <w:sz w:val="24"/>
          <w:szCs w:val="24"/>
          <w:lang w:eastAsia="lt-LT"/>
        </w:rPr>
        <w:t>acijos naujų darbo vietų bei pridėtinės vertės kūrimo.</w:t>
      </w:r>
      <w:r w:rsidR="00A678F8" w:rsidRPr="00EC1AB2">
        <w:rPr>
          <w:rFonts w:ascii="Times New Roman" w:hAnsi="Times New Roman" w:cs="Times New Roman"/>
          <w:sz w:val="24"/>
          <w:szCs w:val="24"/>
          <w:lang w:eastAsia="lt-LT"/>
        </w:rPr>
        <w:t xml:space="preserve"> Būtent šioje finansavimo stadijoje</w:t>
      </w:r>
      <w:r w:rsidRPr="00EC1AB2">
        <w:rPr>
          <w:rFonts w:ascii="Times New Roman" w:hAnsi="Times New Roman" w:cs="Times New Roman"/>
          <w:sz w:val="24"/>
          <w:szCs w:val="24"/>
          <w:lang w:eastAsia="lt-LT"/>
        </w:rPr>
        <w:t xml:space="preserve"> aiškiausiai pasireiškia aptarta privataus kapitalo rinkos funkcija</w:t>
      </w:r>
      <w:r w:rsidR="00A678F8" w:rsidRPr="00EC1AB2">
        <w:rPr>
          <w:rFonts w:ascii="Times New Roman" w:hAnsi="Times New Roman" w:cs="Times New Roman"/>
          <w:sz w:val="24"/>
          <w:szCs w:val="24"/>
          <w:lang w:eastAsia="lt-LT"/>
        </w:rPr>
        <w:t xml:space="preserve"> – </w:t>
      </w:r>
      <w:r w:rsidRPr="00EC1AB2">
        <w:rPr>
          <w:rFonts w:ascii="Times New Roman" w:hAnsi="Times New Roman" w:cs="Times New Roman"/>
          <w:sz w:val="24"/>
          <w:szCs w:val="24"/>
          <w:lang w:eastAsia="lt-LT"/>
        </w:rPr>
        <w:t>sudaryti galimybę gauti finansavimą kapitalu įmonėms, kurios negali pasina</w:t>
      </w:r>
      <w:r w:rsidR="00012725" w:rsidRPr="00EC1AB2">
        <w:rPr>
          <w:rFonts w:ascii="Times New Roman" w:hAnsi="Times New Roman" w:cs="Times New Roman"/>
          <w:sz w:val="24"/>
          <w:szCs w:val="24"/>
          <w:lang w:eastAsia="lt-LT"/>
        </w:rPr>
        <w:t>udoti viešojo kapitalo rinkomis;</w:t>
      </w:r>
    </w:p>
    <w:p w:rsidR="007915D7" w:rsidRPr="00EC1AB2" w:rsidRDefault="007915D7" w:rsidP="007A02A8">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Plėtros kapitalas sudaro galimybę sėkmingai veikiančioms įmonėms įsigyti naujų gamybos priemonių, kelti gamybos bei paslaugų kokybę, taikyti pažangius valdymo ir vadybos įgūdžius, siekiant veiklos</w:t>
      </w:r>
      <w:r w:rsidR="00012725" w:rsidRPr="00EC1AB2">
        <w:rPr>
          <w:rFonts w:ascii="Times New Roman" w:hAnsi="Times New Roman" w:cs="Times New Roman"/>
          <w:sz w:val="24"/>
          <w:szCs w:val="24"/>
          <w:lang w:eastAsia="lt-LT"/>
        </w:rPr>
        <w:t xml:space="preserve"> augimo ir internacionalizavimo;</w:t>
      </w:r>
    </w:p>
    <w:p w:rsidR="007915D7" w:rsidRPr="00EC1AB2" w:rsidRDefault="007915D7" w:rsidP="007A02A8">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Išpirkimo stadijos investicijos į brandžias įmones nukreiptos į vertės kūrimą visų pirma per veiklos optimizavimą (pvz., išlaidų mažinimą, veiklos pertvar</w:t>
      </w:r>
      <w:r w:rsidR="00286B97" w:rsidRPr="00EC1AB2">
        <w:rPr>
          <w:rFonts w:ascii="Times New Roman" w:hAnsi="Times New Roman" w:cs="Times New Roman"/>
          <w:sz w:val="24"/>
          <w:szCs w:val="24"/>
          <w:lang w:eastAsia="lt-LT"/>
        </w:rPr>
        <w:t>kymą</w:t>
      </w:r>
      <w:r w:rsidRPr="00EC1AB2">
        <w:rPr>
          <w:rFonts w:ascii="Times New Roman" w:hAnsi="Times New Roman" w:cs="Times New Roman"/>
          <w:sz w:val="24"/>
          <w:szCs w:val="24"/>
          <w:lang w:eastAsia="lt-LT"/>
        </w:rPr>
        <w:t xml:space="preserve">). Privataus kapitalo investuotojai pateikia ne tik kapitalą, bet ir vadybos bei valdymo </w:t>
      </w:r>
      <w:r w:rsidRPr="00EC1AB2">
        <w:rPr>
          <w:rFonts w:ascii="Times New Roman" w:hAnsi="Times New Roman" w:cs="Times New Roman"/>
          <w:i/>
          <w:iCs/>
          <w:sz w:val="24"/>
          <w:szCs w:val="24"/>
          <w:lang w:eastAsia="lt-LT"/>
        </w:rPr>
        <w:t>know-how</w:t>
      </w:r>
      <w:r w:rsidR="007D7EDA" w:rsidRPr="00EC1AB2">
        <w:rPr>
          <w:rFonts w:ascii="Times New Roman" w:hAnsi="Times New Roman" w:cs="Times New Roman"/>
          <w:sz w:val="24"/>
          <w:szCs w:val="24"/>
          <w:lang w:eastAsia="lt-LT"/>
        </w:rPr>
        <w:t xml:space="preserve">, tai ypač svarbu </w:t>
      </w:r>
      <w:r w:rsidRPr="00EC1AB2">
        <w:rPr>
          <w:rFonts w:ascii="Times New Roman" w:hAnsi="Times New Roman" w:cs="Times New Roman"/>
          <w:sz w:val="24"/>
          <w:szCs w:val="24"/>
          <w:lang w:eastAsia="lt-LT"/>
        </w:rPr>
        <w:t>įmonėms, kurios dėl prasto valdymo nepajėgia realizuoti savo potencialo, sėkmingai konkuruoti rinkoje ar susiduria su finansiniais sunkumais. Didžiausieji privataus kapitalo investuotojai gali pasiūlyti bendrovėms, į kurias investuoja, priėjimą prie tarptautinių verslo struktūrų, taip pat tarptautinio lygmens konkurencinės aplinkos analizę – tai svarbu įmonėms, potencialiai galinčioms veikti ir už vietinių rinkų ribų.</w:t>
      </w:r>
    </w:p>
    <w:p w:rsidR="007915D7" w:rsidRPr="00EC1AB2" w:rsidRDefault="00FE6A81"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color w:val="0D0D0D" w:themeColor="text1" w:themeTint="F2"/>
          <w:sz w:val="24"/>
          <w:szCs w:val="24"/>
        </w:rPr>
        <w:lastRenderedPageBreak/>
        <w:t>Atskiri</w:t>
      </w:r>
      <w:r w:rsidRPr="00EC1AB2">
        <w:rPr>
          <w:rFonts w:ascii="Times New Roman" w:hAnsi="Times New Roman" w:cs="Times New Roman"/>
          <w:sz w:val="24"/>
          <w:szCs w:val="24"/>
        </w:rPr>
        <w:t xml:space="preserve"> autoriai</w:t>
      </w:r>
      <w:r w:rsidR="007915D7" w:rsidRPr="00EC1AB2">
        <w:rPr>
          <w:rFonts w:ascii="Times New Roman" w:hAnsi="Times New Roman" w:cs="Times New Roman"/>
          <w:sz w:val="24"/>
          <w:szCs w:val="24"/>
        </w:rPr>
        <w:t xml:space="preserve"> nagrinėjo rizikos kapitalo </w:t>
      </w:r>
      <w:r w:rsidRPr="00EC1AB2">
        <w:rPr>
          <w:rFonts w:ascii="Times New Roman" w:hAnsi="Times New Roman" w:cs="Times New Roman"/>
          <w:sz w:val="24"/>
          <w:szCs w:val="24"/>
        </w:rPr>
        <w:t xml:space="preserve">fondų įtaką šalių ekonomikoms. </w:t>
      </w:r>
      <w:r w:rsidR="007915D7" w:rsidRPr="00EC1AB2">
        <w:rPr>
          <w:rFonts w:ascii="Times New Roman" w:hAnsi="Times New Roman" w:cs="Times New Roman"/>
          <w:sz w:val="24"/>
          <w:szCs w:val="24"/>
        </w:rPr>
        <w:t xml:space="preserve">Anot </w:t>
      </w:r>
      <w:r w:rsidR="007915D7" w:rsidRPr="00EC1AB2">
        <w:rPr>
          <w:rFonts w:ascii="Times New Roman" w:hAnsi="Times New Roman" w:cs="Times New Roman"/>
          <w:bCs/>
          <w:sz w:val="24"/>
          <w:szCs w:val="24"/>
        </w:rPr>
        <w:t>Tolppanen, Russel (2002)</w:t>
      </w:r>
      <w:r w:rsidR="007915D7" w:rsidRPr="00EC1AB2">
        <w:rPr>
          <w:rFonts w:ascii="Times New Roman" w:hAnsi="Times New Roman" w:cs="Times New Roman"/>
          <w:sz w:val="24"/>
          <w:szCs w:val="24"/>
        </w:rPr>
        <w:t xml:space="preserve"> atlikto empirinio tyrimo rezultatų, ekonominė ir socialinė rizikos kapitalo fondų nauda pasireiškia įvairiais aspektais – portfelio įmonių pardavimų ir pelno augimu, užimtumo didėjimu, eksporto augimu bei darbo užmokesčio didėjimu. </w:t>
      </w:r>
    </w:p>
    <w:p w:rsidR="007915D7"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Tarptautinė audito ir konsultacijų įmonė</w:t>
      </w:r>
      <w:r w:rsidR="0086037F" w:rsidRPr="00EC1AB2">
        <w:rPr>
          <w:rFonts w:ascii="Times New Roman" w:hAnsi="Times New Roman" w:cs="Times New Roman"/>
          <w:sz w:val="24"/>
          <w:szCs w:val="24"/>
        </w:rPr>
        <w:t xml:space="preserve"> „Pricwatercoopers“ 2006 m.</w:t>
      </w:r>
      <w:r w:rsidRPr="00EC1AB2">
        <w:rPr>
          <w:rFonts w:ascii="Times New Roman" w:hAnsi="Times New Roman" w:cs="Times New Roman"/>
          <w:sz w:val="24"/>
          <w:szCs w:val="24"/>
        </w:rPr>
        <w:t xml:space="preserve"> atliko privataus ir rizikos kapitalo įtakos Italijos ekonomikai ty</w:t>
      </w:r>
      <w:r w:rsidR="001B053C" w:rsidRPr="00EC1AB2">
        <w:rPr>
          <w:rFonts w:ascii="Times New Roman" w:hAnsi="Times New Roman" w:cs="Times New Roman"/>
          <w:sz w:val="24"/>
          <w:szCs w:val="24"/>
        </w:rPr>
        <w:t>rimą. Tyrime dalyvavo 70 įmonių</w:t>
      </w:r>
      <w:r w:rsidRPr="00EC1AB2">
        <w:rPr>
          <w:rFonts w:ascii="Times New Roman" w:hAnsi="Times New Roman" w:cs="Times New Roman"/>
          <w:sz w:val="24"/>
          <w:szCs w:val="24"/>
        </w:rPr>
        <w:t>. Pagrindiniai įmonių rodikliai, kurie buvo stebimi 2002-2004 m. laikotarpiu – darbuotojų skaičius, pajamos ir EBITDA. Analizuotu laikotarpiu įmonių, kurios buvo finansuotos RKF darbuotojų skaičius vidutiniškai išaugo 6,5 %, kai tuo tarpu šalies mastu įdarbinimo lygi</w:t>
      </w:r>
      <w:r w:rsidR="00A765CF" w:rsidRPr="00EC1AB2">
        <w:rPr>
          <w:rFonts w:ascii="Times New Roman" w:hAnsi="Times New Roman" w:cs="Times New Roman"/>
          <w:sz w:val="24"/>
          <w:szCs w:val="24"/>
        </w:rPr>
        <w:t>s padidėjo tik 1,1 %, o MVĮ</w:t>
      </w:r>
      <w:r w:rsidRPr="00EC1AB2">
        <w:rPr>
          <w:rFonts w:ascii="Times New Roman" w:hAnsi="Times New Roman" w:cs="Times New Roman"/>
          <w:sz w:val="24"/>
          <w:szCs w:val="24"/>
        </w:rPr>
        <w:t xml:space="preserve"> d</w:t>
      </w:r>
      <w:r w:rsidR="00A765CF" w:rsidRPr="00EC1AB2">
        <w:rPr>
          <w:rFonts w:ascii="Times New Roman" w:hAnsi="Times New Roman" w:cs="Times New Roman"/>
          <w:sz w:val="24"/>
          <w:szCs w:val="24"/>
        </w:rPr>
        <w:t>ar</w:t>
      </w:r>
      <w:r w:rsidRPr="00EC1AB2">
        <w:rPr>
          <w:rFonts w:ascii="Times New Roman" w:hAnsi="Times New Roman" w:cs="Times New Roman"/>
          <w:sz w:val="24"/>
          <w:szCs w:val="24"/>
        </w:rPr>
        <w:t>buotojų skaičius išaugo tik 0,1%. RKF portfe</w:t>
      </w:r>
      <w:r w:rsidR="00256A92" w:rsidRPr="00EC1AB2">
        <w:rPr>
          <w:rFonts w:ascii="Times New Roman" w:hAnsi="Times New Roman" w:cs="Times New Roman"/>
          <w:sz w:val="24"/>
          <w:szCs w:val="24"/>
        </w:rPr>
        <w:t>lio įmonių pajamos buvo beveik aštuonis</w:t>
      </w:r>
      <w:r w:rsidRPr="00EC1AB2">
        <w:rPr>
          <w:rFonts w:ascii="Times New Roman" w:hAnsi="Times New Roman" w:cs="Times New Roman"/>
          <w:sz w:val="24"/>
          <w:szCs w:val="24"/>
        </w:rPr>
        <w:t xml:space="preserve"> kartus didesnės nei MVĮ finansuojamų tradiciniu būdu.  Taip pat pažymėtina, kad didesnis pajamų augimas buvo pastebėtas RKF finansuotose įmonėse nei PKF. Anot tyrimo autorių, tai labiausiai susiję su tuo, jog RKF investuoja į naujai kuriamas arba ankstyvoje plėtros stadijoje esančias įmones, turinčias didelį augimo potencialą, o PKF – į išsiplėtusias, </w:t>
      </w:r>
      <w:r w:rsidR="00C73A51"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jau pasiekusias didžiausią augimą, kurioms reikalingas veiklos pertvarkymas ir naujovių diegimas. </w:t>
      </w:r>
    </w:p>
    <w:p w:rsidR="007915D7"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Analizuojamu laikotarpiu tyrime dalyvavusių įmonių EBITDA metinis augim</w:t>
      </w:r>
      <w:r w:rsidR="00CD2EFD" w:rsidRPr="00EC1AB2">
        <w:rPr>
          <w:rFonts w:ascii="Times New Roman" w:hAnsi="Times New Roman" w:cs="Times New Roman"/>
          <w:sz w:val="24"/>
          <w:szCs w:val="24"/>
        </w:rPr>
        <w:t>as vidutiniškai siekė 6 %, kai tuo tarpu</w:t>
      </w:r>
      <w:r w:rsidRPr="00EC1AB2">
        <w:rPr>
          <w:rFonts w:ascii="Times New Roman" w:hAnsi="Times New Roman" w:cs="Times New Roman"/>
          <w:sz w:val="24"/>
          <w:szCs w:val="24"/>
        </w:rPr>
        <w:t xml:space="preserve"> vidutinis EBITDA augimas vidutinio dydžio įmonėse</w:t>
      </w:r>
      <w:r w:rsidR="00CD2EFD" w:rsidRPr="00EC1AB2">
        <w:rPr>
          <w:rFonts w:ascii="Times New Roman" w:hAnsi="Times New Roman" w:cs="Times New Roman"/>
          <w:sz w:val="24"/>
          <w:szCs w:val="24"/>
        </w:rPr>
        <w:t>, finansuotose tradiciniais būdais,</w:t>
      </w:r>
      <w:r w:rsidRPr="00EC1AB2">
        <w:rPr>
          <w:rFonts w:ascii="Times New Roman" w:hAnsi="Times New Roman" w:cs="Times New Roman"/>
          <w:sz w:val="24"/>
          <w:szCs w:val="24"/>
        </w:rPr>
        <w:t xml:space="preserve"> buvo neigiamas. Sunkią šių įmonių padėtį sąlygojo Italijos ekonomikos lėtėjimas, tačiau kaip matyti RKF finansuotų įmonių veiklai tai reikšmingos įtakos neturėjo.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Buvo atlikta nemažai empirinių tyrimų, skirtų daugiausiai analizuoti RKF įta</w:t>
      </w:r>
      <w:r w:rsidR="009618A2" w:rsidRPr="00EC1AB2">
        <w:rPr>
          <w:rFonts w:ascii="Times New Roman" w:hAnsi="Times New Roman" w:cs="Times New Roman"/>
          <w:sz w:val="24"/>
          <w:szCs w:val="24"/>
        </w:rPr>
        <w:t>ką JAV ekonomikai. DRI-WEFA 2004</w:t>
      </w:r>
      <w:r w:rsidR="00BA1EFB" w:rsidRPr="00EC1AB2">
        <w:rPr>
          <w:rFonts w:ascii="Times New Roman" w:hAnsi="Times New Roman" w:cs="Times New Roman"/>
          <w:sz w:val="24"/>
          <w:szCs w:val="24"/>
        </w:rPr>
        <w:t xml:space="preserve"> m.</w:t>
      </w:r>
      <w:r w:rsidRPr="00EC1AB2">
        <w:rPr>
          <w:rFonts w:ascii="Times New Roman" w:hAnsi="Times New Roman" w:cs="Times New Roman"/>
          <w:sz w:val="24"/>
          <w:szCs w:val="24"/>
        </w:rPr>
        <w:t xml:space="preserve"> atlikto tyrimo rezultatai parodė, jog analizuotu laikotarpiu, t.y 1970-2000 m. įmonės, finansuotos rizikos kapitalo,  sumokėjo tris kartus daugiau mokesčių valstybei, turėjo du kartus dide</w:t>
      </w:r>
      <w:r w:rsidR="00A95263" w:rsidRPr="00EC1AB2">
        <w:rPr>
          <w:rFonts w:ascii="Times New Roman" w:hAnsi="Times New Roman" w:cs="Times New Roman"/>
          <w:sz w:val="24"/>
          <w:szCs w:val="24"/>
        </w:rPr>
        <w:t>s</w:t>
      </w:r>
      <w:r w:rsidRPr="00EC1AB2">
        <w:rPr>
          <w:rFonts w:ascii="Times New Roman" w:hAnsi="Times New Roman" w:cs="Times New Roman"/>
          <w:sz w:val="24"/>
          <w:szCs w:val="24"/>
        </w:rPr>
        <w:t>nes pardavimų ap</w:t>
      </w:r>
      <w:r w:rsidR="00A95263" w:rsidRPr="00EC1AB2">
        <w:rPr>
          <w:rFonts w:ascii="Times New Roman" w:hAnsi="Times New Roman" w:cs="Times New Roman"/>
          <w:sz w:val="24"/>
          <w:szCs w:val="24"/>
        </w:rPr>
        <w:t>i</w:t>
      </w:r>
      <w:r w:rsidR="004076AF" w:rsidRPr="00EC1AB2">
        <w:rPr>
          <w:rFonts w:ascii="Times New Roman" w:hAnsi="Times New Roman" w:cs="Times New Roman"/>
          <w:sz w:val="24"/>
          <w:szCs w:val="24"/>
        </w:rPr>
        <w:t>mtis</w:t>
      </w:r>
      <w:r w:rsidRPr="00EC1AB2">
        <w:rPr>
          <w:rFonts w:ascii="Times New Roman" w:hAnsi="Times New Roman" w:cs="Times New Roman"/>
          <w:sz w:val="24"/>
          <w:szCs w:val="24"/>
        </w:rPr>
        <w:t xml:space="preserve">, du kartus daugiau eksportavo produkcijos bei tris kartus daugiau investavo į tyrimus palyginti su  įmonių, finansuotų tradicinėm kapitalo formomis, vidurkiu. </w:t>
      </w:r>
    </w:p>
    <w:p w:rsidR="00A73A0F" w:rsidRPr="00EC1AB2" w:rsidRDefault="007915D7" w:rsidP="007A02A8">
      <w:p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 xml:space="preserve">Taip pat šiuo tyrimu buvo įrodyta, jog rizikos kapitalas skatina vietinės bei regioninės ekonomikos augimą JAV.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EVCA (2001) taip pat teigia, kad rizikos kapitalas stimuliuoja ekonomikos augimą kurdamas darbo vietas, investuodamas dideles sumas ir dėl savo tarptautinio pobūdžio skatindamas eksportą. Rizikos kapitalą galima apibūdinti kaip esminį veiksnį, kuris sumažina laikotarpį, reikalingą pateikti inovaciją rinkai. </w:t>
      </w:r>
      <w:r w:rsidR="00A73A0F" w:rsidRPr="00EC1AB2">
        <w:rPr>
          <w:rFonts w:ascii="Times New Roman" w:hAnsi="Times New Roman" w:cs="Times New Roman"/>
          <w:sz w:val="24"/>
          <w:szCs w:val="24"/>
        </w:rPr>
        <w:t xml:space="preserve">Remiantis </w:t>
      </w:r>
      <w:r w:rsidRPr="00EC1AB2">
        <w:rPr>
          <w:rFonts w:ascii="Times New Roman" w:hAnsi="Times New Roman" w:cs="Times New Roman"/>
          <w:sz w:val="24"/>
          <w:szCs w:val="24"/>
        </w:rPr>
        <w:t>EVCA</w:t>
      </w:r>
      <w:r w:rsidR="00A73A0F" w:rsidRPr="00EC1AB2">
        <w:rPr>
          <w:rFonts w:ascii="Times New Roman" w:hAnsi="Times New Roman" w:cs="Times New Roman"/>
          <w:sz w:val="24"/>
          <w:szCs w:val="24"/>
        </w:rPr>
        <w:t xml:space="preserve"> atlikta analize,</w:t>
      </w:r>
      <w:r w:rsidRPr="00EC1AB2">
        <w:rPr>
          <w:rFonts w:ascii="Times New Roman" w:hAnsi="Times New Roman" w:cs="Times New Roman"/>
          <w:sz w:val="24"/>
          <w:szCs w:val="24"/>
        </w:rPr>
        <w:t xml:space="preserve"> rizikos kapitalas prisidėjo prie Europos pozicijos pasaulio rinkoje sustiprinimo, ypač dėl išaugusių eksporto apimčių. </w:t>
      </w:r>
    </w:p>
    <w:p w:rsidR="007915D7" w:rsidRPr="00EC1AB2" w:rsidRDefault="00B820F5"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Hellmann ir Puri (2000) atlikto</w:t>
      </w:r>
      <w:r w:rsidR="007915D7" w:rsidRPr="00EC1AB2">
        <w:rPr>
          <w:rFonts w:ascii="Times New Roman" w:hAnsi="Times New Roman" w:cs="Times New Roman"/>
          <w:sz w:val="24"/>
          <w:szCs w:val="24"/>
        </w:rPr>
        <w:t xml:space="preserve"> tyrimą, kurio metu buvo stebėtos 149 įmonės JAV. Šie autoriai padarė išvadą, jog rizikos kapitalas skatina įmonės inovatyvi</w:t>
      </w:r>
      <w:r w:rsidRPr="00EC1AB2">
        <w:rPr>
          <w:rFonts w:ascii="Times New Roman" w:hAnsi="Times New Roman" w:cs="Times New Roman"/>
          <w:sz w:val="24"/>
          <w:szCs w:val="24"/>
        </w:rPr>
        <w:t xml:space="preserve">ą veiklą bei </w:t>
      </w:r>
      <w:r w:rsidR="007915D7" w:rsidRPr="00EC1AB2">
        <w:rPr>
          <w:rFonts w:ascii="Times New Roman" w:hAnsi="Times New Roman" w:cs="Times New Roman"/>
          <w:sz w:val="24"/>
          <w:szCs w:val="24"/>
        </w:rPr>
        <w:t xml:space="preserve">dar kartą patvirtino faktą, jog RKF finansuota įmonė daug greičiau pateikia produktą rinkai. </w:t>
      </w:r>
    </w:p>
    <w:p w:rsidR="007915D7" w:rsidRPr="00EC1AB2" w:rsidRDefault="00791044"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 xml:space="preserve">Engel (2002) </w:t>
      </w:r>
      <w:r w:rsidR="007915D7" w:rsidRPr="00EC1AB2">
        <w:rPr>
          <w:rFonts w:ascii="Times New Roman" w:hAnsi="Times New Roman" w:cs="Times New Roman"/>
          <w:sz w:val="24"/>
          <w:szCs w:val="24"/>
        </w:rPr>
        <w:t xml:space="preserve">tyrė 1000 Vokietijos įmonių. Viena svarbiausių šio autoriaus padarytų išvadų buvo ta, kad rizikos kapitalo įtaka naujai įkurtų įmonių augimui buvo vienoda tiek moderniųjų technologijų įmonėms, tiek ne.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Kortum, Lerner (2000) yra vieni iš nedaugelio autorių nagrinėję rizikos kapitalo ir  inovacijų ryšį. Šie autoriai konkrečiai tyrė rizikos kapitalo įtaką patentų skaičiui JAV dvidešimt septynerių metų laikotarpiu ir padarė išvadą, kad patentų skaičius stipriai koreliuoja su rizikos kapitalo investicijomis. Autoriai netgi pastebėjo, kad RKF inve</w:t>
      </w:r>
      <w:r w:rsidR="0059582E" w:rsidRPr="00EC1AB2">
        <w:rPr>
          <w:rFonts w:ascii="Times New Roman" w:hAnsi="Times New Roman" w:cs="Times New Roman"/>
          <w:sz w:val="24"/>
          <w:szCs w:val="24"/>
        </w:rPr>
        <w:t>s</w:t>
      </w:r>
      <w:r w:rsidRPr="00EC1AB2">
        <w:rPr>
          <w:rFonts w:ascii="Times New Roman" w:hAnsi="Times New Roman" w:cs="Times New Roman"/>
          <w:sz w:val="24"/>
          <w:szCs w:val="24"/>
        </w:rPr>
        <w:t>ticijų įtaka patentų skaičiui yra daug dide</w:t>
      </w:r>
      <w:r w:rsidR="0059582E" w:rsidRPr="00EC1AB2">
        <w:rPr>
          <w:rFonts w:ascii="Times New Roman" w:hAnsi="Times New Roman" w:cs="Times New Roman"/>
          <w:sz w:val="24"/>
          <w:szCs w:val="24"/>
        </w:rPr>
        <w:t>sn</w:t>
      </w:r>
      <w:r w:rsidR="0015671B" w:rsidRPr="00EC1AB2">
        <w:rPr>
          <w:rFonts w:ascii="Times New Roman" w:hAnsi="Times New Roman" w:cs="Times New Roman"/>
          <w:sz w:val="24"/>
          <w:szCs w:val="24"/>
        </w:rPr>
        <w:t xml:space="preserve">ė išlaidų moksliniams tyrimams ir </w:t>
      </w:r>
      <w:r w:rsidR="00DC79F7" w:rsidRPr="00EC1AB2">
        <w:rPr>
          <w:rFonts w:ascii="Times New Roman" w:hAnsi="Times New Roman" w:cs="Times New Roman"/>
          <w:sz w:val="24"/>
          <w:szCs w:val="24"/>
        </w:rPr>
        <w:t>eksperimentinei plėtrai (MTEP</w:t>
      </w:r>
      <w:r w:rsidRPr="00EC1AB2">
        <w:rPr>
          <w:rFonts w:ascii="Times New Roman" w:hAnsi="Times New Roman" w:cs="Times New Roman"/>
          <w:sz w:val="24"/>
          <w:szCs w:val="24"/>
        </w:rPr>
        <w:t xml:space="preserve">). </w:t>
      </w:r>
    </w:p>
    <w:p w:rsidR="0094600A" w:rsidRPr="00EC1AB2" w:rsidRDefault="0094600A"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Dar vienas tyrimas, kurį verta paminėti, tai 2002 metais atliktas autorių Audretsch, Keilbach. Jie tyrė rizikos kapitalo įtaką Vokietijos ekonomikai ir priėjo prie išvados, jog tai labai svarbus veiksnys didinantis gamybos našumą bei produktyvumą.</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Taigi, kaip matyti, bandymai įrodyti rizikos kapitalo teigiamą įtaką ekonomikos augimui apėmė atskiras šalis, tokias kaip JAV, Vokietija</w:t>
      </w:r>
      <w:r w:rsidR="00F24A1A" w:rsidRPr="00EC1AB2">
        <w:rPr>
          <w:rFonts w:ascii="Times New Roman" w:hAnsi="Times New Roman" w:cs="Times New Roman"/>
          <w:sz w:val="24"/>
          <w:szCs w:val="24"/>
        </w:rPr>
        <w:t xml:space="preserve"> bei Italija. Tyrimas, kuris ap</w:t>
      </w:r>
      <w:r w:rsidRPr="00EC1AB2">
        <w:rPr>
          <w:rFonts w:ascii="Times New Roman" w:hAnsi="Times New Roman" w:cs="Times New Roman"/>
          <w:sz w:val="24"/>
          <w:szCs w:val="24"/>
        </w:rPr>
        <w:t>ėmė ne vieną  šalį ar regioną buvo a</w:t>
      </w:r>
      <w:r w:rsidR="00540C31" w:rsidRPr="00EC1AB2">
        <w:rPr>
          <w:rFonts w:ascii="Times New Roman" w:hAnsi="Times New Roman" w:cs="Times New Roman"/>
          <w:sz w:val="24"/>
          <w:szCs w:val="24"/>
        </w:rPr>
        <w:t>tliktas autorių Romain, Pottelsberghe</w:t>
      </w:r>
      <w:r w:rsidRPr="00EC1AB2">
        <w:rPr>
          <w:rFonts w:ascii="Times New Roman" w:hAnsi="Times New Roman" w:cs="Times New Roman"/>
          <w:sz w:val="24"/>
          <w:szCs w:val="24"/>
        </w:rPr>
        <w:t xml:space="preserve"> (2003). Jie tyrė 16 OECD šalių aštuonerių metų laikotarpiu. Autoriai padarė išvadą, kad</w:t>
      </w:r>
      <w:r w:rsidR="00F24A1A" w:rsidRPr="00EC1AB2">
        <w:rPr>
          <w:rFonts w:ascii="Times New Roman" w:hAnsi="Times New Roman" w:cs="Times New Roman"/>
          <w:sz w:val="24"/>
          <w:szCs w:val="24"/>
        </w:rPr>
        <w:t xml:space="preserve"> rizikos kapitalas ska</w:t>
      </w:r>
      <w:r w:rsidRPr="00EC1AB2">
        <w:rPr>
          <w:rFonts w:ascii="Times New Roman" w:hAnsi="Times New Roman" w:cs="Times New Roman"/>
          <w:sz w:val="24"/>
          <w:szCs w:val="24"/>
        </w:rPr>
        <w:t>tina ekonomikos augimą dviem kanalais. Pirmasis yra naujų produktų bei procesų įvedimas į rinką, antrasis – privačių įmonių ir viešųjų institucijų plėtros pajėgumų didinimas. Jie taip pat paste</w:t>
      </w:r>
      <w:r w:rsidR="00A52EF7" w:rsidRPr="00EC1AB2">
        <w:rPr>
          <w:rFonts w:ascii="Times New Roman" w:hAnsi="Times New Roman" w:cs="Times New Roman"/>
          <w:sz w:val="24"/>
          <w:szCs w:val="24"/>
        </w:rPr>
        <w:t>bėjo, jog RKF</w:t>
      </w:r>
      <w:r w:rsidR="00200ED7" w:rsidRPr="00EC1AB2">
        <w:rPr>
          <w:rFonts w:ascii="Times New Roman" w:hAnsi="Times New Roman" w:cs="Times New Roman"/>
          <w:sz w:val="24"/>
          <w:szCs w:val="24"/>
        </w:rPr>
        <w:t xml:space="preserve"> socialinė nauda yra didesnė MTEP</w:t>
      </w:r>
      <w:r w:rsidRPr="00EC1AB2">
        <w:rPr>
          <w:rFonts w:ascii="Times New Roman" w:hAnsi="Times New Roman" w:cs="Times New Roman"/>
          <w:sz w:val="24"/>
          <w:szCs w:val="24"/>
        </w:rPr>
        <w:t xml:space="preserve">. </w:t>
      </w:r>
    </w:p>
    <w:p w:rsidR="007915D7" w:rsidRPr="00EC1AB2" w:rsidRDefault="007915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Apiben</w:t>
      </w:r>
      <w:r w:rsidR="00200ED7" w:rsidRPr="00EC1AB2">
        <w:rPr>
          <w:rFonts w:ascii="Times New Roman" w:hAnsi="Times New Roman" w:cs="Times New Roman"/>
          <w:sz w:val="24"/>
          <w:szCs w:val="24"/>
        </w:rPr>
        <w:t>drinant, RKF</w:t>
      </w:r>
      <w:r w:rsidRPr="00EC1AB2">
        <w:rPr>
          <w:rFonts w:ascii="Times New Roman" w:hAnsi="Times New Roman" w:cs="Times New Roman"/>
          <w:sz w:val="24"/>
          <w:szCs w:val="24"/>
        </w:rPr>
        <w:t xml:space="preserve"> finansuoja ekonomikos pagrindą, t.y. MVĮ, kurioms finansavimą gauti, ypač ankstyvoje vystymosi stadijoje, iš kredi</w:t>
      </w:r>
      <w:r w:rsidR="001819E2" w:rsidRPr="00EC1AB2">
        <w:rPr>
          <w:rFonts w:ascii="Times New Roman" w:hAnsi="Times New Roman" w:cs="Times New Roman"/>
          <w:sz w:val="24"/>
          <w:szCs w:val="24"/>
        </w:rPr>
        <w:t>to įstaigų yra beveik neįmanoma.</w:t>
      </w:r>
      <w:r w:rsidR="00A91F2F" w:rsidRPr="00EC1AB2">
        <w:rPr>
          <w:rFonts w:ascii="Times New Roman" w:hAnsi="Times New Roman" w:cs="Times New Roman"/>
          <w:sz w:val="24"/>
          <w:szCs w:val="24"/>
        </w:rPr>
        <w:t xml:space="preserve"> </w:t>
      </w:r>
      <w:r w:rsidRPr="00EC1AB2">
        <w:rPr>
          <w:rFonts w:ascii="Times New Roman" w:hAnsi="Times New Roman" w:cs="Times New Roman"/>
          <w:sz w:val="24"/>
          <w:szCs w:val="24"/>
        </w:rPr>
        <w:t>Paminėtina, kad finansuojamos inovatyvios įmonės, t.y. skatinamas didelės pridėtinės vertės kūrimas, kuriamos darbo vietos. Pasiekus rizikos kapitalistų tikslą – padėjus įmonei išsivystyti, ji pradeda generuoti pastovius pinigų srautus, o kartu ir mokėti pastovius mokesčius, tokiu būdu didinama visos šalies ekonominė gerovė ir kuriama pažangi valstybė.</w:t>
      </w:r>
    </w:p>
    <w:p w:rsidR="007915D7" w:rsidRPr="00EC1AB2" w:rsidRDefault="007915D7" w:rsidP="00A03476">
      <w:pPr>
        <w:pStyle w:val="Heading1"/>
        <w:jc w:val="left"/>
        <w:rPr>
          <w:sz w:val="28"/>
          <w:szCs w:val="28"/>
        </w:rPr>
      </w:pPr>
    </w:p>
    <w:p w:rsidR="007915D7" w:rsidRPr="00EC1AB2" w:rsidRDefault="00DD3AE5" w:rsidP="00A03476">
      <w:pPr>
        <w:pStyle w:val="Heading1"/>
        <w:numPr>
          <w:ilvl w:val="1"/>
          <w:numId w:val="22"/>
        </w:numPr>
        <w:jc w:val="left"/>
        <w:rPr>
          <w:i/>
          <w:sz w:val="24"/>
          <w:szCs w:val="24"/>
        </w:rPr>
      </w:pPr>
      <w:bookmarkStart w:id="72" w:name="_Toc321092698"/>
      <w:r w:rsidRPr="00EC1AB2">
        <w:rPr>
          <w:sz w:val="24"/>
          <w:szCs w:val="24"/>
        </w:rPr>
        <w:t>Rizikos kapitalo fondų plėtrą lemiantys</w:t>
      </w:r>
      <w:r w:rsidR="00CC1E52" w:rsidRPr="00EC1AB2">
        <w:rPr>
          <w:sz w:val="24"/>
          <w:szCs w:val="24"/>
        </w:rPr>
        <w:t xml:space="preserve"> veiksniai</w:t>
      </w:r>
      <w:bookmarkEnd w:id="72"/>
    </w:p>
    <w:p w:rsidR="007915D7" w:rsidRPr="00EC1AB2" w:rsidRDefault="007915D7" w:rsidP="007A02A8">
      <w:pPr>
        <w:pStyle w:val="Heading2"/>
        <w:spacing w:before="0" w:after="0" w:line="360" w:lineRule="auto"/>
        <w:jc w:val="center"/>
        <w:rPr>
          <w:i w:val="0"/>
          <w:sz w:val="28"/>
          <w:szCs w:val="28"/>
        </w:rPr>
      </w:pPr>
    </w:p>
    <w:p w:rsidR="007915D7" w:rsidRPr="00EC1AB2" w:rsidRDefault="000648F1"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RKF</w:t>
      </w:r>
      <w:r w:rsidR="007915D7" w:rsidRPr="00EC1AB2">
        <w:rPr>
          <w:rFonts w:ascii="Times New Roman" w:hAnsi="Times New Roman" w:cs="Times New Roman"/>
          <w:sz w:val="24"/>
          <w:szCs w:val="24"/>
        </w:rPr>
        <w:t xml:space="preserve"> teigiama įtaka šalies ekonomikai yra neabejotina, tačiau nepaisant to šie fondai paplitę ne visose šalyse. Šiame skyriuje bus trumpai apžvelgiami veiksnia</w:t>
      </w:r>
      <w:r w:rsidR="00697A9E" w:rsidRPr="00EC1AB2">
        <w:rPr>
          <w:rFonts w:ascii="Times New Roman" w:hAnsi="Times New Roman" w:cs="Times New Roman"/>
          <w:sz w:val="24"/>
          <w:szCs w:val="24"/>
        </w:rPr>
        <w:t>i, būtini RKF</w:t>
      </w:r>
      <w:r w:rsidR="007915D7" w:rsidRPr="00EC1AB2">
        <w:rPr>
          <w:rFonts w:ascii="Times New Roman" w:hAnsi="Times New Roman" w:cs="Times New Roman"/>
          <w:sz w:val="24"/>
          <w:szCs w:val="24"/>
        </w:rPr>
        <w:t xml:space="preserve"> plėtrai.</w:t>
      </w:r>
    </w:p>
    <w:p w:rsidR="007915D7" w:rsidRPr="00EC1AB2" w:rsidRDefault="007915D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Viena iš būtinų sąlygų šių fondų veiklai</w:t>
      </w:r>
      <w:r w:rsidR="00015ADE" w:rsidRPr="00EC1AB2">
        <w:rPr>
          <w:rFonts w:ascii="Times New Roman" w:hAnsi="Times New Roman" w:cs="Times New Roman"/>
          <w:sz w:val="24"/>
          <w:szCs w:val="24"/>
        </w:rPr>
        <w:t xml:space="preserve"> yra MVĮ</w:t>
      </w:r>
      <w:r w:rsidRPr="00EC1AB2">
        <w:rPr>
          <w:rFonts w:ascii="Times New Roman" w:hAnsi="Times New Roman" w:cs="Times New Roman"/>
          <w:sz w:val="24"/>
          <w:szCs w:val="24"/>
        </w:rPr>
        <w:t xml:space="preserve"> steigimasis, nes jos yra paklausos elementas ats</w:t>
      </w:r>
      <w:r w:rsidR="00015ADE" w:rsidRPr="00EC1AB2">
        <w:rPr>
          <w:rFonts w:ascii="Times New Roman" w:hAnsi="Times New Roman" w:cs="Times New Roman"/>
          <w:sz w:val="24"/>
          <w:szCs w:val="24"/>
        </w:rPr>
        <w:t>veriantis RKF</w:t>
      </w:r>
      <w:r w:rsidRPr="00EC1AB2">
        <w:rPr>
          <w:rFonts w:ascii="Times New Roman" w:hAnsi="Times New Roman" w:cs="Times New Roman"/>
          <w:sz w:val="24"/>
          <w:szCs w:val="24"/>
        </w:rPr>
        <w:t xml:space="preserve"> paklausą. Taip pat prie veiksnių darančių įtaką šios rinkos plėtrai reikėtų priskirti ir inovacijų politiką šalyje bei valstybinių institucijų poziciją alternatyvių investavimo priemonių skatinimo klausimu. </w:t>
      </w:r>
    </w:p>
    <w:p w:rsidR="007915D7" w:rsidRPr="00EC1AB2" w:rsidRDefault="007915D7" w:rsidP="007A02A8">
      <w:pPr>
        <w:autoSpaceDE w:val="0"/>
        <w:autoSpaceDN w:val="0"/>
        <w:adjustRightInd w:val="0"/>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lastRenderedPageBreak/>
        <w:t>Kaip teigia Groh ir kt. (2006), rizikos kapitalistų apsisprendimui į kurią šalį investuoti turi įtakos šie veiksniai:</w:t>
      </w:r>
    </w:p>
    <w:p w:rsidR="007915D7" w:rsidRPr="00EC1AB2" w:rsidRDefault="00DD3AE5" w:rsidP="007A02A8">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V</w:t>
      </w:r>
      <w:r w:rsidR="007915D7" w:rsidRPr="00EC1AB2">
        <w:rPr>
          <w:rFonts w:ascii="Times New Roman" w:hAnsi="Times New Roman" w:cs="Times New Roman"/>
          <w:sz w:val="24"/>
          <w:szCs w:val="24"/>
        </w:rPr>
        <w:t>ietos verslininkų g</w:t>
      </w:r>
      <w:r w:rsidRPr="00EC1AB2">
        <w:rPr>
          <w:rFonts w:ascii="Times New Roman" w:hAnsi="Times New Roman" w:cs="Times New Roman"/>
          <w:sz w:val="24"/>
          <w:szCs w:val="24"/>
        </w:rPr>
        <w:t>alimybes;</w:t>
      </w:r>
    </w:p>
    <w:p w:rsidR="007915D7" w:rsidRPr="00EC1AB2" w:rsidRDefault="00DD3AE5" w:rsidP="007A02A8">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Inovacijų lygis šalyje;</w:t>
      </w:r>
    </w:p>
    <w:p w:rsidR="007915D7" w:rsidRPr="00EC1AB2" w:rsidRDefault="00DD3AE5" w:rsidP="007A02A8">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Rinkos dydis;</w:t>
      </w:r>
    </w:p>
    <w:p w:rsidR="007915D7" w:rsidRPr="00EC1AB2" w:rsidRDefault="00DD3AE5" w:rsidP="007A02A8">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E</w:t>
      </w:r>
      <w:r w:rsidR="007915D7" w:rsidRPr="00EC1AB2">
        <w:rPr>
          <w:rFonts w:ascii="Times New Roman" w:hAnsi="Times New Roman" w:cs="Times New Roman"/>
          <w:sz w:val="24"/>
          <w:szCs w:val="24"/>
        </w:rPr>
        <w:t>konominė situacija be</w:t>
      </w:r>
      <w:r w:rsidRPr="00EC1AB2">
        <w:rPr>
          <w:rFonts w:ascii="Times New Roman" w:hAnsi="Times New Roman" w:cs="Times New Roman"/>
          <w:sz w:val="24"/>
          <w:szCs w:val="24"/>
        </w:rPr>
        <w:t>i šalies vystymosi perspektyvos;</w:t>
      </w:r>
    </w:p>
    <w:p w:rsidR="007915D7" w:rsidRPr="00EC1AB2" w:rsidRDefault="00DD3AE5" w:rsidP="007A02A8">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V</w:t>
      </w:r>
      <w:r w:rsidR="007915D7" w:rsidRPr="00EC1AB2">
        <w:rPr>
          <w:rFonts w:ascii="Times New Roman" w:hAnsi="Times New Roman" w:cs="Times New Roman"/>
          <w:sz w:val="24"/>
          <w:szCs w:val="24"/>
        </w:rPr>
        <w:t>erslumo kultūra.</w:t>
      </w:r>
    </w:p>
    <w:p w:rsidR="007915D7" w:rsidRPr="00EC1AB2" w:rsidRDefault="007915D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Teigiama, kad pirminiame atrankos procese rizikos kapitalistai remiasi makroekonominiais rodikliais, tačiau pasirinkus regioną, atliekamas kruopštus</w:t>
      </w:r>
      <w:r w:rsidR="00F24A1A" w:rsidRPr="00EC1AB2">
        <w:rPr>
          <w:rFonts w:ascii="Times New Roman" w:hAnsi="Times New Roman" w:cs="Times New Roman"/>
          <w:sz w:val="24"/>
          <w:szCs w:val="24"/>
        </w:rPr>
        <w:t xml:space="preserve"> sektoriaus tyrimas, kuomet išsi</w:t>
      </w:r>
      <w:r w:rsidRPr="00EC1AB2">
        <w:rPr>
          <w:rFonts w:ascii="Times New Roman" w:hAnsi="Times New Roman" w:cs="Times New Roman"/>
          <w:sz w:val="24"/>
          <w:szCs w:val="24"/>
        </w:rPr>
        <w:t>a</w:t>
      </w:r>
      <w:r w:rsidR="00F24A1A" w:rsidRPr="00EC1AB2">
        <w:rPr>
          <w:rFonts w:ascii="Times New Roman" w:hAnsi="Times New Roman" w:cs="Times New Roman"/>
          <w:sz w:val="24"/>
          <w:szCs w:val="24"/>
        </w:rPr>
        <w:t>i</w:t>
      </w:r>
      <w:r w:rsidRPr="00EC1AB2">
        <w:rPr>
          <w:rFonts w:ascii="Times New Roman" w:hAnsi="Times New Roman" w:cs="Times New Roman"/>
          <w:sz w:val="24"/>
          <w:szCs w:val="24"/>
        </w:rPr>
        <w:t xml:space="preserve">škinamas realus verslumo bei inovacijų lygis šalyje. Taip pat kreipiamas didelis dėmesys į visuomenės požiūrį į alternatyvias investavimo priemones.  </w:t>
      </w:r>
    </w:p>
    <w:p w:rsidR="00CB621C" w:rsidRPr="00EC1AB2" w:rsidRDefault="007915D7" w:rsidP="007A02A8">
      <w:pPr>
        <w:autoSpaceDE w:val="0"/>
        <w:autoSpaceDN w:val="0"/>
        <w:adjustRightInd w:val="0"/>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hAnsi="Times New Roman" w:cs="Times New Roman"/>
          <w:sz w:val="24"/>
          <w:szCs w:val="24"/>
        </w:rPr>
        <w:t xml:space="preserve">Metrick (2007) labiausiai akcentavo valstybės vaidmenį, skatinant rizikos kapitalo plėtrą šalyje, teigdamas, kad pirmiausiai valstybė yra atsakinga už tinkamų sąlygų sukūrimą šio sektoriaus plėtrai. Tačiau valstybinio įsikišimo į rizikos kapitalo sektoriaus plėtrą vaidmuo turi būti netiesioginis, mažinant mokesčius, pašalinant teisinius trukdžius, kuriant labiau palankų verslo klimatą šalyje. Kaip teigia Kaupelytė,  Jankauskienė (2009), labai svarbus aspektas, paskatinęs rizikos kapitalo vystymąsi tiek JAV, tiek Didžiojoje Britanijoje buvo </w:t>
      </w:r>
      <w:r w:rsidRPr="00EC1AB2">
        <w:rPr>
          <w:rFonts w:ascii="Times New Roman" w:eastAsia="MinionPro-Regular" w:hAnsi="Times New Roman" w:cs="Times New Roman"/>
          <w:sz w:val="24"/>
          <w:szCs w:val="24"/>
          <w:lang w:eastAsia="lt-LT"/>
        </w:rPr>
        <w:t>pensijų fondų ir kitų institucinių investuotų investicijų į rizikos kapitalą liberalizavimas. Dar vienas veiksnys, įtakojęs RKF vystymąsi JAV buvo 1958 m. priimtas Smulkių įmonių investavimo aktas,  tačiau paminėtina, jog tai buvo vieninteliai JAV vyriausybės sprendimai, sietini su rizikos kapitalo plėtra šioje šalyje, t.y. valstybė praktiškai neturėjo lemiamos įtakos kuriant ir vystant rizikos kapitalo pramonę</w:t>
      </w:r>
      <w:r w:rsidRPr="00EC1AB2">
        <w:rPr>
          <w:rFonts w:ascii="Times New Roman" w:eastAsia="MinionPro-Regular" w:hAnsi="Times New Roman" w:cs="Times New Roman"/>
          <w:b/>
          <w:bCs/>
          <w:sz w:val="24"/>
          <w:szCs w:val="24"/>
          <w:lang w:eastAsia="lt-LT"/>
        </w:rPr>
        <w:t>.</w:t>
      </w:r>
      <w:r w:rsidRPr="00EC1AB2">
        <w:rPr>
          <w:rFonts w:ascii="Times New Roman" w:eastAsia="MinionPro-Regular" w:hAnsi="Times New Roman" w:cs="Times New Roman"/>
          <w:sz w:val="24"/>
          <w:szCs w:val="24"/>
          <w:lang w:eastAsia="lt-LT"/>
        </w:rPr>
        <w:t xml:space="preserve"> </w:t>
      </w:r>
      <w:r w:rsidRPr="00EC1AB2">
        <w:rPr>
          <w:rFonts w:ascii="Times New Roman" w:hAnsi="Times New Roman" w:cs="Times New Roman"/>
          <w:sz w:val="24"/>
          <w:szCs w:val="24"/>
        </w:rPr>
        <w:t xml:space="preserve">Rizikos kapitalo pritraukimui į šalį svarbius veiksnius nagrinėjo ir Sebroeck (2000) (žr. 2 lent.). </w:t>
      </w:r>
    </w:p>
    <w:p w:rsidR="00CB621C" w:rsidRPr="00EC1AB2" w:rsidRDefault="00CB621C" w:rsidP="009F4399">
      <w:pPr>
        <w:autoSpaceDE w:val="0"/>
        <w:autoSpaceDN w:val="0"/>
        <w:adjustRightInd w:val="0"/>
        <w:spacing w:after="0" w:line="240" w:lineRule="auto"/>
        <w:jc w:val="center"/>
        <w:rPr>
          <w:rFonts w:ascii="Times New Roman" w:hAnsi="Times New Roman" w:cs="Times New Roman"/>
          <w:sz w:val="24"/>
          <w:szCs w:val="24"/>
        </w:rPr>
      </w:pPr>
    </w:p>
    <w:p w:rsidR="007915D7" w:rsidRPr="00EC1AB2" w:rsidRDefault="007915D7" w:rsidP="00122868">
      <w:pPr>
        <w:pStyle w:val="Heading4"/>
        <w:spacing w:before="0" w:line="240" w:lineRule="auto"/>
        <w:jc w:val="center"/>
        <w:rPr>
          <w:rFonts w:ascii="Times New Roman" w:hAnsi="Times New Roman" w:cs="Times New Roman"/>
          <w:i w:val="0"/>
          <w:color w:val="auto"/>
          <w:sz w:val="24"/>
          <w:szCs w:val="24"/>
        </w:rPr>
      </w:pPr>
      <w:bookmarkStart w:id="73" w:name="_Toc320761913"/>
      <w:bookmarkStart w:id="74" w:name="_Toc320762148"/>
      <w:bookmarkStart w:id="75" w:name="_Toc320762550"/>
      <w:r w:rsidRPr="00EC1AB2">
        <w:rPr>
          <w:rFonts w:ascii="Times New Roman" w:hAnsi="Times New Roman" w:cs="Times New Roman"/>
          <w:b w:val="0"/>
          <w:i w:val="0"/>
          <w:color w:val="auto"/>
          <w:sz w:val="24"/>
          <w:szCs w:val="24"/>
        </w:rPr>
        <w:t>2 lentelė.</w:t>
      </w:r>
      <w:r w:rsidRPr="00EC1AB2">
        <w:rPr>
          <w:rFonts w:ascii="Times New Roman" w:hAnsi="Times New Roman" w:cs="Times New Roman"/>
          <w:i w:val="0"/>
          <w:color w:val="auto"/>
          <w:sz w:val="24"/>
          <w:szCs w:val="24"/>
        </w:rPr>
        <w:t xml:space="preserve"> Veiksniai, svarbūs rizikos kapitalo plėtr</w:t>
      </w:r>
      <w:r w:rsidR="000F2064" w:rsidRPr="00EC1AB2">
        <w:rPr>
          <w:rFonts w:ascii="Times New Roman" w:hAnsi="Times New Roman" w:cs="Times New Roman"/>
          <w:i w:val="0"/>
          <w:color w:val="auto"/>
          <w:sz w:val="24"/>
          <w:szCs w:val="24"/>
        </w:rPr>
        <w:t>ai, bei jų įvertinimo rodikliai</w:t>
      </w:r>
      <w:bookmarkEnd w:id="73"/>
      <w:bookmarkEnd w:id="74"/>
      <w:bookmarkEnd w:id="75"/>
    </w:p>
    <w:p w:rsidR="000F2064" w:rsidRPr="00EC1AB2" w:rsidRDefault="000F2064" w:rsidP="009F4399">
      <w:pPr>
        <w:autoSpaceDE w:val="0"/>
        <w:autoSpaceDN w:val="0"/>
        <w:adjustRightInd w:val="0"/>
        <w:spacing w:after="0" w:line="240" w:lineRule="auto"/>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3815"/>
        <w:gridCol w:w="5242"/>
      </w:tblGrid>
      <w:tr w:rsidR="00F25E1F" w:rsidRPr="00EC1AB2" w:rsidTr="000F2064">
        <w:trPr>
          <w:jc w:val="center"/>
        </w:trPr>
        <w:tc>
          <w:tcPr>
            <w:tcW w:w="3815" w:type="dxa"/>
          </w:tcPr>
          <w:p w:rsidR="007915D7" w:rsidRPr="00EC1AB2" w:rsidRDefault="007915D7" w:rsidP="007A02A8">
            <w:pPr>
              <w:autoSpaceDE w:val="0"/>
              <w:autoSpaceDN w:val="0"/>
              <w:adjustRightInd w:val="0"/>
              <w:spacing w:line="360" w:lineRule="auto"/>
              <w:jc w:val="center"/>
              <w:rPr>
                <w:rFonts w:ascii="Times New Roman" w:hAnsi="Times New Roman" w:cs="Times New Roman"/>
                <w:b/>
                <w:bCs/>
                <w:i/>
                <w:sz w:val="20"/>
                <w:szCs w:val="20"/>
              </w:rPr>
            </w:pPr>
            <w:r w:rsidRPr="00EC1AB2">
              <w:rPr>
                <w:rFonts w:ascii="Times New Roman" w:hAnsi="Times New Roman" w:cs="Times New Roman"/>
                <w:b/>
                <w:bCs/>
                <w:i/>
                <w:sz w:val="20"/>
                <w:szCs w:val="20"/>
              </w:rPr>
              <w:t>Veiksniai</w:t>
            </w:r>
          </w:p>
        </w:tc>
        <w:tc>
          <w:tcPr>
            <w:tcW w:w="5242" w:type="dxa"/>
          </w:tcPr>
          <w:p w:rsidR="007915D7" w:rsidRPr="00EC1AB2" w:rsidRDefault="007915D7" w:rsidP="007A02A8">
            <w:pPr>
              <w:autoSpaceDE w:val="0"/>
              <w:autoSpaceDN w:val="0"/>
              <w:adjustRightInd w:val="0"/>
              <w:spacing w:line="360" w:lineRule="auto"/>
              <w:jc w:val="center"/>
              <w:rPr>
                <w:rFonts w:ascii="Times New Roman" w:hAnsi="Times New Roman" w:cs="Times New Roman"/>
                <w:b/>
                <w:bCs/>
                <w:i/>
                <w:sz w:val="20"/>
                <w:szCs w:val="20"/>
              </w:rPr>
            </w:pPr>
            <w:r w:rsidRPr="00EC1AB2">
              <w:rPr>
                <w:rFonts w:ascii="Times New Roman" w:hAnsi="Times New Roman" w:cs="Times New Roman"/>
                <w:b/>
                <w:bCs/>
                <w:i/>
                <w:sz w:val="20"/>
                <w:szCs w:val="20"/>
              </w:rPr>
              <w:t>Įvertinimo rodikliai</w:t>
            </w:r>
          </w:p>
        </w:tc>
      </w:tr>
      <w:tr w:rsidR="00F25E1F" w:rsidRPr="00EC1AB2" w:rsidTr="000F2064">
        <w:trPr>
          <w:trHeight w:val="301"/>
          <w:jc w:val="center"/>
        </w:trPr>
        <w:tc>
          <w:tcPr>
            <w:tcW w:w="3815" w:type="dxa"/>
          </w:tcPr>
          <w:p w:rsidR="007915D7" w:rsidRPr="00EC1AB2" w:rsidRDefault="007915D7" w:rsidP="009F4399">
            <w:pPr>
              <w:autoSpaceDE w:val="0"/>
              <w:autoSpaceDN w:val="0"/>
              <w:adjustRightInd w:val="0"/>
              <w:spacing w:line="276" w:lineRule="auto"/>
              <w:jc w:val="center"/>
              <w:rPr>
                <w:rFonts w:ascii="Times New Roman" w:hAnsi="Times New Roman" w:cs="Times New Roman"/>
                <w:b/>
                <w:i/>
                <w:sz w:val="20"/>
                <w:szCs w:val="20"/>
              </w:rPr>
            </w:pPr>
            <w:r w:rsidRPr="00EC1AB2">
              <w:rPr>
                <w:rFonts w:ascii="Times New Roman" w:hAnsi="Times New Roman" w:cs="Times New Roman"/>
                <w:b/>
                <w:i/>
                <w:sz w:val="20"/>
                <w:szCs w:val="20"/>
              </w:rPr>
              <w:t>Technologinių įmonių kūrimasis</w:t>
            </w:r>
          </w:p>
        </w:tc>
        <w:tc>
          <w:tcPr>
            <w:tcW w:w="5242" w:type="dxa"/>
          </w:tcPr>
          <w:p w:rsidR="007915D7" w:rsidRPr="00EC1AB2" w:rsidRDefault="007915D7" w:rsidP="009F4399">
            <w:pPr>
              <w:autoSpaceDE w:val="0"/>
              <w:autoSpaceDN w:val="0"/>
              <w:adjustRightInd w:val="0"/>
              <w:spacing w:line="276" w:lineRule="auto"/>
              <w:rPr>
                <w:rFonts w:ascii="Times New Roman" w:hAnsi="Times New Roman" w:cs="Times New Roman"/>
                <w:i/>
                <w:sz w:val="20"/>
                <w:szCs w:val="20"/>
              </w:rPr>
            </w:pPr>
            <w:r w:rsidRPr="00EC1AB2">
              <w:rPr>
                <w:rFonts w:ascii="Times New Roman" w:hAnsi="Times New Roman" w:cs="Times New Roman"/>
                <w:i/>
                <w:sz w:val="20"/>
                <w:szCs w:val="20"/>
              </w:rPr>
              <w:t>Naujų įmonių steigimo apimtys</w:t>
            </w:r>
          </w:p>
        </w:tc>
      </w:tr>
      <w:tr w:rsidR="00F25E1F" w:rsidRPr="00EC1AB2" w:rsidTr="000F2064">
        <w:trPr>
          <w:jc w:val="center"/>
        </w:trPr>
        <w:tc>
          <w:tcPr>
            <w:tcW w:w="3815" w:type="dxa"/>
          </w:tcPr>
          <w:p w:rsidR="007915D7" w:rsidRPr="00EC1AB2" w:rsidRDefault="007915D7" w:rsidP="009F4399">
            <w:pPr>
              <w:pStyle w:val="Default"/>
              <w:spacing w:line="276" w:lineRule="auto"/>
              <w:jc w:val="center"/>
              <w:rPr>
                <w:b/>
                <w:i/>
                <w:color w:val="auto"/>
                <w:sz w:val="20"/>
                <w:szCs w:val="20"/>
                <w:lang w:val="lt-LT"/>
              </w:rPr>
            </w:pPr>
            <w:r w:rsidRPr="00EC1AB2">
              <w:rPr>
                <w:b/>
                <w:i/>
                <w:color w:val="auto"/>
                <w:sz w:val="20"/>
                <w:szCs w:val="20"/>
                <w:lang w:val="lt-LT"/>
              </w:rPr>
              <w:t>Neformalus investavimas</w:t>
            </w:r>
          </w:p>
        </w:tc>
        <w:tc>
          <w:tcPr>
            <w:tcW w:w="5242" w:type="dxa"/>
          </w:tcPr>
          <w:p w:rsidR="007915D7" w:rsidRPr="00EC1AB2" w:rsidRDefault="007915D7" w:rsidP="009F4399">
            <w:pPr>
              <w:pStyle w:val="Default"/>
              <w:spacing w:line="276" w:lineRule="auto"/>
              <w:rPr>
                <w:i/>
                <w:color w:val="auto"/>
                <w:sz w:val="20"/>
                <w:szCs w:val="20"/>
                <w:lang w:val="lt-LT"/>
              </w:rPr>
            </w:pPr>
            <w:r w:rsidRPr="00EC1AB2">
              <w:rPr>
                <w:i/>
                <w:color w:val="auto"/>
                <w:sz w:val="20"/>
                <w:szCs w:val="20"/>
                <w:lang w:val="lt-LT"/>
              </w:rPr>
              <w:t>Verslo angelų investicijų apimtys</w:t>
            </w:r>
          </w:p>
        </w:tc>
      </w:tr>
      <w:tr w:rsidR="00F25E1F" w:rsidRPr="00EC1AB2" w:rsidTr="000F2064">
        <w:trPr>
          <w:jc w:val="center"/>
        </w:trPr>
        <w:tc>
          <w:tcPr>
            <w:tcW w:w="3815" w:type="dxa"/>
          </w:tcPr>
          <w:p w:rsidR="007915D7" w:rsidRPr="00EC1AB2" w:rsidRDefault="007915D7" w:rsidP="009F4399">
            <w:pPr>
              <w:pStyle w:val="Default"/>
              <w:spacing w:line="276" w:lineRule="auto"/>
              <w:jc w:val="center"/>
              <w:rPr>
                <w:b/>
                <w:i/>
                <w:color w:val="auto"/>
                <w:sz w:val="20"/>
                <w:szCs w:val="20"/>
                <w:lang w:val="lt-LT"/>
              </w:rPr>
            </w:pPr>
            <w:r w:rsidRPr="00EC1AB2">
              <w:rPr>
                <w:b/>
                <w:i/>
                <w:color w:val="auto"/>
                <w:sz w:val="20"/>
                <w:szCs w:val="20"/>
                <w:lang w:val="lt-LT"/>
              </w:rPr>
              <w:t>Bankų veikla</w:t>
            </w:r>
          </w:p>
        </w:tc>
        <w:tc>
          <w:tcPr>
            <w:tcW w:w="5242" w:type="dxa"/>
          </w:tcPr>
          <w:p w:rsidR="007915D7" w:rsidRPr="00EC1AB2" w:rsidRDefault="007915D7" w:rsidP="009F4399">
            <w:pPr>
              <w:pStyle w:val="Default"/>
              <w:spacing w:line="276" w:lineRule="auto"/>
              <w:rPr>
                <w:i/>
                <w:color w:val="auto"/>
                <w:sz w:val="20"/>
                <w:szCs w:val="20"/>
                <w:lang w:val="lt-LT"/>
              </w:rPr>
            </w:pPr>
            <w:r w:rsidRPr="00EC1AB2">
              <w:rPr>
                <w:i/>
                <w:color w:val="auto"/>
                <w:sz w:val="20"/>
                <w:szCs w:val="20"/>
                <w:lang w:val="lt-LT"/>
              </w:rPr>
              <w:t>Bankų paskolų įmonėms apimtys</w:t>
            </w:r>
          </w:p>
        </w:tc>
      </w:tr>
      <w:tr w:rsidR="00F25E1F" w:rsidRPr="00EC1AB2" w:rsidTr="000F2064">
        <w:trPr>
          <w:jc w:val="center"/>
        </w:trPr>
        <w:tc>
          <w:tcPr>
            <w:tcW w:w="3815" w:type="dxa"/>
          </w:tcPr>
          <w:p w:rsidR="007915D7" w:rsidRPr="00EC1AB2" w:rsidRDefault="007915D7" w:rsidP="009F4399">
            <w:pPr>
              <w:pStyle w:val="Default"/>
              <w:spacing w:line="276" w:lineRule="auto"/>
              <w:jc w:val="center"/>
              <w:rPr>
                <w:b/>
                <w:i/>
                <w:color w:val="auto"/>
                <w:sz w:val="20"/>
                <w:szCs w:val="20"/>
                <w:lang w:val="lt-LT"/>
              </w:rPr>
            </w:pPr>
            <w:r w:rsidRPr="00EC1AB2">
              <w:rPr>
                <w:b/>
                <w:i/>
                <w:color w:val="auto"/>
                <w:sz w:val="20"/>
                <w:szCs w:val="20"/>
                <w:lang w:val="lt-LT"/>
              </w:rPr>
              <w:t>Rizikos kapitalo veikla</w:t>
            </w:r>
          </w:p>
        </w:tc>
        <w:tc>
          <w:tcPr>
            <w:tcW w:w="5242" w:type="dxa"/>
          </w:tcPr>
          <w:p w:rsidR="007915D7" w:rsidRPr="00EC1AB2" w:rsidRDefault="000F2064" w:rsidP="009F4399">
            <w:pPr>
              <w:pStyle w:val="Default"/>
              <w:spacing w:line="276" w:lineRule="auto"/>
              <w:rPr>
                <w:i/>
                <w:color w:val="auto"/>
                <w:sz w:val="20"/>
                <w:szCs w:val="20"/>
                <w:lang w:val="lt-LT"/>
              </w:rPr>
            </w:pPr>
            <w:r w:rsidRPr="00EC1AB2">
              <w:rPr>
                <w:i/>
                <w:color w:val="auto"/>
                <w:sz w:val="20"/>
                <w:szCs w:val="20"/>
                <w:lang w:val="lt-LT"/>
              </w:rPr>
              <w:t xml:space="preserve">RKF </w:t>
            </w:r>
            <w:r w:rsidR="007915D7" w:rsidRPr="00EC1AB2">
              <w:rPr>
                <w:i/>
                <w:color w:val="auto"/>
                <w:sz w:val="20"/>
                <w:szCs w:val="20"/>
                <w:lang w:val="lt-LT"/>
              </w:rPr>
              <w:t>skaičius, investicinės grąžos dydis, investavimo apimtys pagal rizikos kapitalo stadijas, tarptautinių rizikos kapitalo investicijų apimtys, lėšų, pritrauktų į rizikos kapitalo fondus, apimtys</w:t>
            </w:r>
          </w:p>
        </w:tc>
      </w:tr>
      <w:tr w:rsidR="00144C73" w:rsidRPr="00EC1AB2" w:rsidTr="000F2064">
        <w:trPr>
          <w:jc w:val="center"/>
        </w:trPr>
        <w:tc>
          <w:tcPr>
            <w:tcW w:w="3815" w:type="dxa"/>
          </w:tcPr>
          <w:p w:rsidR="00144C73" w:rsidRPr="00EC1AB2" w:rsidRDefault="00144C73" w:rsidP="009F4399">
            <w:pPr>
              <w:pStyle w:val="Default"/>
              <w:spacing w:line="276" w:lineRule="auto"/>
              <w:jc w:val="center"/>
              <w:rPr>
                <w:b/>
                <w:i/>
                <w:color w:val="auto"/>
                <w:sz w:val="20"/>
                <w:szCs w:val="20"/>
                <w:lang w:val="lt-LT"/>
              </w:rPr>
            </w:pPr>
            <w:r w:rsidRPr="00EC1AB2">
              <w:rPr>
                <w:b/>
                <w:i/>
                <w:color w:val="auto"/>
                <w:sz w:val="20"/>
                <w:szCs w:val="20"/>
                <w:lang w:val="lt-LT"/>
              </w:rPr>
              <w:t>Akcijų rinkos efektyvumas</w:t>
            </w:r>
          </w:p>
        </w:tc>
        <w:tc>
          <w:tcPr>
            <w:tcW w:w="5242" w:type="dxa"/>
          </w:tcPr>
          <w:p w:rsidR="00144C73" w:rsidRPr="00EC1AB2" w:rsidRDefault="00144C73" w:rsidP="009F4399">
            <w:pPr>
              <w:pStyle w:val="Default"/>
              <w:spacing w:line="276" w:lineRule="auto"/>
              <w:rPr>
                <w:i/>
                <w:color w:val="auto"/>
                <w:sz w:val="20"/>
                <w:szCs w:val="20"/>
                <w:lang w:val="lt-LT"/>
              </w:rPr>
            </w:pPr>
            <w:r w:rsidRPr="00EC1AB2">
              <w:rPr>
                <w:i/>
                <w:color w:val="auto"/>
                <w:sz w:val="20"/>
                <w:szCs w:val="20"/>
                <w:lang w:val="lt-LT"/>
              </w:rPr>
              <w:t>Antrinės rinkos dydis, įėjimo į rinką sąlygos ir prospektų sąlygos, IPO kaštai, pirminių IPO skaičius, tarptautinių pirminių viešų pasiūlymų skaičius, rizikos kapitalo valdymo įmonių, realizavusių investicijas per IPO, skaičius, tiesioginių pardavimų skaičius</w:t>
            </w:r>
          </w:p>
        </w:tc>
      </w:tr>
    </w:tbl>
    <w:p w:rsidR="009F4399" w:rsidRPr="00EC1AB2" w:rsidRDefault="009F4399" w:rsidP="009F4399">
      <w:pPr>
        <w:spacing w:after="0" w:line="360" w:lineRule="auto"/>
        <w:rPr>
          <w:rFonts w:ascii="Times New Roman" w:hAnsi="Times New Roman" w:cs="Times New Roman"/>
          <w:sz w:val="24"/>
          <w:szCs w:val="24"/>
        </w:rPr>
      </w:pPr>
    </w:p>
    <w:p w:rsidR="00DF4E36" w:rsidRPr="00EC1AB2" w:rsidRDefault="00DF4E36" w:rsidP="009F4399">
      <w:pPr>
        <w:spacing w:after="0" w:line="360" w:lineRule="auto"/>
        <w:jc w:val="right"/>
        <w:rPr>
          <w:rFonts w:ascii="Times New Roman" w:hAnsi="Times New Roman" w:cs="Times New Roman"/>
          <w:sz w:val="24"/>
          <w:szCs w:val="24"/>
        </w:rPr>
      </w:pPr>
      <w:r w:rsidRPr="00EC1AB2">
        <w:rPr>
          <w:rFonts w:ascii="Times New Roman" w:hAnsi="Times New Roman" w:cs="Times New Roman"/>
          <w:sz w:val="24"/>
          <w:szCs w:val="24"/>
        </w:rPr>
        <w:t>2 lentelės tęsinys kitame puslapyje</w:t>
      </w:r>
    </w:p>
    <w:p w:rsidR="00DF4E36" w:rsidRPr="00EC1AB2" w:rsidRDefault="00DF4E36" w:rsidP="00DF4E36">
      <w:pPr>
        <w:spacing w:after="0" w:line="360" w:lineRule="auto"/>
        <w:jc w:val="right"/>
        <w:rPr>
          <w:rFonts w:ascii="Times New Roman" w:hAnsi="Times New Roman" w:cs="Times New Roman"/>
          <w:sz w:val="24"/>
          <w:szCs w:val="24"/>
        </w:rPr>
      </w:pPr>
      <w:r w:rsidRPr="00EC1AB2">
        <w:rPr>
          <w:rFonts w:ascii="Times New Roman" w:hAnsi="Times New Roman" w:cs="Times New Roman"/>
          <w:sz w:val="24"/>
          <w:szCs w:val="24"/>
        </w:rPr>
        <w:lastRenderedPageBreak/>
        <w:t>2 lentelės tęsinys</w:t>
      </w:r>
    </w:p>
    <w:p w:rsidR="00DF4E36" w:rsidRPr="00EC1AB2" w:rsidRDefault="00DF4E36" w:rsidP="00DF4E36">
      <w:pPr>
        <w:spacing w:after="0" w:line="360" w:lineRule="auto"/>
        <w:jc w:val="right"/>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815"/>
        <w:gridCol w:w="5242"/>
      </w:tblGrid>
      <w:tr w:rsidR="00DF4E36" w:rsidRPr="00EC1AB2" w:rsidTr="000F2064">
        <w:trPr>
          <w:jc w:val="center"/>
        </w:trPr>
        <w:tc>
          <w:tcPr>
            <w:tcW w:w="3815" w:type="dxa"/>
          </w:tcPr>
          <w:p w:rsidR="00DF4E36" w:rsidRPr="00EC1AB2" w:rsidRDefault="00DF4E36" w:rsidP="009F4399">
            <w:pPr>
              <w:autoSpaceDE w:val="0"/>
              <w:autoSpaceDN w:val="0"/>
              <w:adjustRightInd w:val="0"/>
              <w:spacing w:line="276" w:lineRule="auto"/>
              <w:jc w:val="center"/>
              <w:rPr>
                <w:rFonts w:ascii="Times New Roman" w:hAnsi="Times New Roman" w:cs="Times New Roman"/>
                <w:b/>
                <w:bCs/>
                <w:i/>
                <w:sz w:val="20"/>
                <w:szCs w:val="20"/>
              </w:rPr>
            </w:pPr>
            <w:r w:rsidRPr="00EC1AB2">
              <w:rPr>
                <w:rFonts w:ascii="Times New Roman" w:hAnsi="Times New Roman" w:cs="Times New Roman"/>
                <w:b/>
                <w:bCs/>
                <w:i/>
                <w:sz w:val="20"/>
                <w:szCs w:val="20"/>
              </w:rPr>
              <w:t>Veiksniai</w:t>
            </w:r>
          </w:p>
        </w:tc>
        <w:tc>
          <w:tcPr>
            <w:tcW w:w="5242" w:type="dxa"/>
          </w:tcPr>
          <w:p w:rsidR="00DF4E36" w:rsidRPr="00EC1AB2" w:rsidRDefault="00DF4E36" w:rsidP="009F4399">
            <w:pPr>
              <w:autoSpaceDE w:val="0"/>
              <w:autoSpaceDN w:val="0"/>
              <w:adjustRightInd w:val="0"/>
              <w:spacing w:line="276" w:lineRule="auto"/>
              <w:jc w:val="center"/>
              <w:rPr>
                <w:rFonts w:ascii="Times New Roman" w:hAnsi="Times New Roman" w:cs="Times New Roman"/>
                <w:b/>
                <w:bCs/>
                <w:i/>
                <w:sz w:val="20"/>
                <w:szCs w:val="20"/>
              </w:rPr>
            </w:pPr>
            <w:r w:rsidRPr="00EC1AB2">
              <w:rPr>
                <w:rFonts w:ascii="Times New Roman" w:hAnsi="Times New Roman" w:cs="Times New Roman"/>
                <w:b/>
                <w:bCs/>
                <w:i/>
                <w:sz w:val="20"/>
                <w:szCs w:val="20"/>
              </w:rPr>
              <w:t>Įvertinimo rodikliai</w:t>
            </w:r>
          </w:p>
        </w:tc>
      </w:tr>
      <w:tr w:rsidR="00DF4E36" w:rsidRPr="00EC1AB2" w:rsidTr="000F2064">
        <w:trPr>
          <w:jc w:val="center"/>
        </w:trPr>
        <w:tc>
          <w:tcPr>
            <w:tcW w:w="3815" w:type="dxa"/>
          </w:tcPr>
          <w:p w:rsidR="00DF4E36" w:rsidRPr="00EC1AB2" w:rsidRDefault="00DF4E36" w:rsidP="009F4399">
            <w:pPr>
              <w:pStyle w:val="Default"/>
              <w:spacing w:line="276" w:lineRule="auto"/>
              <w:jc w:val="center"/>
              <w:rPr>
                <w:b/>
                <w:i/>
                <w:color w:val="auto"/>
                <w:sz w:val="20"/>
                <w:szCs w:val="20"/>
                <w:lang w:val="lt-LT"/>
              </w:rPr>
            </w:pPr>
            <w:r w:rsidRPr="00EC1AB2">
              <w:rPr>
                <w:b/>
                <w:i/>
                <w:color w:val="auto"/>
                <w:sz w:val="20"/>
                <w:szCs w:val="20"/>
                <w:lang w:val="lt-LT"/>
              </w:rPr>
              <w:t>Formalus (institucinis ) investavimas</w:t>
            </w:r>
          </w:p>
        </w:tc>
        <w:tc>
          <w:tcPr>
            <w:tcW w:w="5242" w:type="dxa"/>
          </w:tcPr>
          <w:p w:rsidR="00DF4E36" w:rsidRPr="00EC1AB2" w:rsidRDefault="00DF4E36" w:rsidP="009F4399">
            <w:pPr>
              <w:pStyle w:val="Default"/>
              <w:spacing w:line="276" w:lineRule="auto"/>
              <w:rPr>
                <w:i/>
                <w:color w:val="auto"/>
                <w:sz w:val="20"/>
                <w:szCs w:val="20"/>
                <w:lang w:val="lt-LT"/>
              </w:rPr>
            </w:pPr>
            <w:r w:rsidRPr="00EC1AB2">
              <w:rPr>
                <w:i/>
                <w:color w:val="auto"/>
                <w:sz w:val="20"/>
                <w:szCs w:val="20"/>
                <w:lang w:val="lt-LT"/>
              </w:rPr>
              <w:t>Investicijų į akcinę nuosavybę apimtys, teisiniai apribojimai, pensijų fondų ir draudimo įmonių investicijų į rizikos kapitalo fondus apimtys, išlaidų nematerialiajam turtui traktavimas, kapitalo prieaugio traktavimo galimybės, valstybinių rizikos kapitalo fondų skaičius ir vidutinis dydis, valstybės teikiamų kreditų ir garantijų užimama rinkos dalis</w:t>
            </w:r>
          </w:p>
        </w:tc>
      </w:tr>
      <w:tr w:rsidR="00DF4E36" w:rsidRPr="00EC1AB2" w:rsidTr="000F2064">
        <w:trPr>
          <w:jc w:val="center"/>
        </w:trPr>
        <w:tc>
          <w:tcPr>
            <w:tcW w:w="3815" w:type="dxa"/>
          </w:tcPr>
          <w:p w:rsidR="00DF4E36" w:rsidRPr="00EC1AB2" w:rsidRDefault="00DF4E36" w:rsidP="009F4399">
            <w:pPr>
              <w:pStyle w:val="Default"/>
              <w:spacing w:line="276" w:lineRule="auto"/>
              <w:jc w:val="center"/>
              <w:rPr>
                <w:b/>
                <w:i/>
                <w:color w:val="auto"/>
                <w:sz w:val="20"/>
                <w:szCs w:val="20"/>
                <w:lang w:val="lt-LT"/>
              </w:rPr>
            </w:pPr>
            <w:r w:rsidRPr="00EC1AB2">
              <w:rPr>
                <w:b/>
                <w:i/>
                <w:color w:val="auto"/>
                <w:sz w:val="20"/>
                <w:szCs w:val="20"/>
                <w:lang w:val="lt-LT"/>
              </w:rPr>
              <w:t>Pajėgumai įvertinti technologinę riziką</w:t>
            </w:r>
          </w:p>
        </w:tc>
        <w:tc>
          <w:tcPr>
            <w:tcW w:w="5242" w:type="dxa"/>
          </w:tcPr>
          <w:p w:rsidR="00DF4E36" w:rsidRPr="00EC1AB2" w:rsidRDefault="00DF4E36" w:rsidP="009F4399">
            <w:pPr>
              <w:pStyle w:val="Default"/>
              <w:spacing w:line="276" w:lineRule="auto"/>
              <w:rPr>
                <w:i/>
                <w:color w:val="auto"/>
                <w:sz w:val="20"/>
                <w:szCs w:val="20"/>
                <w:lang w:val="lt-LT"/>
              </w:rPr>
            </w:pPr>
            <w:r w:rsidRPr="00EC1AB2">
              <w:rPr>
                <w:i/>
                <w:color w:val="auto"/>
                <w:sz w:val="20"/>
                <w:szCs w:val="20"/>
                <w:lang w:val="lt-LT"/>
              </w:rPr>
              <w:t>Pajėgumų aprašymas</w:t>
            </w:r>
          </w:p>
        </w:tc>
      </w:tr>
      <w:tr w:rsidR="00DF4E36" w:rsidRPr="00EC1AB2" w:rsidTr="000F2064">
        <w:trPr>
          <w:jc w:val="center"/>
        </w:trPr>
        <w:tc>
          <w:tcPr>
            <w:tcW w:w="3815" w:type="dxa"/>
          </w:tcPr>
          <w:p w:rsidR="00DF4E36" w:rsidRPr="00EC1AB2" w:rsidRDefault="00DF4E36" w:rsidP="009F4399">
            <w:pPr>
              <w:pStyle w:val="Default"/>
              <w:spacing w:line="276" w:lineRule="auto"/>
              <w:jc w:val="center"/>
              <w:rPr>
                <w:b/>
                <w:i/>
                <w:color w:val="auto"/>
                <w:sz w:val="20"/>
                <w:szCs w:val="20"/>
                <w:lang w:val="lt-LT"/>
              </w:rPr>
            </w:pPr>
            <w:r w:rsidRPr="00EC1AB2">
              <w:rPr>
                <w:b/>
                <w:i/>
                <w:color w:val="auto"/>
                <w:sz w:val="20"/>
                <w:szCs w:val="20"/>
                <w:lang w:val="lt-LT"/>
              </w:rPr>
              <w:t>Verslo ir mokslo ryšiai</w:t>
            </w:r>
          </w:p>
        </w:tc>
        <w:tc>
          <w:tcPr>
            <w:tcW w:w="5242" w:type="dxa"/>
          </w:tcPr>
          <w:p w:rsidR="00DF4E36" w:rsidRPr="00EC1AB2" w:rsidRDefault="00DF4E36" w:rsidP="009F4399">
            <w:pPr>
              <w:pStyle w:val="Default"/>
              <w:spacing w:line="276" w:lineRule="auto"/>
              <w:rPr>
                <w:i/>
                <w:color w:val="auto"/>
                <w:sz w:val="20"/>
                <w:szCs w:val="20"/>
                <w:lang w:val="lt-LT"/>
              </w:rPr>
            </w:pPr>
            <w:r w:rsidRPr="00EC1AB2">
              <w:rPr>
                <w:i/>
                <w:color w:val="auto"/>
                <w:sz w:val="20"/>
                <w:szCs w:val="20"/>
                <w:lang w:val="lt-LT"/>
              </w:rPr>
              <w:t>Aprašymas</w:t>
            </w:r>
          </w:p>
        </w:tc>
      </w:tr>
    </w:tbl>
    <w:p w:rsidR="000F2064" w:rsidRPr="00EC1AB2" w:rsidRDefault="000F2064" w:rsidP="007A02A8">
      <w:pPr>
        <w:autoSpaceDE w:val="0"/>
        <w:autoSpaceDN w:val="0"/>
        <w:adjustRightInd w:val="0"/>
        <w:spacing w:after="0" w:line="360" w:lineRule="auto"/>
        <w:ind w:firstLine="1296"/>
        <w:jc w:val="both"/>
        <w:rPr>
          <w:rFonts w:ascii="Times New Roman" w:hAnsi="Times New Roman" w:cs="Times New Roman"/>
          <w:b/>
          <w:sz w:val="20"/>
          <w:szCs w:val="20"/>
        </w:rPr>
      </w:pPr>
    </w:p>
    <w:p w:rsidR="007915D7" w:rsidRPr="00EC1AB2" w:rsidRDefault="007915D7" w:rsidP="007A02A8">
      <w:pPr>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sudaryta pagal Sebroeck (2000)</w:t>
      </w:r>
    </w:p>
    <w:p w:rsidR="007915D7" w:rsidRPr="00EC1AB2" w:rsidRDefault="007915D7" w:rsidP="007A02A8">
      <w:pPr>
        <w:autoSpaceDE w:val="0"/>
        <w:autoSpaceDN w:val="0"/>
        <w:adjustRightInd w:val="0"/>
        <w:spacing w:after="0" w:line="360" w:lineRule="auto"/>
        <w:ind w:left="720"/>
        <w:jc w:val="both"/>
        <w:rPr>
          <w:rFonts w:ascii="Times New Roman" w:hAnsi="Times New Roman" w:cs="Times New Roman"/>
          <w:b/>
          <w:sz w:val="20"/>
          <w:szCs w:val="20"/>
        </w:rPr>
      </w:pPr>
    </w:p>
    <w:p w:rsidR="007915D7"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2 lent., anot Sebroeck (2000), labiausiai rizikos kapitalistai kreipia dėmesį </w:t>
      </w:r>
      <w:r w:rsidR="007B5EF2" w:rsidRPr="00EC1AB2">
        <w:rPr>
          <w:rFonts w:ascii="Times New Roman" w:hAnsi="Times New Roman" w:cs="Times New Roman"/>
          <w:sz w:val="24"/>
          <w:szCs w:val="24"/>
        </w:rPr>
        <w:t>į rinkos efektyvumą, investicijų realizavimo</w:t>
      </w:r>
      <w:r w:rsidRPr="00EC1AB2">
        <w:rPr>
          <w:rFonts w:ascii="Times New Roman" w:hAnsi="Times New Roman" w:cs="Times New Roman"/>
          <w:sz w:val="24"/>
          <w:szCs w:val="24"/>
        </w:rPr>
        <w:t xml:space="preserve"> galimybes bei kitas rinkos sąlygas, kaip, pav</w:t>
      </w:r>
      <w:r w:rsidR="007B5EF2" w:rsidRPr="00EC1AB2">
        <w:rPr>
          <w:rFonts w:ascii="Times New Roman" w:hAnsi="Times New Roman" w:cs="Times New Roman"/>
          <w:sz w:val="24"/>
          <w:szCs w:val="24"/>
        </w:rPr>
        <w:t>yzdžiui, verslo ir mokslo bendradarbiavimą</w:t>
      </w:r>
      <w:r w:rsidR="00B868ED" w:rsidRPr="00EC1AB2">
        <w:rPr>
          <w:rFonts w:ascii="Times New Roman" w:hAnsi="Times New Roman" w:cs="Times New Roman"/>
          <w:sz w:val="24"/>
          <w:szCs w:val="24"/>
        </w:rPr>
        <w:t>. Jakubavičius ir kt. (2008) pritaria Sebroeck ir teigia, minėtus rodiklius galima sugrupuoti į tris grupes: pirmoji grupė apima rizikos kapitalo „tikslinę“ rinką – įmones, į kurias rizikos kapitalas investuoja; antroji – išėjimo galimybes, trečioji – aplinką, kurioje rizikos kapitalas veikia.</w:t>
      </w:r>
    </w:p>
    <w:p w:rsidR="007915D7" w:rsidRPr="00EC1AB2" w:rsidRDefault="001B65B2"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E.G.S Felix, M.A.Gulamhussen ,</w:t>
      </w:r>
      <w:r w:rsidR="007915D7" w:rsidRPr="00EC1AB2">
        <w:rPr>
          <w:rFonts w:ascii="Times New Roman" w:hAnsi="Times New Roman" w:cs="Times New Roman"/>
          <w:sz w:val="24"/>
          <w:szCs w:val="24"/>
        </w:rPr>
        <w:t xml:space="preserve"> C.P.Pires (2</w:t>
      </w:r>
      <w:r w:rsidR="007F4A0A" w:rsidRPr="00EC1AB2">
        <w:rPr>
          <w:rFonts w:ascii="Times New Roman" w:hAnsi="Times New Roman" w:cs="Times New Roman"/>
          <w:sz w:val="24"/>
          <w:szCs w:val="24"/>
        </w:rPr>
        <w:t xml:space="preserve">007) atliko tyrimą apie sąlygas įtakojančias RKF vystymąsi Europoje. Šie autoriai išskyrė veiksnius, </w:t>
      </w:r>
      <w:r w:rsidR="007915D7" w:rsidRPr="00EC1AB2">
        <w:rPr>
          <w:rFonts w:ascii="Times New Roman" w:hAnsi="Times New Roman" w:cs="Times New Roman"/>
          <w:sz w:val="24"/>
          <w:szCs w:val="24"/>
        </w:rPr>
        <w:t>j</w:t>
      </w:r>
      <w:r w:rsidR="007F4A0A" w:rsidRPr="00EC1AB2">
        <w:rPr>
          <w:rFonts w:ascii="Times New Roman" w:hAnsi="Times New Roman" w:cs="Times New Roman"/>
          <w:sz w:val="24"/>
          <w:szCs w:val="24"/>
        </w:rPr>
        <w:t xml:space="preserve">ų manymu, reikšmingus rizikos kapitalo plėtrai: </w:t>
      </w:r>
      <w:r w:rsidR="007915D7" w:rsidRPr="00EC1AB2">
        <w:rPr>
          <w:rFonts w:ascii="Times New Roman" w:hAnsi="Times New Roman" w:cs="Times New Roman"/>
          <w:sz w:val="24"/>
          <w:szCs w:val="24"/>
        </w:rPr>
        <w:t>nedarbo lygis, akcijų kainos ir nuosavybės, tenkančios vienai akcijai vidurkis rinkoje bei komercinis verslų pardavimo skai</w:t>
      </w:r>
      <w:r w:rsidR="007F4A0A" w:rsidRPr="00EC1AB2">
        <w:rPr>
          <w:rFonts w:ascii="Times New Roman" w:hAnsi="Times New Roman" w:cs="Times New Roman"/>
          <w:sz w:val="24"/>
          <w:szCs w:val="24"/>
        </w:rPr>
        <w:t xml:space="preserve">čius, o </w:t>
      </w:r>
      <w:r w:rsidR="007915D7" w:rsidRPr="00EC1AB2">
        <w:rPr>
          <w:rFonts w:ascii="Times New Roman" w:hAnsi="Times New Roman" w:cs="Times New Roman"/>
          <w:sz w:val="24"/>
          <w:szCs w:val="24"/>
        </w:rPr>
        <w:t xml:space="preserve">didžiausią įtaką Europos rizikos kapitalo lygio vystymuisi turi rinkos palūkanų normos, nedarbo lygis, IPO skaičius bei komercinis verslų pardavimo skaičius. Autoriai taip pat pastebėjo, kad ankstyvos stadijos rizikos kapitalui didžiausią įtaką turi makroekonominiai veiksniai.  </w:t>
      </w:r>
    </w:p>
    <w:p w:rsidR="00593D9E" w:rsidRPr="00EC1AB2" w:rsidRDefault="007915D7" w:rsidP="00DF4E36">
      <w:pPr>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eastAsia="MinionPro-Regular" w:hAnsi="Times New Roman" w:cs="Times New Roman"/>
          <w:sz w:val="24"/>
          <w:szCs w:val="24"/>
          <w:lang w:eastAsia="lt-LT"/>
        </w:rPr>
        <w:t>Nagrinėjant mokslinę literatūrą, pastebėta,</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jog nemažai autorių formuoja</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požiūrį, jog egzistuoja stiprus ryšys</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tarp finansinės sistemos struktūros ir rizikos</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kapitalo investicijų.</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C. Mayer, K. Schoors ir Y. Yafeh (2003)</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išnagrinėjo apie 500 rizikos kapitalo fondų</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Vokietijos, Izraelio, Japonijos ir Didžiosios</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Britanijos šalyse, kurie penkerių metų</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bėgyje ypač sparčiai augo ir darė žymias</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investicijas į įmones. Pagrindinis tokių šalių</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pasirinkimo tyrimui tikslas – įvertinti į</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bankus orientuotas finansų sistemas (Vokietija</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ir Japonija) ir sistemas, orientuotas</w:t>
      </w:r>
      <w:r w:rsidRPr="00EC1AB2">
        <w:rPr>
          <w:rFonts w:ascii="Times New Roman" w:hAnsi="Times New Roman" w:cs="Times New Roman"/>
          <w:sz w:val="24"/>
          <w:szCs w:val="24"/>
        </w:rPr>
        <w:t xml:space="preserve"> </w:t>
      </w:r>
      <w:r w:rsidRPr="00EC1AB2">
        <w:rPr>
          <w:rFonts w:ascii="Times New Roman" w:eastAsia="MinionPro-Regular" w:hAnsi="Times New Roman" w:cs="Times New Roman"/>
          <w:sz w:val="24"/>
          <w:szCs w:val="24"/>
          <w:lang w:eastAsia="lt-LT"/>
        </w:rPr>
        <w:t xml:space="preserve">į finansų rinkas (Didžioji Britanija), nes būtent jos lemia, kokie yra rizikos kapitalo fondų lėšų šaltiniai ir koks įmonių finansavimo pobūdis yra būdingas skirtingose sistemose veikiančiuose rizikos kapitalo fonduose. C. Mayer, K. Schoors, Y. Yafeh (2003) nustatė, jog rizikos kapitalo fondai taiko skirtingas investavimo politikas, atsižvelgiant į šalyse dominuojančią </w:t>
      </w:r>
      <w:r w:rsidR="00DF4E36" w:rsidRPr="00EC1AB2">
        <w:rPr>
          <w:rFonts w:ascii="Times New Roman" w:eastAsia="MinionPro-Regular" w:hAnsi="Times New Roman" w:cs="Times New Roman"/>
          <w:sz w:val="24"/>
          <w:szCs w:val="24"/>
          <w:lang w:eastAsia="lt-LT"/>
        </w:rPr>
        <w:t>finansinę sistemą (žr. 3 lent.).</w:t>
      </w:r>
    </w:p>
    <w:p w:rsidR="00CB621C" w:rsidRPr="00EC1AB2" w:rsidRDefault="00CB621C" w:rsidP="007A02A8">
      <w:pPr>
        <w:spacing w:after="0" w:line="360" w:lineRule="auto"/>
        <w:jc w:val="both"/>
        <w:rPr>
          <w:rFonts w:ascii="Times New Roman" w:eastAsia="MinionPro-Regular" w:hAnsi="Times New Roman" w:cs="Times New Roman"/>
          <w:sz w:val="24"/>
          <w:szCs w:val="24"/>
          <w:lang w:eastAsia="lt-LT"/>
        </w:rPr>
      </w:pPr>
    </w:p>
    <w:p w:rsidR="007915D7" w:rsidRPr="00EC1AB2" w:rsidRDefault="007915D7" w:rsidP="007A02A8">
      <w:pPr>
        <w:pStyle w:val="Heading4"/>
        <w:spacing w:before="0" w:line="360" w:lineRule="auto"/>
        <w:jc w:val="center"/>
        <w:rPr>
          <w:rFonts w:ascii="Times New Roman" w:eastAsia="MinionPro-Regular" w:hAnsi="Times New Roman" w:cs="Times New Roman"/>
          <w:i w:val="0"/>
          <w:color w:val="auto"/>
          <w:sz w:val="24"/>
          <w:szCs w:val="24"/>
          <w:lang w:eastAsia="lt-LT"/>
        </w:rPr>
      </w:pPr>
      <w:bookmarkStart w:id="76" w:name="_Toc320761914"/>
      <w:bookmarkStart w:id="77" w:name="_Toc320762149"/>
      <w:bookmarkStart w:id="78" w:name="_Toc320762551"/>
      <w:r w:rsidRPr="00EC1AB2">
        <w:rPr>
          <w:rFonts w:ascii="Times New Roman" w:eastAsia="MinionPro-Regular" w:hAnsi="Times New Roman" w:cs="Times New Roman"/>
          <w:b w:val="0"/>
          <w:i w:val="0"/>
          <w:color w:val="auto"/>
          <w:sz w:val="24"/>
          <w:szCs w:val="24"/>
          <w:lang w:eastAsia="lt-LT"/>
        </w:rPr>
        <w:lastRenderedPageBreak/>
        <w:t>3 lentelė.</w:t>
      </w:r>
      <w:r w:rsidRPr="00EC1AB2">
        <w:rPr>
          <w:rFonts w:ascii="Times New Roman" w:eastAsia="MinionPro-Regular" w:hAnsi="Times New Roman" w:cs="Times New Roman"/>
          <w:i w:val="0"/>
          <w:color w:val="auto"/>
          <w:sz w:val="24"/>
          <w:szCs w:val="24"/>
          <w:lang w:eastAsia="lt-LT"/>
        </w:rPr>
        <w:t xml:space="preserve"> Rizikos kapitalo fondų investavimo pobūdis pagal finansavimo šaltinius</w:t>
      </w:r>
      <w:bookmarkEnd w:id="76"/>
      <w:bookmarkEnd w:id="77"/>
      <w:bookmarkEnd w:id="78"/>
    </w:p>
    <w:p w:rsidR="007915D7" w:rsidRPr="00EC1AB2" w:rsidRDefault="007915D7" w:rsidP="007A02A8">
      <w:pPr>
        <w:spacing w:after="0" w:line="360" w:lineRule="auto"/>
        <w:ind w:firstLine="720"/>
        <w:jc w:val="center"/>
        <w:rPr>
          <w:rFonts w:ascii="Times New Roman" w:eastAsia="MinionPro-Regular" w:hAnsi="Times New Roman" w:cs="Times New Roman"/>
          <w:b/>
          <w:sz w:val="24"/>
          <w:szCs w:val="24"/>
          <w:lang w:eastAsia="lt-LT"/>
        </w:rPr>
      </w:pPr>
    </w:p>
    <w:tbl>
      <w:tblPr>
        <w:tblStyle w:val="TableGrid"/>
        <w:tblW w:w="9639" w:type="dxa"/>
        <w:tblInd w:w="108" w:type="dxa"/>
        <w:tblLook w:val="04A0" w:firstRow="1" w:lastRow="0" w:firstColumn="1" w:lastColumn="0" w:noHBand="0" w:noVBand="1"/>
      </w:tblPr>
      <w:tblGrid>
        <w:gridCol w:w="1701"/>
        <w:gridCol w:w="1843"/>
        <w:gridCol w:w="1701"/>
        <w:gridCol w:w="2835"/>
        <w:gridCol w:w="1559"/>
      </w:tblGrid>
      <w:tr w:rsidR="00382F9D" w:rsidRPr="00EC1AB2" w:rsidTr="008F5B74">
        <w:tc>
          <w:tcPr>
            <w:tcW w:w="1701"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Finansų sistemos pobūdis</w:t>
            </w:r>
          </w:p>
        </w:tc>
        <w:tc>
          <w:tcPr>
            <w:tcW w:w="1843"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RKF lėšų šaltiniai</w:t>
            </w:r>
          </w:p>
        </w:tc>
        <w:tc>
          <w:tcPr>
            <w:tcW w:w="1701"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Įmonių, į kurias investuoja RKF, vystymosi stadija</w:t>
            </w:r>
          </w:p>
        </w:tc>
        <w:tc>
          <w:tcPr>
            <w:tcW w:w="2835"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Įmonių, į kurias investuoja RKF, sektorius</w:t>
            </w:r>
          </w:p>
        </w:tc>
        <w:tc>
          <w:tcPr>
            <w:tcW w:w="1559"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Geografinis įmonių pasiskirstymas</w:t>
            </w:r>
          </w:p>
        </w:tc>
      </w:tr>
      <w:tr w:rsidR="00382F9D" w:rsidRPr="00EC1AB2" w:rsidTr="008F5B74">
        <w:tc>
          <w:tcPr>
            <w:tcW w:w="1701"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Į bankus orientuota finansų sistema</w:t>
            </w:r>
          </w:p>
        </w:tc>
        <w:tc>
          <w:tcPr>
            <w:tcW w:w="1843"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Bankai</w:t>
            </w:r>
          </w:p>
        </w:tc>
        <w:tc>
          <w:tcPr>
            <w:tcW w:w="1701"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Besivystančios įmonės, pasiekę plėtros stadiją</w:t>
            </w:r>
          </w:p>
        </w:tc>
        <w:tc>
          <w:tcPr>
            <w:tcW w:w="2835"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Netechnologinės, mažai susiję su aukštosiomis technologijomis</w:t>
            </w:r>
          </w:p>
        </w:tc>
        <w:tc>
          <w:tcPr>
            <w:tcW w:w="1559"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Vietinės</w:t>
            </w:r>
          </w:p>
        </w:tc>
      </w:tr>
      <w:tr w:rsidR="00382F9D" w:rsidRPr="00EC1AB2" w:rsidTr="008F5B74">
        <w:tc>
          <w:tcPr>
            <w:tcW w:w="1701"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Į kapitalo rinkas orientuota finansų sistema</w:t>
            </w:r>
          </w:p>
        </w:tc>
        <w:tc>
          <w:tcPr>
            <w:tcW w:w="1843"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Pensijų fondai, draudimo fondai</w:t>
            </w:r>
          </w:p>
        </w:tc>
        <w:tc>
          <w:tcPr>
            <w:tcW w:w="1701"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Ankstyva, pradedančios įmonės</w:t>
            </w:r>
          </w:p>
        </w:tc>
        <w:tc>
          <w:tcPr>
            <w:tcW w:w="2835"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Netechnologinės, mažai susiję su aukštosiomis technologijomis</w:t>
            </w:r>
          </w:p>
        </w:tc>
        <w:tc>
          <w:tcPr>
            <w:tcW w:w="1559"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Vietinės</w:t>
            </w:r>
          </w:p>
        </w:tc>
      </w:tr>
      <w:tr w:rsidR="00382F9D" w:rsidRPr="00EC1AB2" w:rsidTr="008F5B74">
        <w:tc>
          <w:tcPr>
            <w:tcW w:w="1701" w:type="dxa"/>
          </w:tcPr>
          <w:p w:rsidR="007915D7" w:rsidRPr="00EC1AB2" w:rsidRDefault="007915D7" w:rsidP="007A02A8">
            <w:pPr>
              <w:spacing w:line="360" w:lineRule="auto"/>
              <w:jc w:val="both"/>
              <w:rPr>
                <w:rFonts w:ascii="Times New Roman" w:eastAsia="MinionPro-Regular" w:hAnsi="Times New Roman" w:cs="Times New Roman"/>
                <w:b/>
                <w:bCs/>
                <w:i/>
                <w:sz w:val="20"/>
                <w:szCs w:val="20"/>
                <w:lang w:eastAsia="lt-LT"/>
              </w:rPr>
            </w:pPr>
            <w:r w:rsidRPr="00EC1AB2">
              <w:rPr>
                <w:rFonts w:ascii="Times New Roman" w:eastAsia="MinionPro-Regular" w:hAnsi="Times New Roman" w:cs="Times New Roman"/>
                <w:b/>
                <w:bCs/>
                <w:i/>
                <w:sz w:val="20"/>
                <w:szCs w:val="20"/>
                <w:lang w:eastAsia="lt-LT"/>
              </w:rPr>
              <w:t>Į finansų rinkas orientuota finansų sistema</w:t>
            </w:r>
          </w:p>
        </w:tc>
        <w:tc>
          <w:tcPr>
            <w:tcW w:w="1843"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Individualūs investuotojai, korporacijos</w:t>
            </w:r>
          </w:p>
        </w:tc>
        <w:tc>
          <w:tcPr>
            <w:tcW w:w="1701"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Ankstyva, pradedančios įmonės</w:t>
            </w:r>
          </w:p>
        </w:tc>
        <w:tc>
          <w:tcPr>
            <w:tcW w:w="2835"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Aukštosios technologijos</w:t>
            </w:r>
          </w:p>
        </w:tc>
        <w:tc>
          <w:tcPr>
            <w:tcW w:w="1559" w:type="dxa"/>
          </w:tcPr>
          <w:p w:rsidR="007915D7" w:rsidRPr="00EC1AB2" w:rsidRDefault="007915D7" w:rsidP="007A02A8">
            <w:pPr>
              <w:spacing w:line="360" w:lineRule="auto"/>
              <w:jc w:val="both"/>
              <w:rPr>
                <w:rFonts w:ascii="Times New Roman" w:eastAsia="MinionPro-Regular" w:hAnsi="Times New Roman" w:cs="Times New Roman"/>
                <w:i/>
                <w:sz w:val="20"/>
                <w:szCs w:val="20"/>
                <w:lang w:eastAsia="lt-LT"/>
              </w:rPr>
            </w:pPr>
            <w:r w:rsidRPr="00EC1AB2">
              <w:rPr>
                <w:rFonts w:ascii="Times New Roman" w:eastAsia="MinionPro-Regular" w:hAnsi="Times New Roman" w:cs="Times New Roman"/>
                <w:i/>
                <w:sz w:val="20"/>
                <w:szCs w:val="20"/>
                <w:lang w:eastAsia="lt-LT"/>
              </w:rPr>
              <w:t>Įvairios</w:t>
            </w:r>
          </w:p>
        </w:tc>
      </w:tr>
    </w:tbl>
    <w:p w:rsidR="007915D7" w:rsidRPr="00EC1AB2" w:rsidRDefault="007915D7" w:rsidP="007A02A8">
      <w:pPr>
        <w:tabs>
          <w:tab w:val="left" w:pos="567"/>
        </w:tabs>
        <w:spacing w:after="0" w:line="360" w:lineRule="auto"/>
        <w:jc w:val="both"/>
        <w:rPr>
          <w:rFonts w:ascii="Times New Roman" w:eastAsia="MinionPro-Regular" w:hAnsi="Times New Roman" w:cs="Times New Roman"/>
          <w:b/>
          <w:sz w:val="20"/>
          <w:szCs w:val="20"/>
          <w:lang w:eastAsia="lt-LT"/>
        </w:rPr>
      </w:pPr>
    </w:p>
    <w:p w:rsidR="007915D7" w:rsidRPr="00EC1AB2" w:rsidRDefault="007915D7" w:rsidP="007A02A8">
      <w:pPr>
        <w:spacing w:after="0" w:line="360" w:lineRule="auto"/>
        <w:ind w:firstLine="720"/>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b/>
          <w:sz w:val="20"/>
          <w:szCs w:val="20"/>
          <w:lang w:eastAsia="lt-LT"/>
        </w:rPr>
        <w:t xml:space="preserve">Šaltinis: </w:t>
      </w:r>
      <w:r w:rsidRPr="00EC1AB2">
        <w:rPr>
          <w:rFonts w:ascii="Times New Roman" w:eastAsia="MinionPro-Regular" w:hAnsi="Times New Roman" w:cs="Times New Roman"/>
          <w:sz w:val="20"/>
          <w:szCs w:val="20"/>
          <w:lang w:eastAsia="lt-LT"/>
        </w:rPr>
        <w:t>Kaupelytė, Jankauskienė (2009)</w:t>
      </w:r>
    </w:p>
    <w:p w:rsidR="007915D7" w:rsidRPr="00EC1AB2" w:rsidRDefault="007915D7" w:rsidP="007A02A8">
      <w:pPr>
        <w:spacing w:after="0" w:line="360" w:lineRule="auto"/>
        <w:ind w:firstLine="720"/>
        <w:jc w:val="both"/>
        <w:rPr>
          <w:rFonts w:ascii="Times New Roman" w:eastAsia="MinionPro-Regular" w:hAnsi="Times New Roman" w:cs="Times New Roman"/>
          <w:sz w:val="24"/>
          <w:szCs w:val="24"/>
          <w:lang w:eastAsia="lt-LT"/>
        </w:rPr>
      </w:pPr>
    </w:p>
    <w:p w:rsidR="007915D7" w:rsidRPr="00EC1AB2" w:rsidRDefault="00500B44" w:rsidP="007A02A8">
      <w:pPr>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eastAsia="MinionPro-Regular" w:hAnsi="Times New Roman" w:cs="Times New Roman"/>
          <w:sz w:val="24"/>
          <w:szCs w:val="24"/>
          <w:lang w:eastAsia="lt-LT"/>
        </w:rPr>
        <w:t>Kaip matyti iš 3 lent. b</w:t>
      </w:r>
      <w:r w:rsidR="007915D7" w:rsidRPr="00EC1AB2">
        <w:rPr>
          <w:rFonts w:ascii="Times New Roman" w:eastAsia="MinionPro-Regular" w:hAnsi="Times New Roman" w:cs="Times New Roman"/>
          <w:sz w:val="24"/>
          <w:szCs w:val="24"/>
          <w:lang w:eastAsia="lt-LT"/>
        </w:rPr>
        <w:t>ankai yra pag</w:t>
      </w:r>
      <w:r w:rsidRPr="00EC1AB2">
        <w:rPr>
          <w:rFonts w:ascii="Times New Roman" w:eastAsia="MinionPro-Regular" w:hAnsi="Times New Roman" w:cs="Times New Roman"/>
          <w:sz w:val="24"/>
          <w:szCs w:val="24"/>
          <w:lang w:eastAsia="lt-LT"/>
        </w:rPr>
        <w:t>rindiniai RKF</w:t>
      </w:r>
      <w:r w:rsidR="007915D7" w:rsidRPr="00EC1AB2">
        <w:rPr>
          <w:rFonts w:ascii="Times New Roman" w:eastAsia="MinionPro-Regular" w:hAnsi="Times New Roman" w:cs="Times New Roman"/>
          <w:sz w:val="24"/>
          <w:szCs w:val="24"/>
          <w:lang w:eastAsia="lt-LT"/>
        </w:rPr>
        <w:t xml:space="preserve"> lėšų šaltiniai tiek Vokietijoje, </w:t>
      </w:r>
      <w:r w:rsidR="00D75677" w:rsidRPr="00EC1AB2">
        <w:rPr>
          <w:rFonts w:ascii="Times New Roman" w:eastAsia="MinionPro-Regular" w:hAnsi="Times New Roman" w:cs="Times New Roman"/>
          <w:sz w:val="24"/>
          <w:szCs w:val="24"/>
          <w:lang w:eastAsia="lt-LT"/>
        </w:rPr>
        <w:t>tiek Japonijoje</w:t>
      </w:r>
      <w:r w:rsidR="007915D7" w:rsidRPr="00EC1AB2">
        <w:rPr>
          <w:rFonts w:ascii="Times New Roman" w:eastAsia="MinionPro-Regular" w:hAnsi="Times New Roman" w:cs="Times New Roman"/>
          <w:sz w:val="24"/>
          <w:szCs w:val="24"/>
          <w:lang w:eastAsia="lt-LT"/>
        </w:rPr>
        <w:t>, kai tuo tarpu Didžiojoje Britanijoje sva</w:t>
      </w:r>
      <w:r w:rsidR="00D75677" w:rsidRPr="00EC1AB2">
        <w:rPr>
          <w:rFonts w:ascii="Times New Roman" w:eastAsia="MinionPro-Regular" w:hAnsi="Times New Roman" w:cs="Times New Roman"/>
          <w:sz w:val="24"/>
          <w:szCs w:val="24"/>
          <w:lang w:eastAsia="lt-LT"/>
        </w:rPr>
        <w:t>rbiausias RKF</w:t>
      </w:r>
      <w:r w:rsidR="007915D7" w:rsidRPr="00EC1AB2">
        <w:rPr>
          <w:rFonts w:ascii="Times New Roman" w:eastAsia="MinionPro-Regular" w:hAnsi="Times New Roman" w:cs="Times New Roman"/>
          <w:sz w:val="24"/>
          <w:szCs w:val="24"/>
          <w:lang w:eastAsia="lt-LT"/>
        </w:rPr>
        <w:t xml:space="preserve"> lėšų šaltini</w:t>
      </w:r>
      <w:r w:rsidR="00D75677" w:rsidRPr="00EC1AB2">
        <w:rPr>
          <w:rFonts w:ascii="Times New Roman" w:eastAsia="MinionPro-Regular" w:hAnsi="Times New Roman" w:cs="Times New Roman"/>
          <w:sz w:val="24"/>
          <w:szCs w:val="24"/>
          <w:lang w:eastAsia="lt-LT"/>
        </w:rPr>
        <w:t>s yra pensijų fondų</w:t>
      </w:r>
      <w:r w:rsidR="007915D7" w:rsidRPr="00EC1AB2">
        <w:rPr>
          <w:rFonts w:ascii="Times New Roman" w:eastAsia="MinionPro-Regular" w:hAnsi="Times New Roman" w:cs="Times New Roman"/>
          <w:sz w:val="24"/>
          <w:szCs w:val="24"/>
          <w:lang w:eastAsia="lt-LT"/>
        </w:rPr>
        <w:t>. Izr</w:t>
      </w:r>
      <w:r w:rsidR="00614EA4" w:rsidRPr="00EC1AB2">
        <w:rPr>
          <w:rFonts w:ascii="Times New Roman" w:eastAsia="MinionPro-Regular" w:hAnsi="Times New Roman" w:cs="Times New Roman"/>
          <w:sz w:val="24"/>
          <w:szCs w:val="24"/>
          <w:lang w:eastAsia="lt-LT"/>
        </w:rPr>
        <w:t>aelyje į RKF</w:t>
      </w:r>
      <w:r w:rsidR="007915D7" w:rsidRPr="00EC1AB2">
        <w:rPr>
          <w:rFonts w:ascii="Times New Roman" w:eastAsia="MinionPro-Regular" w:hAnsi="Times New Roman" w:cs="Times New Roman"/>
          <w:sz w:val="24"/>
          <w:szCs w:val="24"/>
          <w:lang w:eastAsia="lt-LT"/>
        </w:rPr>
        <w:t xml:space="preserve"> investuoja individualūs investuotojai ir didelės privačios korporacijos. Įdomu pastebėti </w:t>
      </w:r>
      <w:r w:rsidR="00614EA4" w:rsidRPr="00EC1AB2">
        <w:rPr>
          <w:rFonts w:ascii="Times New Roman" w:eastAsia="MinionPro-Regular" w:hAnsi="Times New Roman" w:cs="Times New Roman"/>
          <w:sz w:val="24"/>
          <w:szCs w:val="24"/>
          <w:lang w:eastAsia="lt-LT"/>
        </w:rPr>
        <w:t>tai, jog RKF</w:t>
      </w:r>
      <w:r w:rsidR="007915D7" w:rsidRPr="00EC1AB2">
        <w:rPr>
          <w:rFonts w:ascii="Times New Roman" w:eastAsia="MinionPro-Regular" w:hAnsi="Times New Roman" w:cs="Times New Roman"/>
          <w:sz w:val="24"/>
          <w:szCs w:val="24"/>
          <w:lang w:eastAsia="lt-LT"/>
        </w:rPr>
        <w:t>, kurie lėšas gauna iš bankų, pensijų fondų, draudim</w:t>
      </w:r>
      <w:r w:rsidR="005836F2" w:rsidRPr="00EC1AB2">
        <w:rPr>
          <w:rFonts w:ascii="Times New Roman" w:eastAsia="MinionPro-Regular" w:hAnsi="Times New Roman" w:cs="Times New Roman"/>
          <w:sz w:val="24"/>
          <w:szCs w:val="24"/>
          <w:lang w:eastAsia="lt-LT"/>
        </w:rPr>
        <w:t>o kompanijų, paprastai investuoj</w:t>
      </w:r>
      <w:r w:rsidR="007915D7" w:rsidRPr="00EC1AB2">
        <w:rPr>
          <w:rFonts w:ascii="Times New Roman" w:eastAsia="MinionPro-Regular" w:hAnsi="Times New Roman" w:cs="Times New Roman"/>
          <w:sz w:val="24"/>
          <w:szCs w:val="24"/>
          <w:lang w:eastAsia="lt-LT"/>
        </w:rPr>
        <w:t>a į vėlesnių išsivystymo stadijų įmo</w:t>
      </w:r>
      <w:r w:rsidR="005836F2" w:rsidRPr="00EC1AB2">
        <w:rPr>
          <w:rFonts w:ascii="Times New Roman" w:eastAsia="MinionPro-Regular" w:hAnsi="Times New Roman" w:cs="Times New Roman"/>
          <w:sz w:val="24"/>
          <w:szCs w:val="24"/>
          <w:lang w:eastAsia="lt-LT"/>
        </w:rPr>
        <w:t>nes, t.y.</w:t>
      </w:r>
      <w:r w:rsidR="00614EA4" w:rsidRPr="00EC1AB2">
        <w:rPr>
          <w:rFonts w:ascii="Times New Roman" w:eastAsia="MinionPro-Regular" w:hAnsi="Times New Roman" w:cs="Times New Roman"/>
          <w:sz w:val="24"/>
          <w:szCs w:val="24"/>
          <w:lang w:eastAsia="lt-LT"/>
        </w:rPr>
        <w:t xml:space="preserve"> ne į ankstyvos plėtros stadijos</w:t>
      </w:r>
      <w:r w:rsidR="007915D7" w:rsidRPr="00EC1AB2">
        <w:rPr>
          <w:rFonts w:ascii="Times New Roman" w:eastAsia="MinionPro-Regular" w:hAnsi="Times New Roman" w:cs="Times New Roman"/>
          <w:sz w:val="24"/>
          <w:szCs w:val="24"/>
          <w:lang w:eastAsia="lt-LT"/>
        </w:rPr>
        <w:t xml:space="preserve"> įmones, o jau pažengusias, kai tuo tarpu individualių investuotojų ir įmonių lė</w:t>
      </w:r>
      <w:r w:rsidR="005836F2" w:rsidRPr="00EC1AB2">
        <w:rPr>
          <w:rFonts w:ascii="Times New Roman" w:eastAsia="MinionPro-Regular" w:hAnsi="Times New Roman" w:cs="Times New Roman"/>
          <w:sz w:val="24"/>
          <w:szCs w:val="24"/>
          <w:lang w:eastAsia="lt-LT"/>
        </w:rPr>
        <w:t>šos, per RKF</w:t>
      </w:r>
      <w:r w:rsidR="007915D7" w:rsidRPr="00EC1AB2">
        <w:rPr>
          <w:rFonts w:ascii="Times New Roman" w:eastAsia="MinionPro-Regular" w:hAnsi="Times New Roman" w:cs="Times New Roman"/>
          <w:sz w:val="24"/>
          <w:szCs w:val="24"/>
          <w:lang w:eastAsia="lt-LT"/>
        </w:rPr>
        <w:t xml:space="preserve"> yra investuojamos į informacinių technologijų ir telekomunikacijų, kompiuterinių programų, elektronikos sritis į pradinėse vystymosi stadijose esančias įmones. Tai rodo, jog bankų, draudimo įmonių, pensijų fondų lėšos yra susijusios su mažesne rizika. Be to, kaip šie autoriai nustatė, bankai ir pensijų fondų lėšos yra investuojamos regionuose, o individualių investuotojų lėšos investuojamos globaliai. Akivaiz</w:t>
      </w:r>
      <w:r w:rsidR="005836F2" w:rsidRPr="00EC1AB2">
        <w:rPr>
          <w:rFonts w:ascii="Times New Roman" w:eastAsia="MinionPro-Regular" w:hAnsi="Times New Roman" w:cs="Times New Roman"/>
          <w:sz w:val="24"/>
          <w:szCs w:val="24"/>
          <w:lang w:eastAsia="lt-LT"/>
        </w:rPr>
        <w:t xml:space="preserve">du, jog RKF </w:t>
      </w:r>
      <w:r w:rsidR="007915D7" w:rsidRPr="00EC1AB2">
        <w:rPr>
          <w:rFonts w:ascii="Times New Roman" w:eastAsia="MinionPro-Regular" w:hAnsi="Times New Roman" w:cs="Times New Roman"/>
          <w:sz w:val="24"/>
          <w:szCs w:val="24"/>
          <w:lang w:eastAsia="lt-LT"/>
        </w:rPr>
        <w:t>atsižvelgia į pritrauktų investavimui skirtų lėšų savininkus ir pagal tai</w:t>
      </w:r>
      <w:r w:rsidR="005836F2" w:rsidRPr="00EC1AB2">
        <w:rPr>
          <w:rFonts w:ascii="Times New Roman" w:eastAsia="MinionPro-Regular" w:hAnsi="Times New Roman" w:cs="Times New Roman"/>
          <w:sz w:val="24"/>
          <w:szCs w:val="24"/>
          <w:lang w:eastAsia="lt-LT"/>
        </w:rPr>
        <w:t xml:space="preserve"> formuoja RKF</w:t>
      </w:r>
      <w:r w:rsidR="007915D7" w:rsidRPr="00EC1AB2">
        <w:rPr>
          <w:rFonts w:ascii="Times New Roman" w:eastAsia="MinionPro-Regular" w:hAnsi="Times New Roman" w:cs="Times New Roman"/>
          <w:sz w:val="24"/>
          <w:szCs w:val="24"/>
          <w:lang w:eastAsia="lt-LT"/>
        </w:rPr>
        <w:t xml:space="preserve"> investavimo pobūdį.</w:t>
      </w:r>
    </w:p>
    <w:p w:rsidR="007915D7" w:rsidRPr="00EC1AB2" w:rsidRDefault="007915D7" w:rsidP="007A02A8">
      <w:pPr>
        <w:autoSpaceDE w:val="0"/>
        <w:autoSpaceDN w:val="0"/>
        <w:adjustRightInd w:val="0"/>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eastAsia="MinionPro-Regular" w:hAnsi="Times New Roman" w:cs="Times New Roman"/>
          <w:sz w:val="24"/>
          <w:szCs w:val="24"/>
          <w:lang w:eastAsia="lt-LT"/>
        </w:rPr>
        <w:t>Anot Kaupelytės, Jankauskienės (2009), rizikos kapitalas svarbus užtikrinant ilgalaikį ekonominį augimą ir darbo vietų sukūrimą, todėl rizikos kapitalo investicijos išskiriamos kaip viena prior</w:t>
      </w:r>
      <w:r w:rsidR="00111B87" w:rsidRPr="00EC1AB2">
        <w:rPr>
          <w:rFonts w:ascii="Times New Roman" w:eastAsia="MinionPro-Regular" w:hAnsi="Times New Roman" w:cs="Times New Roman"/>
          <w:sz w:val="24"/>
          <w:szCs w:val="24"/>
          <w:lang w:eastAsia="lt-LT"/>
        </w:rPr>
        <w:t>itetinių sričių ES</w:t>
      </w:r>
      <w:r w:rsidRPr="00EC1AB2">
        <w:rPr>
          <w:rFonts w:ascii="Times New Roman" w:eastAsia="MinionPro-Regular" w:hAnsi="Times New Roman" w:cs="Times New Roman"/>
          <w:sz w:val="24"/>
          <w:szCs w:val="24"/>
          <w:lang w:eastAsia="lt-LT"/>
        </w:rPr>
        <w:t xml:space="preserve"> šalyse, siekiant pasiekti tokį rizikos kapitalo išvystymo lygį, kur</w:t>
      </w:r>
      <w:r w:rsidR="008F5B74" w:rsidRPr="00EC1AB2">
        <w:rPr>
          <w:rFonts w:ascii="Times New Roman" w:eastAsia="MinionPro-Regular" w:hAnsi="Times New Roman" w:cs="Times New Roman"/>
          <w:sz w:val="24"/>
          <w:szCs w:val="24"/>
          <w:lang w:eastAsia="lt-LT"/>
        </w:rPr>
        <w:t>is būdingas JAV. Tačiau ES</w:t>
      </w:r>
      <w:r w:rsidRPr="00EC1AB2">
        <w:rPr>
          <w:rFonts w:ascii="Times New Roman" w:eastAsia="MinionPro-Regular" w:hAnsi="Times New Roman" w:cs="Times New Roman"/>
          <w:sz w:val="24"/>
          <w:szCs w:val="24"/>
          <w:lang w:eastAsia="lt-LT"/>
        </w:rPr>
        <w:t xml:space="preserve"> šalyse rizikos kapitalo investicijų plėtrą stabdo ne tik netobula mokesčių sistema, tačiau taip pat ir, lyginant su JAV, neišvystyta pensijų fondų ir kitų institucinių investuotojų rinka.</w:t>
      </w:r>
    </w:p>
    <w:p w:rsidR="0066715E" w:rsidRPr="00EC1AB2" w:rsidRDefault="008B57ED" w:rsidP="007A02A8">
      <w:pPr>
        <w:autoSpaceDE w:val="0"/>
        <w:autoSpaceDN w:val="0"/>
        <w:adjustRightInd w:val="0"/>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eastAsia="MinionPro-Regular" w:hAnsi="Times New Roman" w:cs="Times New Roman"/>
          <w:sz w:val="24"/>
          <w:szCs w:val="24"/>
          <w:lang w:eastAsia="lt-LT"/>
        </w:rPr>
        <w:t xml:space="preserve">4 lentelėje pateikti pagrindiniai atlikti tiek kokybiniai, tiek kiekybiniai </w:t>
      </w:r>
      <w:r w:rsidR="0019382D" w:rsidRPr="00EC1AB2">
        <w:rPr>
          <w:rFonts w:ascii="Times New Roman" w:eastAsia="MinionPro-Regular" w:hAnsi="Times New Roman" w:cs="Times New Roman"/>
          <w:sz w:val="24"/>
          <w:szCs w:val="24"/>
          <w:lang w:eastAsia="lt-LT"/>
        </w:rPr>
        <w:t xml:space="preserve">rizikos </w:t>
      </w:r>
      <w:r w:rsidR="00FC494A" w:rsidRPr="00EC1AB2">
        <w:rPr>
          <w:rFonts w:ascii="Times New Roman" w:eastAsia="MinionPro-Regular" w:hAnsi="Times New Roman" w:cs="Times New Roman"/>
          <w:sz w:val="24"/>
          <w:szCs w:val="24"/>
          <w:lang w:eastAsia="lt-LT"/>
        </w:rPr>
        <w:t>kapitalo veiksnių vertinimo tyrimai.</w:t>
      </w:r>
    </w:p>
    <w:p w:rsidR="00AF41D0" w:rsidRPr="00EC1AB2" w:rsidRDefault="00AF41D0" w:rsidP="007A02A8">
      <w:pPr>
        <w:autoSpaceDE w:val="0"/>
        <w:autoSpaceDN w:val="0"/>
        <w:adjustRightInd w:val="0"/>
        <w:spacing w:after="0" w:line="360" w:lineRule="auto"/>
        <w:ind w:firstLine="567"/>
        <w:jc w:val="both"/>
        <w:rPr>
          <w:rFonts w:ascii="Times New Roman" w:eastAsia="MinionPro-Regular" w:hAnsi="Times New Roman" w:cs="Times New Roman"/>
          <w:sz w:val="24"/>
          <w:szCs w:val="24"/>
          <w:lang w:eastAsia="lt-LT"/>
        </w:rPr>
      </w:pPr>
    </w:p>
    <w:p w:rsidR="00F22FE7" w:rsidRPr="00EC1AB2" w:rsidRDefault="00F22FE7" w:rsidP="00945658">
      <w:pPr>
        <w:autoSpaceDE w:val="0"/>
        <w:autoSpaceDN w:val="0"/>
        <w:adjustRightInd w:val="0"/>
        <w:spacing w:after="0" w:line="240" w:lineRule="auto"/>
        <w:jc w:val="both"/>
        <w:rPr>
          <w:rFonts w:ascii="Times New Roman" w:eastAsia="MinionPro-Regular" w:hAnsi="Times New Roman" w:cs="Times New Roman"/>
          <w:sz w:val="24"/>
          <w:szCs w:val="24"/>
          <w:lang w:eastAsia="lt-LT"/>
        </w:rPr>
      </w:pPr>
    </w:p>
    <w:p w:rsidR="00F22FE7" w:rsidRPr="00EC1AB2" w:rsidRDefault="00F22FE7" w:rsidP="00945658">
      <w:pPr>
        <w:pStyle w:val="Heading4"/>
        <w:spacing w:before="0" w:line="240" w:lineRule="auto"/>
        <w:jc w:val="center"/>
        <w:rPr>
          <w:rFonts w:ascii="Times New Roman" w:eastAsia="MinionPro-Regular" w:hAnsi="Times New Roman" w:cs="Times New Roman"/>
          <w:i w:val="0"/>
          <w:color w:val="auto"/>
          <w:sz w:val="24"/>
          <w:szCs w:val="24"/>
          <w:lang w:eastAsia="lt-LT"/>
        </w:rPr>
      </w:pPr>
      <w:bookmarkStart w:id="79" w:name="_Toc320761915"/>
      <w:bookmarkStart w:id="80" w:name="_Toc320762150"/>
      <w:bookmarkStart w:id="81" w:name="_Toc320762552"/>
      <w:r w:rsidRPr="00EC1AB2">
        <w:rPr>
          <w:rFonts w:ascii="Times New Roman" w:eastAsia="MinionPro-Regular" w:hAnsi="Times New Roman" w:cs="Times New Roman"/>
          <w:b w:val="0"/>
          <w:i w:val="0"/>
          <w:color w:val="auto"/>
          <w:sz w:val="24"/>
          <w:szCs w:val="24"/>
          <w:lang w:eastAsia="lt-LT"/>
        </w:rPr>
        <w:lastRenderedPageBreak/>
        <w:t>4 lentelė.</w:t>
      </w:r>
      <w:r w:rsidRPr="00EC1AB2">
        <w:rPr>
          <w:rFonts w:ascii="Times New Roman" w:eastAsia="MinionPro-Regular" w:hAnsi="Times New Roman" w:cs="Times New Roman"/>
          <w:i w:val="0"/>
          <w:color w:val="auto"/>
          <w:sz w:val="24"/>
          <w:szCs w:val="24"/>
          <w:lang w:eastAsia="lt-LT"/>
        </w:rPr>
        <w:t xml:space="preserve"> Pagrindiniai empiriniai rizikos kapitalo veiksnių vertinimo tyrimai</w:t>
      </w:r>
      <w:bookmarkEnd w:id="79"/>
      <w:bookmarkEnd w:id="80"/>
      <w:bookmarkEnd w:id="81"/>
    </w:p>
    <w:p w:rsidR="0066715E" w:rsidRPr="00EC1AB2" w:rsidRDefault="0066715E" w:rsidP="007A02A8">
      <w:pPr>
        <w:autoSpaceDE w:val="0"/>
        <w:autoSpaceDN w:val="0"/>
        <w:adjustRightInd w:val="0"/>
        <w:spacing w:after="0" w:line="360" w:lineRule="auto"/>
        <w:ind w:firstLine="567"/>
        <w:jc w:val="both"/>
        <w:rPr>
          <w:rFonts w:ascii="Times New Roman" w:eastAsia="MinionPro-Regular" w:hAnsi="Times New Roman" w:cs="Times New Roman"/>
          <w:b/>
          <w:sz w:val="24"/>
          <w:szCs w:val="24"/>
          <w:lang w:eastAsia="lt-LT"/>
        </w:rPr>
      </w:pPr>
    </w:p>
    <w:tbl>
      <w:tblPr>
        <w:tblStyle w:val="TableGrid"/>
        <w:tblW w:w="0" w:type="auto"/>
        <w:tblLook w:val="04A0" w:firstRow="1" w:lastRow="0" w:firstColumn="1" w:lastColumn="0" w:noHBand="0" w:noVBand="1"/>
      </w:tblPr>
      <w:tblGrid>
        <w:gridCol w:w="1951"/>
        <w:gridCol w:w="2268"/>
        <w:gridCol w:w="4253"/>
        <w:gridCol w:w="1665"/>
      </w:tblGrid>
      <w:tr w:rsidR="00B11653" w:rsidRPr="00EC1AB2" w:rsidTr="000D04B1">
        <w:tc>
          <w:tcPr>
            <w:tcW w:w="1951" w:type="dxa"/>
            <w:shd w:val="clear" w:color="auto" w:fill="808080" w:themeFill="background1" w:themeFillShade="80"/>
          </w:tcPr>
          <w:p w:rsidR="00B11653" w:rsidRPr="00EC1AB2" w:rsidRDefault="00B11653" w:rsidP="007A02A8">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Veiksnių grupės</w:t>
            </w:r>
          </w:p>
        </w:tc>
        <w:tc>
          <w:tcPr>
            <w:tcW w:w="2268" w:type="dxa"/>
            <w:shd w:val="clear" w:color="auto" w:fill="808080" w:themeFill="background1" w:themeFillShade="80"/>
          </w:tcPr>
          <w:p w:rsidR="00B11653" w:rsidRPr="00EC1AB2" w:rsidRDefault="00B11653" w:rsidP="007A02A8">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Veiksnių, kurie buvo tiriami, rodikliai</w:t>
            </w:r>
          </w:p>
        </w:tc>
        <w:tc>
          <w:tcPr>
            <w:tcW w:w="4253" w:type="dxa"/>
            <w:shd w:val="clear" w:color="auto" w:fill="808080" w:themeFill="background1" w:themeFillShade="80"/>
          </w:tcPr>
          <w:p w:rsidR="00B11653" w:rsidRPr="00EC1AB2" w:rsidRDefault="00B11653" w:rsidP="007A02A8">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Autoriai</w:t>
            </w:r>
          </w:p>
        </w:tc>
        <w:tc>
          <w:tcPr>
            <w:tcW w:w="1665" w:type="dxa"/>
            <w:shd w:val="clear" w:color="auto" w:fill="808080" w:themeFill="background1" w:themeFillShade="80"/>
          </w:tcPr>
          <w:p w:rsidR="00B11653" w:rsidRPr="00EC1AB2" w:rsidRDefault="00B11653" w:rsidP="007A02A8">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 xml:space="preserve">Tyrimo pobūdis </w:t>
            </w:r>
          </w:p>
        </w:tc>
      </w:tr>
      <w:tr w:rsidR="00370EA5" w:rsidRPr="00EC1AB2" w:rsidTr="00514D6C">
        <w:tc>
          <w:tcPr>
            <w:tcW w:w="1951" w:type="dxa"/>
            <w:vMerge w:val="restart"/>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Makroekonominė aplinka</w:t>
            </w:r>
          </w:p>
        </w:tc>
        <w:tc>
          <w:tcPr>
            <w:tcW w:w="2268"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BVP dydis (1 gyv.)</w:t>
            </w:r>
          </w:p>
        </w:tc>
        <w:tc>
          <w:tcPr>
            <w:tcW w:w="4253"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 Gompres, J. Lerner (1988), D. Cumming, J. G. MacIntoch (2002), A. Romain, B. van Pottelsberghe de la Potterie (2004), S. Bonini, S. Alkan (2006), S. Khalid (2007)</w:t>
            </w:r>
          </w:p>
        </w:tc>
        <w:tc>
          <w:tcPr>
            <w:tcW w:w="1665"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370EA5" w:rsidRPr="00EC1AB2" w:rsidTr="00514D6C">
        <w:tc>
          <w:tcPr>
            <w:tcW w:w="1951" w:type="dxa"/>
            <w:vMerge/>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Infliacijos dydis (proc.)</w:t>
            </w:r>
          </w:p>
        </w:tc>
        <w:tc>
          <w:tcPr>
            <w:tcW w:w="4253"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Bonini, S. Alkan (2006)</w:t>
            </w:r>
          </w:p>
        </w:tc>
        <w:tc>
          <w:tcPr>
            <w:tcW w:w="1665"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370EA5" w:rsidRPr="00EC1AB2" w:rsidTr="00514D6C">
        <w:tc>
          <w:tcPr>
            <w:tcW w:w="1951" w:type="dxa"/>
            <w:vMerge/>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Darbo rinkos lankstumas</w:t>
            </w:r>
          </w:p>
        </w:tc>
        <w:tc>
          <w:tcPr>
            <w:tcW w:w="4253"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Schertler (2004)</w:t>
            </w:r>
          </w:p>
        </w:tc>
        <w:tc>
          <w:tcPr>
            <w:tcW w:w="1665" w:type="dxa"/>
          </w:tcPr>
          <w:p w:rsidR="00370EA5" w:rsidRPr="00EC1AB2" w:rsidRDefault="00370EA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514D6C">
        <w:tc>
          <w:tcPr>
            <w:tcW w:w="1951" w:type="dxa"/>
            <w:vMerge w:val="restart"/>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Finansinė aplinka</w:t>
            </w:r>
          </w:p>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Finansinės sistemos pobūdis</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R. Levine, S. Zervos (1998), D. Schafer (2002), T. Beck, R. Levine (2002)</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 kokybinis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Išėjimo/divestavimo pobūdis (IPO)</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M. Berlin (1998), B. S. Black, R. J. Gilson (1998), L. Jeng, P. C. Wells (2000), J. Marti, M. Balboa (2000), D. J. Cumming, G. Fleming (2002), A. Schwienbacher (2002), C. Michelacci, J, Suarez (2004), J. R. Brown (2005), S. Bonin, S. Alkan (2006), S. Khalid (2007)</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Akcijų rinkų likvidumas/aktyvumas</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Black, R.J. Gilson (1998), D. J. Cumming, J. G. MacIntoch (2002), A. Schertler (2003), M. Da Rin, g. Nicodano, A. Sembenelli (2005), S. Bonini, S. Alkan (2006)</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Įmonių susijungimai ir susiliejimai</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Khalid (2007)</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Kokybinis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Rinkos kapitalizacijos augimas</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L. Jeng, P. C. Wells (2000)</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val="restart"/>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Teisinė ir mokesčių sistema</w:t>
            </w: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Kapitalo prieaugio mokesčiai</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 Gompers (1998), j. Poterba, B. A. Aylward (2002)</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Pelno mokesčiai</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Bonini., S. Alkan (2006)</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Mokesčių lengvatos</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J. Berwin (2006), M. Da Rin, G.Nicodano, A. Sembelini (2005)</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Teisinis rizikos kapitalo investuotojų veiklos reglamentavimas</w:t>
            </w:r>
          </w:p>
        </w:tc>
        <w:tc>
          <w:tcPr>
            <w:tcW w:w="4253"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J. Berwin (2006)</w:t>
            </w:r>
          </w:p>
        </w:tc>
        <w:tc>
          <w:tcPr>
            <w:tcW w:w="1665" w:type="dxa"/>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Kokybinis</w:t>
            </w:r>
          </w:p>
        </w:tc>
      </w:tr>
      <w:tr w:rsidR="00C17B50" w:rsidRPr="00EC1AB2" w:rsidTr="00C17B50">
        <w:tc>
          <w:tcPr>
            <w:tcW w:w="1951" w:type="dxa"/>
            <w:vMerge/>
          </w:tcPr>
          <w:p w:rsidR="00C17B50" w:rsidRPr="00EC1AB2" w:rsidRDefault="00C17B50"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C17B50" w:rsidRPr="00EC1AB2" w:rsidRDefault="00C17B50" w:rsidP="00945658">
            <w:pPr>
              <w:autoSpaceDE w:val="0"/>
              <w:autoSpaceDN w:val="0"/>
              <w:adjustRightInd w:val="0"/>
              <w:spacing w:line="276"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Bankroto teisė</w:t>
            </w:r>
          </w:p>
        </w:tc>
        <w:tc>
          <w:tcPr>
            <w:tcW w:w="4253" w:type="dxa"/>
          </w:tcPr>
          <w:p w:rsidR="00C17B50" w:rsidRPr="00EC1AB2" w:rsidRDefault="00C17B50" w:rsidP="00945658">
            <w:pPr>
              <w:autoSpaceDE w:val="0"/>
              <w:autoSpaceDN w:val="0"/>
              <w:adjustRightInd w:val="0"/>
              <w:spacing w:line="276"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J. Armour (2002), J. Armour, D.J. Cumming (2006)</w:t>
            </w:r>
          </w:p>
        </w:tc>
        <w:tc>
          <w:tcPr>
            <w:tcW w:w="1665" w:type="dxa"/>
          </w:tcPr>
          <w:p w:rsidR="00C17B50" w:rsidRPr="00EC1AB2" w:rsidRDefault="00C17B50" w:rsidP="00945658">
            <w:pPr>
              <w:autoSpaceDE w:val="0"/>
              <w:autoSpaceDN w:val="0"/>
              <w:adjustRightInd w:val="0"/>
              <w:spacing w:line="276"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Kokybinis</w:t>
            </w:r>
          </w:p>
        </w:tc>
      </w:tr>
    </w:tbl>
    <w:p w:rsidR="00945658" w:rsidRPr="00EC1AB2" w:rsidRDefault="00945658" w:rsidP="00945658">
      <w:pPr>
        <w:tabs>
          <w:tab w:val="left" w:pos="7462"/>
        </w:tabs>
        <w:jc w:val="right"/>
        <w:rPr>
          <w:rFonts w:ascii="Times New Roman" w:hAnsi="Times New Roman" w:cs="Times New Roman"/>
          <w:sz w:val="24"/>
          <w:szCs w:val="24"/>
        </w:rPr>
      </w:pPr>
    </w:p>
    <w:p w:rsidR="009F4399" w:rsidRPr="00EC1AB2" w:rsidRDefault="009F4399" w:rsidP="00945658">
      <w:pPr>
        <w:tabs>
          <w:tab w:val="left" w:pos="7462"/>
        </w:tabs>
        <w:jc w:val="right"/>
        <w:rPr>
          <w:rFonts w:ascii="Times New Roman" w:hAnsi="Times New Roman" w:cs="Times New Roman"/>
          <w:sz w:val="24"/>
          <w:szCs w:val="24"/>
        </w:rPr>
      </w:pPr>
    </w:p>
    <w:p w:rsidR="009F4399" w:rsidRPr="00EC1AB2" w:rsidRDefault="009F4399" w:rsidP="00945658">
      <w:pPr>
        <w:tabs>
          <w:tab w:val="left" w:pos="7462"/>
        </w:tabs>
        <w:jc w:val="right"/>
        <w:rPr>
          <w:rFonts w:ascii="Times New Roman" w:hAnsi="Times New Roman" w:cs="Times New Roman"/>
          <w:sz w:val="24"/>
          <w:szCs w:val="24"/>
        </w:rPr>
      </w:pPr>
    </w:p>
    <w:p w:rsidR="006344B3" w:rsidRPr="00EC1AB2" w:rsidRDefault="006344B3" w:rsidP="00945658">
      <w:pPr>
        <w:tabs>
          <w:tab w:val="left" w:pos="7462"/>
        </w:tabs>
        <w:jc w:val="right"/>
        <w:rPr>
          <w:rFonts w:ascii="Times New Roman" w:hAnsi="Times New Roman" w:cs="Times New Roman"/>
        </w:rPr>
      </w:pPr>
      <w:r w:rsidRPr="00EC1AB2">
        <w:rPr>
          <w:rFonts w:ascii="Times New Roman" w:hAnsi="Times New Roman" w:cs="Times New Roman"/>
          <w:sz w:val="24"/>
          <w:szCs w:val="24"/>
        </w:rPr>
        <w:t>4 lentelės tęsinys kitame puslapyje</w:t>
      </w:r>
    </w:p>
    <w:p w:rsidR="006344B3" w:rsidRPr="00EC1AB2" w:rsidRDefault="006344B3" w:rsidP="006344B3">
      <w:pPr>
        <w:spacing w:after="0" w:line="360" w:lineRule="auto"/>
        <w:jc w:val="right"/>
        <w:rPr>
          <w:rFonts w:ascii="Times New Roman" w:hAnsi="Times New Roman" w:cs="Times New Roman"/>
          <w:sz w:val="24"/>
          <w:szCs w:val="24"/>
        </w:rPr>
      </w:pPr>
      <w:r w:rsidRPr="00EC1AB2">
        <w:rPr>
          <w:rFonts w:ascii="Times New Roman" w:hAnsi="Times New Roman" w:cs="Times New Roman"/>
          <w:sz w:val="24"/>
          <w:szCs w:val="24"/>
        </w:rPr>
        <w:lastRenderedPageBreak/>
        <w:t>4 lentelės tęsinys</w:t>
      </w:r>
    </w:p>
    <w:p w:rsidR="00495905" w:rsidRPr="00EC1AB2" w:rsidRDefault="00495905" w:rsidP="006344B3">
      <w:pPr>
        <w:spacing w:after="0" w:line="360" w:lineRule="auto"/>
        <w:jc w:val="righ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1"/>
        <w:gridCol w:w="2268"/>
        <w:gridCol w:w="4253"/>
        <w:gridCol w:w="1665"/>
      </w:tblGrid>
      <w:tr w:rsidR="00812D85" w:rsidRPr="00EC1AB2" w:rsidTr="00812D85">
        <w:tc>
          <w:tcPr>
            <w:tcW w:w="1951" w:type="dxa"/>
            <w:shd w:val="clear" w:color="auto" w:fill="808080" w:themeFill="background1" w:themeFillShade="80"/>
          </w:tcPr>
          <w:p w:rsidR="00812D85" w:rsidRPr="00EC1AB2" w:rsidRDefault="00812D85" w:rsidP="000C10A9">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Veiksnių grupės</w:t>
            </w:r>
          </w:p>
        </w:tc>
        <w:tc>
          <w:tcPr>
            <w:tcW w:w="2268" w:type="dxa"/>
            <w:shd w:val="clear" w:color="auto" w:fill="808080" w:themeFill="background1" w:themeFillShade="80"/>
          </w:tcPr>
          <w:p w:rsidR="00812D85" w:rsidRPr="00EC1AB2" w:rsidRDefault="00812D85" w:rsidP="000C10A9">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Veiksnių, kurie buvo tiriami, rodikliai</w:t>
            </w:r>
          </w:p>
        </w:tc>
        <w:tc>
          <w:tcPr>
            <w:tcW w:w="4253" w:type="dxa"/>
            <w:shd w:val="clear" w:color="auto" w:fill="808080" w:themeFill="background1" w:themeFillShade="80"/>
          </w:tcPr>
          <w:p w:rsidR="00812D85" w:rsidRPr="00EC1AB2" w:rsidRDefault="00812D85" w:rsidP="000C10A9">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Autoriai</w:t>
            </w:r>
          </w:p>
        </w:tc>
        <w:tc>
          <w:tcPr>
            <w:tcW w:w="1665" w:type="dxa"/>
            <w:shd w:val="clear" w:color="auto" w:fill="808080" w:themeFill="background1" w:themeFillShade="80"/>
          </w:tcPr>
          <w:p w:rsidR="00812D85" w:rsidRPr="00EC1AB2" w:rsidRDefault="00812D85" w:rsidP="000C10A9">
            <w:pPr>
              <w:autoSpaceDE w:val="0"/>
              <w:autoSpaceDN w:val="0"/>
              <w:adjustRightInd w:val="0"/>
              <w:spacing w:line="360" w:lineRule="auto"/>
              <w:jc w:val="both"/>
              <w:rPr>
                <w:rFonts w:ascii="Times New Roman" w:eastAsia="MinionPro-Regular" w:hAnsi="Times New Roman" w:cs="Times New Roman"/>
                <w:color w:val="FFFFFF" w:themeColor="background1"/>
                <w:sz w:val="24"/>
                <w:szCs w:val="24"/>
                <w:lang w:eastAsia="lt-LT"/>
              </w:rPr>
            </w:pPr>
            <w:r w:rsidRPr="00EC1AB2">
              <w:rPr>
                <w:rFonts w:ascii="Times New Roman" w:eastAsia="MinionPro-Regular" w:hAnsi="Times New Roman" w:cs="Times New Roman"/>
                <w:color w:val="FFFFFF" w:themeColor="background1"/>
                <w:sz w:val="24"/>
                <w:szCs w:val="24"/>
                <w:lang w:eastAsia="lt-LT"/>
              </w:rPr>
              <w:t xml:space="preserve">Tyrimo pobūdis </w:t>
            </w:r>
          </w:p>
        </w:tc>
      </w:tr>
      <w:tr w:rsidR="00812D85" w:rsidRPr="00EC1AB2" w:rsidTr="00C17B50">
        <w:tc>
          <w:tcPr>
            <w:tcW w:w="1951" w:type="dxa"/>
            <w:vMerge w:val="restart"/>
          </w:tcPr>
          <w:p w:rsidR="00812D85" w:rsidRPr="00EC1AB2" w:rsidRDefault="00812D85" w:rsidP="006344B3">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Investuotojai į RKF</w:t>
            </w:r>
          </w:p>
        </w:tc>
        <w:tc>
          <w:tcPr>
            <w:tcW w:w="2268" w:type="dxa"/>
          </w:tcPr>
          <w:p w:rsidR="00812D85" w:rsidRPr="00EC1AB2" w:rsidRDefault="00812D85" w:rsidP="006344B3">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Pensijų fondai, jų investicijos</w:t>
            </w:r>
          </w:p>
        </w:tc>
        <w:tc>
          <w:tcPr>
            <w:tcW w:w="4253" w:type="dxa"/>
          </w:tcPr>
          <w:p w:rsidR="00812D85" w:rsidRPr="00EC1AB2" w:rsidRDefault="00812D85" w:rsidP="006344B3">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 Gopers, J. Lerner (1998), A. Romain, B. van Pottelsberghe de la Potterie (2004), M. Da Rin, G. Nicodano, A. Sembenelli (2005), S. Bonini, S. Alkan (2006)</w:t>
            </w:r>
          </w:p>
        </w:tc>
        <w:tc>
          <w:tcPr>
            <w:tcW w:w="1665" w:type="dxa"/>
          </w:tcPr>
          <w:p w:rsidR="00812D85" w:rsidRPr="00EC1AB2" w:rsidRDefault="00812D85" w:rsidP="006344B3">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 kokybinis</w:t>
            </w:r>
          </w:p>
        </w:tc>
      </w:tr>
      <w:tr w:rsidR="00812D85" w:rsidRPr="00EC1AB2" w:rsidTr="00C17B50">
        <w:tc>
          <w:tcPr>
            <w:tcW w:w="1951" w:type="dxa"/>
            <w:vMerge/>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Investuotojų struktūra</w:t>
            </w:r>
          </w:p>
        </w:tc>
        <w:tc>
          <w:tcPr>
            <w:tcW w:w="4253"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C. Mayer, K. Schoors, Y. Yafeh (2000), A. Schertler (2004)</w:t>
            </w:r>
          </w:p>
        </w:tc>
        <w:tc>
          <w:tcPr>
            <w:tcW w:w="1665"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 kokybinis</w:t>
            </w:r>
          </w:p>
        </w:tc>
      </w:tr>
      <w:tr w:rsidR="00812D85" w:rsidRPr="00EC1AB2" w:rsidTr="00C17B50">
        <w:tc>
          <w:tcPr>
            <w:tcW w:w="1951"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Valstybinės iniciatyvos</w:t>
            </w:r>
          </w:p>
        </w:tc>
        <w:tc>
          <w:tcPr>
            <w:tcW w:w="2268"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Valstybinių fondų kūrimas</w:t>
            </w:r>
          </w:p>
        </w:tc>
        <w:tc>
          <w:tcPr>
            <w:tcW w:w="4253"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L. Jeng, P. C. Wells (2000), P. Gompers, A. Konver, J. Lerner, D. Scharfstein (2006)</w:t>
            </w:r>
          </w:p>
        </w:tc>
        <w:tc>
          <w:tcPr>
            <w:tcW w:w="1665"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Kokybinis</w:t>
            </w:r>
          </w:p>
        </w:tc>
      </w:tr>
      <w:tr w:rsidR="00812D85" w:rsidRPr="00EC1AB2" w:rsidTr="00C17B50">
        <w:tc>
          <w:tcPr>
            <w:tcW w:w="1951" w:type="dxa"/>
            <w:vMerge w:val="restart"/>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Inovacijų sistema</w:t>
            </w:r>
          </w:p>
        </w:tc>
        <w:tc>
          <w:tcPr>
            <w:tcW w:w="2268"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Valstybinės ir privačios MTEP</w:t>
            </w:r>
          </w:p>
        </w:tc>
        <w:tc>
          <w:tcPr>
            <w:tcW w:w="4253"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 Gompers, J. Lerner (1998), A. Romain, B. van Pottelsberghe de la Potterie (2004), M. Da Rin, G. Nicodano, A. Sembelinni (2005), S. Bonini, S. Alkan (2006)</w:t>
            </w:r>
          </w:p>
        </w:tc>
        <w:tc>
          <w:tcPr>
            <w:tcW w:w="1665"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w:t>
            </w:r>
          </w:p>
        </w:tc>
      </w:tr>
      <w:tr w:rsidR="00812D85" w:rsidRPr="00EC1AB2" w:rsidTr="00C17B50">
        <w:tc>
          <w:tcPr>
            <w:tcW w:w="1951" w:type="dxa"/>
            <w:vMerge/>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p>
        </w:tc>
        <w:tc>
          <w:tcPr>
            <w:tcW w:w="2268"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Patentai</w:t>
            </w:r>
          </w:p>
        </w:tc>
        <w:tc>
          <w:tcPr>
            <w:tcW w:w="4253"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S. Kortum, J. Lerner (2000), A. Romain, B. van Pottelsberge de la Potterie (2004)</w:t>
            </w:r>
          </w:p>
        </w:tc>
        <w:tc>
          <w:tcPr>
            <w:tcW w:w="1665"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Kiekybinis, kokybinis</w:t>
            </w:r>
          </w:p>
        </w:tc>
      </w:tr>
      <w:tr w:rsidR="00812D85" w:rsidRPr="00EC1AB2" w:rsidTr="00C17B50">
        <w:tc>
          <w:tcPr>
            <w:tcW w:w="1951"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Antreprenerystė</w:t>
            </w:r>
          </w:p>
        </w:tc>
        <w:tc>
          <w:tcPr>
            <w:tcW w:w="2268"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Aukšto lygio verslininkai</w:t>
            </w:r>
          </w:p>
        </w:tc>
        <w:tc>
          <w:tcPr>
            <w:tcW w:w="4253"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R. Becker, T. Hellmann (2003)</w:t>
            </w:r>
          </w:p>
        </w:tc>
        <w:tc>
          <w:tcPr>
            <w:tcW w:w="1665" w:type="dxa"/>
          </w:tcPr>
          <w:p w:rsidR="00812D85" w:rsidRPr="00EC1AB2" w:rsidRDefault="00812D85" w:rsidP="007A02A8">
            <w:pPr>
              <w:autoSpaceDE w:val="0"/>
              <w:autoSpaceDN w:val="0"/>
              <w:adjustRightInd w:val="0"/>
              <w:spacing w:line="360" w:lineRule="auto"/>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sz w:val="20"/>
                <w:szCs w:val="20"/>
                <w:lang w:eastAsia="lt-LT"/>
              </w:rPr>
              <w:t>Kokybinis</w:t>
            </w:r>
          </w:p>
        </w:tc>
      </w:tr>
    </w:tbl>
    <w:p w:rsidR="00F22FE7" w:rsidRPr="00EC1AB2" w:rsidRDefault="00F22FE7" w:rsidP="00812D85">
      <w:pPr>
        <w:autoSpaceDE w:val="0"/>
        <w:autoSpaceDN w:val="0"/>
        <w:adjustRightInd w:val="0"/>
        <w:spacing w:after="0" w:line="360" w:lineRule="auto"/>
        <w:jc w:val="both"/>
        <w:rPr>
          <w:rFonts w:ascii="Times New Roman" w:eastAsia="MinionPro-Regular" w:hAnsi="Times New Roman" w:cs="Times New Roman"/>
          <w:sz w:val="24"/>
          <w:szCs w:val="24"/>
          <w:lang w:eastAsia="lt-LT"/>
        </w:rPr>
      </w:pPr>
    </w:p>
    <w:p w:rsidR="00F22FE7" w:rsidRPr="00EC1AB2" w:rsidRDefault="003064F4" w:rsidP="007A02A8">
      <w:pPr>
        <w:autoSpaceDE w:val="0"/>
        <w:autoSpaceDN w:val="0"/>
        <w:adjustRightInd w:val="0"/>
        <w:spacing w:after="0" w:line="360" w:lineRule="auto"/>
        <w:ind w:firstLine="567"/>
        <w:jc w:val="both"/>
        <w:rPr>
          <w:rFonts w:ascii="Times New Roman" w:eastAsia="MinionPro-Regular" w:hAnsi="Times New Roman" w:cs="Times New Roman"/>
          <w:sz w:val="20"/>
          <w:szCs w:val="20"/>
          <w:lang w:eastAsia="lt-LT"/>
        </w:rPr>
      </w:pPr>
      <w:r w:rsidRPr="00EC1AB2">
        <w:rPr>
          <w:rFonts w:ascii="Times New Roman" w:eastAsia="MinionPro-Regular" w:hAnsi="Times New Roman" w:cs="Times New Roman"/>
          <w:b/>
          <w:sz w:val="20"/>
          <w:szCs w:val="20"/>
          <w:lang w:eastAsia="lt-LT"/>
        </w:rPr>
        <w:t>Šaltinis:</w:t>
      </w:r>
      <w:r w:rsidRPr="00EC1AB2">
        <w:rPr>
          <w:rFonts w:ascii="Times New Roman" w:eastAsia="MinionPro-Regular" w:hAnsi="Times New Roman" w:cs="Times New Roman"/>
          <w:sz w:val="20"/>
          <w:szCs w:val="20"/>
          <w:lang w:eastAsia="lt-LT"/>
        </w:rPr>
        <w:t xml:space="preserve"> </w:t>
      </w:r>
      <w:r w:rsidR="001B65B2" w:rsidRPr="00EC1AB2">
        <w:rPr>
          <w:rFonts w:ascii="Times New Roman" w:eastAsia="MinionPro-Regular" w:hAnsi="Times New Roman" w:cs="Times New Roman"/>
          <w:sz w:val="20"/>
          <w:szCs w:val="20"/>
          <w:lang w:eastAsia="lt-LT"/>
        </w:rPr>
        <w:t xml:space="preserve">adaptuota pagal Jankauskienę </w:t>
      </w:r>
      <w:r w:rsidRPr="00EC1AB2">
        <w:rPr>
          <w:rFonts w:ascii="Times New Roman" w:eastAsia="MinionPro-Regular" w:hAnsi="Times New Roman" w:cs="Times New Roman"/>
          <w:sz w:val="20"/>
          <w:szCs w:val="20"/>
          <w:lang w:eastAsia="lt-LT"/>
        </w:rPr>
        <w:t>(2009)</w:t>
      </w:r>
    </w:p>
    <w:p w:rsidR="00C17B50" w:rsidRPr="00EC1AB2" w:rsidRDefault="00C17B50" w:rsidP="00812D85">
      <w:pPr>
        <w:autoSpaceDE w:val="0"/>
        <w:autoSpaceDN w:val="0"/>
        <w:adjustRightInd w:val="0"/>
        <w:spacing w:after="0" w:line="360" w:lineRule="auto"/>
        <w:jc w:val="both"/>
        <w:rPr>
          <w:rFonts w:ascii="Times New Roman" w:eastAsia="MinionPro-Regular" w:hAnsi="Times New Roman" w:cs="Times New Roman"/>
          <w:sz w:val="20"/>
          <w:szCs w:val="20"/>
          <w:lang w:eastAsia="lt-LT"/>
        </w:rPr>
      </w:pPr>
    </w:p>
    <w:p w:rsidR="00F22FE7" w:rsidRPr="00EC1AB2" w:rsidRDefault="005E65E7" w:rsidP="007A02A8">
      <w:pPr>
        <w:autoSpaceDE w:val="0"/>
        <w:autoSpaceDN w:val="0"/>
        <w:adjustRightInd w:val="0"/>
        <w:spacing w:after="0" w:line="360" w:lineRule="auto"/>
        <w:ind w:firstLine="567"/>
        <w:jc w:val="both"/>
        <w:rPr>
          <w:rFonts w:ascii="Times New Roman" w:eastAsia="MinionPro-Regular" w:hAnsi="Times New Roman" w:cs="Times New Roman"/>
          <w:sz w:val="24"/>
          <w:szCs w:val="24"/>
          <w:lang w:eastAsia="lt-LT"/>
        </w:rPr>
      </w:pPr>
      <w:r w:rsidRPr="00EC1AB2">
        <w:rPr>
          <w:rFonts w:ascii="Times New Roman" w:eastAsia="MinionPro-Regular" w:hAnsi="Times New Roman" w:cs="Times New Roman"/>
          <w:sz w:val="24"/>
          <w:szCs w:val="24"/>
          <w:lang w:eastAsia="lt-LT"/>
        </w:rPr>
        <w:t xml:space="preserve">Kaip matyti iš </w:t>
      </w:r>
      <w:r w:rsidR="00A76C93" w:rsidRPr="00EC1AB2">
        <w:rPr>
          <w:rFonts w:ascii="Times New Roman" w:eastAsia="MinionPro-Regular" w:hAnsi="Times New Roman" w:cs="Times New Roman"/>
          <w:sz w:val="24"/>
          <w:szCs w:val="24"/>
          <w:lang w:eastAsia="lt-LT"/>
        </w:rPr>
        <w:t>4 lent. a</w:t>
      </w:r>
      <w:r w:rsidR="00B82914" w:rsidRPr="00EC1AB2">
        <w:rPr>
          <w:rFonts w:ascii="Times New Roman" w:eastAsia="MinionPro-Regular" w:hAnsi="Times New Roman" w:cs="Times New Roman"/>
          <w:sz w:val="24"/>
          <w:szCs w:val="24"/>
          <w:lang w:eastAsia="lt-LT"/>
        </w:rPr>
        <w:t>utoriai skyrę dėmesio rizikos kapitalo rinkos plėtros veiksniams analizuoti, dažniausiai nagrinėdavo</w:t>
      </w:r>
      <w:r w:rsidR="00A76C93" w:rsidRPr="00EC1AB2">
        <w:rPr>
          <w:rFonts w:ascii="Times New Roman" w:eastAsia="MinionPro-Regular" w:hAnsi="Times New Roman" w:cs="Times New Roman"/>
          <w:sz w:val="24"/>
          <w:szCs w:val="24"/>
          <w:lang w:eastAsia="lt-LT"/>
        </w:rPr>
        <w:t xml:space="preserve"> koncentruodavosi į</w:t>
      </w:r>
      <w:r w:rsidR="00B82914" w:rsidRPr="00EC1AB2">
        <w:rPr>
          <w:rFonts w:ascii="Times New Roman" w:eastAsia="MinionPro-Regular" w:hAnsi="Times New Roman" w:cs="Times New Roman"/>
          <w:sz w:val="24"/>
          <w:szCs w:val="24"/>
          <w:lang w:eastAsia="lt-LT"/>
        </w:rPr>
        <w:t xml:space="preserve"> atskiras veiksnių grupes</w:t>
      </w:r>
      <w:r w:rsidR="00A76C93" w:rsidRPr="00EC1AB2">
        <w:rPr>
          <w:rFonts w:ascii="Times New Roman" w:eastAsia="MinionPro-Regular" w:hAnsi="Times New Roman" w:cs="Times New Roman"/>
          <w:sz w:val="24"/>
          <w:szCs w:val="24"/>
          <w:lang w:eastAsia="lt-LT"/>
        </w:rPr>
        <w:t xml:space="preserve"> bei labiau susijusias su RKF pasiūlos veiksniais.  </w:t>
      </w:r>
    </w:p>
    <w:p w:rsidR="007915D7" w:rsidRPr="00EC1AB2" w:rsidRDefault="007915D7" w:rsidP="007A02A8">
      <w:pPr>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Apibendrinant, rizikos kapitalo investicijų apimčiai šalyje daro įtaką tiek ekonominė, teisinė, socialinė, antrepreneriška aplinka, t.y RKF pasiūlą lemiantys veiksniai, tiek paklausos elem</w:t>
      </w:r>
      <w:r w:rsidR="00975B21" w:rsidRPr="00EC1AB2">
        <w:rPr>
          <w:rFonts w:ascii="Times New Roman" w:hAnsi="Times New Roman" w:cs="Times New Roman"/>
          <w:sz w:val="24"/>
          <w:szCs w:val="24"/>
        </w:rPr>
        <w:t>e</w:t>
      </w:r>
      <w:r w:rsidRPr="00EC1AB2">
        <w:rPr>
          <w:rFonts w:ascii="Times New Roman" w:hAnsi="Times New Roman" w:cs="Times New Roman"/>
          <w:sz w:val="24"/>
          <w:szCs w:val="24"/>
        </w:rPr>
        <w:t>ntai, kaip pavyzdžiui, šalies verslininkų požiūris į įmonė</w:t>
      </w:r>
      <w:r w:rsidR="00D760BB" w:rsidRPr="00EC1AB2">
        <w:rPr>
          <w:rFonts w:ascii="Times New Roman" w:hAnsi="Times New Roman" w:cs="Times New Roman"/>
          <w:sz w:val="24"/>
          <w:szCs w:val="24"/>
        </w:rPr>
        <w:t xml:space="preserve">s finansavimą rizikos kapitalu bei naujų įmonių steigimosi apimtys. </w:t>
      </w:r>
    </w:p>
    <w:p w:rsidR="001B65B2" w:rsidRPr="00EC1AB2" w:rsidRDefault="001B65B2" w:rsidP="007A02A8">
      <w:pPr>
        <w:autoSpaceDE w:val="0"/>
        <w:autoSpaceDN w:val="0"/>
        <w:adjustRightInd w:val="0"/>
        <w:spacing w:after="0" w:line="360" w:lineRule="auto"/>
        <w:ind w:firstLine="360"/>
        <w:jc w:val="both"/>
        <w:rPr>
          <w:rFonts w:ascii="Times New Roman" w:hAnsi="Times New Roman" w:cs="Times New Roman"/>
          <w:sz w:val="24"/>
          <w:szCs w:val="24"/>
        </w:rPr>
      </w:pPr>
      <w:r w:rsidRPr="00EC1AB2">
        <w:rPr>
          <w:rFonts w:ascii="Times New Roman" w:hAnsi="Times New Roman" w:cs="Times New Roman"/>
          <w:sz w:val="24"/>
          <w:szCs w:val="24"/>
        </w:rPr>
        <w:br w:type="page"/>
      </w:r>
    </w:p>
    <w:p w:rsidR="000B7269" w:rsidRPr="00EC1AB2" w:rsidRDefault="00812D85" w:rsidP="001B65B2">
      <w:pPr>
        <w:pStyle w:val="Heading1"/>
        <w:spacing w:before="0" w:after="0" w:line="360" w:lineRule="auto"/>
        <w:ind w:left="360"/>
        <w:rPr>
          <w:sz w:val="28"/>
          <w:szCs w:val="28"/>
        </w:rPr>
      </w:pPr>
      <w:bookmarkStart w:id="82" w:name="_Toc320566996"/>
      <w:bookmarkStart w:id="83" w:name="_Toc320567036"/>
      <w:bookmarkStart w:id="84" w:name="_Toc320567183"/>
      <w:bookmarkStart w:id="85" w:name="_Toc320761766"/>
      <w:bookmarkStart w:id="86" w:name="_Toc320761916"/>
      <w:bookmarkStart w:id="87" w:name="_Toc320762151"/>
      <w:bookmarkStart w:id="88" w:name="_Toc320762553"/>
      <w:bookmarkStart w:id="89" w:name="_Toc321092699"/>
      <w:r w:rsidRPr="00EC1AB2">
        <w:rPr>
          <w:sz w:val="28"/>
          <w:szCs w:val="28"/>
        </w:rPr>
        <w:lastRenderedPageBreak/>
        <w:t xml:space="preserve">2. </w:t>
      </w:r>
      <w:r w:rsidR="001B65B2" w:rsidRPr="00EC1AB2">
        <w:rPr>
          <w:sz w:val="28"/>
          <w:szCs w:val="28"/>
        </w:rPr>
        <w:t xml:space="preserve">RIZIKOS KAPITALO FONDŲ </w:t>
      </w:r>
      <w:r w:rsidR="000B7269" w:rsidRPr="00EC1AB2">
        <w:rPr>
          <w:sz w:val="28"/>
          <w:szCs w:val="28"/>
        </w:rPr>
        <w:t xml:space="preserve"> PLĖTROS PROBLEMŲ LIETUVOJE TYRIMO METODOLOGIJA</w:t>
      </w:r>
      <w:bookmarkEnd w:id="82"/>
      <w:bookmarkEnd w:id="83"/>
      <w:bookmarkEnd w:id="84"/>
      <w:bookmarkEnd w:id="85"/>
      <w:bookmarkEnd w:id="86"/>
      <w:bookmarkEnd w:id="87"/>
      <w:bookmarkEnd w:id="88"/>
      <w:bookmarkEnd w:id="89"/>
    </w:p>
    <w:p w:rsidR="00F77233" w:rsidRPr="00EC1AB2" w:rsidRDefault="00F77233" w:rsidP="007A02A8">
      <w:pPr>
        <w:pStyle w:val="Heading1"/>
        <w:spacing w:before="0" w:after="0" w:line="360" w:lineRule="auto"/>
        <w:rPr>
          <w:sz w:val="28"/>
          <w:szCs w:val="28"/>
        </w:rPr>
      </w:pPr>
    </w:p>
    <w:p w:rsidR="001D75B2" w:rsidRPr="00EC1AB2" w:rsidRDefault="000B7269"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Pirmoje šio skyriaus dalyje bus apžvel</w:t>
      </w:r>
      <w:r w:rsidR="001502F3" w:rsidRPr="00EC1AB2">
        <w:rPr>
          <w:rFonts w:ascii="Times New Roman" w:hAnsi="Times New Roman" w:cs="Times New Roman"/>
          <w:sz w:val="24"/>
          <w:szCs w:val="24"/>
        </w:rPr>
        <w:t>giami statistiniai RKF veiklą</w:t>
      </w:r>
      <w:r w:rsidRPr="00EC1AB2">
        <w:rPr>
          <w:rFonts w:ascii="Times New Roman" w:hAnsi="Times New Roman" w:cs="Times New Roman"/>
          <w:sz w:val="24"/>
          <w:szCs w:val="24"/>
        </w:rPr>
        <w:t xml:space="preserve"> atspindintys duomenys</w:t>
      </w:r>
      <w:r w:rsidR="00DB35F2" w:rsidRPr="00EC1AB2">
        <w:rPr>
          <w:rFonts w:ascii="Times New Roman" w:hAnsi="Times New Roman" w:cs="Times New Roman"/>
          <w:sz w:val="24"/>
          <w:szCs w:val="24"/>
        </w:rPr>
        <w:t xml:space="preserve"> bei kokybinių tyrimų, atliktų Lietuvoje, rezultatai</w:t>
      </w:r>
      <w:r w:rsidRPr="00EC1AB2">
        <w:rPr>
          <w:rFonts w:ascii="Times New Roman" w:hAnsi="Times New Roman" w:cs="Times New Roman"/>
          <w:sz w:val="24"/>
          <w:szCs w:val="24"/>
        </w:rPr>
        <w:t xml:space="preserve">, siekiant </w:t>
      </w:r>
      <w:r w:rsidR="00C2262E" w:rsidRPr="00EC1AB2">
        <w:rPr>
          <w:rFonts w:ascii="Times New Roman" w:hAnsi="Times New Roman" w:cs="Times New Roman"/>
          <w:sz w:val="24"/>
          <w:szCs w:val="24"/>
        </w:rPr>
        <w:t>pagrįsti tyrimo aktualumą, t.y.</w:t>
      </w:r>
      <w:r w:rsidR="00023CA6" w:rsidRPr="00EC1AB2">
        <w:rPr>
          <w:rFonts w:ascii="Times New Roman" w:hAnsi="Times New Roman" w:cs="Times New Roman"/>
          <w:sz w:val="24"/>
          <w:szCs w:val="24"/>
        </w:rPr>
        <w:t xml:space="preserve"> įvertinti</w:t>
      </w:r>
      <w:r w:rsidRPr="00EC1AB2">
        <w:rPr>
          <w:rFonts w:ascii="Times New Roman" w:hAnsi="Times New Roman" w:cs="Times New Roman"/>
          <w:sz w:val="24"/>
          <w:szCs w:val="24"/>
        </w:rPr>
        <w:t xml:space="preserve"> Lietuvos lygį ES kontekste. </w:t>
      </w:r>
      <w:r w:rsidR="001502F3" w:rsidRPr="00EC1AB2">
        <w:rPr>
          <w:rFonts w:ascii="Times New Roman" w:hAnsi="Times New Roman" w:cs="Times New Roman"/>
          <w:sz w:val="24"/>
          <w:szCs w:val="24"/>
        </w:rPr>
        <w:t>Antroje dalyje bus iškeliamos</w:t>
      </w:r>
      <w:r w:rsidRPr="00EC1AB2">
        <w:rPr>
          <w:rFonts w:ascii="Times New Roman" w:hAnsi="Times New Roman" w:cs="Times New Roman"/>
          <w:sz w:val="24"/>
          <w:szCs w:val="24"/>
        </w:rPr>
        <w:t xml:space="preserve"> t</w:t>
      </w:r>
      <w:r w:rsidR="00C07293" w:rsidRPr="00EC1AB2">
        <w:rPr>
          <w:rFonts w:ascii="Times New Roman" w:hAnsi="Times New Roman" w:cs="Times New Roman"/>
          <w:sz w:val="24"/>
          <w:szCs w:val="24"/>
        </w:rPr>
        <w:t>yrimo hipotezė</w:t>
      </w:r>
      <w:r w:rsidR="001502F3" w:rsidRPr="00EC1AB2">
        <w:rPr>
          <w:rFonts w:ascii="Times New Roman" w:hAnsi="Times New Roman" w:cs="Times New Roman"/>
          <w:sz w:val="24"/>
          <w:szCs w:val="24"/>
        </w:rPr>
        <w:t>s</w:t>
      </w:r>
      <w:r w:rsidR="00C07293" w:rsidRPr="00EC1AB2">
        <w:rPr>
          <w:rFonts w:ascii="Times New Roman" w:hAnsi="Times New Roman" w:cs="Times New Roman"/>
          <w:sz w:val="24"/>
          <w:szCs w:val="24"/>
        </w:rPr>
        <w:t>, aprašomi</w:t>
      </w:r>
      <w:r w:rsidRPr="00EC1AB2">
        <w:rPr>
          <w:rFonts w:ascii="Times New Roman" w:hAnsi="Times New Roman" w:cs="Times New Roman"/>
          <w:sz w:val="24"/>
          <w:szCs w:val="24"/>
        </w:rPr>
        <w:t xml:space="preserve"> tyrimo metoda</w:t>
      </w:r>
      <w:r w:rsidR="00C07293" w:rsidRPr="00EC1AB2">
        <w:rPr>
          <w:rFonts w:ascii="Times New Roman" w:hAnsi="Times New Roman" w:cs="Times New Roman"/>
          <w:sz w:val="24"/>
          <w:szCs w:val="24"/>
        </w:rPr>
        <w:t>i</w:t>
      </w:r>
      <w:r w:rsidRPr="00EC1AB2">
        <w:rPr>
          <w:rFonts w:ascii="Times New Roman" w:hAnsi="Times New Roman" w:cs="Times New Roman"/>
          <w:sz w:val="24"/>
          <w:szCs w:val="24"/>
        </w:rPr>
        <w:t xml:space="preserve"> bei eiga, siekiant </w:t>
      </w:r>
      <w:r w:rsidR="001502F3" w:rsidRPr="00EC1AB2">
        <w:rPr>
          <w:rFonts w:ascii="Times New Roman" w:hAnsi="Times New Roman" w:cs="Times New Roman"/>
          <w:sz w:val="24"/>
          <w:szCs w:val="24"/>
        </w:rPr>
        <w:t xml:space="preserve">nustatyti RKF investicijų poveikį šalies </w:t>
      </w:r>
      <w:r w:rsidR="00ED3C8F" w:rsidRPr="00EC1AB2">
        <w:rPr>
          <w:rFonts w:ascii="Times New Roman" w:hAnsi="Times New Roman" w:cs="Times New Roman"/>
          <w:sz w:val="24"/>
          <w:szCs w:val="24"/>
        </w:rPr>
        <w:t xml:space="preserve">pasiekimams inovacijų srityje bei </w:t>
      </w:r>
      <w:r w:rsidRPr="00EC1AB2">
        <w:rPr>
          <w:rFonts w:ascii="Times New Roman" w:hAnsi="Times New Roman" w:cs="Times New Roman"/>
          <w:sz w:val="24"/>
          <w:szCs w:val="24"/>
        </w:rPr>
        <w:t xml:space="preserve">identifikuoti problemas, trukdančias rizikos kapitalo investicijoms plėtotis Lietuvoje. </w:t>
      </w:r>
    </w:p>
    <w:p w:rsidR="00C07293" w:rsidRPr="00EC1AB2" w:rsidRDefault="00C07293" w:rsidP="007A02A8">
      <w:pPr>
        <w:spacing w:after="0" w:line="360" w:lineRule="auto"/>
        <w:jc w:val="both"/>
        <w:rPr>
          <w:rFonts w:ascii="Times New Roman" w:hAnsi="Times New Roman" w:cs="Times New Roman"/>
          <w:sz w:val="24"/>
          <w:szCs w:val="24"/>
        </w:rPr>
      </w:pPr>
    </w:p>
    <w:p w:rsidR="00813A70" w:rsidRPr="00EC1AB2" w:rsidRDefault="00812D85" w:rsidP="00812D85">
      <w:pPr>
        <w:pStyle w:val="Heading2"/>
        <w:numPr>
          <w:ilvl w:val="1"/>
          <w:numId w:val="32"/>
        </w:numPr>
        <w:spacing w:before="0" w:after="0" w:line="360" w:lineRule="auto"/>
        <w:rPr>
          <w:i w:val="0"/>
          <w:sz w:val="24"/>
          <w:szCs w:val="24"/>
        </w:rPr>
      </w:pPr>
      <w:bookmarkStart w:id="90" w:name="_Toc320566997"/>
      <w:bookmarkStart w:id="91" w:name="_Toc320567037"/>
      <w:bookmarkStart w:id="92" w:name="_Toc320567184"/>
      <w:bookmarkStart w:id="93" w:name="_Toc320761767"/>
      <w:bookmarkStart w:id="94" w:name="_Toc320761917"/>
      <w:bookmarkStart w:id="95" w:name="_Toc320762152"/>
      <w:bookmarkStart w:id="96" w:name="_Toc320762554"/>
      <w:r w:rsidRPr="00EC1AB2">
        <w:rPr>
          <w:i w:val="0"/>
          <w:sz w:val="24"/>
          <w:szCs w:val="24"/>
        </w:rPr>
        <w:t xml:space="preserve"> </w:t>
      </w:r>
      <w:bookmarkStart w:id="97" w:name="_Toc321092700"/>
      <w:r w:rsidR="007711C9" w:rsidRPr="00EC1AB2">
        <w:rPr>
          <w:i w:val="0"/>
          <w:sz w:val="24"/>
          <w:szCs w:val="24"/>
        </w:rPr>
        <w:t>Rizikos kapitalo fondų</w:t>
      </w:r>
      <w:r w:rsidR="00C07293" w:rsidRPr="00EC1AB2">
        <w:rPr>
          <w:i w:val="0"/>
          <w:sz w:val="24"/>
          <w:szCs w:val="24"/>
        </w:rPr>
        <w:t xml:space="preserve"> plėtros problemų Lietuvoje tyrimo pagrindimas</w:t>
      </w:r>
      <w:bookmarkEnd w:id="90"/>
      <w:bookmarkEnd w:id="91"/>
      <w:bookmarkEnd w:id="92"/>
      <w:bookmarkEnd w:id="93"/>
      <w:bookmarkEnd w:id="94"/>
      <w:bookmarkEnd w:id="95"/>
      <w:bookmarkEnd w:id="96"/>
      <w:bookmarkEnd w:id="97"/>
    </w:p>
    <w:p w:rsidR="00C07293" w:rsidRPr="00EC1AB2" w:rsidRDefault="00C07293" w:rsidP="007A02A8">
      <w:pPr>
        <w:pStyle w:val="ListParagraph"/>
        <w:spacing w:after="0" w:line="360" w:lineRule="auto"/>
        <w:rPr>
          <w:rFonts w:ascii="Times New Roman" w:hAnsi="Times New Roman" w:cs="Times New Roman"/>
          <w:b/>
          <w:sz w:val="24"/>
          <w:szCs w:val="24"/>
        </w:rPr>
      </w:pPr>
    </w:p>
    <w:p w:rsidR="00813A70" w:rsidRPr="00EC1AB2" w:rsidRDefault="00813A70"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Aktyvios rizikos kapitalo rinkos sukūrimas, t.y. tokios rinkos, kuri teiktų stiprią paramą ankstyvos stadijos ir moderniųjų technologijų įmonėms, tapo ekonominės politikos prioritetu. Šiame amžiuje, kaip jau minėta, stabilų ekonomikos augimą didžia dalimi lemia šalyje esantis inovacijų ir verslumo lygis, todėl pasaulio vyriausybės įvairiais būdais stengiasi, kad j</w:t>
      </w:r>
      <w:r w:rsidR="00541ED5" w:rsidRPr="00EC1AB2">
        <w:rPr>
          <w:rFonts w:ascii="Times New Roman" w:hAnsi="Times New Roman" w:cs="Times New Roman"/>
          <w:sz w:val="24"/>
          <w:szCs w:val="24"/>
        </w:rPr>
        <w:t>ų šalyje RKF</w:t>
      </w:r>
      <w:r w:rsidRPr="00EC1AB2">
        <w:rPr>
          <w:rFonts w:ascii="Times New Roman" w:hAnsi="Times New Roman" w:cs="Times New Roman"/>
          <w:sz w:val="24"/>
          <w:szCs w:val="24"/>
        </w:rPr>
        <w:t xml:space="preserve"> pasiektų tokią pat sėkmę kaip JAV, tačiau rizikos kapitalo fondų </w:t>
      </w:r>
      <w:r w:rsidR="006F2F51" w:rsidRPr="00EC1AB2">
        <w:rPr>
          <w:rFonts w:ascii="Times New Roman" w:hAnsi="Times New Roman" w:cs="Times New Roman"/>
          <w:sz w:val="24"/>
          <w:szCs w:val="24"/>
        </w:rPr>
        <w:t xml:space="preserve">prieinamumas nevisose šalyse vienodas (žr. </w:t>
      </w:r>
      <w:r w:rsidR="0049040A" w:rsidRPr="00EC1AB2">
        <w:rPr>
          <w:rFonts w:ascii="Times New Roman" w:hAnsi="Times New Roman" w:cs="Times New Roman"/>
          <w:sz w:val="24"/>
          <w:szCs w:val="24"/>
        </w:rPr>
        <w:t>5</w:t>
      </w:r>
      <w:r w:rsidR="006F2F51" w:rsidRPr="00EC1AB2">
        <w:rPr>
          <w:rFonts w:ascii="Times New Roman" w:hAnsi="Times New Roman" w:cs="Times New Roman"/>
          <w:sz w:val="24"/>
          <w:szCs w:val="24"/>
        </w:rPr>
        <w:t xml:space="preserve"> pav.).</w:t>
      </w:r>
      <w:r w:rsidRPr="00EC1AB2">
        <w:rPr>
          <w:rFonts w:ascii="Times New Roman" w:hAnsi="Times New Roman" w:cs="Times New Roman"/>
          <w:sz w:val="24"/>
          <w:szCs w:val="24"/>
        </w:rPr>
        <w:t xml:space="preserve"> </w:t>
      </w:r>
      <w:r w:rsidR="000C7B00" w:rsidRPr="00EC1AB2">
        <w:rPr>
          <w:rFonts w:ascii="Times New Roman" w:hAnsi="Times New Roman" w:cs="Times New Roman"/>
          <w:sz w:val="24"/>
          <w:szCs w:val="24"/>
        </w:rPr>
        <w:t xml:space="preserve"> </w:t>
      </w: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1F45AD" w:rsidP="007A02A8">
      <w:pPr>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843584" behindDoc="1" locked="0" layoutInCell="1" allowOverlap="1" wp14:anchorId="12F6B69B" wp14:editId="1DC80FD5">
            <wp:simplePos x="0" y="0"/>
            <wp:positionH relativeFrom="column">
              <wp:posOffset>53340</wp:posOffset>
            </wp:positionH>
            <wp:positionV relativeFrom="paragraph">
              <wp:posOffset>-2540</wp:posOffset>
            </wp:positionV>
            <wp:extent cx="5915025" cy="3390900"/>
            <wp:effectExtent l="0" t="0" r="0" b="0"/>
            <wp:wrapTight wrapText="bothSides">
              <wp:wrapPolygon edited="0">
                <wp:start x="139" y="243"/>
                <wp:lineTo x="139" y="4126"/>
                <wp:lineTo x="1461" y="4369"/>
                <wp:lineTo x="10783" y="4369"/>
                <wp:lineTo x="209" y="4854"/>
                <wp:lineTo x="209" y="5703"/>
                <wp:lineTo x="10783" y="6310"/>
                <wp:lineTo x="139" y="6431"/>
                <wp:lineTo x="139" y="10072"/>
                <wp:lineTo x="765" y="10193"/>
                <wp:lineTo x="10783" y="10193"/>
                <wp:lineTo x="209" y="10800"/>
                <wp:lineTo x="209" y="11649"/>
                <wp:lineTo x="10783" y="12135"/>
                <wp:lineTo x="278" y="12378"/>
                <wp:lineTo x="139" y="12620"/>
                <wp:lineTo x="487" y="14076"/>
                <wp:lineTo x="487" y="14319"/>
                <wp:lineTo x="1252" y="16018"/>
                <wp:lineTo x="1322" y="16989"/>
                <wp:lineTo x="1670" y="17960"/>
                <wp:lineTo x="2017" y="17960"/>
                <wp:lineTo x="1948" y="20751"/>
                <wp:lineTo x="12313" y="21236"/>
                <wp:lineTo x="12800" y="21236"/>
                <wp:lineTo x="12870" y="19901"/>
                <wp:lineTo x="13217" y="19658"/>
                <wp:lineTo x="14122" y="18202"/>
                <wp:lineTo x="20661" y="17838"/>
                <wp:lineTo x="21217" y="16746"/>
                <wp:lineTo x="20870" y="16018"/>
                <wp:lineTo x="21217" y="15775"/>
                <wp:lineTo x="20939" y="14562"/>
                <wp:lineTo x="974" y="14076"/>
                <wp:lineTo x="10713" y="12135"/>
                <wp:lineTo x="10713" y="10193"/>
                <wp:lineTo x="904" y="8252"/>
                <wp:lineTo x="10713" y="6310"/>
                <wp:lineTo x="10713" y="4369"/>
                <wp:lineTo x="974" y="2427"/>
                <wp:lineTo x="904" y="243"/>
                <wp:lineTo x="139" y="243"/>
              </wp:wrapPolygon>
            </wp:wrapTight>
            <wp:docPr id="135" name="Chart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934F5C" w:rsidRPr="00EC1AB2" w:rsidRDefault="00934F5C" w:rsidP="007A02A8">
      <w:pPr>
        <w:tabs>
          <w:tab w:val="left" w:pos="4395"/>
        </w:tabs>
        <w:autoSpaceDE w:val="0"/>
        <w:autoSpaceDN w:val="0"/>
        <w:adjustRightInd w:val="0"/>
        <w:spacing w:after="0" w:line="360" w:lineRule="auto"/>
        <w:jc w:val="both"/>
        <w:rPr>
          <w:rFonts w:ascii="Times New Roman" w:hAnsi="Times New Roman" w:cs="Times New Roman"/>
          <w:b/>
          <w:sz w:val="20"/>
          <w:szCs w:val="20"/>
        </w:rPr>
      </w:pPr>
    </w:p>
    <w:p w:rsidR="001F45AD" w:rsidRPr="00EC1AB2" w:rsidRDefault="001F45AD" w:rsidP="007A02A8">
      <w:pPr>
        <w:tabs>
          <w:tab w:val="left" w:pos="4395"/>
        </w:tabs>
        <w:autoSpaceDE w:val="0"/>
        <w:autoSpaceDN w:val="0"/>
        <w:adjustRightInd w:val="0"/>
        <w:spacing w:after="0" w:line="360" w:lineRule="auto"/>
        <w:ind w:firstLine="1296"/>
        <w:jc w:val="both"/>
        <w:rPr>
          <w:rFonts w:ascii="Times New Roman" w:hAnsi="Times New Roman" w:cs="Times New Roman"/>
          <w:b/>
          <w:sz w:val="20"/>
          <w:szCs w:val="20"/>
        </w:rPr>
      </w:pPr>
    </w:p>
    <w:p w:rsidR="001F45AD" w:rsidRPr="00EC1AB2" w:rsidRDefault="001F45AD" w:rsidP="007A02A8">
      <w:pPr>
        <w:tabs>
          <w:tab w:val="left" w:pos="4395"/>
        </w:tabs>
        <w:autoSpaceDE w:val="0"/>
        <w:autoSpaceDN w:val="0"/>
        <w:adjustRightInd w:val="0"/>
        <w:spacing w:after="0" w:line="360" w:lineRule="auto"/>
        <w:ind w:firstLine="1296"/>
        <w:jc w:val="both"/>
        <w:rPr>
          <w:rFonts w:ascii="Times New Roman" w:hAnsi="Times New Roman" w:cs="Times New Roman"/>
          <w:b/>
          <w:sz w:val="20"/>
          <w:szCs w:val="20"/>
        </w:rPr>
      </w:pPr>
    </w:p>
    <w:p w:rsidR="001F45AD" w:rsidRPr="00EC1AB2" w:rsidRDefault="001F45AD" w:rsidP="007A02A8">
      <w:pPr>
        <w:tabs>
          <w:tab w:val="left" w:pos="4395"/>
        </w:tabs>
        <w:autoSpaceDE w:val="0"/>
        <w:autoSpaceDN w:val="0"/>
        <w:adjustRightInd w:val="0"/>
        <w:spacing w:after="0" w:line="360" w:lineRule="auto"/>
        <w:ind w:firstLine="1296"/>
        <w:jc w:val="both"/>
        <w:rPr>
          <w:rFonts w:ascii="Times New Roman" w:hAnsi="Times New Roman" w:cs="Times New Roman"/>
          <w:b/>
          <w:sz w:val="20"/>
          <w:szCs w:val="20"/>
        </w:rPr>
      </w:pPr>
    </w:p>
    <w:p w:rsidR="001F45AD" w:rsidRPr="00EC1AB2" w:rsidRDefault="001F45AD" w:rsidP="007A02A8">
      <w:pPr>
        <w:tabs>
          <w:tab w:val="left" w:pos="4395"/>
        </w:tabs>
        <w:autoSpaceDE w:val="0"/>
        <w:autoSpaceDN w:val="0"/>
        <w:adjustRightInd w:val="0"/>
        <w:spacing w:after="0" w:line="360" w:lineRule="auto"/>
        <w:ind w:firstLine="1296"/>
        <w:jc w:val="both"/>
        <w:rPr>
          <w:rFonts w:ascii="Times New Roman" w:hAnsi="Times New Roman" w:cs="Times New Roman"/>
          <w:b/>
          <w:sz w:val="20"/>
          <w:szCs w:val="20"/>
        </w:rPr>
      </w:pPr>
    </w:p>
    <w:p w:rsidR="004B011D" w:rsidRPr="00EC1AB2" w:rsidRDefault="004B011D"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EVCA Yearbook, 2011</w:t>
      </w:r>
      <w:r w:rsidR="006D0E74" w:rsidRPr="00EC1AB2">
        <w:rPr>
          <w:rFonts w:ascii="Times New Roman" w:hAnsi="Times New Roman" w:cs="Times New Roman"/>
          <w:sz w:val="20"/>
          <w:szCs w:val="20"/>
        </w:rPr>
        <w:tab/>
      </w:r>
    </w:p>
    <w:p w:rsidR="00813A70" w:rsidRPr="00EC1AB2" w:rsidRDefault="0049040A" w:rsidP="007A02A8">
      <w:pPr>
        <w:pStyle w:val="Heading5"/>
        <w:spacing w:before="0" w:line="360" w:lineRule="auto"/>
        <w:jc w:val="center"/>
        <w:rPr>
          <w:rFonts w:ascii="Times New Roman" w:hAnsi="Times New Roman" w:cs="Times New Roman"/>
          <w:b/>
          <w:sz w:val="24"/>
          <w:szCs w:val="24"/>
        </w:rPr>
      </w:pPr>
      <w:bookmarkStart w:id="98" w:name="_Toc320761918"/>
      <w:bookmarkStart w:id="99" w:name="_Toc320762153"/>
      <w:bookmarkStart w:id="100" w:name="_Toc320762555"/>
      <w:r w:rsidRPr="00EC1AB2">
        <w:rPr>
          <w:rFonts w:ascii="Times New Roman" w:hAnsi="Times New Roman" w:cs="Times New Roman"/>
          <w:color w:val="auto"/>
          <w:sz w:val="24"/>
          <w:szCs w:val="24"/>
        </w:rPr>
        <w:t>5</w:t>
      </w:r>
      <w:r w:rsidR="004B011D" w:rsidRPr="00EC1AB2">
        <w:rPr>
          <w:rFonts w:ascii="Times New Roman" w:hAnsi="Times New Roman" w:cs="Times New Roman"/>
          <w:color w:val="auto"/>
          <w:sz w:val="24"/>
          <w:szCs w:val="24"/>
        </w:rPr>
        <w:t xml:space="preserve"> pav.</w:t>
      </w:r>
      <w:r w:rsidR="004B011D" w:rsidRPr="00EC1AB2">
        <w:rPr>
          <w:rFonts w:ascii="Times New Roman" w:hAnsi="Times New Roman" w:cs="Times New Roman"/>
          <w:b/>
          <w:color w:val="auto"/>
          <w:sz w:val="24"/>
          <w:szCs w:val="24"/>
        </w:rPr>
        <w:t xml:space="preserve"> </w:t>
      </w:r>
      <w:r w:rsidR="008A1800" w:rsidRPr="00EC1AB2">
        <w:rPr>
          <w:rFonts w:ascii="Times New Roman" w:hAnsi="Times New Roman" w:cs="Times New Roman"/>
          <w:b/>
          <w:color w:val="auto"/>
          <w:sz w:val="24"/>
          <w:szCs w:val="24"/>
        </w:rPr>
        <w:t>Rizikos kapitalo fondų</w:t>
      </w:r>
      <w:r w:rsidR="007E362E" w:rsidRPr="00EC1AB2">
        <w:rPr>
          <w:rFonts w:ascii="Times New Roman" w:hAnsi="Times New Roman" w:cs="Times New Roman"/>
          <w:b/>
          <w:color w:val="auto"/>
          <w:sz w:val="24"/>
          <w:szCs w:val="24"/>
        </w:rPr>
        <w:t xml:space="preserve"> investicijų santykis su</w:t>
      </w:r>
      <w:r w:rsidR="004B011D" w:rsidRPr="00EC1AB2">
        <w:rPr>
          <w:rFonts w:ascii="Times New Roman" w:hAnsi="Times New Roman" w:cs="Times New Roman"/>
          <w:b/>
          <w:color w:val="auto"/>
          <w:sz w:val="24"/>
          <w:szCs w:val="24"/>
        </w:rPr>
        <w:t xml:space="preserve"> BVP</w:t>
      </w:r>
      <w:r w:rsidR="00EC6B84" w:rsidRPr="00EC1AB2">
        <w:rPr>
          <w:rFonts w:ascii="Times New Roman" w:hAnsi="Times New Roman" w:cs="Times New Roman"/>
          <w:b/>
          <w:color w:val="auto"/>
          <w:sz w:val="24"/>
          <w:szCs w:val="24"/>
        </w:rPr>
        <w:t xml:space="preserve"> ES</w:t>
      </w:r>
      <w:r w:rsidR="00640F28" w:rsidRPr="00EC1AB2">
        <w:rPr>
          <w:rFonts w:ascii="Times New Roman" w:hAnsi="Times New Roman" w:cs="Times New Roman"/>
          <w:b/>
          <w:color w:val="auto"/>
          <w:sz w:val="24"/>
          <w:szCs w:val="24"/>
        </w:rPr>
        <w:t xml:space="preserve"> 2010 m.</w:t>
      </w:r>
      <w:r w:rsidR="007E362E" w:rsidRPr="00EC1AB2">
        <w:rPr>
          <w:rFonts w:ascii="Times New Roman" w:hAnsi="Times New Roman" w:cs="Times New Roman"/>
          <w:b/>
          <w:color w:val="auto"/>
          <w:sz w:val="24"/>
          <w:szCs w:val="24"/>
        </w:rPr>
        <w:t>, proc.</w:t>
      </w:r>
      <w:bookmarkEnd w:id="98"/>
      <w:bookmarkEnd w:id="99"/>
      <w:bookmarkEnd w:id="100"/>
    </w:p>
    <w:p w:rsidR="00B971B2" w:rsidRPr="00EC1AB2" w:rsidRDefault="00B971B2" w:rsidP="007A02A8">
      <w:pPr>
        <w:spacing w:after="0" w:line="360" w:lineRule="auto"/>
        <w:ind w:firstLine="1296"/>
        <w:jc w:val="both"/>
        <w:rPr>
          <w:rFonts w:ascii="Times New Roman" w:hAnsi="Times New Roman" w:cs="Times New Roman"/>
          <w:sz w:val="24"/>
          <w:szCs w:val="24"/>
        </w:rPr>
      </w:pPr>
    </w:p>
    <w:p w:rsidR="00EC6B84" w:rsidRPr="00EC1AB2" w:rsidRDefault="00EC6B84" w:rsidP="007A02A8">
      <w:pPr>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49040A" w:rsidRPr="00EC1AB2">
        <w:rPr>
          <w:rFonts w:ascii="Times New Roman" w:hAnsi="Times New Roman" w:cs="Times New Roman"/>
          <w:sz w:val="24"/>
          <w:szCs w:val="24"/>
        </w:rPr>
        <w:t>5</w:t>
      </w:r>
      <w:r w:rsidRPr="00EC1AB2">
        <w:rPr>
          <w:rFonts w:ascii="Times New Roman" w:hAnsi="Times New Roman" w:cs="Times New Roman"/>
          <w:sz w:val="24"/>
          <w:szCs w:val="24"/>
        </w:rPr>
        <w:t xml:space="preserve"> pav. Lietuvoje </w:t>
      </w:r>
      <w:r w:rsidR="004B464D" w:rsidRPr="00EC1AB2">
        <w:rPr>
          <w:rFonts w:ascii="Times New Roman" w:hAnsi="Times New Roman" w:cs="Times New Roman"/>
          <w:sz w:val="24"/>
          <w:szCs w:val="24"/>
        </w:rPr>
        <w:t xml:space="preserve">2010 m. </w:t>
      </w:r>
      <w:r w:rsidRPr="00EC1AB2">
        <w:rPr>
          <w:rFonts w:ascii="Times New Roman" w:hAnsi="Times New Roman" w:cs="Times New Roman"/>
          <w:sz w:val="24"/>
          <w:szCs w:val="24"/>
        </w:rPr>
        <w:t xml:space="preserve">RKF investicijų </w:t>
      </w:r>
      <w:r w:rsidR="004B464D" w:rsidRPr="00EC1AB2">
        <w:rPr>
          <w:rFonts w:ascii="Times New Roman" w:hAnsi="Times New Roman" w:cs="Times New Roman"/>
          <w:sz w:val="24"/>
          <w:szCs w:val="24"/>
        </w:rPr>
        <w:t>santykis su BVP buvo mažiausias</w:t>
      </w:r>
      <w:r w:rsidR="00D43D76" w:rsidRPr="00EC1AB2">
        <w:rPr>
          <w:rFonts w:ascii="Times New Roman" w:hAnsi="Times New Roman" w:cs="Times New Roman"/>
          <w:sz w:val="24"/>
          <w:szCs w:val="24"/>
        </w:rPr>
        <w:t xml:space="preserve"> ES, be to Lietuva stipriai atsiliko</w:t>
      </w:r>
      <w:r w:rsidR="00023CA6" w:rsidRPr="00EC1AB2">
        <w:rPr>
          <w:rFonts w:ascii="Times New Roman" w:hAnsi="Times New Roman" w:cs="Times New Roman"/>
          <w:sz w:val="24"/>
          <w:szCs w:val="24"/>
        </w:rPr>
        <w:t xml:space="preserve"> </w:t>
      </w:r>
      <w:r w:rsidRPr="00EC1AB2">
        <w:rPr>
          <w:rFonts w:ascii="Times New Roman" w:hAnsi="Times New Roman" w:cs="Times New Roman"/>
          <w:sz w:val="24"/>
          <w:szCs w:val="24"/>
        </w:rPr>
        <w:t>i</w:t>
      </w:r>
      <w:r w:rsidR="00157D87" w:rsidRPr="00EC1AB2">
        <w:rPr>
          <w:rFonts w:ascii="Times New Roman" w:hAnsi="Times New Roman" w:cs="Times New Roman"/>
          <w:sz w:val="24"/>
          <w:szCs w:val="24"/>
        </w:rPr>
        <w:t>r nuo C</w:t>
      </w:r>
      <w:r w:rsidR="00932640" w:rsidRPr="00EC1AB2">
        <w:rPr>
          <w:rFonts w:ascii="Times New Roman" w:hAnsi="Times New Roman" w:cs="Times New Roman"/>
          <w:sz w:val="24"/>
          <w:szCs w:val="24"/>
        </w:rPr>
        <w:t>E</w:t>
      </w:r>
      <w:r w:rsidR="00B04ABB" w:rsidRPr="00EC1AB2">
        <w:rPr>
          <w:rFonts w:ascii="Times New Roman" w:hAnsi="Times New Roman" w:cs="Times New Roman"/>
          <w:sz w:val="24"/>
          <w:szCs w:val="24"/>
        </w:rPr>
        <w:t xml:space="preserve">E </w:t>
      </w:r>
      <w:r w:rsidRPr="00EC1AB2">
        <w:rPr>
          <w:rFonts w:ascii="Times New Roman" w:hAnsi="Times New Roman" w:cs="Times New Roman"/>
          <w:sz w:val="24"/>
          <w:szCs w:val="24"/>
        </w:rPr>
        <w:t>šalių vidurkio.</w:t>
      </w:r>
      <w:r w:rsidR="004B464D" w:rsidRPr="00EC1AB2">
        <w:rPr>
          <w:rFonts w:ascii="Times New Roman" w:hAnsi="Times New Roman" w:cs="Times New Roman"/>
          <w:sz w:val="24"/>
          <w:szCs w:val="24"/>
        </w:rPr>
        <w:t xml:space="preserve"> </w:t>
      </w:r>
    </w:p>
    <w:p w:rsidR="001F45AD" w:rsidRPr="00EC1AB2" w:rsidRDefault="001F45AD" w:rsidP="007A02A8">
      <w:pPr>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sz w:val="24"/>
          <w:szCs w:val="24"/>
        </w:rPr>
        <w:lastRenderedPageBreak/>
        <w:t>Kaip teigiama World Competitiveness Report 2010–2011</w:t>
      </w:r>
      <w:r w:rsidR="007D42EE" w:rsidRPr="00EC1AB2">
        <w:rPr>
          <w:rFonts w:ascii="Times New Roman" w:hAnsi="Times New Roman" w:cs="Times New Roman"/>
          <w:sz w:val="24"/>
          <w:szCs w:val="24"/>
        </w:rPr>
        <w:t xml:space="preserve"> m.</w:t>
      </w:r>
      <w:r w:rsidRPr="00EC1AB2">
        <w:rPr>
          <w:rFonts w:ascii="Times New Roman" w:hAnsi="Times New Roman" w:cs="Times New Roman"/>
          <w:sz w:val="24"/>
          <w:szCs w:val="24"/>
        </w:rPr>
        <w:t xml:space="preserve"> rizikos kapitalas</w:t>
      </w:r>
      <w:r w:rsidR="00D43D76" w:rsidRPr="00EC1AB2">
        <w:rPr>
          <w:rFonts w:ascii="Times New Roman" w:hAnsi="Times New Roman" w:cs="Times New Roman"/>
          <w:sz w:val="24"/>
          <w:szCs w:val="24"/>
        </w:rPr>
        <w:t xml:space="preserve"> verslo plėtrai labiausiai buvo </w:t>
      </w:r>
      <w:r w:rsidRPr="00EC1AB2">
        <w:rPr>
          <w:rFonts w:ascii="Times New Roman" w:hAnsi="Times New Roman" w:cs="Times New Roman"/>
          <w:sz w:val="24"/>
          <w:szCs w:val="24"/>
        </w:rPr>
        <w:t xml:space="preserve">prieinamas Honkonge, Norvegijoje bei Singapūre. </w:t>
      </w:r>
      <w:r w:rsidR="00D43D76" w:rsidRPr="00EC1AB2">
        <w:rPr>
          <w:rFonts w:ascii="Times New Roman" w:hAnsi="Times New Roman" w:cs="Times New Roman"/>
          <w:sz w:val="24"/>
          <w:szCs w:val="24"/>
        </w:rPr>
        <w:t>Lietuva pagal r</w:t>
      </w:r>
      <w:r w:rsidRPr="00EC1AB2">
        <w:rPr>
          <w:rFonts w:ascii="Times New Roman" w:hAnsi="Times New Roman" w:cs="Times New Roman"/>
          <w:sz w:val="24"/>
          <w:szCs w:val="24"/>
        </w:rPr>
        <w:t>izikos kapitalo prieinamum</w:t>
      </w:r>
      <w:r w:rsidR="00D43D76" w:rsidRPr="00EC1AB2">
        <w:rPr>
          <w:rFonts w:ascii="Times New Roman" w:hAnsi="Times New Roman" w:cs="Times New Roman"/>
          <w:sz w:val="24"/>
          <w:szCs w:val="24"/>
        </w:rPr>
        <w:t xml:space="preserve">ą buvo </w:t>
      </w:r>
      <w:r w:rsidRPr="00EC1AB2">
        <w:rPr>
          <w:rFonts w:ascii="Times New Roman" w:hAnsi="Times New Roman" w:cs="Times New Roman"/>
          <w:sz w:val="24"/>
          <w:szCs w:val="24"/>
        </w:rPr>
        <w:t>103</w:t>
      </w:r>
      <w:r w:rsidR="00A51A01" w:rsidRPr="00EC1AB2">
        <w:rPr>
          <w:rFonts w:ascii="Times New Roman" w:hAnsi="Times New Roman" w:cs="Times New Roman"/>
          <w:sz w:val="24"/>
          <w:szCs w:val="24"/>
        </w:rPr>
        <w:t>-</w:t>
      </w:r>
      <w:r w:rsidR="00D43D76" w:rsidRPr="00EC1AB2">
        <w:rPr>
          <w:rFonts w:ascii="Times New Roman" w:hAnsi="Times New Roman" w:cs="Times New Roman"/>
          <w:sz w:val="24"/>
          <w:szCs w:val="24"/>
        </w:rPr>
        <w:t>oje vietoje</w:t>
      </w:r>
      <w:r w:rsidRPr="00EC1AB2">
        <w:rPr>
          <w:rFonts w:ascii="Times New Roman" w:hAnsi="Times New Roman" w:cs="Times New Roman"/>
          <w:sz w:val="24"/>
          <w:szCs w:val="24"/>
        </w:rPr>
        <w:t xml:space="preserve"> iš 139 pasaulio valstybių</w:t>
      </w:r>
      <w:r w:rsidR="006E674C" w:rsidRPr="00EC1AB2">
        <w:rPr>
          <w:rFonts w:ascii="Times New Roman" w:hAnsi="Times New Roman" w:cs="Times New Roman"/>
          <w:sz w:val="24"/>
          <w:szCs w:val="24"/>
        </w:rPr>
        <w:t>.</w:t>
      </w:r>
      <w:r w:rsidR="00904886" w:rsidRPr="00EC1AB2">
        <w:rPr>
          <w:rFonts w:ascii="Times New Roman" w:hAnsi="Times New Roman" w:cs="Times New Roman"/>
          <w:sz w:val="24"/>
          <w:szCs w:val="24"/>
        </w:rPr>
        <w:t xml:space="preserve"> </w:t>
      </w:r>
    </w:p>
    <w:p w:rsidR="007D42EE" w:rsidRPr="00EC1AB2" w:rsidRDefault="0036634F" w:rsidP="007A02A8">
      <w:pPr>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sz w:val="24"/>
          <w:szCs w:val="24"/>
        </w:rPr>
        <w:t xml:space="preserve">RKF investicijų dinamika 2004-2010 m. Lietuvoje bei kitose Baltijos valstybėse pateikta </w:t>
      </w:r>
      <w:r w:rsidR="0049040A" w:rsidRPr="00EC1AB2">
        <w:rPr>
          <w:rFonts w:ascii="Times New Roman" w:hAnsi="Times New Roman" w:cs="Times New Roman"/>
          <w:sz w:val="24"/>
          <w:szCs w:val="24"/>
        </w:rPr>
        <w:t>6</w:t>
      </w:r>
      <w:r w:rsidRPr="00EC1AB2">
        <w:rPr>
          <w:rFonts w:ascii="Times New Roman" w:hAnsi="Times New Roman" w:cs="Times New Roman"/>
          <w:sz w:val="24"/>
          <w:szCs w:val="24"/>
        </w:rPr>
        <w:t xml:space="preserve"> pav. </w:t>
      </w:r>
    </w:p>
    <w:p w:rsidR="0036634F" w:rsidRPr="00EC1AB2" w:rsidRDefault="0036634F" w:rsidP="007A02A8">
      <w:pPr>
        <w:spacing w:after="0" w:line="360" w:lineRule="auto"/>
        <w:ind w:firstLine="1296"/>
        <w:jc w:val="both"/>
        <w:rPr>
          <w:rFonts w:ascii="Times New Roman" w:hAnsi="Times New Roman" w:cs="Times New Roman"/>
          <w:sz w:val="24"/>
          <w:szCs w:val="24"/>
        </w:rPr>
      </w:pPr>
    </w:p>
    <w:p w:rsidR="00813A70" w:rsidRPr="00EC1AB2" w:rsidRDefault="004B1030" w:rsidP="007A02A8">
      <w:pPr>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844608" behindDoc="1" locked="0" layoutInCell="1" allowOverlap="1" wp14:anchorId="1F1428B6" wp14:editId="636A88C9">
            <wp:simplePos x="0" y="0"/>
            <wp:positionH relativeFrom="column">
              <wp:posOffset>217170</wp:posOffset>
            </wp:positionH>
            <wp:positionV relativeFrom="paragraph">
              <wp:posOffset>3810</wp:posOffset>
            </wp:positionV>
            <wp:extent cx="6120130" cy="3231515"/>
            <wp:effectExtent l="0" t="0" r="0" b="6985"/>
            <wp:wrapTight wrapText="bothSides">
              <wp:wrapPolygon edited="0">
                <wp:start x="67" y="255"/>
                <wp:lineTo x="67" y="3183"/>
                <wp:lineTo x="7665" y="4584"/>
                <wp:lineTo x="67" y="4584"/>
                <wp:lineTo x="67" y="5348"/>
                <wp:lineTo x="10757" y="6621"/>
                <wp:lineTo x="67" y="6621"/>
                <wp:lineTo x="67" y="7385"/>
                <wp:lineTo x="10757" y="8659"/>
                <wp:lineTo x="269" y="8786"/>
                <wp:lineTo x="269" y="9550"/>
                <wp:lineTo x="10757" y="10696"/>
                <wp:lineTo x="269" y="10823"/>
                <wp:lineTo x="269" y="11587"/>
                <wp:lineTo x="10757" y="12733"/>
                <wp:lineTo x="202" y="12861"/>
                <wp:lineTo x="202" y="13625"/>
                <wp:lineTo x="10757" y="14771"/>
                <wp:lineTo x="269" y="15025"/>
                <wp:lineTo x="269" y="15789"/>
                <wp:lineTo x="10757" y="16808"/>
                <wp:lineTo x="471" y="17063"/>
                <wp:lineTo x="471" y="18845"/>
                <wp:lineTo x="10757" y="18845"/>
                <wp:lineTo x="1950" y="19991"/>
                <wp:lineTo x="1883" y="20755"/>
                <wp:lineTo x="2757" y="21010"/>
                <wp:lineTo x="5580" y="21519"/>
                <wp:lineTo x="5849" y="21519"/>
                <wp:lineTo x="8673" y="21010"/>
                <wp:lineTo x="21515" y="20501"/>
                <wp:lineTo x="21515" y="20246"/>
                <wp:lineTo x="10757" y="18845"/>
                <wp:lineTo x="18086" y="18845"/>
                <wp:lineTo x="18086" y="17063"/>
                <wp:lineTo x="10757" y="16808"/>
                <wp:lineTo x="18960" y="15789"/>
                <wp:lineTo x="18960" y="15025"/>
                <wp:lineTo x="10757" y="14771"/>
                <wp:lineTo x="18960" y="13625"/>
                <wp:lineTo x="18960" y="12861"/>
                <wp:lineTo x="10757" y="12733"/>
                <wp:lineTo x="18960" y="11587"/>
                <wp:lineTo x="18960" y="10823"/>
                <wp:lineTo x="10757" y="10696"/>
                <wp:lineTo x="18960" y="9550"/>
                <wp:lineTo x="18960" y="8786"/>
                <wp:lineTo x="10757" y="8659"/>
                <wp:lineTo x="18960" y="7385"/>
                <wp:lineTo x="18960" y="6621"/>
                <wp:lineTo x="10757" y="6621"/>
                <wp:lineTo x="18960" y="5348"/>
                <wp:lineTo x="18960" y="4584"/>
                <wp:lineTo x="13178" y="4584"/>
                <wp:lineTo x="19027" y="3183"/>
                <wp:lineTo x="18960" y="255"/>
                <wp:lineTo x="67" y="255"/>
              </wp:wrapPolygon>
            </wp:wrapTight>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spacing w:after="0" w:line="360" w:lineRule="auto"/>
        <w:ind w:firstLine="1296"/>
        <w:jc w:val="both"/>
        <w:rPr>
          <w:rFonts w:ascii="Times New Roman" w:hAnsi="Times New Roman" w:cs="Times New Roman"/>
          <w:sz w:val="24"/>
          <w:szCs w:val="24"/>
        </w:rPr>
      </w:pPr>
    </w:p>
    <w:p w:rsidR="00813A70" w:rsidRPr="00EC1AB2" w:rsidRDefault="00813A70"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7E362E" w:rsidRPr="00EC1AB2" w:rsidRDefault="007E362E" w:rsidP="007A02A8">
      <w:pPr>
        <w:autoSpaceDE w:val="0"/>
        <w:autoSpaceDN w:val="0"/>
        <w:adjustRightInd w:val="0"/>
        <w:spacing w:after="0" w:line="360" w:lineRule="auto"/>
        <w:rPr>
          <w:rFonts w:ascii="Times New Roman" w:hAnsi="Times New Roman" w:cs="Times New Roman"/>
          <w:b/>
          <w:sz w:val="28"/>
          <w:szCs w:val="28"/>
        </w:rPr>
      </w:pPr>
    </w:p>
    <w:p w:rsidR="006D0E74" w:rsidRPr="00EC1AB2" w:rsidRDefault="006D0E74"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w:t>
      </w:r>
      <w:r w:rsidR="002006D4" w:rsidRPr="00EC1AB2">
        <w:rPr>
          <w:rFonts w:ascii="Times New Roman" w:hAnsi="Times New Roman" w:cs="Times New Roman"/>
          <w:sz w:val="20"/>
          <w:szCs w:val="20"/>
        </w:rPr>
        <w:t xml:space="preserve">sudaryta pagal </w:t>
      </w:r>
      <w:r w:rsidRPr="00EC1AB2">
        <w:rPr>
          <w:rFonts w:ascii="Times New Roman" w:hAnsi="Times New Roman" w:cs="Times New Roman"/>
          <w:sz w:val="20"/>
          <w:szCs w:val="20"/>
        </w:rPr>
        <w:t>EVCA kasmet</w:t>
      </w:r>
      <w:r w:rsidR="002006D4" w:rsidRPr="00EC1AB2">
        <w:rPr>
          <w:rFonts w:ascii="Times New Roman" w:hAnsi="Times New Roman" w:cs="Times New Roman"/>
          <w:sz w:val="20"/>
          <w:szCs w:val="20"/>
        </w:rPr>
        <w:t>inius</w:t>
      </w:r>
      <w:r w:rsidRPr="00EC1AB2">
        <w:rPr>
          <w:rFonts w:ascii="Times New Roman" w:hAnsi="Times New Roman" w:cs="Times New Roman"/>
          <w:sz w:val="20"/>
          <w:szCs w:val="20"/>
        </w:rPr>
        <w:t xml:space="preserve"> </w:t>
      </w:r>
      <w:r w:rsidR="002006D4" w:rsidRPr="00EC1AB2">
        <w:rPr>
          <w:rFonts w:ascii="Times New Roman" w:hAnsi="Times New Roman" w:cs="Times New Roman"/>
          <w:sz w:val="20"/>
          <w:szCs w:val="20"/>
        </w:rPr>
        <w:t>statistikos leidinius,</w:t>
      </w:r>
      <w:r w:rsidRPr="00EC1AB2">
        <w:rPr>
          <w:rFonts w:ascii="Times New Roman" w:hAnsi="Times New Roman" w:cs="Times New Roman"/>
          <w:sz w:val="20"/>
          <w:szCs w:val="20"/>
        </w:rPr>
        <w:t xml:space="preserve"> 2005-2011</w:t>
      </w:r>
      <w:r w:rsidRPr="00EC1AB2">
        <w:rPr>
          <w:rFonts w:ascii="Times New Roman" w:hAnsi="Times New Roman" w:cs="Times New Roman"/>
          <w:sz w:val="20"/>
          <w:szCs w:val="20"/>
        </w:rPr>
        <w:tab/>
      </w:r>
    </w:p>
    <w:p w:rsidR="007E362E" w:rsidRPr="00EC1AB2" w:rsidRDefault="0049040A" w:rsidP="007A02A8">
      <w:pPr>
        <w:pStyle w:val="Heading5"/>
        <w:spacing w:before="0" w:line="360" w:lineRule="auto"/>
        <w:jc w:val="center"/>
        <w:rPr>
          <w:rFonts w:ascii="Times New Roman" w:hAnsi="Times New Roman" w:cs="Times New Roman"/>
          <w:b/>
          <w:color w:val="auto"/>
          <w:sz w:val="24"/>
          <w:szCs w:val="24"/>
        </w:rPr>
      </w:pPr>
      <w:bookmarkStart w:id="101" w:name="_Toc320761919"/>
      <w:bookmarkStart w:id="102" w:name="_Toc320762154"/>
      <w:bookmarkStart w:id="103" w:name="_Toc320762556"/>
      <w:r w:rsidRPr="00EC1AB2">
        <w:rPr>
          <w:rFonts w:ascii="Times New Roman" w:hAnsi="Times New Roman" w:cs="Times New Roman"/>
          <w:color w:val="auto"/>
          <w:sz w:val="24"/>
          <w:szCs w:val="24"/>
        </w:rPr>
        <w:t>6</w:t>
      </w:r>
      <w:r w:rsidR="006D0E74" w:rsidRPr="00EC1AB2">
        <w:rPr>
          <w:rFonts w:ascii="Times New Roman" w:hAnsi="Times New Roman" w:cs="Times New Roman"/>
          <w:color w:val="auto"/>
          <w:sz w:val="24"/>
          <w:szCs w:val="24"/>
        </w:rPr>
        <w:t xml:space="preserve"> pav.</w:t>
      </w:r>
      <w:r w:rsidR="006D0E74" w:rsidRPr="00EC1AB2">
        <w:rPr>
          <w:rFonts w:ascii="Times New Roman" w:hAnsi="Times New Roman" w:cs="Times New Roman"/>
          <w:b/>
          <w:color w:val="auto"/>
          <w:sz w:val="24"/>
          <w:szCs w:val="24"/>
        </w:rPr>
        <w:t xml:space="preserve"> </w:t>
      </w:r>
      <w:r w:rsidR="008A1800" w:rsidRPr="00EC1AB2">
        <w:rPr>
          <w:rFonts w:ascii="Times New Roman" w:hAnsi="Times New Roman" w:cs="Times New Roman"/>
          <w:b/>
          <w:color w:val="auto"/>
          <w:sz w:val="24"/>
          <w:szCs w:val="24"/>
        </w:rPr>
        <w:t>Rizikos kapitalo fondų</w:t>
      </w:r>
      <w:r w:rsidR="0066345D" w:rsidRPr="00EC1AB2">
        <w:rPr>
          <w:rFonts w:ascii="Times New Roman" w:hAnsi="Times New Roman" w:cs="Times New Roman"/>
          <w:b/>
          <w:color w:val="auto"/>
          <w:sz w:val="24"/>
          <w:szCs w:val="24"/>
        </w:rPr>
        <w:t xml:space="preserve"> investicijos</w:t>
      </w:r>
      <w:r w:rsidR="00C10816" w:rsidRPr="00EC1AB2">
        <w:rPr>
          <w:rFonts w:ascii="Times New Roman" w:hAnsi="Times New Roman" w:cs="Times New Roman"/>
          <w:b/>
          <w:color w:val="auto"/>
          <w:sz w:val="24"/>
          <w:szCs w:val="24"/>
        </w:rPr>
        <w:t xml:space="preserve"> </w:t>
      </w:r>
      <w:r w:rsidR="006D0E74" w:rsidRPr="00EC1AB2">
        <w:rPr>
          <w:rFonts w:ascii="Times New Roman" w:hAnsi="Times New Roman" w:cs="Times New Roman"/>
          <w:b/>
          <w:color w:val="auto"/>
          <w:sz w:val="24"/>
          <w:szCs w:val="24"/>
        </w:rPr>
        <w:t>Baltijos va</w:t>
      </w:r>
      <w:r w:rsidR="00837A89" w:rsidRPr="00EC1AB2">
        <w:rPr>
          <w:rFonts w:ascii="Times New Roman" w:hAnsi="Times New Roman" w:cs="Times New Roman"/>
          <w:b/>
          <w:color w:val="auto"/>
          <w:sz w:val="24"/>
          <w:szCs w:val="24"/>
        </w:rPr>
        <w:t>l</w:t>
      </w:r>
      <w:r w:rsidR="006D0E74" w:rsidRPr="00EC1AB2">
        <w:rPr>
          <w:rFonts w:ascii="Times New Roman" w:hAnsi="Times New Roman" w:cs="Times New Roman"/>
          <w:b/>
          <w:color w:val="auto"/>
          <w:sz w:val="24"/>
          <w:szCs w:val="24"/>
        </w:rPr>
        <w:t>stybėse 2004-2010 m.</w:t>
      </w:r>
      <w:r w:rsidR="00C10816" w:rsidRPr="00EC1AB2">
        <w:rPr>
          <w:rFonts w:ascii="Times New Roman" w:hAnsi="Times New Roman" w:cs="Times New Roman"/>
          <w:b/>
          <w:color w:val="auto"/>
          <w:sz w:val="24"/>
          <w:szCs w:val="24"/>
        </w:rPr>
        <w:t>, mln. EUR</w:t>
      </w:r>
      <w:bookmarkEnd w:id="101"/>
      <w:bookmarkEnd w:id="102"/>
      <w:bookmarkEnd w:id="103"/>
    </w:p>
    <w:p w:rsidR="007E362E" w:rsidRPr="00EC1AB2" w:rsidRDefault="007E362E" w:rsidP="007A02A8">
      <w:pPr>
        <w:autoSpaceDE w:val="0"/>
        <w:autoSpaceDN w:val="0"/>
        <w:adjustRightInd w:val="0"/>
        <w:spacing w:after="0" w:line="360" w:lineRule="auto"/>
        <w:ind w:left="1296"/>
        <w:jc w:val="center"/>
        <w:rPr>
          <w:rFonts w:ascii="Times New Roman" w:hAnsi="Times New Roman" w:cs="Times New Roman"/>
          <w:b/>
          <w:sz w:val="28"/>
          <w:szCs w:val="28"/>
        </w:rPr>
      </w:pPr>
    </w:p>
    <w:p w:rsidR="00657440" w:rsidRPr="00EC1AB2" w:rsidRDefault="0036634F" w:rsidP="007A02A8">
      <w:pPr>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hAnsi="Times New Roman" w:cs="Times New Roman"/>
          <w:sz w:val="24"/>
          <w:szCs w:val="24"/>
        </w:rPr>
        <w:t xml:space="preserve">Kaip matyti iš </w:t>
      </w:r>
      <w:r w:rsidR="0049040A" w:rsidRPr="00EC1AB2">
        <w:rPr>
          <w:rFonts w:ascii="Times New Roman" w:hAnsi="Times New Roman" w:cs="Times New Roman"/>
          <w:sz w:val="24"/>
          <w:szCs w:val="24"/>
        </w:rPr>
        <w:t>6</w:t>
      </w:r>
      <w:r w:rsidRPr="00EC1AB2">
        <w:rPr>
          <w:rFonts w:ascii="Times New Roman" w:hAnsi="Times New Roman" w:cs="Times New Roman"/>
          <w:sz w:val="24"/>
          <w:szCs w:val="24"/>
        </w:rPr>
        <w:t xml:space="preserve"> pav. </w:t>
      </w:r>
      <w:r w:rsidR="00F11812" w:rsidRPr="00EC1AB2">
        <w:rPr>
          <w:rFonts w:ascii="Times New Roman" w:hAnsi="Times New Roman" w:cs="Times New Roman"/>
          <w:sz w:val="24"/>
          <w:szCs w:val="24"/>
        </w:rPr>
        <w:t>nei Lietuvoje, nei Latvijoje ar Estijoje nėra susi</w:t>
      </w:r>
      <w:r w:rsidR="002C00DA" w:rsidRPr="00EC1AB2">
        <w:rPr>
          <w:rFonts w:ascii="Times New Roman" w:hAnsi="Times New Roman" w:cs="Times New Roman"/>
          <w:sz w:val="24"/>
          <w:szCs w:val="24"/>
        </w:rPr>
        <w:t>formavusi RKF kitimo tendencija, t.y. nepastebi</w:t>
      </w:r>
      <w:r w:rsidR="00D609A1" w:rsidRPr="00EC1AB2">
        <w:rPr>
          <w:rFonts w:ascii="Times New Roman" w:hAnsi="Times New Roman" w:cs="Times New Roman"/>
          <w:sz w:val="24"/>
          <w:szCs w:val="24"/>
        </w:rPr>
        <w:t>mas nei di</w:t>
      </w:r>
      <w:r w:rsidR="00CD6D73" w:rsidRPr="00EC1AB2">
        <w:rPr>
          <w:rFonts w:ascii="Times New Roman" w:hAnsi="Times New Roman" w:cs="Times New Roman"/>
          <w:sz w:val="24"/>
          <w:szCs w:val="24"/>
        </w:rPr>
        <w:t>d</w:t>
      </w:r>
      <w:r w:rsidR="00D609A1" w:rsidRPr="00EC1AB2">
        <w:rPr>
          <w:rFonts w:ascii="Times New Roman" w:hAnsi="Times New Roman" w:cs="Times New Roman"/>
          <w:sz w:val="24"/>
          <w:szCs w:val="24"/>
        </w:rPr>
        <w:t>ėjimas, nei mažė</w:t>
      </w:r>
      <w:r w:rsidR="00940759" w:rsidRPr="00EC1AB2">
        <w:rPr>
          <w:rFonts w:ascii="Times New Roman" w:hAnsi="Times New Roman" w:cs="Times New Roman"/>
          <w:sz w:val="24"/>
          <w:szCs w:val="24"/>
        </w:rPr>
        <w:t>jimas visu pateiktu laikotarpiu. Galima nu</w:t>
      </w:r>
      <w:r w:rsidR="00D214F5" w:rsidRPr="00EC1AB2">
        <w:rPr>
          <w:rFonts w:ascii="Times New Roman" w:hAnsi="Times New Roman" w:cs="Times New Roman"/>
          <w:sz w:val="24"/>
          <w:szCs w:val="24"/>
        </w:rPr>
        <w:t>m</w:t>
      </w:r>
      <w:r w:rsidR="00940759" w:rsidRPr="00EC1AB2">
        <w:rPr>
          <w:rFonts w:ascii="Times New Roman" w:hAnsi="Times New Roman" w:cs="Times New Roman"/>
          <w:sz w:val="24"/>
          <w:szCs w:val="24"/>
        </w:rPr>
        <w:t xml:space="preserve">anyti, jog investicijos Baltijos valstybėse yra labiau įtakotos atskirų sandorių patrauklumo, o ne sisteminių rinkos </w:t>
      </w:r>
      <w:r w:rsidR="00D214F5" w:rsidRPr="00EC1AB2">
        <w:rPr>
          <w:rFonts w:ascii="Times New Roman" w:hAnsi="Times New Roman" w:cs="Times New Roman"/>
          <w:sz w:val="24"/>
          <w:szCs w:val="24"/>
        </w:rPr>
        <w:t xml:space="preserve">veiksnių, t.y. RKF </w:t>
      </w:r>
      <w:r w:rsidR="00940759" w:rsidRPr="00EC1AB2">
        <w:rPr>
          <w:rFonts w:ascii="Times New Roman" w:hAnsi="Times New Roman" w:cs="Times New Roman"/>
          <w:sz w:val="24"/>
          <w:szCs w:val="24"/>
        </w:rPr>
        <w:t>invest</w:t>
      </w:r>
      <w:r w:rsidR="00CD6D73" w:rsidRPr="00EC1AB2">
        <w:rPr>
          <w:rFonts w:ascii="Times New Roman" w:hAnsi="Times New Roman" w:cs="Times New Roman"/>
          <w:sz w:val="24"/>
          <w:szCs w:val="24"/>
        </w:rPr>
        <w:t>i</w:t>
      </w:r>
      <w:r w:rsidR="00940759" w:rsidRPr="00EC1AB2">
        <w:rPr>
          <w:rFonts w:ascii="Times New Roman" w:hAnsi="Times New Roman" w:cs="Times New Roman"/>
          <w:sz w:val="24"/>
          <w:szCs w:val="24"/>
        </w:rPr>
        <w:t>cijos</w:t>
      </w:r>
      <w:r w:rsidR="00D214F5" w:rsidRPr="00EC1AB2">
        <w:rPr>
          <w:rFonts w:ascii="Times New Roman" w:hAnsi="Times New Roman" w:cs="Times New Roman"/>
          <w:sz w:val="24"/>
          <w:szCs w:val="24"/>
        </w:rPr>
        <w:t xml:space="preserve"> Baltijos regione yra labiau atsitiktinės. Kalbant konkrečiai </w:t>
      </w:r>
      <w:r w:rsidR="002C00DA" w:rsidRPr="00EC1AB2">
        <w:rPr>
          <w:rFonts w:ascii="Times New Roman" w:hAnsi="Times New Roman" w:cs="Times New Roman"/>
          <w:sz w:val="24"/>
          <w:szCs w:val="24"/>
        </w:rPr>
        <w:t xml:space="preserve">apie Lietuvą, galima pastebėti </w:t>
      </w:r>
      <w:r w:rsidR="00D609A1" w:rsidRPr="00EC1AB2">
        <w:rPr>
          <w:rFonts w:ascii="Times New Roman" w:hAnsi="Times New Roman" w:cs="Times New Roman"/>
          <w:sz w:val="24"/>
          <w:szCs w:val="24"/>
        </w:rPr>
        <w:t xml:space="preserve">2007 m. išaugusias RKF investicijas. </w:t>
      </w:r>
      <w:r w:rsidR="005656B0" w:rsidRPr="00EC1AB2">
        <w:rPr>
          <w:rFonts w:ascii="Times New Roman" w:hAnsi="Times New Roman" w:cs="Times New Roman"/>
          <w:sz w:val="24"/>
          <w:szCs w:val="24"/>
        </w:rPr>
        <w:t xml:space="preserve">Tai lėmė </w:t>
      </w:r>
      <w:r w:rsidR="00BB30A9" w:rsidRPr="00EC1AB2">
        <w:rPr>
          <w:rFonts w:ascii="Times New Roman" w:eastAsia="Times New Roman" w:hAnsi="Times New Roman" w:cs="Times New Roman"/>
          <w:sz w:val="24"/>
          <w:szCs w:val="24"/>
          <w:lang w:eastAsia="lt-LT"/>
        </w:rPr>
        <w:t xml:space="preserve">„Bitės grupės“ ir dar </w:t>
      </w:r>
      <w:r w:rsidR="00326334" w:rsidRPr="00EC1AB2">
        <w:rPr>
          <w:rFonts w:ascii="Times New Roman" w:eastAsia="Times New Roman" w:hAnsi="Times New Roman" w:cs="Times New Roman"/>
          <w:sz w:val="24"/>
          <w:szCs w:val="24"/>
          <w:lang w:eastAsia="lt-LT"/>
        </w:rPr>
        <w:t>kelių stambių įmonių pardavimas.</w:t>
      </w:r>
      <w:r w:rsidR="006C04F9" w:rsidRPr="00EC1AB2">
        <w:rPr>
          <w:rFonts w:ascii="Times New Roman" w:eastAsia="Times New Roman" w:hAnsi="Times New Roman" w:cs="Times New Roman"/>
          <w:sz w:val="24"/>
          <w:szCs w:val="24"/>
          <w:lang w:eastAsia="lt-LT"/>
        </w:rPr>
        <w:t xml:space="preserve"> </w:t>
      </w:r>
      <w:r w:rsidR="00D214F5" w:rsidRPr="00EC1AB2">
        <w:rPr>
          <w:rFonts w:ascii="Times New Roman" w:eastAsia="Times New Roman" w:hAnsi="Times New Roman" w:cs="Times New Roman"/>
          <w:sz w:val="24"/>
          <w:szCs w:val="24"/>
          <w:lang w:eastAsia="lt-LT"/>
        </w:rPr>
        <w:t>Visu kitu pateiktu laikotarpiu Lietuvos rinka nebuvo patrau</w:t>
      </w:r>
      <w:r w:rsidR="00CD6D73" w:rsidRPr="00EC1AB2">
        <w:rPr>
          <w:rFonts w:ascii="Times New Roman" w:eastAsia="Times New Roman" w:hAnsi="Times New Roman" w:cs="Times New Roman"/>
          <w:sz w:val="24"/>
          <w:szCs w:val="24"/>
          <w:lang w:eastAsia="lt-LT"/>
        </w:rPr>
        <w:t>k</w:t>
      </w:r>
      <w:r w:rsidR="00D214F5" w:rsidRPr="00EC1AB2">
        <w:rPr>
          <w:rFonts w:ascii="Times New Roman" w:eastAsia="Times New Roman" w:hAnsi="Times New Roman" w:cs="Times New Roman"/>
          <w:sz w:val="24"/>
          <w:szCs w:val="24"/>
          <w:lang w:eastAsia="lt-LT"/>
        </w:rPr>
        <w:t>li r</w:t>
      </w:r>
      <w:r w:rsidR="002C22C1" w:rsidRPr="00EC1AB2">
        <w:rPr>
          <w:rFonts w:ascii="Times New Roman" w:eastAsia="Times New Roman" w:hAnsi="Times New Roman" w:cs="Times New Roman"/>
          <w:sz w:val="24"/>
          <w:szCs w:val="24"/>
          <w:lang w:eastAsia="lt-LT"/>
        </w:rPr>
        <w:t>izikos kapitalo investuotojams</w:t>
      </w:r>
      <w:r w:rsidR="0004186F" w:rsidRPr="00EC1AB2">
        <w:rPr>
          <w:rFonts w:ascii="Times New Roman" w:eastAsia="Times New Roman" w:hAnsi="Times New Roman" w:cs="Times New Roman"/>
          <w:sz w:val="24"/>
          <w:szCs w:val="24"/>
          <w:lang w:eastAsia="lt-LT"/>
        </w:rPr>
        <w:t>, todėl, k</w:t>
      </w:r>
      <w:r w:rsidR="004A4384" w:rsidRPr="00EC1AB2">
        <w:rPr>
          <w:rFonts w:ascii="Times New Roman" w:eastAsia="Times New Roman" w:hAnsi="Times New Roman" w:cs="Times New Roman"/>
          <w:sz w:val="24"/>
          <w:szCs w:val="24"/>
          <w:lang w:eastAsia="lt-LT"/>
        </w:rPr>
        <w:t xml:space="preserve">aip teigia Laurinavičius (2011) </w:t>
      </w:r>
      <w:r w:rsidR="00606C31" w:rsidRPr="00EC1AB2">
        <w:rPr>
          <w:rFonts w:ascii="Times New Roman" w:eastAsia="Times New Roman" w:hAnsi="Times New Roman" w:cs="Times New Roman"/>
          <w:sz w:val="24"/>
          <w:szCs w:val="24"/>
          <w:lang w:eastAsia="lt-LT"/>
        </w:rPr>
        <w:t xml:space="preserve">remdamasis </w:t>
      </w:r>
      <w:r w:rsidR="002C22C1" w:rsidRPr="00EC1AB2">
        <w:rPr>
          <w:rFonts w:ascii="Times New Roman" w:eastAsia="Times New Roman" w:hAnsi="Times New Roman" w:cs="Times New Roman"/>
          <w:sz w:val="24"/>
          <w:szCs w:val="24"/>
          <w:lang w:eastAsia="lt-LT"/>
        </w:rPr>
        <w:t xml:space="preserve">tyrimų bendrovės „Vilmorus“ 2010 m. pabaigoje atlikta </w:t>
      </w:r>
      <w:r w:rsidR="004A4384" w:rsidRPr="00EC1AB2">
        <w:rPr>
          <w:rFonts w:ascii="Times New Roman" w:eastAsia="Times New Roman" w:hAnsi="Times New Roman" w:cs="Times New Roman"/>
          <w:sz w:val="24"/>
          <w:szCs w:val="24"/>
          <w:lang w:eastAsia="lt-LT"/>
        </w:rPr>
        <w:t>apklausa,</w:t>
      </w:r>
      <w:r w:rsidR="002C22C1" w:rsidRPr="00EC1AB2">
        <w:rPr>
          <w:rFonts w:ascii="Times New Roman" w:eastAsia="Times New Roman" w:hAnsi="Times New Roman" w:cs="Times New Roman"/>
          <w:sz w:val="24"/>
          <w:szCs w:val="24"/>
          <w:lang w:eastAsia="lt-LT"/>
        </w:rPr>
        <w:t xml:space="preserve"> </w:t>
      </w:r>
      <w:r w:rsidR="004A4384" w:rsidRPr="00EC1AB2">
        <w:rPr>
          <w:rFonts w:ascii="Times New Roman" w:eastAsia="Times New Roman" w:hAnsi="Times New Roman" w:cs="Times New Roman"/>
          <w:sz w:val="24"/>
          <w:szCs w:val="24"/>
          <w:lang w:eastAsia="lt-LT"/>
        </w:rPr>
        <w:t xml:space="preserve">didžioji dalis Lietuvos įmonių vadovų </w:t>
      </w:r>
      <w:r w:rsidR="00EB0663" w:rsidRPr="00EC1AB2">
        <w:rPr>
          <w:rFonts w:ascii="Times New Roman" w:eastAsia="Times New Roman" w:hAnsi="Times New Roman" w:cs="Times New Roman"/>
          <w:sz w:val="24"/>
          <w:szCs w:val="24"/>
          <w:lang w:eastAsia="lt-LT"/>
        </w:rPr>
        <w:t xml:space="preserve">mažai žino apie RKF. </w:t>
      </w:r>
      <w:r w:rsidR="0004186F" w:rsidRPr="00EC1AB2">
        <w:rPr>
          <w:rFonts w:ascii="Times New Roman" w:eastAsia="Times New Roman" w:hAnsi="Times New Roman" w:cs="Times New Roman"/>
          <w:sz w:val="24"/>
          <w:szCs w:val="24"/>
          <w:lang w:eastAsia="lt-LT"/>
        </w:rPr>
        <w:t>N</w:t>
      </w:r>
      <w:r w:rsidR="002C22C1" w:rsidRPr="00EC1AB2">
        <w:rPr>
          <w:rFonts w:ascii="Times New Roman" w:eastAsia="Times New Roman" w:hAnsi="Times New Roman" w:cs="Times New Roman"/>
          <w:sz w:val="24"/>
          <w:szCs w:val="24"/>
          <w:lang w:eastAsia="lt-LT"/>
        </w:rPr>
        <w:t>et 93% apklausoje dalyvavusių įmonių vadovų nežinojo nė vieno Lietuvoje veiki</w:t>
      </w:r>
      <w:r w:rsidR="00184A3A" w:rsidRPr="00EC1AB2">
        <w:rPr>
          <w:rFonts w:ascii="Times New Roman" w:eastAsia="Times New Roman" w:hAnsi="Times New Roman" w:cs="Times New Roman"/>
          <w:sz w:val="24"/>
          <w:szCs w:val="24"/>
          <w:lang w:eastAsia="lt-LT"/>
        </w:rPr>
        <w:t>ančio RKF</w:t>
      </w:r>
      <w:r w:rsidR="002C22C1" w:rsidRPr="00EC1AB2">
        <w:rPr>
          <w:rFonts w:ascii="Times New Roman" w:eastAsia="Times New Roman" w:hAnsi="Times New Roman" w:cs="Times New Roman"/>
          <w:sz w:val="24"/>
          <w:szCs w:val="24"/>
          <w:lang w:eastAsia="lt-LT"/>
        </w:rPr>
        <w:t>, taip pat 91,5% apklaustųjų negalėjo įvardinti lietuviškų įmonių, į kurias buvo ar yra investavę to</w:t>
      </w:r>
      <w:r w:rsidR="0004186F" w:rsidRPr="00EC1AB2">
        <w:rPr>
          <w:rFonts w:ascii="Times New Roman" w:eastAsia="Times New Roman" w:hAnsi="Times New Roman" w:cs="Times New Roman"/>
          <w:sz w:val="24"/>
          <w:szCs w:val="24"/>
          <w:lang w:eastAsia="lt-LT"/>
        </w:rPr>
        <w:t>kie fondai. Tad visai nekeista</w:t>
      </w:r>
      <w:r w:rsidR="002C22C1" w:rsidRPr="00EC1AB2">
        <w:rPr>
          <w:rFonts w:ascii="Times New Roman" w:eastAsia="Times New Roman" w:hAnsi="Times New Roman" w:cs="Times New Roman"/>
          <w:sz w:val="24"/>
          <w:szCs w:val="24"/>
          <w:lang w:eastAsia="lt-LT"/>
        </w:rPr>
        <w:t>, kad, remian</w:t>
      </w:r>
      <w:r w:rsidR="0004186F" w:rsidRPr="00EC1AB2">
        <w:rPr>
          <w:rFonts w:ascii="Times New Roman" w:eastAsia="Times New Roman" w:hAnsi="Times New Roman" w:cs="Times New Roman"/>
          <w:sz w:val="24"/>
          <w:szCs w:val="24"/>
          <w:lang w:eastAsia="lt-LT"/>
        </w:rPr>
        <w:t>tis to paties tyrimo duomenimis,</w:t>
      </w:r>
      <w:r w:rsidR="002C22C1" w:rsidRPr="00EC1AB2">
        <w:rPr>
          <w:rFonts w:ascii="Times New Roman" w:eastAsia="Times New Roman" w:hAnsi="Times New Roman" w:cs="Times New Roman"/>
          <w:sz w:val="24"/>
          <w:szCs w:val="24"/>
          <w:lang w:eastAsia="lt-LT"/>
        </w:rPr>
        <w:t xml:space="preserve"> 78% apklaustų vadovų </w:t>
      </w:r>
      <w:r w:rsidR="00184A3A" w:rsidRPr="00EC1AB2">
        <w:rPr>
          <w:rFonts w:ascii="Times New Roman" w:eastAsia="Times New Roman" w:hAnsi="Times New Roman" w:cs="Times New Roman"/>
          <w:sz w:val="24"/>
          <w:szCs w:val="24"/>
          <w:lang w:eastAsia="lt-LT"/>
        </w:rPr>
        <w:t>neįtraukė RKF</w:t>
      </w:r>
      <w:r w:rsidR="002C22C1" w:rsidRPr="00EC1AB2">
        <w:rPr>
          <w:rFonts w:ascii="Times New Roman" w:eastAsia="Times New Roman" w:hAnsi="Times New Roman" w:cs="Times New Roman"/>
          <w:sz w:val="24"/>
          <w:szCs w:val="24"/>
          <w:lang w:eastAsia="lt-LT"/>
        </w:rPr>
        <w:t xml:space="preserve"> į galimų</w:t>
      </w:r>
      <w:r w:rsidR="00D64715" w:rsidRPr="00EC1AB2">
        <w:rPr>
          <w:rFonts w:ascii="Times New Roman" w:eastAsia="Times New Roman" w:hAnsi="Times New Roman" w:cs="Times New Roman"/>
          <w:sz w:val="24"/>
          <w:szCs w:val="24"/>
          <w:lang w:eastAsia="lt-LT"/>
        </w:rPr>
        <w:t xml:space="preserve"> įm</w:t>
      </w:r>
      <w:r w:rsidR="00CD6D73" w:rsidRPr="00EC1AB2">
        <w:rPr>
          <w:rFonts w:ascii="Times New Roman" w:eastAsia="Times New Roman" w:hAnsi="Times New Roman" w:cs="Times New Roman"/>
          <w:sz w:val="24"/>
          <w:szCs w:val="24"/>
          <w:lang w:eastAsia="lt-LT"/>
        </w:rPr>
        <w:t>onės plėtros veiksnių sąrašą.</w:t>
      </w:r>
      <w:r w:rsidR="00087787" w:rsidRPr="00EC1AB2">
        <w:rPr>
          <w:rFonts w:ascii="Times New Roman" w:eastAsia="Times New Roman" w:hAnsi="Times New Roman" w:cs="Times New Roman"/>
          <w:sz w:val="24"/>
          <w:szCs w:val="24"/>
          <w:lang w:eastAsia="lt-LT"/>
        </w:rPr>
        <w:t xml:space="preserve"> Val</w:t>
      </w:r>
      <w:r w:rsidR="00184A3A" w:rsidRPr="00EC1AB2">
        <w:rPr>
          <w:rFonts w:ascii="Times New Roman" w:eastAsia="Times New Roman" w:hAnsi="Times New Roman" w:cs="Times New Roman"/>
          <w:sz w:val="24"/>
          <w:szCs w:val="24"/>
          <w:lang w:eastAsia="lt-LT"/>
        </w:rPr>
        <w:t>e</w:t>
      </w:r>
      <w:r w:rsidR="00087787" w:rsidRPr="00EC1AB2">
        <w:rPr>
          <w:rFonts w:ascii="Times New Roman" w:eastAsia="Times New Roman" w:hAnsi="Times New Roman" w:cs="Times New Roman"/>
          <w:sz w:val="24"/>
          <w:szCs w:val="24"/>
          <w:lang w:eastAsia="lt-LT"/>
        </w:rPr>
        <w:t>n</w:t>
      </w:r>
      <w:r w:rsidR="00184A3A" w:rsidRPr="00EC1AB2">
        <w:rPr>
          <w:rFonts w:ascii="Times New Roman" w:eastAsia="Times New Roman" w:hAnsi="Times New Roman" w:cs="Times New Roman"/>
          <w:sz w:val="24"/>
          <w:szCs w:val="24"/>
          <w:lang w:eastAsia="lt-LT"/>
        </w:rPr>
        <w:t>tinavičiaus (2006) atlikto tyrimo metu inovatyvių įmonių vadovai prie finansavimo šaltinių, kuriais naudojosi verslo</w:t>
      </w:r>
      <w:r w:rsidR="00BE5A4E" w:rsidRPr="00EC1AB2">
        <w:rPr>
          <w:rFonts w:ascii="Times New Roman" w:eastAsia="Times New Roman" w:hAnsi="Times New Roman" w:cs="Times New Roman"/>
          <w:sz w:val="24"/>
          <w:szCs w:val="24"/>
          <w:lang w:eastAsia="lt-LT"/>
        </w:rPr>
        <w:t xml:space="preserve"> plėtrai visų pirma </w:t>
      </w:r>
      <w:r w:rsidR="00BE5A4E" w:rsidRPr="00EC1AB2">
        <w:rPr>
          <w:rFonts w:ascii="Times New Roman" w:eastAsia="Times New Roman" w:hAnsi="Times New Roman" w:cs="Times New Roman"/>
          <w:sz w:val="24"/>
          <w:szCs w:val="24"/>
          <w:lang w:eastAsia="lt-LT"/>
        </w:rPr>
        <w:lastRenderedPageBreak/>
        <w:t xml:space="preserve">nurodė savus išteklius, gautą pelną. </w:t>
      </w:r>
      <w:r w:rsidR="007C4F15" w:rsidRPr="00EC1AB2">
        <w:rPr>
          <w:rFonts w:ascii="Times New Roman" w:eastAsia="Times New Roman" w:hAnsi="Times New Roman" w:cs="Times New Roman"/>
          <w:sz w:val="24"/>
          <w:szCs w:val="24"/>
          <w:lang w:eastAsia="lt-LT"/>
        </w:rPr>
        <w:t>Pavieniui paminėti akcinis kapitalas, bankai ir partnerių lėšos.</w:t>
      </w:r>
      <w:r w:rsidR="00184A3A" w:rsidRPr="00EC1AB2">
        <w:rPr>
          <w:rFonts w:ascii="Times New Roman" w:eastAsia="Times New Roman" w:hAnsi="Times New Roman" w:cs="Times New Roman"/>
          <w:sz w:val="24"/>
          <w:szCs w:val="24"/>
          <w:lang w:eastAsia="lt-LT"/>
        </w:rPr>
        <w:t xml:space="preserve"> </w:t>
      </w:r>
      <w:r w:rsidR="0035305A" w:rsidRPr="00EC1AB2">
        <w:rPr>
          <w:rFonts w:ascii="Times New Roman" w:eastAsia="Times New Roman" w:hAnsi="Times New Roman" w:cs="Times New Roman"/>
          <w:sz w:val="24"/>
          <w:szCs w:val="24"/>
          <w:lang w:eastAsia="lt-LT"/>
        </w:rPr>
        <w:t xml:space="preserve">Toks mažas finansavimo šaltinių spektras rodo, kad iš tikrųjų Lietuvoje inovacinė veikla </w:t>
      </w:r>
      <w:r w:rsidR="008048E4" w:rsidRPr="00EC1AB2">
        <w:rPr>
          <w:rFonts w:ascii="Times New Roman" w:eastAsia="Times New Roman" w:hAnsi="Times New Roman" w:cs="Times New Roman"/>
          <w:sz w:val="24"/>
          <w:szCs w:val="24"/>
          <w:lang w:eastAsia="lt-LT"/>
        </w:rPr>
        <w:t>yra gana pasyvi dėl lėšų stokos, t.y. RKF investicijų stokos.</w:t>
      </w:r>
      <w:r w:rsidR="008C3F36" w:rsidRPr="00EC1AB2">
        <w:rPr>
          <w:rFonts w:ascii="Times New Roman" w:eastAsia="Times New Roman" w:hAnsi="Times New Roman" w:cs="Times New Roman"/>
          <w:sz w:val="24"/>
          <w:szCs w:val="24"/>
          <w:lang w:eastAsia="lt-LT"/>
        </w:rPr>
        <w:t xml:space="preserve"> Tai patvirtina</w:t>
      </w:r>
      <w:r w:rsidR="00846AF4" w:rsidRPr="00EC1AB2">
        <w:rPr>
          <w:rFonts w:ascii="Times New Roman" w:eastAsia="Times New Roman" w:hAnsi="Times New Roman" w:cs="Times New Roman"/>
          <w:sz w:val="24"/>
          <w:szCs w:val="24"/>
          <w:lang w:eastAsia="lt-LT"/>
        </w:rPr>
        <w:t xml:space="preserve"> Lietuvos Respublikos Ūkio ministerijos užsakymu VšĮ „KTU regioninis verslo inkubatorius“ </w:t>
      </w:r>
      <w:r w:rsidR="008C3F36" w:rsidRPr="00EC1AB2">
        <w:rPr>
          <w:rFonts w:ascii="Times New Roman" w:eastAsia="Times New Roman" w:hAnsi="Times New Roman" w:cs="Times New Roman"/>
          <w:sz w:val="24"/>
          <w:szCs w:val="24"/>
          <w:lang w:eastAsia="lt-LT"/>
        </w:rPr>
        <w:t xml:space="preserve">atliktas tyrimas, kurio metu </w:t>
      </w:r>
      <w:r w:rsidR="00846AF4" w:rsidRPr="00EC1AB2">
        <w:rPr>
          <w:rFonts w:ascii="Times New Roman" w:eastAsia="Times New Roman" w:hAnsi="Times New Roman" w:cs="Times New Roman"/>
          <w:sz w:val="24"/>
          <w:szCs w:val="24"/>
          <w:lang w:eastAsia="lt-LT"/>
        </w:rPr>
        <w:t xml:space="preserve">net 59 proc. įmonių, </w:t>
      </w:r>
      <w:r w:rsidR="00EA7CFC" w:rsidRPr="00EC1AB2">
        <w:rPr>
          <w:rFonts w:ascii="Times New Roman" w:eastAsia="Times New Roman" w:hAnsi="Times New Roman" w:cs="Times New Roman"/>
          <w:sz w:val="24"/>
          <w:szCs w:val="24"/>
          <w:lang w:eastAsia="lt-LT"/>
        </w:rPr>
        <w:t>dalyvavusių tyrime,</w:t>
      </w:r>
      <w:r w:rsidR="008C3F36" w:rsidRPr="00EC1AB2">
        <w:rPr>
          <w:rFonts w:ascii="Times New Roman" w:eastAsia="Times New Roman" w:hAnsi="Times New Roman" w:cs="Times New Roman"/>
          <w:sz w:val="24"/>
          <w:szCs w:val="24"/>
          <w:lang w:eastAsia="lt-LT"/>
        </w:rPr>
        <w:t xml:space="preserve"> nurodė dideles inovacines išlaidas, kaip</w:t>
      </w:r>
      <w:r w:rsidR="00EA7CFC" w:rsidRPr="00EC1AB2">
        <w:rPr>
          <w:rFonts w:ascii="Times New Roman" w:eastAsia="Times New Roman" w:hAnsi="Times New Roman" w:cs="Times New Roman"/>
          <w:sz w:val="24"/>
          <w:szCs w:val="24"/>
          <w:lang w:eastAsia="lt-LT"/>
        </w:rPr>
        <w:t xml:space="preserve"> </w:t>
      </w:r>
      <w:r w:rsidR="008C3F36" w:rsidRPr="00EC1AB2">
        <w:rPr>
          <w:rFonts w:ascii="Times New Roman" w:eastAsia="Times New Roman" w:hAnsi="Times New Roman" w:cs="Times New Roman"/>
          <w:sz w:val="24"/>
          <w:szCs w:val="24"/>
          <w:lang w:eastAsia="lt-LT"/>
        </w:rPr>
        <w:t>veik</w:t>
      </w:r>
      <w:r w:rsidR="002D2178" w:rsidRPr="00EC1AB2">
        <w:rPr>
          <w:rFonts w:ascii="Times New Roman" w:eastAsia="Times New Roman" w:hAnsi="Times New Roman" w:cs="Times New Roman"/>
          <w:sz w:val="24"/>
          <w:szCs w:val="24"/>
          <w:lang w:eastAsia="lt-LT"/>
        </w:rPr>
        <w:t>s</w:t>
      </w:r>
      <w:r w:rsidR="008C3F36" w:rsidRPr="00EC1AB2">
        <w:rPr>
          <w:rFonts w:ascii="Times New Roman" w:eastAsia="Times New Roman" w:hAnsi="Times New Roman" w:cs="Times New Roman"/>
          <w:sz w:val="24"/>
          <w:szCs w:val="24"/>
          <w:lang w:eastAsia="lt-LT"/>
        </w:rPr>
        <w:t>nį</w:t>
      </w:r>
      <w:r w:rsidR="00EA7CFC" w:rsidRPr="00EC1AB2">
        <w:rPr>
          <w:rFonts w:ascii="Times New Roman" w:eastAsia="Times New Roman" w:hAnsi="Times New Roman" w:cs="Times New Roman"/>
          <w:sz w:val="24"/>
          <w:szCs w:val="24"/>
          <w:lang w:eastAsia="lt-LT"/>
        </w:rPr>
        <w:t>, labiausiai tru</w:t>
      </w:r>
      <w:r w:rsidR="002D2178" w:rsidRPr="00EC1AB2">
        <w:rPr>
          <w:rFonts w:ascii="Times New Roman" w:eastAsia="Times New Roman" w:hAnsi="Times New Roman" w:cs="Times New Roman"/>
          <w:sz w:val="24"/>
          <w:szCs w:val="24"/>
          <w:lang w:eastAsia="lt-LT"/>
        </w:rPr>
        <w:t>kdžiusį</w:t>
      </w:r>
      <w:r w:rsidR="008C3F36" w:rsidRPr="00EC1AB2">
        <w:rPr>
          <w:rFonts w:ascii="Times New Roman" w:eastAsia="Times New Roman" w:hAnsi="Times New Roman" w:cs="Times New Roman"/>
          <w:sz w:val="24"/>
          <w:szCs w:val="24"/>
          <w:lang w:eastAsia="lt-LT"/>
        </w:rPr>
        <w:t xml:space="preserve"> įmonių inovaciniai veiklai.</w:t>
      </w:r>
    </w:p>
    <w:p w:rsidR="00657440" w:rsidRPr="00EC1AB2" w:rsidRDefault="00657440"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pacing w:val="1"/>
          <w:sz w:val="24"/>
          <w:szCs w:val="24"/>
        </w:rPr>
        <w:t>Stati</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ti</w:t>
      </w:r>
      <w:r w:rsidRPr="00EC1AB2">
        <w:rPr>
          <w:rFonts w:ascii="Times New Roman" w:hAnsi="Times New Roman" w:cs="Times New Roman"/>
          <w:spacing w:val="-1"/>
          <w:sz w:val="24"/>
          <w:szCs w:val="24"/>
        </w:rPr>
        <w:t>k</w:t>
      </w:r>
      <w:r w:rsidRPr="00EC1AB2">
        <w:rPr>
          <w:rFonts w:ascii="Times New Roman" w:hAnsi="Times New Roman" w:cs="Times New Roman"/>
          <w:spacing w:val="1"/>
          <w:sz w:val="24"/>
          <w:szCs w:val="24"/>
        </w:rPr>
        <w:t>o</w:t>
      </w:r>
      <w:r w:rsidRPr="00EC1AB2">
        <w:rPr>
          <w:rFonts w:ascii="Times New Roman" w:hAnsi="Times New Roman" w:cs="Times New Roman"/>
          <w:sz w:val="24"/>
          <w:szCs w:val="24"/>
        </w:rPr>
        <w:t>s</w:t>
      </w:r>
      <w:r w:rsidRPr="00EC1AB2">
        <w:rPr>
          <w:rFonts w:ascii="Times New Roman" w:hAnsi="Times New Roman" w:cs="Times New Roman"/>
          <w:spacing w:val="22"/>
          <w:sz w:val="24"/>
          <w:szCs w:val="24"/>
        </w:rPr>
        <w:t xml:space="preserve"> </w:t>
      </w:r>
      <w:r w:rsidRPr="00EC1AB2">
        <w:rPr>
          <w:rFonts w:ascii="Times New Roman" w:hAnsi="Times New Roman" w:cs="Times New Roman"/>
          <w:spacing w:val="1"/>
          <w:sz w:val="24"/>
          <w:szCs w:val="24"/>
        </w:rPr>
        <w:t>de</w:t>
      </w:r>
      <w:r w:rsidRPr="00EC1AB2">
        <w:rPr>
          <w:rFonts w:ascii="Times New Roman" w:hAnsi="Times New Roman" w:cs="Times New Roman"/>
          <w:spacing w:val="-2"/>
          <w:sz w:val="24"/>
          <w:szCs w:val="24"/>
        </w:rPr>
        <w:t>p</w:t>
      </w:r>
      <w:r w:rsidRPr="00EC1AB2">
        <w:rPr>
          <w:rFonts w:ascii="Times New Roman" w:hAnsi="Times New Roman" w:cs="Times New Roman"/>
          <w:spacing w:val="1"/>
          <w:sz w:val="24"/>
          <w:szCs w:val="24"/>
        </w:rPr>
        <w:t>art</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men</w:t>
      </w:r>
      <w:r w:rsidRPr="00EC1AB2">
        <w:rPr>
          <w:rFonts w:ascii="Times New Roman" w:hAnsi="Times New Roman" w:cs="Times New Roman"/>
          <w:spacing w:val="-2"/>
          <w:sz w:val="24"/>
          <w:szCs w:val="24"/>
        </w:rPr>
        <w:t>t</w:t>
      </w:r>
      <w:r w:rsidRPr="00EC1AB2">
        <w:rPr>
          <w:rFonts w:ascii="Times New Roman" w:hAnsi="Times New Roman" w:cs="Times New Roman"/>
          <w:spacing w:val="1"/>
          <w:sz w:val="24"/>
          <w:szCs w:val="24"/>
        </w:rPr>
        <w:t>a</w:t>
      </w:r>
      <w:r w:rsidRPr="00EC1AB2">
        <w:rPr>
          <w:rFonts w:ascii="Times New Roman" w:hAnsi="Times New Roman" w:cs="Times New Roman"/>
          <w:sz w:val="24"/>
          <w:szCs w:val="24"/>
        </w:rPr>
        <w:t>s</w:t>
      </w:r>
      <w:r w:rsidRPr="00EC1AB2">
        <w:rPr>
          <w:rFonts w:ascii="Times New Roman" w:hAnsi="Times New Roman" w:cs="Times New Roman"/>
          <w:spacing w:val="22"/>
          <w:sz w:val="24"/>
          <w:szCs w:val="24"/>
        </w:rPr>
        <w:t xml:space="preserve"> </w:t>
      </w:r>
      <w:r w:rsidRPr="00EC1AB2">
        <w:rPr>
          <w:rFonts w:ascii="Times New Roman" w:hAnsi="Times New Roman" w:cs="Times New Roman"/>
          <w:spacing w:val="1"/>
          <w:sz w:val="24"/>
          <w:szCs w:val="24"/>
        </w:rPr>
        <w:t>2</w:t>
      </w:r>
      <w:r w:rsidRPr="00EC1AB2">
        <w:rPr>
          <w:rFonts w:ascii="Times New Roman" w:hAnsi="Times New Roman" w:cs="Times New Roman"/>
          <w:spacing w:val="-2"/>
          <w:sz w:val="24"/>
          <w:szCs w:val="24"/>
        </w:rPr>
        <w:t>0</w:t>
      </w:r>
      <w:r w:rsidRPr="00EC1AB2">
        <w:rPr>
          <w:rFonts w:ascii="Times New Roman" w:hAnsi="Times New Roman" w:cs="Times New Roman"/>
          <w:spacing w:val="1"/>
          <w:sz w:val="24"/>
          <w:szCs w:val="24"/>
        </w:rPr>
        <w:t>1</w:t>
      </w:r>
      <w:r w:rsidRPr="00EC1AB2">
        <w:rPr>
          <w:rFonts w:ascii="Times New Roman" w:hAnsi="Times New Roman" w:cs="Times New Roman"/>
          <w:sz w:val="24"/>
          <w:szCs w:val="24"/>
        </w:rPr>
        <w:t xml:space="preserve">0 </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w:t>
      </w:r>
      <w:r w:rsidRPr="00EC1AB2">
        <w:rPr>
          <w:rFonts w:ascii="Times New Roman" w:hAnsi="Times New Roman" w:cs="Times New Roman"/>
          <w:spacing w:val="22"/>
          <w:sz w:val="24"/>
          <w:szCs w:val="24"/>
        </w:rPr>
        <w:t xml:space="preserve"> </w:t>
      </w:r>
      <w:r w:rsidRPr="00EC1AB2">
        <w:rPr>
          <w:rFonts w:ascii="Times New Roman" w:hAnsi="Times New Roman" w:cs="Times New Roman"/>
          <w:spacing w:val="1"/>
          <w:sz w:val="24"/>
          <w:szCs w:val="24"/>
        </w:rPr>
        <w:t>a</w:t>
      </w:r>
      <w:r w:rsidRPr="00EC1AB2">
        <w:rPr>
          <w:rFonts w:ascii="Times New Roman" w:hAnsi="Times New Roman" w:cs="Times New Roman"/>
          <w:spacing w:val="-2"/>
          <w:sz w:val="24"/>
          <w:szCs w:val="24"/>
        </w:rPr>
        <w:t>t</w:t>
      </w:r>
      <w:r w:rsidRPr="00EC1AB2">
        <w:rPr>
          <w:rFonts w:ascii="Times New Roman" w:hAnsi="Times New Roman" w:cs="Times New Roman"/>
          <w:spacing w:val="1"/>
          <w:sz w:val="24"/>
          <w:szCs w:val="24"/>
        </w:rPr>
        <w:t>li</w:t>
      </w:r>
      <w:r w:rsidRPr="00EC1AB2">
        <w:rPr>
          <w:rFonts w:ascii="Times New Roman" w:hAnsi="Times New Roman" w:cs="Times New Roman"/>
          <w:spacing w:val="-1"/>
          <w:sz w:val="24"/>
          <w:szCs w:val="24"/>
        </w:rPr>
        <w:t>k</w:t>
      </w:r>
      <w:r w:rsidRPr="00EC1AB2">
        <w:rPr>
          <w:rFonts w:ascii="Times New Roman" w:hAnsi="Times New Roman" w:cs="Times New Roman"/>
          <w:sz w:val="24"/>
          <w:szCs w:val="24"/>
        </w:rPr>
        <w:t>o</w:t>
      </w:r>
      <w:r w:rsidRPr="00EC1AB2">
        <w:rPr>
          <w:rFonts w:ascii="Times New Roman" w:hAnsi="Times New Roman" w:cs="Times New Roman"/>
          <w:spacing w:val="29"/>
          <w:sz w:val="24"/>
          <w:szCs w:val="24"/>
        </w:rPr>
        <w:t xml:space="preserve"> </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efi</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an</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in</w:t>
      </w:r>
      <w:r w:rsidRPr="00EC1AB2">
        <w:rPr>
          <w:rFonts w:ascii="Times New Roman" w:hAnsi="Times New Roman" w:cs="Times New Roman"/>
          <w:spacing w:val="-1"/>
          <w:sz w:val="24"/>
          <w:szCs w:val="24"/>
        </w:rPr>
        <w:t>i</w:t>
      </w:r>
      <w:r w:rsidRPr="00EC1AB2">
        <w:rPr>
          <w:rFonts w:ascii="Times New Roman" w:hAnsi="Times New Roman" w:cs="Times New Roman"/>
          <w:sz w:val="24"/>
          <w:szCs w:val="24"/>
        </w:rPr>
        <w:t>ų</w:t>
      </w:r>
      <w:r w:rsidRPr="00EC1AB2">
        <w:rPr>
          <w:rFonts w:ascii="Times New Roman" w:hAnsi="Times New Roman" w:cs="Times New Roman"/>
          <w:spacing w:val="29"/>
          <w:sz w:val="24"/>
          <w:szCs w:val="24"/>
        </w:rPr>
        <w:t xml:space="preserve"> </w:t>
      </w:r>
      <w:r w:rsidRPr="00EC1AB2">
        <w:rPr>
          <w:rFonts w:ascii="Times New Roman" w:hAnsi="Times New Roman" w:cs="Times New Roman"/>
          <w:spacing w:val="-2"/>
          <w:sz w:val="24"/>
          <w:szCs w:val="24"/>
        </w:rPr>
        <w:t>į</w:t>
      </w:r>
      <w:r w:rsidRPr="00EC1AB2">
        <w:rPr>
          <w:rFonts w:ascii="Times New Roman" w:hAnsi="Times New Roman" w:cs="Times New Roman"/>
          <w:spacing w:val="1"/>
          <w:sz w:val="24"/>
          <w:szCs w:val="24"/>
        </w:rPr>
        <w:t>mo</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i</w:t>
      </w:r>
      <w:r w:rsidRPr="00EC1AB2">
        <w:rPr>
          <w:rFonts w:ascii="Times New Roman" w:hAnsi="Times New Roman" w:cs="Times New Roman"/>
          <w:sz w:val="24"/>
          <w:szCs w:val="24"/>
        </w:rPr>
        <w:t>ų</w:t>
      </w:r>
      <w:r w:rsidRPr="00EC1AB2">
        <w:rPr>
          <w:rFonts w:ascii="Times New Roman" w:hAnsi="Times New Roman" w:cs="Times New Roman"/>
          <w:spacing w:val="29"/>
          <w:sz w:val="24"/>
          <w:szCs w:val="24"/>
        </w:rPr>
        <w:t xml:space="preserve"> </w:t>
      </w:r>
      <w:r w:rsidRPr="00EC1AB2">
        <w:rPr>
          <w:rFonts w:ascii="Times New Roman" w:hAnsi="Times New Roman" w:cs="Times New Roman"/>
          <w:sz w:val="24"/>
          <w:szCs w:val="24"/>
        </w:rPr>
        <w:t>t</w:t>
      </w:r>
      <w:r w:rsidRPr="00EC1AB2">
        <w:rPr>
          <w:rFonts w:ascii="Times New Roman" w:hAnsi="Times New Roman" w:cs="Times New Roman"/>
          <w:spacing w:val="-1"/>
          <w:sz w:val="24"/>
          <w:szCs w:val="24"/>
        </w:rPr>
        <w:t>y</w:t>
      </w:r>
      <w:r w:rsidRPr="00EC1AB2">
        <w:rPr>
          <w:rFonts w:ascii="Times New Roman" w:hAnsi="Times New Roman" w:cs="Times New Roman"/>
          <w:sz w:val="24"/>
          <w:szCs w:val="24"/>
        </w:rPr>
        <w:t>ri</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ą</w:t>
      </w:r>
      <w:r w:rsidRPr="00EC1AB2">
        <w:rPr>
          <w:rFonts w:ascii="Times New Roman" w:hAnsi="Times New Roman" w:cs="Times New Roman"/>
          <w:spacing w:val="29"/>
          <w:sz w:val="24"/>
          <w:szCs w:val="24"/>
        </w:rPr>
        <w:t xml:space="preserve"> </w:t>
      </w:r>
      <w:r w:rsidRPr="00EC1AB2">
        <w:rPr>
          <w:rFonts w:ascii="Times New Roman" w:hAnsi="Times New Roman" w:cs="Times New Roman"/>
          <w:sz w:val="24"/>
          <w:szCs w:val="24"/>
        </w:rPr>
        <w:t>„Ve</w:t>
      </w:r>
      <w:r w:rsidRPr="00EC1AB2">
        <w:rPr>
          <w:rFonts w:ascii="Times New Roman" w:hAnsi="Times New Roman" w:cs="Times New Roman"/>
          <w:spacing w:val="-2"/>
          <w:sz w:val="24"/>
          <w:szCs w:val="24"/>
        </w:rPr>
        <w:t>r</w:t>
      </w:r>
      <w:r w:rsidRPr="00EC1AB2">
        <w:rPr>
          <w:rFonts w:ascii="Times New Roman" w:hAnsi="Times New Roman" w:cs="Times New Roman"/>
          <w:spacing w:val="1"/>
          <w:sz w:val="24"/>
          <w:szCs w:val="24"/>
        </w:rPr>
        <w:t>sl</w:t>
      </w:r>
      <w:r w:rsidRPr="00EC1AB2">
        <w:rPr>
          <w:rFonts w:ascii="Times New Roman" w:hAnsi="Times New Roman" w:cs="Times New Roman"/>
          <w:sz w:val="24"/>
          <w:szCs w:val="24"/>
        </w:rPr>
        <w:t>o</w:t>
      </w:r>
      <w:r w:rsidRPr="00EC1AB2">
        <w:rPr>
          <w:rFonts w:ascii="Times New Roman" w:hAnsi="Times New Roman" w:cs="Times New Roman"/>
          <w:spacing w:val="22"/>
          <w:sz w:val="24"/>
          <w:szCs w:val="24"/>
        </w:rPr>
        <w:t xml:space="preserve"> </w:t>
      </w:r>
      <w:r w:rsidRPr="00EC1AB2">
        <w:rPr>
          <w:rFonts w:ascii="Times New Roman" w:hAnsi="Times New Roman" w:cs="Times New Roman"/>
          <w:spacing w:val="-2"/>
          <w:sz w:val="24"/>
          <w:szCs w:val="24"/>
        </w:rPr>
        <w:t>s</w:t>
      </w:r>
      <w:r w:rsidRPr="00EC1AB2">
        <w:rPr>
          <w:rFonts w:ascii="Times New Roman" w:hAnsi="Times New Roman" w:cs="Times New Roman"/>
          <w:spacing w:val="1"/>
          <w:sz w:val="24"/>
          <w:szCs w:val="24"/>
        </w:rPr>
        <w:t>ąl</w:t>
      </w:r>
      <w:r w:rsidRPr="00EC1AB2">
        <w:rPr>
          <w:rFonts w:ascii="Times New Roman" w:hAnsi="Times New Roman" w:cs="Times New Roman"/>
          <w:spacing w:val="-1"/>
          <w:sz w:val="24"/>
          <w:szCs w:val="24"/>
        </w:rPr>
        <w:t>y</w:t>
      </w:r>
      <w:r w:rsidRPr="00EC1AB2">
        <w:rPr>
          <w:rFonts w:ascii="Times New Roman" w:hAnsi="Times New Roman" w:cs="Times New Roman"/>
          <w:spacing w:val="1"/>
          <w:sz w:val="24"/>
          <w:szCs w:val="24"/>
        </w:rPr>
        <w:t>go</w:t>
      </w:r>
      <w:r w:rsidRPr="00EC1AB2">
        <w:rPr>
          <w:rFonts w:ascii="Times New Roman" w:hAnsi="Times New Roman" w:cs="Times New Roman"/>
          <w:spacing w:val="-1"/>
          <w:sz w:val="24"/>
          <w:szCs w:val="24"/>
        </w:rPr>
        <w:t>s</w:t>
      </w:r>
      <w:r w:rsidRPr="00EC1AB2">
        <w:rPr>
          <w:rFonts w:ascii="Times New Roman" w:hAnsi="Times New Roman" w:cs="Times New Roman"/>
          <w:sz w:val="24"/>
          <w:szCs w:val="24"/>
        </w:rPr>
        <w:t>:</w:t>
      </w:r>
      <w:r w:rsidRPr="00EC1AB2">
        <w:rPr>
          <w:rFonts w:ascii="Times New Roman" w:hAnsi="Times New Roman" w:cs="Times New Roman"/>
          <w:spacing w:val="29"/>
          <w:sz w:val="24"/>
          <w:szCs w:val="24"/>
        </w:rPr>
        <w:t xml:space="preserve"> </w:t>
      </w:r>
      <w:r w:rsidRPr="00EC1AB2">
        <w:rPr>
          <w:rFonts w:ascii="Times New Roman" w:hAnsi="Times New Roman" w:cs="Times New Roman"/>
          <w:spacing w:val="-2"/>
          <w:sz w:val="24"/>
          <w:szCs w:val="24"/>
        </w:rPr>
        <w:t>į</w:t>
      </w:r>
      <w:r w:rsidRPr="00EC1AB2">
        <w:rPr>
          <w:rFonts w:ascii="Times New Roman" w:hAnsi="Times New Roman" w:cs="Times New Roman"/>
          <w:spacing w:val="1"/>
          <w:sz w:val="24"/>
          <w:szCs w:val="24"/>
        </w:rPr>
        <w:t>m</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ni</w:t>
      </w:r>
      <w:r w:rsidRPr="00EC1AB2">
        <w:rPr>
          <w:rFonts w:ascii="Times New Roman" w:hAnsi="Times New Roman" w:cs="Times New Roman"/>
          <w:sz w:val="24"/>
          <w:szCs w:val="24"/>
        </w:rPr>
        <w:t>ų</w:t>
      </w:r>
      <w:r w:rsidRPr="00EC1AB2">
        <w:rPr>
          <w:rFonts w:ascii="Times New Roman" w:hAnsi="Times New Roman" w:cs="Times New Roman"/>
          <w:spacing w:val="29"/>
          <w:sz w:val="24"/>
          <w:szCs w:val="24"/>
        </w:rPr>
        <w:t xml:space="preserve"> </w:t>
      </w:r>
      <w:r w:rsidRPr="00EC1AB2">
        <w:rPr>
          <w:rFonts w:ascii="Times New Roman" w:hAnsi="Times New Roman" w:cs="Times New Roman"/>
          <w:spacing w:val="-1"/>
          <w:sz w:val="24"/>
          <w:szCs w:val="24"/>
        </w:rPr>
        <w:t>v</w:t>
      </w:r>
      <w:r w:rsidRPr="00EC1AB2">
        <w:rPr>
          <w:rFonts w:ascii="Times New Roman" w:hAnsi="Times New Roman" w:cs="Times New Roman"/>
          <w:spacing w:val="1"/>
          <w:sz w:val="24"/>
          <w:szCs w:val="24"/>
        </w:rPr>
        <w:t>e</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kl</w:t>
      </w:r>
      <w:r w:rsidRPr="00EC1AB2">
        <w:rPr>
          <w:rFonts w:ascii="Times New Roman" w:hAnsi="Times New Roman" w:cs="Times New Roman"/>
          <w:spacing w:val="-2"/>
          <w:sz w:val="24"/>
          <w:szCs w:val="24"/>
        </w:rPr>
        <w:t>o</w:t>
      </w:r>
      <w:r w:rsidRPr="00EC1AB2">
        <w:rPr>
          <w:rFonts w:ascii="Times New Roman" w:hAnsi="Times New Roman" w:cs="Times New Roman"/>
          <w:sz w:val="24"/>
          <w:szCs w:val="24"/>
        </w:rPr>
        <w:t xml:space="preserve">s </w:t>
      </w:r>
      <w:r w:rsidRPr="00EC1AB2">
        <w:rPr>
          <w:rFonts w:ascii="Times New Roman" w:hAnsi="Times New Roman" w:cs="Times New Roman"/>
          <w:spacing w:val="-25"/>
          <w:sz w:val="24"/>
          <w:szCs w:val="24"/>
        </w:rPr>
        <w:t xml:space="preserve"> </w:t>
      </w:r>
      <w:r w:rsidRPr="00EC1AB2">
        <w:rPr>
          <w:rFonts w:ascii="Times New Roman" w:hAnsi="Times New Roman" w:cs="Times New Roman"/>
          <w:spacing w:val="-2"/>
          <w:sz w:val="24"/>
          <w:szCs w:val="24"/>
        </w:rPr>
        <w:t>f</w:t>
      </w:r>
      <w:r w:rsidRPr="00EC1AB2">
        <w:rPr>
          <w:rFonts w:ascii="Times New Roman" w:hAnsi="Times New Roman" w:cs="Times New Roman"/>
          <w:spacing w:val="1"/>
          <w:sz w:val="24"/>
          <w:szCs w:val="24"/>
        </w:rPr>
        <w:t>in</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nsa</w:t>
      </w:r>
      <w:r w:rsidRPr="00EC1AB2">
        <w:rPr>
          <w:rFonts w:ascii="Times New Roman" w:hAnsi="Times New Roman" w:cs="Times New Roman"/>
          <w:spacing w:val="-1"/>
          <w:sz w:val="24"/>
          <w:szCs w:val="24"/>
        </w:rPr>
        <w:t>v</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m</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s“,</w:t>
      </w:r>
      <w:r w:rsidRPr="00EC1AB2">
        <w:rPr>
          <w:rFonts w:ascii="Times New Roman" w:hAnsi="Times New Roman" w:cs="Times New Roman"/>
          <w:sz w:val="24"/>
          <w:szCs w:val="24"/>
        </w:rPr>
        <w:t xml:space="preserve"> </w:t>
      </w:r>
      <w:r w:rsidRPr="00EC1AB2">
        <w:rPr>
          <w:rFonts w:ascii="Times New Roman" w:hAnsi="Times New Roman" w:cs="Times New Roman"/>
          <w:spacing w:val="1"/>
          <w:sz w:val="24"/>
          <w:szCs w:val="24"/>
        </w:rPr>
        <w:t>kuri</w:t>
      </w:r>
      <w:r w:rsidRPr="00EC1AB2">
        <w:rPr>
          <w:rFonts w:ascii="Times New Roman" w:hAnsi="Times New Roman" w:cs="Times New Roman"/>
          <w:sz w:val="24"/>
          <w:szCs w:val="24"/>
        </w:rPr>
        <w:t>o</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2"/>
          <w:sz w:val="24"/>
          <w:szCs w:val="24"/>
        </w:rPr>
        <w:t>t</w:t>
      </w:r>
      <w:r w:rsidRPr="00EC1AB2">
        <w:rPr>
          <w:rFonts w:ascii="Times New Roman" w:hAnsi="Times New Roman" w:cs="Times New Roman"/>
          <w:spacing w:val="1"/>
          <w:sz w:val="24"/>
          <w:szCs w:val="24"/>
        </w:rPr>
        <w:t>i</w:t>
      </w:r>
      <w:r w:rsidRPr="00EC1AB2">
        <w:rPr>
          <w:rFonts w:ascii="Times New Roman" w:hAnsi="Times New Roman" w:cs="Times New Roman"/>
          <w:spacing w:val="-1"/>
          <w:sz w:val="24"/>
          <w:szCs w:val="24"/>
        </w:rPr>
        <w:t>k</w:t>
      </w:r>
      <w:r w:rsidRPr="00EC1AB2">
        <w:rPr>
          <w:rFonts w:ascii="Times New Roman" w:hAnsi="Times New Roman" w:cs="Times New Roman"/>
          <w:spacing w:val="1"/>
          <w:sz w:val="24"/>
          <w:szCs w:val="24"/>
        </w:rPr>
        <w:t>sl</w:t>
      </w:r>
      <w:r w:rsidRPr="00EC1AB2">
        <w:rPr>
          <w:rFonts w:ascii="Times New Roman" w:hAnsi="Times New Roman" w:cs="Times New Roman"/>
          <w:spacing w:val="-2"/>
          <w:sz w:val="24"/>
          <w:szCs w:val="24"/>
        </w:rPr>
        <w:t>a</w:t>
      </w:r>
      <w:r w:rsidRPr="00EC1AB2">
        <w:rPr>
          <w:rFonts w:ascii="Times New Roman" w:hAnsi="Times New Roman" w:cs="Times New Roman"/>
          <w:sz w:val="24"/>
          <w:szCs w:val="24"/>
        </w:rPr>
        <w:t>s</w:t>
      </w:r>
      <w:r w:rsidRPr="00EC1AB2">
        <w:rPr>
          <w:rFonts w:ascii="Times New Roman" w:hAnsi="Times New Roman" w:cs="Times New Roman"/>
          <w:spacing w:val="18"/>
          <w:sz w:val="24"/>
          <w:szCs w:val="24"/>
        </w:rPr>
        <w:t xml:space="preserve"> </w:t>
      </w:r>
      <w:r w:rsidRPr="00EC1AB2">
        <w:rPr>
          <w:rFonts w:ascii="Times New Roman" w:hAnsi="Times New Roman" w:cs="Times New Roman"/>
          <w:sz w:val="24"/>
          <w:szCs w:val="24"/>
        </w:rPr>
        <w:t>–</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su</w:t>
      </w:r>
      <w:r w:rsidRPr="00EC1AB2">
        <w:rPr>
          <w:rFonts w:ascii="Times New Roman" w:hAnsi="Times New Roman" w:cs="Times New Roman"/>
          <w:spacing w:val="-1"/>
          <w:sz w:val="24"/>
          <w:szCs w:val="24"/>
        </w:rPr>
        <w:t>ž</w:t>
      </w:r>
      <w:r w:rsidRPr="00EC1AB2">
        <w:rPr>
          <w:rFonts w:ascii="Times New Roman" w:hAnsi="Times New Roman" w:cs="Times New Roman"/>
          <w:spacing w:val="1"/>
          <w:sz w:val="24"/>
          <w:szCs w:val="24"/>
        </w:rPr>
        <w:t>in</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t</w:t>
      </w:r>
      <w:r w:rsidRPr="00EC1AB2">
        <w:rPr>
          <w:rFonts w:ascii="Times New Roman" w:hAnsi="Times New Roman" w:cs="Times New Roman"/>
          <w:sz w:val="24"/>
          <w:szCs w:val="24"/>
        </w:rPr>
        <w:t>i</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v</w:t>
      </w:r>
      <w:r w:rsidRPr="00EC1AB2">
        <w:rPr>
          <w:rFonts w:ascii="Times New Roman" w:hAnsi="Times New Roman" w:cs="Times New Roman"/>
          <w:spacing w:val="1"/>
          <w:sz w:val="24"/>
          <w:szCs w:val="24"/>
        </w:rPr>
        <w:t>ersl</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n</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n</w:t>
      </w:r>
      <w:r w:rsidRPr="00EC1AB2">
        <w:rPr>
          <w:rFonts w:ascii="Times New Roman" w:hAnsi="Times New Roman" w:cs="Times New Roman"/>
          <w:spacing w:val="2"/>
          <w:sz w:val="24"/>
          <w:szCs w:val="24"/>
        </w:rPr>
        <w:t>k</w:t>
      </w:r>
      <w:r w:rsidRPr="00EC1AB2">
        <w:rPr>
          <w:rFonts w:ascii="Times New Roman" w:hAnsi="Times New Roman" w:cs="Times New Roman"/>
          <w:sz w:val="24"/>
          <w:szCs w:val="24"/>
        </w:rPr>
        <w:t>ų</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n</w:t>
      </w:r>
      <w:r w:rsidRPr="00EC1AB2">
        <w:rPr>
          <w:rFonts w:ascii="Times New Roman" w:hAnsi="Times New Roman" w:cs="Times New Roman"/>
          <w:spacing w:val="-2"/>
          <w:sz w:val="24"/>
          <w:szCs w:val="24"/>
        </w:rPr>
        <w:t>u</w:t>
      </w:r>
      <w:r w:rsidRPr="00EC1AB2">
        <w:rPr>
          <w:rFonts w:ascii="Times New Roman" w:hAnsi="Times New Roman" w:cs="Times New Roman"/>
          <w:spacing w:val="1"/>
          <w:sz w:val="24"/>
          <w:szCs w:val="24"/>
        </w:rPr>
        <w:t>om</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n</w:t>
      </w:r>
      <w:r w:rsidRPr="00EC1AB2">
        <w:rPr>
          <w:rFonts w:ascii="Times New Roman" w:hAnsi="Times New Roman" w:cs="Times New Roman"/>
          <w:sz w:val="24"/>
          <w:szCs w:val="24"/>
        </w:rPr>
        <w:t>ę</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ap</w:t>
      </w:r>
      <w:r w:rsidRPr="00EC1AB2">
        <w:rPr>
          <w:rFonts w:ascii="Times New Roman" w:hAnsi="Times New Roman" w:cs="Times New Roman"/>
          <w:spacing w:val="-2"/>
          <w:sz w:val="24"/>
          <w:szCs w:val="24"/>
        </w:rPr>
        <w:t>i</w:t>
      </w:r>
      <w:r w:rsidRPr="00EC1AB2">
        <w:rPr>
          <w:rFonts w:ascii="Times New Roman" w:hAnsi="Times New Roman" w:cs="Times New Roman"/>
          <w:sz w:val="24"/>
          <w:szCs w:val="24"/>
        </w:rPr>
        <w:t>e</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v</w:t>
      </w:r>
      <w:r w:rsidRPr="00EC1AB2">
        <w:rPr>
          <w:rFonts w:ascii="Times New Roman" w:hAnsi="Times New Roman" w:cs="Times New Roman"/>
          <w:spacing w:val="1"/>
          <w:sz w:val="24"/>
          <w:szCs w:val="24"/>
        </w:rPr>
        <w:t>ersl</w:t>
      </w:r>
      <w:r w:rsidRPr="00EC1AB2">
        <w:rPr>
          <w:rFonts w:ascii="Times New Roman" w:hAnsi="Times New Roman" w:cs="Times New Roman"/>
          <w:sz w:val="24"/>
          <w:szCs w:val="24"/>
        </w:rPr>
        <w:t>o</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f</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n</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nsa</w:t>
      </w:r>
      <w:r w:rsidRPr="00EC1AB2">
        <w:rPr>
          <w:rFonts w:ascii="Times New Roman" w:hAnsi="Times New Roman" w:cs="Times New Roman"/>
          <w:spacing w:val="-1"/>
          <w:sz w:val="24"/>
          <w:szCs w:val="24"/>
        </w:rPr>
        <w:t>v</w:t>
      </w:r>
      <w:r w:rsidRPr="00EC1AB2">
        <w:rPr>
          <w:rFonts w:ascii="Times New Roman" w:hAnsi="Times New Roman" w:cs="Times New Roman"/>
          <w:spacing w:val="1"/>
          <w:sz w:val="24"/>
          <w:szCs w:val="24"/>
        </w:rPr>
        <w:t>i</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o</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por</w:t>
      </w:r>
      <w:r w:rsidRPr="00EC1AB2">
        <w:rPr>
          <w:rFonts w:ascii="Times New Roman" w:hAnsi="Times New Roman" w:cs="Times New Roman"/>
          <w:spacing w:val="-2"/>
          <w:sz w:val="24"/>
          <w:szCs w:val="24"/>
        </w:rPr>
        <w:t>e</w:t>
      </w:r>
      <w:r w:rsidRPr="00EC1AB2">
        <w:rPr>
          <w:rFonts w:ascii="Times New Roman" w:hAnsi="Times New Roman" w:cs="Times New Roman"/>
          <w:spacing w:val="1"/>
          <w:sz w:val="24"/>
          <w:szCs w:val="24"/>
        </w:rPr>
        <w:t>i</w:t>
      </w:r>
      <w:r w:rsidRPr="00EC1AB2">
        <w:rPr>
          <w:rFonts w:ascii="Times New Roman" w:hAnsi="Times New Roman" w:cs="Times New Roman"/>
          <w:spacing w:val="2"/>
          <w:sz w:val="24"/>
          <w:szCs w:val="24"/>
        </w:rPr>
        <w:t>k</w:t>
      </w:r>
      <w:r w:rsidRPr="00EC1AB2">
        <w:rPr>
          <w:rFonts w:ascii="Times New Roman" w:hAnsi="Times New Roman" w:cs="Times New Roman"/>
          <w:spacing w:val="-2"/>
          <w:sz w:val="24"/>
          <w:szCs w:val="24"/>
        </w:rPr>
        <w:t>į</w:t>
      </w:r>
      <w:r w:rsidRPr="00EC1AB2">
        <w:rPr>
          <w:rFonts w:ascii="Times New Roman" w:hAnsi="Times New Roman" w:cs="Times New Roman"/>
          <w:sz w:val="24"/>
          <w:szCs w:val="24"/>
        </w:rPr>
        <w:t>,</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fina</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sa</w:t>
      </w:r>
      <w:r w:rsidRPr="00EC1AB2">
        <w:rPr>
          <w:rFonts w:ascii="Times New Roman" w:hAnsi="Times New Roman" w:cs="Times New Roman"/>
          <w:spacing w:val="-1"/>
          <w:sz w:val="24"/>
          <w:szCs w:val="24"/>
        </w:rPr>
        <w:t>v</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o</w:t>
      </w:r>
      <w:r w:rsidRPr="00EC1AB2">
        <w:rPr>
          <w:rFonts w:ascii="Times New Roman" w:hAnsi="Times New Roman" w:cs="Times New Roman"/>
          <w:spacing w:val="16"/>
          <w:sz w:val="24"/>
          <w:szCs w:val="24"/>
        </w:rPr>
        <w:t xml:space="preserve"> </w:t>
      </w:r>
      <w:r w:rsidRPr="00EC1AB2">
        <w:rPr>
          <w:rFonts w:ascii="Times New Roman" w:hAnsi="Times New Roman" w:cs="Times New Roman"/>
          <w:spacing w:val="1"/>
          <w:sz w:val="24"/>
          <w:szCs w:val="24"/>
        </w:rPr>
        <w:t>būd</w:t>
      </w:r>
      <w:r w:rsidRPr="00EC1AB2">
        <w:rPr>
          <w:rFonts w:ascii="Times New Roman" w:hAnsi="Times New Roman" w:cs="Times New Roman"/>
          <w:spacing w:val="-2"/>
          <w:sz w:val="24"/>
          <w:szCs w:val="24"/>
        </w:rPr>
        <w:t>u</w:t>
      </w:r>
      <w:r w:rsidRPr="00EC1AB2">
        <w:rPr>
          <w:rFonts w:ascii="Times New Roman" w:hAnsi="Times New Roman" w:cs="Times New Roman"/>
          <w:spacing w:val="1"/>
          <w:sz w:val="24"/>
          <w:szCs w:val="24"/>
        </w:rPr>
        <w:t>s</w:t>
      </w:r>
      <w:r w:rsidRPr="00EC1AB2">
        <w:rPr>
          <w:rFonts w:ascii="Times New Roman" w:hAnsi="Times New Roman" w:cs="Times New Roman"/>
          <w:sz w:val="24"/>
          <w:szCs w:val="24"/>
        </w:rPr>
        <w:t>,</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š</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lti</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iu</w:t>
      </w:r>
      <w:r w:rsidRPr="00EC1AB2">
        <w:rPr>
          <w:rFonts w:ascii="Times New Roman" w:hAnsi="Times New Roman" w:cs="Times New Roman"/>
          <w:sz w:val="24"/>
          <w:szCs w:val="24"/>
        </w:rPr>
        <w:t>s</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i</w:t>
      </w:r>
      <w:r w:rsidRPr="00EC1AB2">
        <w:rPr>
          <w:rFonts w:ascii="Times New Roman" w:hAnsi="Times New Roman" w:cs="Times New Roman"/>
          <w:sz w:val="24"/>
          <w:szCs w:val="24"/>
        </w:rPr>
        <w:t>r</w:t>
      </w:r>
      <w:r w:rsidRPr="00EC1AB2">
        <w:rPr>
          <w:rFonts w:ascii="Times New Roman" w:hAnsi="Times New Roman" w:cs="Times New Roman"/>
          <w:spacing w:val="16"/>
          <w:sz w:val="24"/>
          <w:szCs w:val="24"/>
        </w:rPr>
        <w:t xml:space="preserve"> </w:t>
      </w:r>
      <w:r w:rsidRPr="00EC1AB2">
        <w:rPr>
          <w:rFonts w:ascii="Times New Roman" w:hAnsi="Times New Roman" w:cs="Times New Roman"/>
          <w:spacing w:val="1"/>
          <w:sz w:val="24"/>
          <w:szCs w:val="24"/>
        </w:rPr>
        <w:t>su</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ku</w:t>
      </w:r>
      <w:r w:rsidRPr="00EC1AB2">
        <w:rPr>
          <w:rFonts w:ascii="Times New Roman" w:hAnsi="Times New Roman" w:cs="Times New Roman"/>
          <w:spacing w:val="-1"/>
          <w:sz w:val="24"/>
          <w:szCs w:val="24"/>
        </w:rPr>
        <w:t>m</w:t>
      </w:r>
      <w:r w:rsidRPr="00EC1AB2">
        <w:rPr>
          <w:rFonts w:ascii="Times New Roman" w:hAnsi="Times New Roman" w:cs="Times New Roman"/>
          <w:spacing w:val="1"/>
          <w:sz w:val="24"/>
          <w:szCs w:val="24"/>
        </w:rPr>
        <w:t>us,</w:t>
      </w:r>
      <w:r w:rsidRPr="00EC1AB2">
        <w:rPr>
          <w:rFonts w:ascii="Times New Roman" w:hAnsi="Times New Roman" w:cs="Times New Roman"/>
          <w:sz w:val="24"/>
          <w:szCs w:val="24"/>
        </w:rPr>
        <w:t xml:space="preserve"> </w:t>
      </w:r>
      <w:r w:rsidRPr="00EC1AB2">
        <w:rPr>
          <w:rFonts w:ascii="Times New Roman" w:hAnsi="Times New Roman" w:cs="Times New Roman"/>
          <w:spacing w:val="1"/>
          <w:sz w:val="24"/>
          <w:szCs w:val="24"/>
        </w:rPr>
        <w:t>į</w:t>
      </w:r>
      <w:r w:rsidRPr="00EC1AB2">
        <w:rPr>
          <w:rFonts w:ascii="Times New Roman" w:hAnsi="Times New Roman" w:cs="Times New Roman"/>
          <w:spacing w:val="-2"/>
          <w:sz w:val="24"/>
          <w:szCs w:val="24"/>
        </w:rPr>
        <w:t>v</w:t>
      </w:r>
      <w:r w:rsidRPr="00EC1AB2">
        <w:rPr>
          <w:rFonts w:ascii="Times New Roman" w:hAnsi="Times New Roman" w:cs="Times New Roman"/>
          <w:spacing w:val="1"/>
          <w:sz w:val="24"/>
          <w:szCs w:val="24"/>
        </w:rPr>
        <w:t>e</w:t>
      </w:r>
      <w:r w:rsidRPr="00EC1AB2">
        <w:rPr>
          <w:rFonts w:ascii="Times New Roman" w:hAnsi="Times New Roman" w:cs="Times New Roman"/>
          <w:sz w:val="24"/>
          <w:szCs w:val="24"/>
        </w:rPr>
        <w:t>rt</w:t>
      </w:r>
      <w:r w:rsidRPr="00EC1AB2">
        <w:rPr>
          <w:rFonts w:ascii="Times New Roman" w:hAnsi="Times New Roman" w:cs="Times New Roman"/>
          <w:spacing w:val="1"/>
          <w:sz w:val="24"/>
          <w:szCs w:val="24"/>
        </w:rPr>
        <w:t>in</w:t>
      </w:r>
      <w:r w:rsidRPr="00EC1AB2">
        <w:rPr>
          <w:rFonts w:ascii="Times New Roman" w:hAnsi="Times New Roman" w:cs="Times New Roman"/>
          <w:sz w:val="24"/>
          <w:szCs w:val="24"/>
        </w:rPr>
        <w:t>ti</w:t>
      </w:r>
      <w:r w:rsidRPr="00EC1AB2">
        <w:rPr>
          <w:rFonts w:ascii="Times New Roman" w:hAnsi="Times New Roman" w:cs="Times New Roman"/>
          <w:spacing w:val="1"/>
          <w:sz w:val="24"/>
          <w:szCs w:val="24"/>
        </w:rPr>
        <w:t xml:space="preserve"> </w:t>
      </w:r>
      <w:r w:rsidRPr="00EC1AB2">
        <w:rPr>
          <w:rFonts w:ascii="Times New Roman" w:hAnsi="Times New Roman" w:cs="Times New Roman"/>
          <w:spacing w:val="-2"/>
          <w:sz w:val="24"/>
          <w:szCs w:val="24"/>
        </w:rPr>
        <w:t>2007–2</w:t>
      </w:r>
      <w:r w:rsidRPr="00EC1AB2">
        <w:rPr>
          <w:rFonts w:ascii="Times New Roman" w:hAnsi="Times New Roman" w:cs="Times New Roman"/>
          <w:spacing w:val="-4"/>
          <w:sz w:val="24"/>
          <w:szCs w:val="24"/>
        </w:rPr>
        <w:t>0</w:t>
      </w:r>
      <w:r w:rsidRPr="00EC1AB2">
        <w:rPr>
          <w:rFonts w:ascii="Times New Roman" w:hAnsi="Times New Roman" w:cs="Times New Roman"/>
          <w:spacing w:val="-2"/>
          <w:sz w:val="24"/>
          <w:szCs w:val="24"/>
        </w:rPr>
        <w:t>1</w:t>
      </w:r>
      <w:r w:rsidRPr="00EC1AB2">
        <w:rPr>
          <w:rFonts w:ascii="Times New Roman" w:hAnsi="Times New Roman" w:cs="Times New Roman"/>
          <w:sz w:val="24"/>
          <w:szCs w:val="24"/>
        </w:rPr>
        <w:t>0</w:t>
      </w:r>
      <w:r w:rsidRPr="00EC1AB2">
        <w:rPr>
          <w:rFonts w:ascii="Times New Roman" w:hAnsi="Times New Roman" w:cs="Times New Roman"/>
          <w:spacing w:val="-4"/>
          <w:sz w:val="24"/>
          <w:szCs w:val="24"/>
        </w:rPr>
        <w:t xml:space="preserve"> </w:t>
      </w:r>
      <w:r w:rsidRPr="00EC1AB2">
        <w:rPr>
          <w:rFonts w:ascii="Times New Roman" w:hAnsi="Times New Roman" w:cs="Times New Roman"/>
          <w:spacing w:val="-2"/>
          <w:sz w:val="24"/>
          <w:szCs w:val="24"/>
        </w:rPr>
        <w:t>m</w:t>
      </w:r>
      <w:r w:rsidRPr="00EC1AB2">
        <w:rPr>
          <w:rFonts w:ascii="Times New Roman" w:hAnsi="Times New Roman" w:cs="Times New Roman"/>
          <w:sz w:val="24"/>
          <w:szCs w:val="24"/>
        </w:rPr>
        <w:t>.</w:t>
      </w:r>
      <w:r w:rsidRPr="00EC1AB2">
        <w:rPr>
          <w:rFonts w:ascii="Times New Roman" w:hAnsi="Times New Roman" w:cs="Times New Roman"/>
          <w:spacing w:val="-1"/>
          <w:sz w:val="24"/>
          <w:szCs w:val="24"/>
        </w:rPr>
        <w:t xml:space="preserve"> </w:t>
      </w:r>
      <w:r w:rsidRPr="00EC1AB2">
        <w:rPr>
          <w:rFonts w:ascii="Times New Roman" w:hAnsi="Times New Roman" w:cs="Times New Roman"/>
          <w:spacing w:val="-2"/>
          <w:sz w:val="24"/>
          <w:szCs w:val="24"/>
        </w:rPr>
        <w:t>v</w:t>
      </w:r>
      <w:r w:rsidRPr="00EC1AB2">
        <w:rPr>
          <w:rFonts w:ascii="Times New Roman" w:hAnsi="Times New Roman" w:cs="Times New Roman"/>
          <w:spacing w:val="1"/>
          <w:sz w:val="24"/>
          <w:szCs w:val="24"/>
        </w:rPr>
        <w:t>e</w:t>
      </w:r>
      <w:r w:rsidRPr="00EC1AB2">
        <w:rPr>
          <w:rFonts w:ascii="Times New Roman" w:hAnsi="Times New Roman" w:cs="Times New Roman"/>
          <w:sz w:val="24"/>
          <w:szCs w:val="24"/>
        </w:rPr>
        <w:t>r</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l</w:t>
      </w:r>
      <w:r w:rsidRPr="00EC1AB2">
        <w:rPr>
          <w:rFonts w:ascii="Times New Roman" w:hAnsi="Times New Roman" w:cs="Times New Roman"/>
          <w:sz w:val="24"/>
          <w:szCs w:val="24"/>
        </w:rPr>
        <w:t>o</w:t>
      </w:r>
      <w:r w:rsidRPr="00EC1AB2">
        <w:rPr>
          <w:rFonts w:ascii="Times New Roman" w:hAnsi="Times New Roman" w:cs="Times New Roman"/>
          <w:spacing w:val="4"/>
          <w:sz w:val="24"/>
          <w:szCs w:val="24"/>
        </w:rPr>
        <w:t xml:space="preserve"> </w:t>
      </w:r>
      <w:r w:rsidRPr="00EC1AB2">
        <w:rPr>
          <w:rFonts w:ascii="Times New Roman" w:hAnsi="Times New Roman" w:cs="Times New Roman"/>
          <w:spacing w:val="-2"/>
          <w:sz w:val="24"/>
          <w:szCs w:val="24"/>
        </w:rPr>
        <w:t>f</w:t>
      </w:r>
      <w:r w:rsidRPr="00EC1AB2">
        <w:rPr>
          <w:rFonts w:ascii="Times New Roman" w:hAnsi="Times New Roman" w:cs="Times New Roman"/>
          <w:spacing w:val="-1"/>
          <w:sz w:val="24"/>
          <w:szCs w:val="24"/>
        </w:rPr>
        <w:t>i</w:t>
      </w:r>
      <w:r w:rsidRPr="00EC1AB2">
        <w:rPr>
          <w:rFonts w:ascii="Times New Roman" w:hAnsi="Times New Roman" w:cs="Times New Roman"/>
          <w:spacing w:val="1"/>
          <w:sz w:val="24"/>
          <w:szCs w:val="24"/>
        </w:rPr>
        <w:t>nan</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a</w:t>
      </w:r>
      <w:r w:rsidRPr="00EC1AB2">
        <w:rPr>
          <w:rFonts w:ascii="Times New Roman" w:hAnsi="Times New Roman" w:cs="Times New Roman"/>
          <w:spacing w:val="-1"/>
          <w:sz w:val="24"/>
          <w:szCs w:val="24"/>
        </w:rPr>
        <w:t>v</w:t>
      </w:r>
      <w:r w:rsidRPr="00EC1AB2">
        <w:rPr>
          <w:rFonts w:ascii="Times New Roman" w:hAnsi="Times New Roman" w:cs="Times New Roman"/>
          <w:spacing w:val="1"/>
          <w:sz w:val="24"/>
          <w:szCs w:val="24"/>
        </w:rPr>
        <w:t>im</w:t>
      </w:r>
      <w:r w:rsidRPr="00EC1AB2">
        <w:rPr>
          <w:rFonts w:ascii="Times New Roman" w:hAnsi="Times New Roman" w:cs="Times New Roman"/>
          <w:sz w:val="24"/>
          <w:szCs w:val="24"/>
        </w:rPr>
        <w:t>o</w:t>
      </w:r>
      <w:r w:rsidRPr="00EC1AB2">
        <w:rPr>
          <w:rFonts w:ascii="Times New Roman" w:hAnsi="Times New Roman" w:cs="Times New Roman"/>
          <w:spacing w:val="1"/>
          <w:sz w:val="24"/>
          <w:szCs w:val="24"/>
        </w:rPr>
        <w:t xml:space="preserve"> </w:t>
      </w:r>
      <w:r w:rsidRPr="00EC1AB2">
        <w:rPr>
          <w:rFonts w:ascii="Times New Roman" w:hAnsi="Times New Roman" w:cs="Times New Roman"/>
          <w:spacing w:val="-2"/>
          <w:sz w:val="24"/>
          <w:szCs w:val="24"/>
        </w:rPr>
        <w:t>po</w:t>
      </w:r>
      <w:r w:rsidRPr="00EC1AB2">
        <w:rPr>
          <w:rFonts w:ascii="Times New Roman" w:hAnsi="Times New Roman" w:cs="Times New Roman"/>
          <w:spacing w:val="-1"/>
          <w:sz w:val="24"/>
          <w:szCs w:val="24"/>
        </w:rPr>
        <w:t>k</w:t>
      </w:r>
      <w:r w:rsidRPr="00EC1AB2">
        <w:rPr>
          <w:rFonts w:ascii="Times New Roman" w:hAnsi="Times New Roman" w:cs="Times New Roman"/>
          <w:spacing w:val="-3"/>
          <w:sz w:val="24"/>
          <w:szCs w:val="24"/>
        </w:rPr>
        <w:t>y</w:t>
      </w:r>
      <w:r w:rsidRPr="00EC1AB2">
        <w:rPr>
          <w:rFonts w:ascii="Times New Roman" w:hAnsi="Times New Roman" w:cs="Times New Roman"/>
          <w:spacing w:val="-1"/>
          <w:sz w:val="24"/>
          <w:szCs w:val="24"/>
        </w:rPr>
        <w:t>č</w:t>
      </w:r>
      <w:r w:rsidRPr="00EC1AB2">
        <w:rPr>
          <w:rFonts w:ascii="Times New Roman" w:hAnsi="Times New Roman" w:cs="Times New Roman"/>
          <w:spacing w:val="-2"/>
          <w:sz w:val="24"/>
          <w:szCs w:val="24"/>
        </w:rPr>
        <w:t>ius</w:t>
      </w:r>
      <w:r w:rsidRPr="00EC1AB2">
        <w:rPr>
          <w:rFonts w:ascii="Times New Roman" w:hAnsi="Times New Roman" w:cs="Times New Roman"/>
          <w:sz w:val="24"/>
          <w:szCs w:val="24"/>
        </w:rPr>
        <w:t>.</w:t>
      </w:r>
      <w:r w:rsidR="00490E84" w:rsidRPr="00EC1AB2">
        <w:rPr>
          <w:rFonts w:ascii="Times New Roman" w:hAnsi="Times New Roman" w:cs="Times New Roman"/>
          <w:sz w:val="24"/>
          <w:szCs w:val="24"/>
        </w:rPr>
        <w:t xml:space="preserve"> Šio tyrimo rezultatai</w:t>
      </w:r>
      <w:r w:rsidR="009C0E2C" w:rsidRPr="00EC1AB2">
        <w:rPr>
          <w:rFonts w:ascii="Times New Roman" w:hAnsi="Times New Roman" w:cs="Times New Roman"/>
          <w:sz w:val="24"/>
          <w:szCs w:val="24"/>
        </w:rPr>
        <w:t xml:space="preserve"> </w:t>
      </w:r>
      <w:r w:rsidR="00490E84" w:rsidRPr="00EC1AB2">
        <w:rPr>
          <w:rFonts w:ascii="Times New Roman" w:hAnsi="Times New Roman" w:cs="Times New Roman"/>
          <w:sz w:val="24"/>
          <w:szCs w:val="24"/>
        </w:rPr>
        <w:t>atskleidė, kad iš 185</w:t>
      </w:r>
      <w:r w:rsidR="009C0E2C" w:rsidRPr="00EC1AB2">
        <w:rPr>
          <w:rFonts w:ascii="Times New Roman" w:hAnsi="Times New Roman" w:cs="Times New Roman"/>
          <w:sz w:val="24"/>
          <w:szCs w:val="24"/>
        </w:rPr>
        <w:t>4 tyrime dalyvavusių įmonių tik 2,7 proc. ketino plė</w:t>
      </w:r>
      <w:r w:rsidR="00490E84" w:rsidRPr="00EC1AB2">
        <w:rPr>
          <w:rFonts w:ascii="Times New Roman" w:hAnsi="Times New Roman" w:cs="Times New Roman"/>
          <w:sz w:val="24"/>
          <w:szCs w:val="24"/>
        </w:rPr>
        <w:t>s</w:t>
      </w:r>
      <w:r w:rsidR="009C0E2C" w:rsidRPr="00EC1AB2">
        <w:rPr>
          <w:rFonts w:ascii="Times New Roman" w:hAnsi="Times New Roman" w:cs="Times New Roman"/>
          <w:sz w:val="24"/>
          <w:szCs w:val="24"/>
        </w:rPr>
        <w:t>ti ver</w:t>
      </w:r>
      <w:r w:rsidR="00525B9D" w:rsidRPr="00EC1AB2">
        <w:rPr>
          <w:rFonts w:ascii="Times New Roman" w:hAnsi="Times New Roman" w:cs="Times New Roman"/>
          <w:sz w:val="24"/>
          <w:szCs w:val="24"/>
        </w:rPr>
        <w:t xml:space="preserve">slą didindamos nuosavą kapitalą, tačiau pastebima, kad </w:t>
      </w:r>
      <w:r w:rsidRPr="00EC1AB2">
        <w:rPr>
          <w:rFonts w:ascii="Times New Roman" w:hAnsi="Times New Roman" w:cs="Times New Roman"/>
          <w:spacing w:val="-20"/>
          <w:sz w:val="24"/>
          <w:szCs w:val="24"/>
        </w:rPr>
        <w:t xml:space="preserve"> </w:t>
      </w:r>
      <w:r w:rsidRPr="00EC1AB2">
        <w:rPr>
          <w:rFonts w:ascii="Times New Roman" w:hAnsi="Times New Roman" w:cs="Times New Roman"/>
          <w:sz w:val="24"/>
          <w:szCs w:val="24"/>
        </w:rPr>
        <w:t>20</w:t>
      </w:r>
      <w:r w:rsidRPr="00EC1AB2">
        <w:rPr>
          <w:rFonts w:ascii="Times New Roman" w:hAnsi="Times New Roman" w:cs="Times New Roman"/>
          <w:spacing w:val="-2"/>
          <w:sz w:val="24"/>
          <w:szCs w:val="24"/>
        </w:rPr>
        <w:t>1</w:t>
      </w:r>
      <w:r w:rsidRPr="00EC1AB2">
        <w:rPr>
          <w:rFonts w:ascii="Times New Roman" w:hAnsi="Times New Roman" w:cs="Times New Roman"/>
          <w:sz w:val="24"/>
          <w:szCs w:val="24"/>
        </w:rPr>
        <w:t xml:space="preserve">0 </w:t>
      </w:r>
      <w:r w:rsidRPr="00EC1AB2">
        <w:rPr>
          <w:rFonts w:ascii="Times New Roman" w:hAnsi="Times New Roman" w:cs="Times New Roman"/>
          <w:spacing w:val="-18"/>
          <w:sz w:val="24"/>
          <w:szCs w:val="24"/>
        </w:rPr>
        <w:t xml:space="preserve"> </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w:t>
      </w:r>
      <w:r w:rsidRPr="00EC1AB2">
        <w:rPr>
          <w:rFonts w:ascii="Times New Roman" w:hAnsi="Times New Roman" w:cs="Times New Roman"/>
          <w:spacing w:val="37"/>
          <w:sz w:val="24"/>
          <w:szCs w:val="24"/>
        </w:rPr>
        <w:t xml:space="preserve"> </w:t>
      </w:r>
      <w:r w:rsidRPr="00EC1AB2">
        <w:rPr>
          <w:rFonts w:ascii="Times New Roman" w:hAnsi="Times New Roman" w:cs="Times New Roman"/>
          <w:sz w:val="24"/>
          <w:szCs w:val="24"/>
        </w:rPr>
        <w:t>„</w:t>
      </w:r>
      <w:r w:rsidRPr="00EC1AB2">
        <w:rPr>
          <w:rFonts w:ascii="Times New Roman" w:hAnsi="Times New Roman" w:cs="Times New Roman"/>
          <w:spacing w:val="-1"/>
          <w:sz w:val="24"/>
          <w:szCs w:val="24"/>
        </w:rPr>
        <w:t>v</w:t>
      </w:r>
      <w:r w:rsidRPr="00EC1AB2">
        <w:rPr>
          <w:rFonts w:ascii="Times New Roman" w:hAnsi="Times New Roman" w:cs="Times New Roman"/>
          <w:sz w:val="24"/>
          <w:szCs w:val="24"/>
        </w:rPr>
        <w:t>er</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l</w:t>
      </w:r>
      <w:r w:rsidRPr="00EC1AB2">
        <w:rPr>
          <w:rFonts w:ascii="Times New Roman" w:hAnsi="Times New Roman" w:cs="Times New Roman"/>
          <w:sz w:val="24"/>
          <w:szCs w:val="24"/>
        </w:rPr>
        <w:t xml:space="preserve">o </w:t>
      </w:r>
      <w:r w:rsidRPr="00EC1AB2">
        <w:rPr>
          <w:rFonts w:ascii="Times New Roman" w:hAnsi="Times New Roman" w:cs="Times New Roman"/>
          <w:spacing w:val="1"/>
          <w:sz w:val="24"/>
          <w:szCs w:val="24"/>
        </w:rPr>
        <w:t>ange</w:t>
      </w:r>
      <w:r w:rsidRPr="00EC1AB2">
        <w:rPr>
          <w:rFonts w:ascii="Times New Roman" w:hAnsi="Times New Roman" w:cs="Times New Roman"/>
          <w:spacing w:val="-2"/>
          <w:sz w:val="24"/>
          <w:szCs w:val="24"/>
        </w:rPr>
        <w:t>l</w:t>
      </w:r>
      <w:r w:rsidRPr="00EC1AB2">
        <w:rPr>
          <w:rFonts w:ascii="Times New Roman" w:hAnsi="Times New Roman" w:cs="Times New Roman"/>
          <w:spacing w:val="1"/>
          <w:sz w:val="24"/>
          <w:szCs w:val="24"/>
        </w:rPr>
        <w:t>ų</w:t>
      </w:r>
      <w:r w:rsidRPr="00EC1AB2">
        <w:rPr>
          <w:rFonts w:ascii="Times New Roman" w:hAnsi="Times New Roman" w:cs="Times New Roman"/>
          <w:sz w:val="24"/>
          <w:szCs w:val="24"/>
        </w:rPr>
        <w:t>“</w:t>
      </w:r>
      <w:r w:rsidRPr="00EC1AB2">
        <w:rPr>
          <w:rFonts w:ascii="Times New Roman" w:hAnsi="Times New Roman" w:cs="Times New Roman"/>
          <w:spacing w:val="39"/>
          <w:sz w:val="24"/>
          <w:szCs w:val="24"/>
        </w:rPr>
        <w:t xml:space="preserve"> </w:t>
      </w:r>
      <w:r w:rsidRPr="00EC1AB2">
        <w:rPr>
          <w:rFonts w:ascii="Times New Roman" w:hAnsi="Times New Roman" w:cs="Times New Roman"/>
          <w:spacing w:val="1"/>
          <w:sz w:val="24"/>
          <w:szCs w:val="24"/>
        </w:rPr>
        <w:t>l</w:t>
      </w:r>
      <w:r w:rsidRPr="00EC1AB2">
        <w:rPr>
          <w:rFonts w:ascii="Times New Roman" w:hAnsi="Times New Roman" w:cs="Times New Roman"/>
          <w:spacing w:val="-2"/>
          <w:sz w:val="24"/>
          <w:szCs w:val="24"/>
        </w:rPr>
        <w:t>ė</w:t>
      </w:r>
      <w:r w:rsidRPr="00EC1AB2">
        <w:rPr>
          <w:rFonts w:ascii="Times New Roman" w:hAnsi="Times New Roman" w:cs="Times New Roman"/>
          <w:spacing w:val="1"/>
          <w:sz w:val="24"/>
          <w:szCs w:val="24"/>
        </w:rPr>
        <w:t>š</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m</w:t>
      </w:r>
      <w:r w:rsidRPr="00EC1AB2">
        <w:rPr>
          <w:rFonts w:ascii="Times New Roman" w:hAnsi="Times New Roman" w:cs="Times New Roman"/>
          <w:spacing w:val="-2"/>
          <w:sz w:val="24"/>
          <w:szCs w:val="24"/>
        </w:rPr>
        <w:t>i</w:t>
      </w:r>
      <w:r w:rsidRPr="00EC1AB2">
        <w:rPr>
          <w:rFonts w:ascii="Times New Roman" w:hAnsi="Times New Roman" w:cs="Times New Roman"/>
          <w:sz w:val="24"/>
          <w:szCs w:val="24"/>
        </w:rPr>
        <w:t>s</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1"/>
          <w:sz w:val="24"/>
          <w:szCs w:val="24"/>
        </w:rPr>
        <w:t>p</w:t>
      </w:r>
      <w:r w:rsidRPr="00EC1AB2">
        <w:rPr>
          <w:rFonts w:ascii="Times New Roman" w:hAnsi="Times New Roman" w:cs="Times New Roman"/>
          <w:spacing w:val="-2"/>
          <w:sz w:val="24"/>
          <w:szCs w:val="24"/>
        </w:rPr>
        <w:t>a</w:t>
      </w:r>
      <w:r w:rsidRPr="00EC1AB2">
        <w:rPr>
          <w:rFonts w:ascii="Times New Roman" w:hAnsi="Times New Roman" w:cs="Times New Roman"/>
          <w:spacing w:val="1"/>
          <w:sz w:val="24"/>
          <w:szCs w:val="24"/>
        </w:rPr>
        <w:t>si</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aud</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j</w:t>
      </w:r>
      <w:r w:rsidRPr="00EC1AB2">
        <w:rPr>
          <w:rFonts w:ascii="Times New Roman" w:hAnsi="Times New Roman" w:cs="Times New Roman"/>
          <w:sz w:val="24"/>
          <w:szCs w:val="24"/>
        </w:rPr>
        <w:t>o</w:t>
      </w:r>
      <w:r w:rsidRPr="00EC1AB2">
        <w:rPr>
          <w:rFonts w:ascii="Times New Roman" w:hAnsi="Times New Roman" w:cs="Times New Roman"/>
          <w:spacing w:val="38"/>
          <w:sz w:val="24"/>
          <w:szCs w:val="24"/>
        </w:rPr>
        <w:t xml:space="preserve"> </w:t>
      </w:r>
      <w:r w:rsidRPr="00EC1AB2">
        <w:rPr>
          <w:rFonts w:ascii="Times New Roman" w:hAnsi="Times New Roman" w:cs="Times New Roman"/>
          <w:spacing w:val="1"/>
          <w:sz w:val="24"/>
          <w:szCs w:val="24"/>
        </w:rPr>
        <w:t>4,</w:t>
      </w:r>
      <w:r w:rsidRPr="00EC1AB2">
        <w:rPr>
          <w:rFonts w:ascii="Times New Roman" w:hAnsi="Times New Roman" w:cs="Times New Roman"/>
          <w:sz w:val="24"/>
          <w:szCs w:val="24"/>
        </w:rPr>
        <w:t>8</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1"/>
          <w:sz w:val="24"/>
          <w:szCs w:val="24"/>
        </w:rPr>
        <w:t>pr</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ce</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t</w:t>
      </w:r>
      <w:r w:rsidRPr="00EC1AB2">
        <w:rPr>
          <w:rFonts w:ascii="Times New Roman" w:hAnsi="Times New Roman" w:cs="Times New Roman"/>
          <w:sz w:val="24"/>
          <w:szCs w:val="24"/>
        </w:rPr>
        <w:t>o</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2"/>
          <w:sz w:val="24"/>
          <w:szCs w:val="24"/>
        </w:rPr>
        <w:t>į</w:t>
      </w:r>
      <w:r w:rsidRPr="00EC1AB2">
        <w:rPr>
          <w:rFonts w:ascii="Times New Roman" w:hAnsi="Times New Roman" w:cs="Times New Roman"/>
          <w:spacing w:val="1"/>
          <w:sz w:val="24"/>
          <w:szCs w:val="24"/>
        </w:rPr>
        <w:t>mo</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ių</w:t>
      </w:r>
      <w:r w:rsidRPr="00EC1AB2">
        <w:rPr>
          <w:rFonts w:ascii="Times New Roman" w:hAnsi="Times New Roman" w:cs="Times New Roman"/>
          <w:sz w:val="24"/>
          <w:szCs w:val="24"/>
        </w:rPr>
        <w:t>,</w:t>
      </w:r>
      <w:r w:rsidRPr="00EC1AB2">
        <w:rPr>
          <w:rFonts w:ascii="Times New Roman" w:hAnsi="Times New Roman" w:cs="Times New Roman"/>
          <w:spacing w:val="40"/>
          <w:sz w:val="24"/>
          <w:szCs w:val="24"/>
        </w:rPr>
        <w:t xml:space="preserve"> </w:t>
      </w:r>
      <w:r w:rsidRPr="00EC1AB2">
        <w:rPr>
          <w:rFonts w:ascii="Times New Roman" w:hAnsi="Times New Roman" w:cs="Times New Roman"/>
          <w:sz w:val="24"/>
          <w:szCs w:val="24"/>
        </w:rPr>
        <w:t>o</w:t>
      </w:r>
      <w:r w:rsidRPr="00EC1AB2">
        <w:rPr>
          <w:rFonts w:ascii="Times New Roman" w:hAnsi="Times New Roman" w:cs="Times New Roman"/>
          <w:spacing w:val="40"/>
          <w:sz w:val="24"/>
          <w:szCs w:val="24"/>
        </w:rPr>
        <w:t xml:space="preserve"> </w:t>
      </w:r>
      <w:r w:rsidR="0095651A" w:rsidRPr="00EC1AB2">
        <w:rPr>
          <w:rFonts w:ascii="Times New Roman" w:hAnsi="Times New Roman" w:cs="Times New Roman"/>
          <w:spacing w:val="-3"/>
          <w:sz w:val="24"/>
          <w:szCs w:val="24"/>
        </w:rPr>
        <w:t>RKF lėšomis</w:t>
      </w:r>
      <w:r w:rsidRPr="00EC1AB2">
        <w:rPr>
          <w:rFonts w:ascii="Times New Roman" w:hAnsi="Times New Roman" w:cs="Times New Roman"/>
          <w:spacing w:val="40"/>
          <w:sz w:val="24"/>
          <w:szCs w:val="24"/>
        </w:rPr>
        <w:t xml:space="preserve"> </w:t>
      </w:r>
      <w:r w:rsidRPr="00EC1AB2">
        <w:rPr>
          <w:rFonts w:ascii="Times New Roman" w:hAnsi="Times New Roman" w:cs="Times New Roman"/>
          <w:sz w:val="24"/>
          <w:szCs w:val="24"/>
        </w:rPr>
        <w:t>–</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1"/>
          <w:sz w:val="24"/>
          <w:szCs w:val="24"/>
        </w:rPr>
        <w:t>3</w:t>
      </w:r>
      <w:r w:rsidRPr="00EC1AB2">
        <w:rPr>
          <w:rFonts w:ascii="Times New Roman" w:hAnsi="Times New Roman" w:cs="Times New Roman"/>
          <w:spacing w:val="-2"/>
          <w:sz w:val="24"/>
          <w:szCs w:val="24"/>
        </w:rPr>
        <w:t>,</w:t>
      </w:r>
      <w:r w:rsidRPr="00EC1AB2">
        <w:rPr>
          <w:rFonts w:ascii="Times New Roman" w:hAnsi="Times New Roman" w:cs="Times New Roman"/>
          <w:sz w:val="24"/>
          <w:szCs w:val="24"/>
        </w:rPr>
        <w:t xml:space="preserve">2 </w:t>
      </w:r>
      <w:r w:rsidRPr="00EC1AB2">
        <w:rPr>
          <w:rFonts w:ascii="Times New Roman" w:hAnsi="Times New Roman" w:cs="Times New Roman"/>
          <w:spacing w:val="-15"/>
          <w:sz w:val="24"/>
          <w:szCs w:val="24"/>
        </w:rPr>
        <w:t xml:space="preserve"> </w:t>
      </w:r>
      <w:r w:rsidRPr="00EC1AB2">
        <w:rPr>
          <w:rFonts w:ascii="Times New Roman" w:hAnsi="Times New Roman" w:cs="Times New Roman"/>
          <w:spacing w:val="1"/>
          <w:sz w:val="24"/>
          <w:szCs w:val="24"/>
        </w:rPr>
        <w:t>pr</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c</w:t>
      </w:r>
      <w:r w:rsidRPr="00EC1AB2">
        <w:rPr>
          <w:rFonts w:ascii="Times New Roman" w:hAnsi="Times New Roman" w:cs="Times New Roman"/>
          <w:spacing w:val="1"/>
          <w:sz w:val="24"/>
          <w:szCs w:val="24"/>
        </w:rPr>
        <w:t>ent</w:t>
      </w:r>
      <w:r w:rsidRPr="00EC1AB2">
        <w:rPr>
          <w:rFonts w:ascii="Times New Roman" w:hAnsi="Times New Roman" w:cs="Times New Roman"/>
          <w:sz w:val="24"/>
          <w:szCs w:val="24"/>
        </w:rPr>
        <w:t>o</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1"/>
          <w:sz w:val="24"/>
          <w:szCs w:val="24"/>
        </w:rPr>
        <w:t>(</w:t>
      </w:r>
      <w:r w:rsidRPr="00EC1AB2">
        <w:rPr>
          <w:rFonts w:ascii="Times New Roman" w:hAnsi="Times New Roman" w:cs="Times New Roman"/>
          <w:spacing w:val="-2"/>
          <w:sz w:val="24"/>
          <w:szCs w:val="24"/>
        </w:rPr>
        <w:t>2</w:t>
      </w:r>
      <w:r w:rsidRPr="00EC1AB2">
        <w:rPr>
          <w:rFonts w:ascii="Times New Roman" w:hAnsi="Times New Roman" w:cs="Times New Roman"/>
          <w:spacing w:val="1"/>
          <w:sz w:val="24"/>
          <w:szCs w:val="24"/>
        </w:rPr>
        <w:t>00</w:t>
      </w:r>
      <w:r w:rsidRPr="00EC1AB2">
        <w:rPr>
          <w:rFonts w:ascii="Times New Roman" w:hAnsi="Times New Roman" w:cs="Times New Roman"/>
          <w:sz w:val="24"/>
          <w:szCs w:val="24"/>
        </w:rPr>
        <w:t>7</w:t>
      </w:r>
      <w:r w:rsidRPr="00EC1AB2">
        <w:rPr>
          <w:rFonts w:ascii="Times New Roman" w:hAnsi="Times New Roman" w:cs="Times New Roman"/>
          <w:spacing w:val="37"/>
          <w:sz w:val="24"/>
          <w:szCs w:val="24"/>
        </w:rPr>
        <w:t xml:space="preserve"> </w:t>
      </w:r>
      <w:r w:rsidRPr="00EC1AB2">
        <w:rPr>
          <w:rFonts w:ascii="Times New Roman" w:hAnsi="Times New Roman" w:cs="Times New Roman"/>
          <w:spacing w:val="1"/>
          <w:sz w:val="24"/>
          <w:szCs w:val="24"/>
        </w:rPr>
        <w:t>m</w:t>
      </w:r>
      <w:r w:rsidRPr="00EC1AB2">
        <w:rPr>
          <w:rFonts w:ascii="Times New Roman" w:hAnsi="Times New Roman" w:cs="Times New Roman"/>
          <w:sz w:val="24"/>
          <w:szCs w:val="24"/>
        </w:rPr>
        <w:t>.</w:t>
      </w:r>
      <w:r w:rsidRPr="00EC1AB2">
        <w:rPr>
          <w:rFonts w:ascii="Times New Roman" w:hAnsi="Times New Roman" w:cs="Times New Roman"/>
          <w:spacing w:val="40"/>
          <w:sz w:val="24"/>
          <w:szCs w:val="24"/>
        </w:rPr>
        <w:t xml:space="preserve"> </w:t>
      </w:r>
      <w:r w:rsidRPr="00EC1AB2">
        <w:rPr>
          <w:rFonts w:ascii="Times New Roman" w:hAnsi="Times New Roman" w:cs="Times New Roman"/>
          <w:spacing w:val="-1"/>
          <w:sz w:val="24"/>
          <w:szCs w:val="24"/>
        </w:rPr>
        <w:t>š</w:t>
      </w:r>
      <w:r w:rsidRPr="00EC1AB2">
        <w:rPr>
          <w:rFonts w:ascii="Times New Roman" w:hAnsi="Times New Roman" w:cs="Times New Roman"/>
          <w:spacing w:val="1"/>
          <w:sz w:val="24"/>
          <w:szCs w:val="24"/>
        </w:rPr>
        <w:t>i</w:t>
      </w:r>
      <w:r w:rsidRPr="00EC1AB2">
        <w:rPr>
          <w:rFonts w:ascii="Times New Roman" w:hAnsi="Times New Roman" w:cs="Times New Roman"/>
          <w:spacing w:val="-2"/>
          <w:sz w:val="24"/>
          <w:szCs w:val="24"/>
        </w:rPr>
        <w:t>o</w:t>
      </w:r>
      <w:r w:rsidRPr="00EC1AB2">
        <w:rPr>
          <w:rFonts w:ascii="Times New Roman" w:hAnsi="Times New Roman" w:cs="Times New Roman"/>
          <w:spacing w:val="1"/>
          <w:sz w:val="24"/>
          <w:szCs w:val="24"/>
        </w:rPr>
        <w:t>mi</w:t>
      </w:r>
      <w:r w:rsidRPr="00EC1AB2">
        <w:rPr>
          <w:rFonts w:ascii="Times New Roman" w:hAnsi="Times New Roman" w:cs="Times New Roman"/>
          <w:sz w:val="24"/>
          <w:szCs w:val="24"/>
        </w:rPr>
        <w:t>s</w:t>
      </w:r>
      <w:r w:rsidRPr="00EC1AB2">
        <w:rPr>
          <w:rFonts w:ascii="Times New Roman" w:hAnsi="Times New Roman" w:cs="Times New Roman"/>
          <w:spacing w:val="38"/>
          <w:sz w:val="24"/>
          <w:szCs w:val="24"/>
        </w:rPr>
        <w:t xml:space="preserve"> </w:t>
      </w:r>
      <w:r w:rsidRPr="00EC1AB2">
        <w:rPr>
          <w:rFonts w:ascii="Times New Roman" w:hAnsi="Times New Roman" w:cs="Times New Roman"/>
          <w:spacing w:val="2"/>
          <w:sz w:val="24"/>
          <w:szCs w:val="24"/>
        </w:rPr>
        <w:t>l</w:t>
      </w:r>
      <w:r w:rsidRPr="00EC1AB2">
        <w:rPr>
          <w:rFonts w:ascii="Times New Roman" w:hAnsi="Times New Roman" w:cs="Times New Roman"/>
          <w:spacing w:val="-2"/>
          <w:sz w:val="24"/>
          <w:szCs w:val="24"/>
        </w:rPr>
        <w:t>ė</w:t>
      </w:r>
      <w:r w:rsidRPr="00EC1AB2">
        <w:rPr>
          <w:rFonts w:ascii="Times New Roman" w:hAnsi="Times New Roman" w:cs="Times New Roman"/>
          <w:spacing w:val="1"/>
          <w:sz w:val="24"/>
          <w:szCs w:val="24"/>
        </w:rPr>
        <w:t>šo</w:t>
      </w:r>
      <w:r w:rsidRPr="00EC1AB2">
        <w:rPr>
          <w:rFonts w:ascii="Times New Roman" w:hAnsi="Times New Roman" w:cs="Times New Roman"/>
          <w:spacing w:val="-1"/>
          <w:sz w:val="24"/>
          <w:szCs w:val="24"/>
        </w:rPr>
        <w:t>m</w:t>
      </w:r>
      <w:r w:rsidRPr="00EC1AB2">
        <w:rPr>
          <w:rFonts w:ascii="Times New Roman" w:hAnsi="Times New Roman" w:cs="Times New Roman"/>
          <w:spacing w:val="-2"/>
          <w:sz w:val="24"/>
          <w:szCs w:val="24"/>
        </w:rPr>
        <w:t>i</w:t>
      </w:r>
      <w:r w:rsidRPr="00EC1AB2">
        <w:rPr>
          <w:rFonts w:ascii="Times New Roman" w:hAnsi="Times New Roman" w:cs="Times New Roman"/>
          <w:sz w:val="24"/>
          <w:szCs w:val="24"/>
        </w:rPr>
        <w:t xml:space="preserve">s </w:t>
      </w:r>
      <w:r w:rsidRPr="00EC1AB2">
        <w:rPr>
          <w:rFonts w:ascii="Times New Roman" w:hAnsi="Times New Roman" w:cs="Times New Roman"/>
          <w:spacing w:val="1"/>
          <w:sz w:val="24"/>
          <w:szCs w:val="24"/>
        </w:rPr>
        <w:t>pas</w:t>
      </w:r>
      <w:r w:rsidRPr="00EC1AB2">
        <w:rPr>
          <w:rFonts w:ascii="Times New Roman" w:hAnsi="Times New Roman" w:cs="Times New Roman"/>
          <w:spacing w:val="-2"/>
          <w:sz w:val="24"/>
          <w:szCs w:val="24"/>
        </w:rPr>
        <w:t>i</w:t>
      </w:r>
      <w:r w:rsidRPr="00EC1AB2">
        <w:rPr>
          <w:rFonts w:ascii="Times New Roman" w:hAnsi="Times New Roman" w:cs="Times New Roman"/>
          <w:spacing w:val="1"/>
          <w:sz w:val="24"/>
          <w:szCs w:val="24"/>
        </w:rPr>
        <w:t>na</w:t>
      </w:r>
      <w:r w:rsidRPr="00EC1AB2">
        <w:rPr>
          <w:rFonts w:ascii="Times New Roman" w:hAnsi="Times New Roman" w:cs="Times New Roman"/>
          <w:spacing w:val="-2"/>
          <w:sz w:val="24"/>
          <w:szCs w:val="24"/>
        </w:rPr>
        <w:t>u</w:t>
      </w:r>
      <w:r w:rsidRPr="00EC1AB2">
        <w:rPr>
          <w:rFonts w:ascii="Times New Roman" w:hAnsi="Times New Roman" w:cs="Times New Roman"/>
          <w:spacing w:val="1"/>
          <w:sz w:val="24"/>
          <w:szCs w:val="24"/>
        </w:rPr>
        <w:t>doj</w:t>
      </w:r>
      <w:r w:rsidRPr="00EC1AB2">
        <w:rPr>
          <w:rFonts w:ascii="Times New Roman" w:hAnsi="Times New Roman" w:cs="Times New Roman"/>
          <w:spacing w:val="-2"/>
          <w:sz w:val="24"/>
          <w:szCs w:val="24"/>
        </w:rPr>
        <w:t>u</w:t>
      </w:r>
      <w:r w:rsidRPr="00EC1AB2">
        <w:rPr>
          <w:rFonts w:ascii="Times New Roman" w:hAnsi="Times New Roman" w:cs="Times New Roman"/>
          <w:spacing w:val="1"/>
          <w:sz w:val="24"/>
          <w:szCs w:val="24"/>
        </w:rPr>
        <w:t>s</w:t>
      </w:r>
      <w:r w:rsidRPr="00EC1AB2">
        <w:rPr>
          <w:rFonts w:ascii="Times New Roman" w:hAnsi="Times New Roman" w:cs="Times New Roman"/>
          <w:spacing w:val="-1"/>
          <w:sz w:val="24"/>
          <w:szCs w:val="24"/>
        </w:rPr>
        <w:t>i</w:t>
      </w:r>
      <w:r w:rsidRPr="00EC1AB2">
        <w:rPr>
          <w:rFonts w:ascii="Times New Roman" w:hAnsi="Times New Roman" w:cs="Times New Roman"/>
          <w:sz w:val="24"/>
          <w:szCs w:val="24"/>
        </w:rPr>
        <w:t>ų</w:t>
      </w:r>
      <w:r w:rsidRPr="00EC1AB2">
        <w:rPr>
          <w:rFonts w:ascii="Times New Roman" w:hAnsi="Times New Roman" w:cs="Times New Roman"/>
          <w:spacing w:val="1"/>
          <w:sz w:val="24"/>
          <w:szCs w:val="24"/>
        </w:rPr>
        <w:t xml:space="preserve"> </w:t>
      </w:r>
      <w:r w:rsidRPr="00EC1AB2">
        <w:rPr>
          <w:rFonts w:ascii="Times New Roman" w:hAnsi="Times New Roman" w:cs="Times New Roman"/>
          <w:spacing w:val="-2"/>
          <w:sz w:val="24"/>
          <w:szCs w:val="24"/>
        </w:rPr>
        <w:t>į</w:t>
      </w:r>
      <w:r w:rsidRPr="00EC1AB2">
        <w:rPr>
          <w:rFonts w:ascii="Times New Roman" w:hAnsi="Times New Roman" w:cs="Times New Roman"/>
          <w:spacing w:val="1"/>
          <w:sz w:val="24"/>
          <w:szCs w:val="24"/>
        </w:rPr>
        <w:t>mon</w:t>
      </w:r>
      <w:r w:rsidRPr="00EC1AB2">
        <w:rPr>
          <w:rFonts w:ascii="Times New Roman" w:hAnsi="Times New Roman" w:cs="Times New Roman"/>
          <w:spacing w:val="-1"/>
          <w:sz w:val="24"/>
          <w:szCs w:val="24"/>
        </w:rPr>
        <w:t>i</w:t>
      </w:r>
      <w:r w:rsidRPr="00EC1AB2">
        <w:rPr>
          <w:rFonts w:ascii="Times New Roman" w:hAnsi="Times New Roman" w:cs="Times New Roman"/>
          <w:sz w:val="24"/>
          <w:szCs w:val="24"/>
        </w:rPr>
        <w:t>ų</w:t>
      </w:r>
      <w:r w:rsidRPr="00EC1AB2">
        <w:rPr>
          <w:rFonts w:ascii="Times New Roman" w:hAnsi="Times New Roman" w:cs="Times New Roman"/>
          <w:spacing w:val="1"/>
          <w:sz w:val="24"/>
          <w:szCs w:val="24"/>
        </w:rPr>
        <w:t xml:space="preserve"> </w:t>
      </w:r>
      <w:r w:rsidRPr="00EC1AB2">
        <w:rPr>
          <w:rFonts w:ascii="Times New Roman" w:hAnsi="Times New Roman" w:cs="Times New Roman"/>
          <w:spacing w:val="-2"/>
          <w:sz w:val="24"/>
          <w:szCs w:val="24"/>
        </w:rPr>
        <w:t>n</w:t>
      </w:r>
      <w:r w:rsidRPr="00EC1AB2">
        <w:rPr>
          <w:rFonts w:ascii="Times New Roman" w:hAnsi="Times New Roman" w:cs="Times New Roman"/>
          <w:spacing w:val="1"/>
          <w:sz w:val="24"/>
          <w:szCs w:val="24"/>
        </w:rPr>
        <w:t>ebu</w:t>
      </w:r>
      <w:r w:rsidRPr="00EC1AB2">
        <w:rPr>
          <w:rFonts w:ascii="Times New Roman" w:hAnsi="Times New Roman" w:cs="Times New Roman"/>
          <w:spacing w:val="-1"/>
          <w:sz w:val="24"/>
          <w:szCs w:val="24"/>
        </w:rPr>
        <w:t>v</w:t>
      </w:r>
      <w:r w:rsidRPr="00EC1AB2">
        <w:rPr>
          <w:rFonts w:ascii="Times New Roman" w:hAnsi="Times New Roman" w:cs="Times New Roman"/>
          <w:spacing w:val="-2"/>
          <w:sz w:val="24"/>
          <w:szCs w:val="24"/>
        </w:rPr>
        <w:t>o</w:t>
      </w:r>
      <w:r w:rsidRPr="00EC1AB2">
        <w:rPr>
          <w:rFonts w:ascii="Times New Roman" w:hAnsi="Times New Roman" w:cs="Times New Roman"/>
          <w:sz w:val="24"/>
          <w:szCs w:val="24"/>
        </w:rPr>
        <w:t>).</w:t>
      </w:r>
    </w:p>
    <w:p w:rsidR="00657440" w:rsidRPr="00EC1AB2" w:rsidRDefault="007961A5" w:rsidP="007A02A8">
      <w:pPr>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hAnsi="Times New Roman" w:cs="Times New Roman"/>
          <w:sz w:val="24"/>
          <w:szCs w:val="24"/>
        </w:rPr>
        <w:t xml:space="preserve">Da Rin M., Nicodano G., Sembenelli A. (2005) teigė, kad RKF investicijų į  ankstyvos plėtros stadijos įmones santykis su visomis rizikos kapitalo fondų investicijomis parodo rizikos kapitalo rinkos aktyvumo lygį. Baltijos valstybėse ir ES vyrauja rizikos kapitalo investicijos verslo pradžiai (žr. </w:t>
      </w:r>
      <w:r w:rsidR="0049040A" w:rsidRPr="00EC1AB2">
        <w:rPr>
          <w:rFonts w:ascii="Times New Roman" w:hAnsi="Times New Roman" w:cs="Times New Roman"/>
          <w:sz w:val="24"/>
          <w:szCs w:val="24"/>
        </w:rPr>
        <w:t>7</w:t>
      </w:r>
      <w:r w:rsidRPr="00EC1AB2">
        <w:rPr>
          <w:rFonts w:ascii="Times New Roman" w:hAnsi="Times New Roman" w:cs="Times New Roman"/>
          <w:sz w:val="24"/>
          <w:szCs w:val="24"/>
        </w:rPr>
        <w:t xml:space="preserve"> pav.).</w:t>
      </w:r>
    </w:p>
    <w:p w:rsidR="007E362E" w:rsidRPr="00EC1AB2" w:rsidRDefault="008A5F2D" w:rsidP="007A02A8">
      <w:pPr>
        <w:autoSpaceDE w:val="0"/>
        <w:autoSpaceDN w:val="0"/>
        <w:adjustRightInd w:val="0"/>
        <w:spacing w:after="0" w:line="360" w:lineRule="auto"/>
        <w:rPr>
          <w:rFonts w:ascii="Times New Roman" w:hAnsi="Times New Roman" w:cs="Times New Roman"/>
          <w:b/>
          <w:sz w:val="28"/>
          <w:szCs w:val="28"/>
        </w:rPr>
      </w:pPr>
      <w:r w:rsidRPr="00EC1AB2">
        <w:rPr>
          <w:rFonts w:ascii="Times New Roman" w:hAnsi="Times New Roman" w:cs="Times New Roman"/>
          <w:noProof/>
          <w:lang w:eastAsia="lt-LT"/>
        </w:rPr>
        <w:drawing>
          <wp:anchor distT="0" distB="0" distL="114300" distR="114300" simplePos="0" relativeHeight="251761664" behindDoc="1" locked="0" layoutInCell="1" allowOverlap="1" wp14:anchorId="090E697B" wp14:editId="08F13ABA">
            <wp:simplePos x="0" y="0"/>
            <wp:positionH relativeFrom="column">
              <wp:posOffset>2358390</wp:posOffset>
            </wp:positionH>
            <wp:positionV relativeFrom="paragraph">
              <wp:posOffset>311150</wp:posOffset>
            </wp:positionV>
            <wp:extent cx="3848100" cy="1847850"/>
            <wp:effectExtent l="0" t="0" r="0" b="0"/>
            <wp:wrapTight wrapText="bothSides">
              <wp:wrapPolygon edited="0">
                <wp:start x="8234" y="668"/>
                <wp:lineTo x="4063" y="4676"/>
                <wp:lineTo x="3743" y="6235"/>
                <wp:lineTo x="3850" y="7126"/>
                <wp:lineTo x="4384" y="8239"/>
                <wp:lineTo x="10693" y="11802"/>
                <wp:lineTo x="10800" y="15365"/>
                <wp:lineTo x="14008" y="18928"/>
                <wp:lineTo x="14008" y="19151"/>
                <wp:lineTo x="14543" y="20709"/>
                <wp:lineTo x="14650" y="21155"/>
                <wp:lineTo x="16147" y="21155"/>
                <wp:lineTo x="16253" y="20709"/>
                <wp:lineTo x="16788" y="19151"/>
                <wp:lineTo x="17109" y="17592"/>
                <wp:lineTo x="16467" y="17146"/>
                <wp:lineTo x="10693" y="15365"/>
                <wp:lineTo x="10693" y="11802"/>
                <wp:lineTo x="5881" y="8239"/>
                <wp:lineTo x="11549" y="8239"/>
                <wp:lineTo x="19675" y="6235"/>
                <wp:lineTo x="19568" y="4676"/>
                <wp:lineTo x="13901" y="668"/>
                <wp:lineTo x="8234" y="668"/>
              </wp:wrapPolygon>
            </wp:wrapTight>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7E362E" w:rsidRPr="00EC1AB2" w:rsidRDefault="008A5F2D" w:rsidP="007A02A8">
      <w:pPr>
        <w:autoSpaceDE w:val="0"/>
        <w:autoSpaceDN w:val="0"/>
        <w:adjustRightInd w:val="0"/>
        <w:spacing w:after="0" w:line="360" w:lineRule="auto"/>
        <w:ind w:left="1296"/>
        <w:jc w:val="center"/>
        <w:rPr>
          <w:rFonts w:ascii="Times New Roman" w:hAnsi="Times New Roman" w:cs="Times New Roman"/>
          <w:b/>
          <w:sz w:val="28"/>
          <w:szCs w:val="28"/>
        </w:rPr>
      </w:pPr>
      <w:r w:rsidRPr="00EC1AB2">
        <w:rPr>
          <w:rFonts w:ascii="Times New Roman" w:hAnsi="Times New Roman" w:cs="Times New Roman"/>
          <w:noProof/>
          <w:lang w:eastAsia="lt-LT"/>
        </w:rPr>
        <w:drawing>
          <wp:anchor distT="0" distB="0" distL="114300" distR="114300" simplePos="0" relativeHeight="251760640" behindDoc="1" locked="0" layoutInCell="1" allowOverlap="1" wp14:anchorId="29669709" wp14:editId="5FBD0737">
            <wp:simplePos x="0" y="0"/>
            <wp:positionH relativeFrom="column">
              <wp:posOffset>-441960</wp:posOffset>
            </wp:positionH>
            <wp:positionV relativeFrom="paragraph">
              <wp:posOffset>4445</wp:posOffset>
            </wp:positionV>
            <wp:extent cx="3914775" cy="1924050"/>
            <wp:effectExtent l="0" t="0" r="0" b="0"/>
            <wp:wrapTight wrapText="bothSides">
              <wp:wrapPolygon edited="0">
                <wp:start x="10091" y="855"/>
                <wp:lineTo x="10091" y="2139"/>
                <wp:lineTo x="12193" y="4705"/>
                <wp:lineTo x="12823" y="4705"/>
                <wp:lineTo x="10826" y="8127"/>
                <wp:lineTo x="5676" y="10265"/>
                <wp:lineTo x="3994" y="11121"/>
                <wp:lineTo x="3574" y="12618"/>
                <wp:lineTo x="4309" y="14756"/>
                <wp:lineTo x="10721" y="14970"/>
                <wp:lineTo x="15346" y="17964"/>
                <wp:lineTo x="16818" y="17964"/>
                <wp:lineTo x="17658" y="15612"/>
                <wp:lineTo x="17343" y="14115"/>
                <wp:lineTo x="6096" y="11549"/>
                <wp:lineTo x="10721" y="8127"/>
                <wp:lineTo x="11352" y="8127"/>
                <wp:lineTo x="17133" y="5133"/>
                <wp:lineTo x="17343" y="4277"/>
                <wp:lineTo x="15872" y="3636"/>
                <wp:lineTo x="11352" y="855"/>
                <wp:lineTo x="10091" y="855"/>
              </wp:wrapPolygon>
            </wp:wrapTight>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BD4533" w:rsidRPr="00EC1AB2" w:rsidRDefault="00BD4533" w:rsidP="007A02A8">
      <w:pPr>
        <w:autoSpaceDE w:val="0"/>
        <w:autoSpaceDN w:val="0"/>
        <w:adjustRightInd w:val="0"/>
        <w:spacing w:after="0" w:line="360" w:lineRule="auto"/>
        <w:ind w:left="1296"/>
        <w:jc w:val="center"/>
        <w:rPr>
          <w:rFonts w:ascii="Times New Roman" w:hAnsi="Times New Roman" w:cs="Times New Roman"/>
          <w:b/>
          <w:sz w:val="28"/>
          <w:szCs w:val="28"/>
        </w:rPr>
      </w:pPr>
    </w:p>
    <w:p w:rsidR="002D5208" w:rsidRPr="00EC1AB2" w:rsidRDefault="002D5208"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w:t>
      </w:r>
      <w:r w:rsidR="00EC599C" w:rsidRPr="00EC1AB2">
        <w:rPr>
          <w:rFonts w:ascii="Times New Roman" w:hAnsi="Times New Roman" w:cs="Times New Roman"/>
          <w:sz w:val="20"/>
          <w:szCs w:val="20"/>
        </w:rPr>
        <w:t xml:space="preserve">sudaryta pagal </w:t>
      </w:r>
      <w:r w:rsidRPr="00EC1AB2">
        <w:rPr>
          <w:rFonts w:ascii="Times New Roman" w:hAnsi="Times New Roman" w:cs="Times New Roman"/>
          <w:sz w:val="20"/>
          <w:szCs w:val="20"/>
        </w:rPr>
        <w:t>EVCA kasmet</w:t>
      </w:r>
      <w:r w:rsidR="00EC599C" w:rsidRPr="00EC1AB2">
        <w:rPr>
          <w:rFonts w:ascii="Times New Roman" w:hAnsi="Times New Roman" w:cs="Times New Roman"/>
          <w:sz w:val="20"/>
          <w:szCs w:val="20"/>
        </w:rPr>
        <w:t>inį</w:t>
      </w:r>
      <w:r w:rsidRPr="00EC1AB2">
        <w:rPr>
          <w:rFonts w:ascii="Times New Roman" w:hAnsi="Times New Roman" w:cs="Times New Roman"/>
          <w:sz w:val="20"/>
          <w:szCs w:val="20"/>
        </w:rPr>
        <w:t xml:space="preserve"> </w:t>
      </w:r>
      <w:r w:rsidR="00EC599C" w:rsidRPr="00EC1AB2">
        <w:rPr>
          <w:rFonts w:ascii="Times New Roman" w:hAnsi="Times New Roman" w:cs="Times New Roman"/>
          <w:sz w:val="20"/>
          <w:szCs w:val="20"/>
        </w:rPr>
        <w:t>statistikos leidinį</w:t>
      </w:r>
      <w:r w:rsidRPr="00EC1AB2">
        <w:rPr>
          <w:rFonts w:ascii="Times New Roman" w:hAnsi="Times New Roman" w:cs="Times New Roman"/>
          <w:sz w:val="20"/>
          <w:szCs w:val="20"/>
        </w:rPr>
        <w:t>, 2011</w:t>
      </w:r>
      <w:r w:rsidRPr="00EC1AB2">
        <w:rPr>
          <w:rFonts w:ascii="Times New Roman" w:hAnsi="Times New Roman" w:cs="Times New Roman"/>
          <w:sz w:val="20"/>
          <w:szCs w:val="20"/>
        </w:rPr>
        <w:tab/>
      </w:r>
    </w:p>
    <w:p w:rsidR="00DD5A5D" w:rsidRPr="00EC1AB2" w:rsidRDefault="0049040A" w:rsidP="007A02A8">
      <w:pPr>
        <w:pStyle w:val="Heading5"/>
        <w:spacing w:before="0" w:line="360" w:lineRule="auto"/>
        <w:jc w:val="center"/>
        <w:rPr>
          <w:rFonts w:ascii="Times New Roman" w:eastAsia="Batang" w:hAnsi="Times New Roman" w:cs="Times New Roman"/>
          <w:b/>
          <w:color w:val="auto"/>
          <w:sz w:val="24"/>
          <w:szCs w:val="24"/>
        </w:rPr>
      </w:pPr>
      <w:bookmarkStart w:id="104" w:name="_Toc320761920"/>
      <w:bookmarkStart w:id="105" w:name="_Toc320762155"/>
      <w:bookmarkStart w:id="106" w:name="_Toc320762557"/>
      <w:r w:rsidRPr="00EC1AB2">
        <w:rPr>
          <w:rFonts w:ascii="Times New Roman" w:eastAsia="Batang" w:hAnsi="Times New Roman" w:cs="Times New Roman"/>
          <w:color w:val="auto"/>
          <w:sz w:val="24"/>
          <w:szCs w:val="24"/>
        </w:rPr>
        <w:t>7</w:t>
      </w:r>
      <w:r w:rsidR="002D5208" w:rsidRPr="00EC1AB2">
        <w:rPr>
          <w:rFonts w:ascii="Times New Roman" w:eastAsia="Batang" w:hAnsi="Times New Roman" w:cs="Times New Roman"/>
          <w:color w:val="auto"/>
          <w:sz w:val="24"/>
          <w:szCs w:val="24"/>
        </w:rPr>
        <w:t xml:space="preserve"> pav.</w:t>
      </w:r>
      <w:r w:rsidR="002D5208" w:rsidRPr="00EC1AB2">
        <w:rPr>
          <w:rFonts w:ascii="Times New Roman" w:eastAsia="Batang" w:hAnsi="Times New Roman" w:cs="Times New Roman"/>
          <w:b/>
          <w:color w:val="auto"/>
          <w:sz w:val="24"/>
          <w:szCs w:val="24"/>
        </w:rPr>
        <w:t xml:space="preserve"> </w:t>
      </w:r>
      <w:r w:rsidR="0053145C" w:rsidRPr="00EC1AB2">
        <w:rPr>
          <w:rFonts w:ascii="Times New Roman" w:eastAsia="Batang" w:hAnsi="Times New Roman" w:cs="Times New Roman"/>
          <w:b/>
          <w:color w:val="auto"/>
          <w:sz w:val="24"/>
          <w:szCs w:val="24"/>
        </w:rPr>
        <w:t>Rizikos kapitalo</w:t>
      </w:r>
      <w:r w:rsidR="002D5208" w:rsidRPr="00EC1AB2">
        <w:rPr>
          <w:rFonts w:ascii="Times New Roman" w:eastAsia="Batang" w:hAnsi="Times New Roman" w:cs="Times New Roman"/>
          <w:b/>
          <w:color w:val="auto"/>
          <w:sz w:val="24"/>
          <w:szCs w:val="24"/>
        </w:rPr>
        <w:t xml:space="preserve"> </w:t>
      </w:r>
      <w:r w:rsidR="008A1800" w:rsidRPr="00EC1AB2">
        <w:rPr>
          <w:rFonts w:ascii="Times New Roman" w:eastAsia="Batang" w:hAnsi="Times New Roman" w:cs="Times New Roman"/>
          <w:b/>
          <w:color w:val="auto"/>
          <w:sz w:val="24"/>
          <w:szCs w:val="24"/>
        </w:rPr>
        <w:t xml:space="preserve">fondų </w:t>
      </w:r>
      <w:r w:rsidR="002D5208" w:rsidRPr="00EC1AB2">
        <w:rPr>
          <w:rFonts w:ascii="Times New Roman" w:eastAsia="Batang" w:hAnsi="Times New Roman" w:cs="Times New Roman"/>
          <w:b/>
          <w:color w:val="auto"/>
          <w:sz w:val="24"/>
          <w:szCs w:val="24"/>
        </w:rPr>
        <w:t>investicijos ES ir Baltijos valstybėse pagal investicijų tipą 2010 m., proc.</w:t>
      </w:r>
      <w:bookmarkEnd w:id="104"/>
      <w:bookmarkEnd w:id="105"/>
      <w:bookmarkEnd w:id="106"/>
    </w:p>
    <w:p w:rsidR="001E1A95" w:rsidRPr="00EC1AB2" w:rsidRDefault="001E1A95" w:rsidP="007A02A8">
      <w:pPr>
        <w:autoSpaceDE w:val="0"/>
        <w:autoSpaceDN w:val="0"/>
        <w:adjustRightInd w:val="0"/>
        <w:spacing w:after="0" w:line="360" w:lineRule="auto"/>
        <w:jc w:val="both"/>
        <w:rPr>
          <w:rFonts w:ascii="Times New Roman" w:hAnsi="Times New Roman" w:cs="Times New Roman"/>
          <w:sz w:val="24"/>
          <w:szCs w:val="24"/>
        </w:rPr>
      </w:pPr>
    </w:p>
    <w:p w:rsidR="00DD5A5D" w:rsidRPr="00EC1AB2" w:rsidRDefault="007E317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49040A" w:rsidRPr="00EC1AB2">
        <w:rPr>
          <w:rFonts w:ascii="Times New Roman" w:hAnsi="Times New Roman" w:cs="Times New Roman"/>
          <w:sz w:val="24"/>
          <w:szCs w:val="24"/>
        </w:rPr>
        <w:t>7</w:t>
      </w:r>
      <w:r w:rsidRPr="00EC1AB2">
        <w:rPr>
          <w:rFonts w:ascii="Times New Roman" w:hAnsi="Times New Roman" w:cs="Times New Roman"/>
          <w:sz w:val="24"/>
          <w:szCs w:val="24"/>
        </w:rPr>
        <w:t xml:space="preserve"> pav. Baltijos valstybėse rizi</w:t>
      </w:r>
      <w:r w:rsidR="001E7A58" w:rsidRPr="00EC1AB2">
        <w:rPr>
          <w:rFonts w:ascii="Times New Roman" w:hAnsi="Times New Roman" w:cs="Times New Roman"/>
          <w:sz w:val="24"/>
          <w:szCs w:val="24"/>
        </w:rPr>
        <w:t xml:space="preserve">kos kapitalo investicijos </w:t>
      </w:r>
      <w:r w:rsidR="006029F5" w:rsidRPr="00EC1AB2">
        <w:rPr>
          <w:rFonts w:ascii="Times New Roman" w:hAnsi="Times New Roman" w:cs="Times New Roman"/>
          <w:sz w:val="24"/>
          <w:szCs w:val="24"/>
        </w:rPr>
        <w:t xml:space="preserve">į </w:t>
      </w:r>
      <w:r w:rsidR="001E7A58" w:rsidRPr="00EC1AB2">
        <w:rPr>
          <w:rFonts w:ascii="Times New Roman" w:hAnsi="Times New Roman" w:cs="Times New Roman"/>
          <w:sz w:val="24"/>
          <w:szCs w:val="24"/>
        </w:rPr>
        <w:t>įmonių sėjos bei</w:t>
      </w:r>
      <w:r w:rsidRPr="00EC1AB2">
        <w:rPr>
          <w:rFonts w:ascii="Times New Roman" w:hAnsi="Times New Roman" w:cs="Times New Roman"/>
          <w:sz w:val="24"/>
          <w:szCs w:val="24"/>
        </w:rPr>
        <w:t xml:space="preserve"> vers</w:t>
      </w:r>
      <w:r w:rsidR="006029F5" w:rsidRPr="00EC1AB2">
        <w:rPr>
          <w:rFonts w:ascii="Times New Roman" w:hAnsi="Times New Roman" w:cs="Times New Roman"/>
          <w:sz w:val="24"/>
          <w:szCs w:val="24"/>
        </w:rPr>
        <w:t>lo pradžios etapus sudarė</w:t>
      </w:r>
      <w:r w:rsidR="001E7A58" w:rsidRPr="00EC1AB2">
        <w:rPr>
          <w:rFonts w:ascii="Times New Roman" w:hAnsi="Times New Roman" w:cs="Times New Roman"/>
          <w:sz w:val="24"/>
          <w:szCs w:val="24"/>
        </w:rPr>
        <w:t xml:space="preserve"> didesnę dalį nei ES, atitinkamai ES daugiau rizikos kapitalo buvo investuota į įmonių plėtros stadiją. Verta paminėti, kad Latvijoje ir Lietuvoje 2010 m., kaip ir 2009 m. visos rizikos kapita</w:t>
      </w:r>
      <w:r w:rsidR="00B66D8B" w:rsidRPr="00EC1AB2">
        <w:rPr>
          <w:rFonts w:ascii="Times New Roman" w:hAnsi="Times New Roman" w:cs="Times New Roman"/>
          <w:sz w:val="24"/>
          <w:szCs w:val="24"/>
        </w:rPr>
        <w:t>lo investicijos buvo į įmonių veiklos pradžios etapą. Tik Estijos įmonės sul</w:t>
      </w:r>
      <w:r w:rsidR="00450E4B" w:rsidRPr="00EC1AB2">
        <w:rPr>
          <w:rFonts w:ascii="Times New Roman" w:hAnsi="Times New Roman" w:cs="Times New Roman"/>
          <w:sz w:val="24"/>
          <w:szCs w:val="24"/>
        </w:rPr>
        <w:t>aukė</w:t>
      </w:r>
      <w:r w:rsidR="00393B91" w:rsidRPr="00EC1AB2">
        <w:rPr>
          <w:rFonts w:ascii="Times New Roman" w:hAnsi="Times New Roman" w:cs="Times New Roman"/>
          <w:sz w:val="24"/>
          <w:szCs w:val="24"/>
        </w:rPr>
        <w:t xml:space="preserve"> sėjos bei plėtros kapitalo.</w:t>
      </w:r>
    </w:p>
    <w:p w:rsidR="00B61CA4" w:rsidRPr="00EC1AB2" w:rsidRDefault="0049040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8</w:t>
      </w:r>
      <w:r w:rsidR="004B0195" w:rsidRPr="00EC1AB2">
        <w:rPr>
          <w:rFonts w:ascii="Times New Roman" w:hAnsi="Times New Roman" w:cs="Times New Roman"/>
          <w:sz w:val="24"/>
          <w:szCs w:val="24"/>
        </w:rPr>
        <w:t xml:space="preserve"> pav. pavaizduotas</w:t>
      </w:r>
      <w:r w:rsidR="00031AAA" w:rsidRPr="00EC1AB2">
        <w:rPr>
          <w:rFonts w:ascii="Times New Roman" w:hAnsi="Times New Roman" w:cs="Times New Roman"/>
          <w:sz w:val="24"/>
          <w:szCs w:val="24"/>
        </w:rPr>
        <w:t xml:space="preserve"> RKF</w:t>
      </w:r>
      <w:r w:rsidR="004B0195" w:rsidRPr="00EC1AB2">
        <w:rPr>
          <w:rFonts w:ascii="Times New Roman" w:hAnsi="Times New Roman" w:cs="Times New Roman"/>
          <w:sz w:val="24"/>
          <w:szCs w:val="24"/>
        </w:rPr>
        <w:t xml:space="preserve"> investici</w:t>
      </w:r>
      <w:r w:rsidR="00606C31" w:rsidRPr="00EC1AB2">
        <w:rPr>
          <w:rFonts w:ascii="Times New Roman" w:hAnsi="Times New Roman" w:cs="Times New Roman"/>
          <w:sz w:val="24"/>
          <w:szCs w:val="24"/>
        </w:rPr>
        <w:t>jų pasiskirstymas pagal sektorių</w:t>
      </w:r>
      <w:r w:rsidR="004B0195" w:rsidRPr="00EC1AB2">
        <w:rPr>
          <w:rFonts w:ascii="Times New Roman" w:hAnsi="Times New Roman" w:cs="Times New Roman"/>
          <w:sz w:val="24"/>
          <w:szCs w:val="24"/>
        </w:rPr>
        <w:t xml:space="preserve"> Baltijos valstybėse</w:t>
      </w:r>
      <w:r w:rsidR="00157D87" w:rsidRPr="00EC1AB2">
        <w:rPr>
          <w:rFonts w:ascii="Times New Roman" w:hAnsi="Times New Roman" w:cs="Times New Roman"/>
          <w:sz w:val="24"/>
          <w:szCs w:val="24"/>
        </w:rPr>
        <w:t>, C</w:t>
      </w:r>
      <w:r w:rsidR="00932640" w:rsidRPr="00EC1AB2">
        <w:rPr>
          <w:rFonts w:ascii="Times New Roman" w:hAnsi="Times New Roman" w:cs="Times New Roman"/>
          <w:sz w:val="24"/>
          <w:szCs w:val="24"/>
        </w:rPr>
        <w:t>E</w:t>
      </w:r>
      <w:r w:rsidR="004B0195" w:rsidRPr="00EC1AB2">
        <w:rPr>
          <w:rFonts w:ascii="Times New Roman" w:hAnsi="Times New Roman" w:cs="Times New Roman"/>
          <w:sz w:val="24"/>
          <w:szCs w:val="24"/>
        </w:rPr>
        <w:t>E bei ES.</w:t>
      </w:r>
    </w:p>
    <w:p w:rsidR="00797BBC" w:rsidRPr="00EC1AB2" w:rsidRDefault="004C7B0A" w:rsidP="007A02A8">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845632" behindDoc="1" locked="0" layoutInCell="1" allowOverlap="1" wp14:anchorId="71CAA5BD" wp14:editId="06453EEC">
            <wp:simplePos x="0" y="0"/>
            <wp:positionH relativeFrom="column">
              <wp:posOffset>110490</wp:posOffset>
            </wp:positionH>
            <wp:positionV relativeFrom="paragraph">
              <wp:posOffset>171450</wp:posOffset>
            </wp:positionV>
            <wp:extent cx="6096000" cy="3238500"/>
            <wp:effectExtent l="0" t="0" r="0" b="0"/>
            <wp:wrapTight wrapText="bothSides">
              <wp:wrapPolygon edited="0">
                <wp:start x="5738" y="1271"/>
                <wp:lineTo x="4793" y="3049"/>
                <wp:lineTo x="3308" y="3812"/>
                <wp:lineTo x="3240" y="5591"/>
                <wp:lineTo x="5130" y="5591"/>
                <wp:lineTo x="3510" y="6226"/>
                <wp:lineTo x="2768" y="6861"/>
                <wp:lineTo x="2768" y="9021"/>
                <wp:lineTo x="5468" y="9656"/>
                <wp:lineTo x="608" y="9911"/>
                <wp:lineTo x="608" y="11562"/>
                <wp:lineTo x="10800" y="11689"/>
                <wp:lineTo x="2498" y="12325"/>
                <wp:lineTo x="2363" y="12706"/>
                <wp:lineTo x="3780" y="13722"/>
                <wp:lineTo x="1823" y="14866"/>
                <wp:lineTo x="1958" y="15247"/>
                <wp:lineTo x="10800" y="15755"/>
                <wp:lineTo x="2160" y="15882"/>
                <wp:lineTo x="2160" y="17788"/>
                <wp:lineTo x="4860" y="18169"/>
                <wp:lineTo x="4793" y="18678"/>
                <wp:lineTo x="6615" y="19821"/>
                <wp:lineTo x="1485" y="20584"/>
                <wp:lineTo x="1418" y="21346"/>
                <wp:lineTo x="2228" y="21473"/>
                <wp:lineTo x="21465" y="21473"/>
                <wp:lineTo x="21533" y="20329"/>
                <wp:lineTo x="21330" y="19821"/>
                <wp:lineTo x="10733" y="17788"/>
                <wp:lineTo x="10733" y="15755"/>
                <wp:lineTo x="6683" y="13722"/>
                <wp:lineTo x="10733" y="11689"/>
                <wp:lineTo x="10733" y="9656"/>
                <wp:lineTo x="6413" y="7624"/>
                <wp:lineTo x="6750" y="6988"/>
                <wp:lineTo x="6548" y="6480"/>
                <wp:lineTo x="5603" y="5591"/>
                <wp:lineTo x="6413" y="5591"/>
                <wp:lineTo x="10800" y="3558"/>
                <wp:lineTo x="9788" y="3176"/>
                <wp:lineTo x="6480" y="1271"/>
                <wp:lineTo x="5738" y="1271"/>
              </wp:wrapPolygon>
            </wp:wrapTight>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DD5A5D" w:rsidRPr="00EC1AB2" w:rsidRDefault="00DD5A5D" w:rsidP="007A02A8">
      <w:pPr>
        <w:autoSpaceDE w:val="0"/>
        <w:autoSpaceDN w:val="0"/>
        <w:adjustRightInd w:val="0"/>
        <w:spacing w:after="0" w:line="360" w:lineRule="auto"/>
        <w:ind w:left="1296"/>
        <w:jc w:val="center"/>
        <w:rPr>
          <w:rFonts w:ascii="Times New Roman" w:hAnsi="Times New Roman" w:cs="Times New Roman"/>
          <w:b/>
          <w:sz w:val="28"/>
          <w:szCs w:val="28"/>
        </w:rPr>
      </w:pPr>
    </w:p>
    <w:p w:rsidR="00DD5A5D" w:rsidRPr="00EC1AB2" w:rsidRDefault="00DD5A5D" w:rsidP="007A02A8">
      <w:pPr>
        <w:autoSpaceDE w:val="0"/>
        <w:autoSpaceDN w:val="0"/>
        <w:adjustRightInd w:val="0"/>
        <w:spacing w:after="0" w:line="360" w:lineRule="auto"/>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4C0BC3" w:rsidRPr="00EC1AB2" w:rsidRDefault="004C0BC3" w:rsidP="007A02A8">
      <w:pPr>
        <w:autoSpaceDE w:val="0"/>
        <w:autoSpaceDN w:val="0"/>
        <w:adjustRightInd w:val="0"/>
        <w:spacing w:after="0" w:line="360" w:lineRule="auto"/>
        <w:ind w:left="1296"/>
        <w:jc w:val="center"/>
        <w:rPr>
          <w:rFonts w:ascii="Times New Roman" w:hAnsi="Times New Roman" w:cs="Times New Roman"/>
          <w:b/>
          <w:sz w:val="28"/>
          <w:szCs w:val="28"/>
        </w:rPr>
      </w:pPr>
    </w:p>
    <w:p w:rsidR="004C0BC3" w:rsidRPr="00EC1AB2" w:rsidRDefault="004C0BC3"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rPr>
          <w:rFonts w:ascii="Times New Roman" w:hAnsi="Times New Roman" w:cs="Times New Roman"/>
          <w:b/>
          <w:sz w:val="28"/>
          <w:szCs w:val="28"/>
        </w:rPr>
      </w:pPr>
    </w:p>
    <w:p w:rsidR="004C7B0A" w:rsidRPr="00EC1AB2" w:rsidRDefault="004C7B0A" w:rsidP="007A02A8">
      <w:pPr>
        <w:autoSpaceDE w:val="0"/>
        <w:autoSpaceDN w:val="0"/>
        <w:adjustRightInd w:val="0"/>
        <w:spacing w:after="0" w:line="360" w:lineRule="auto"/>
        <w:rPr>
          <w:rFonts w:ascii="Times New Roman" w:hAnsi="Times New Roman" w:cs="Times New Roman"/>
          <w:b/>
          <w:sz w:val="28"/>
          <w:szCs w:val="28"/>
        </w:rPr>
      </w:pPr>
    </w:p>
    <w:p w:rsidR="00EC599C" w:rsidRPr="00EC1AB2" w:rsidRDefault="00EC599C"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EVCA Yearbook ir kasmetinį statistikos leidinį, 2011</w:t>
      </w:r>
      <w:r w:rsidRPr="00EC1AB2">
        <w:rPr>
          <w:rFonts w:ascii="Times New Roman" w:hAnsi="Times New Roman" w:cs="Times New Roman"/>
          <w:sz w:val="20"/>
          <w:szCs w:val="20"/>
        </w:rPr>
        <w:tab/>
      </w:r>
    </w:p>
    <w:p w:rsidR="00C7759C" w:rsidRPr="00EC1AB2" w:rsidRDefault="0049040A" w:rsidP="007A02A8">
      <w:pPr>
        <w:pStyle w:val="Heading5"/>
        <w:spacing w:before="0" w:line="360" w:lineRule="auto"/>
        <w:jc w:val="center"/>
        <w:rPr>
          <w:rFonts w:ascii="Times New Roman" w:hAnsi="Times New Roman" w:cs="Times New Roman"/>
          <w:b/>
          <w:color w:val="auto"/>
          <w:sz w:val="24"/>
          <w:szCs w:val="24"/>
        </w:rPr>
      </w:pPr>
      <w:bookmarkStart w:id="107" w:name="_Toc320761921"/>
      <w:bookmarkStart w:id="108" w:name="_Toc320762156"/>
      <w:bookmarkStart w:id="109" w:name="_Toc320762558"/>
      <w:r w:rsidRPr="00EC1AB2">
        <w:rPr>
          <w:rFonts w:ascii="Times New Roman" w:hAnsi="Times New Roman" w:cs="Times New Roman"/>
          <w:color w:val="auto"/>
          <w:sz w:val="24"/>
          <w:szCs w:val="24"/>
        </w:rPr>
        <w:t>8</w:t>
      </w:r>
      <w:r w:rsidR="00C7759C" w:rsidRPr="00EC1AB2">
        <w:rPr>
          <w:rFonts w:ascii="Times New Roman" w:hAnsi="Times New Roman" w:cs="Times New Roman"/>
          <w:color w:val="auto"/>
          <w:sz w:val="24"/>
          <w:szCs w:val="24"/>
        </w:rPr>
        <w:t xml:space="preserve"> pav.</w:t>
      </w:r>
      <w:r w:rsidR="00922EC7" w:rsidRPr="00EC1AB2">
        <w:rPr>
          <w:rFonts w:ascii="Times New Roman" w:hAnsi="Times New Roman" w:cs="Times New Roman"/>
          <w:b/>
          <w:color w:val="auto"/>
          <w:sz w:val="24"/>
          <w:szCs w:val="24"/>
        </w:rPr>
        <w:t xml:space="preserve"> Rizikos kapitalo fondų</w:t>
      </w:r>
      <w:r w:rsidR="00C7759C" w:rsidRPr="00EC1AB2">
        <w:rPr>
          <w:rFonts w:ascii="Times New Roman" w:hAnsi="Times New Roman" w:cs="Times New Roman"/>
          <w:b/>
          <w:color w:val="auto"/>
          <w:sz w:val="24"/>
          <w:szCs w:val="24"/>
        </w:rPr>
        <w:t xml:space="preserve"> investicijos pa</w:t>
      </w:r>
      <w:r w:rsidR="00A43BB8" w:rsidRPr="00EC1AB2">
        <w:rPr>
          <w:rFonts w:ascii="Times New Roman" w:hAnsi="Times New Roman" w:cs="Times New Roman"/>
          <w:b/>
          <w:color w:val="auto"/>
          <w:sz w:val="24"/>
          <w:szCs w:val="24"/>
        </w:rPr>
        <w:t>gal sek</w:t>
      </w:r>
      <w:r w:rsidR="00C7759C" w:rsidRPr="00EC1AB2">
        <w:rPr>
          <w:rFonts w:ascii="Times New Roman" w:hAnsi="Times New Roman" w:cs="Times New Roman"/>
          <w:b/>
          <w:color w:val="auto"/>
          <w:sz w:val="24"/>
          <w:szCs w:val="24"/>
        </w:rPr>
        <w:t>torių, 2010 m., proc.</w:t>
      </w:r>
      <w:bookmarkEnd w:id="107"/>
      <w:bookmarkEnd w:id="108"/>
      <w:bookmarkEnd w:id="109"/>
    </w:p>
    <w:p w:rsidR="00031AAA" w:rsidRPr="00EC1AB2" w:rsidRDefault="00031AAA" w:rsidP="007A02A8">
      <w:pPr>
        <w:pStyle w:val="Heading5"/>
        <w:spacing w:before="0" w:line="360" w:lineRule="auto"/>
        <w:jc w:val="center"/>
        <w:rPr>
          <w:rFonts w:ascii="Times New Roman" w:hAnsi="Times New Roman" w:cs="Times New Roman"/>
          <w:b/>
          <w:sz w:val="24"/>
          <w:szCs w:val="24"/>
        </w:rPr>
      </w:pPr>
    </w:p>
    <w:p w:rsidR="00031AAA" w:rsidRPr="00EC1AB2" w:rsidRDefault="00031AA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49040A" w:rsidRPr="00EC1AB2">
        <w:rPr>
          <w:rFonts w:ascii="Times New Roman" w:hAnsi="Times New Roman" w:cs="Times New Roman"/>
          <w:sz w:val="24"/>
          <w:szCs w:val="24"/>
        </w:rPr>
        <w:t>8</w:t>
      </w:r>
      <w:r w:rsidRPr="00EC1AB2">
        <w:rPr>
          <w:rFonts w:ascii="Times New Roman" w:hAnsi="Times New Roman" w:cs="Times New Roman"/>
          <w:sz w:val="24"/>
          <w:szCs w:val="24"/>
        </w:rPr>
        <w:t xml:space="preserve"> pav. </w:t>
      </w:r>
      <w:r w:rsidR="00BA3616" w:rsidRPr="00EC1AB2">
        <w:rPr>
          <w:rFonts w:ascii="Times New Roman" w:hAnsi="Times New Roman" w:cs="Times New Roman"/>
          <w:sz w:val="24"/>
          <w:szCs w:val="24"/>
        </w:rPr>
        <w:t>med</w:t>
      </w:r>
      <w:r w:rsidR="00D65685" w:rsidRPr="00EC1AB2">
        <w:rPr>
          <w:rFonts w:ascii="Times New Roman" w:hAnsi="Times New Roman" w:cs="Times New Roman"/>
          <w:sz w:val="24"/>
          <w:szCs w:val="24"/>
        </w:rPr>
        <w:t>icinos pramonė</w:t>
      </w:r>
      <w:r w:rsidR="00762250" w:rsidRPr="00EC1AB2">
        <w:rPr>
          <w:rFonts w:ascii="Times New Roman" w:hAnsi="Times New Roman" w:cs="Times New Roman"/>
          <w:sz w:val="24"/>
          <w:szCs w:val="24"/>
        </w:rPr>
        <w:t xml:space="preserve"> ir telekomunikacijos 2010 m. sulaukė daugiausiai investicijų t</w:t>
      </w:r>
      <w:r w:rsidR="00157D87" w:rsidRPr="00EC1AB2">
        <w:rPr>
          <w:rFonts w:ascii="Times New Roman" w:hAnsi="Times New Roman" w:cs="Times New Roman"/>
          <w:sz w:val="24"/>
          <w:szCs w:val="24"/>
        </w:rPr>
        <w:t>iek Baltijos valstybėse, tiek C</w:t>
      </w:r>
      <w:r w:rsidR="00932640" w:rsidRPr="00EC1AB2">
        <w:rPr>
          <w:rFonts w:ascii="Times New Roman" w:hAnsi="Times New Roman" w:cs="Times New Roman"/>
          <w:sz w:val="24"/>
          <w:szCs w:val="24"/>
        </w:rPr>
        <w:t>E</w:t>
      </w:r>
      <w:r w:rsidR="00762250" w:rsidRPr="00EC1AB2">
        <w:rPr>
          <w:rFonts w:ascii="Times New Roman" w:hAnsi="Times New Roman" w:cs="Times New Roman"/>
          <w:sz w:val="24"/>
          <w:szCs w:val="24"/>
        </w:rPr>
        <w:t>E, tiek ES. V</w:t>
      </w:r>
      <w:r w:rsidR="004554C2" w:rsidRPr="00EC1AB2">
        <w:rPr>
          <w:rFonts w:ascii="Times New Roman" w:hAnsi="Times New Roman" w:cs="Times New Roman"/>
          <w:sz w:val="24"/>
          <w:szCs w:val="24"/>
        </w:rPr>
        <w:t>artojimo prekės ir mažmeninė pre</w:t>
      </w:r>
      <w:r w:rsidR="00762250" w:rsidRPr="00EC1AB2">
        <w:rPr>
          <w:rFonts w:ascii="Times New Roman" w:hAnsi="Times New Roman" w:cs="Times New Roman"/>
          <w:sz w:val="24"/>
          <w:szCs w:val="24"/>
        </w:rPr>
        <w:t>kyba</w:t>
      </w:r>
      <w:r w:rsidR="00157D87" w:rsidRPr="00EC1AB2">
        <w:rPr>
          <w:rFonts w:ascii="Times New Roman" w:hAnsi="Times New Roman" w:cs="Times New Roman"/>
          <w:sz w:val="24"/>
          <w:szCs w:val="24"/>
        </w:rPr>
        <w:t xml:space="preserve"> buvo patraukliausias C</w:t>
      </w:r>
      <w:r w:rsidR="00932640" w:rsidRPr="00EC1AB2">
        <w:rPr>
          <w:rFonts w:ascii="Times New Roman" w:hAnsi="Times New Roman" w:cs="Times New Roman"/>
          <w:sz w:val="24"/>
          <w:szCs w:val="24"/>
        </w:rPr>
        <w:t>E</w:t>
      </w:r>
      <w:r w:rsidR="004554C2" w:rsidRPr="00EC1AB2">
        <w:rPr>
          <w:rFonts w:ascii="Times New Roman" w:hAnsi="Times New Roman" w:cs="Times New Roman"/>
          <w:sz w:val="24"/>
          <w:szCs w:val="24"/>
        </w:rPr>
        <w:t>E sektorius RKF investuotojams šiose šalyse.</w:t>
      </w:r>
      <w:r w:rsidR="00D65685" w:rsidRPr="00EC1AB2">
        <w:rPr>
          <w:rFonts w:ascii="Times New Roman" w:hAnsi="Times New Roman" w:cs="Times New Roman"/>
          <w:sz w:val="24"/>
          <w:szCs w:val="24"/>
        </w:rPr>
        <w:t xml:space="preserve"> Baltijos valstybėse moderniųjų technologijų sektorius sulaukė daugiausiai investicijų. Šis sektorius buvo patrauklus ir ES mastu,</w:t>
      </w:r>
      <w:r w:rsidR="00762250" w:rsidRPr="00EC1AB2">
        <w:rPr>
          <w:rFonts w:ascii="Times New Roman" w:hAnsi="Times New Roman" w:cs="Times New Roman"/>
          <w:sz w:val="24"/>
          <w:szCs w:val="24"/>
        </w:rPr>
        <w:t xml:space="preserve"> </w:t>
      </w:r>
      <w:r w:rsidR="00D65685" w:rsidRPr="00EC1AB2">
        <w:rPr>
          <w:rFonts w:ascii="Times New Roman" w:hAnsi="Times New Roman" w:cs="Times New Roman"/>
          <w:sz w:val="24"/>
          <w:szCs w:val="24"/>
        </w:rPr>
        <w:t>t</w:t>
      </w:r>
      <w:r w:rsidR="00E8737A" w:rsidRPr="00EC1AB2">
        <w:rPr>
          <w:rFonts w:ascii="Times New Roman" w:hAnsi="Times New Roman" w:cs="Times New Roman"/>
          <w:sz w:val="24"/>
          <w:szCs w:val="24"/>
        </w:rPr>
        <w:t>odėl galima teigti, kad investicijų pasiskirstymas pagal sektorius Baltijos valstybė</w:t>
      </w:r>
      <w:r w:rsidR="00157D87" w:rsidRPr="00EC1AB2">
        <w:rPr>
          <w:rFonts w:ascii="Times New Roman" w:hAnsi="Times New Roman" w:cs="Times New Roman"/>
          <w:sz w:val="24"/>
          <w:szCs w:val="24"/>
        </w:rPr>
        <w:t>se yra panašesnis į ES, nei į C</w:t>
      </w:r>
      <w:r w:rsidR="00932640" w:rsidRPr="00EC1AB2">
        <w:rPr>
          <w:rFonts w:ascii="Times New Roman" w:hAnsi="Times New Roman" w:cs="Times New Roman"/>
          <w:sz w:val="24"/>
          <w:szCs w:val="24"/>
        </w:rPr>
        <w:t>E</w:t>
      </w:r>
      <w:r w:rsidR="00E8737A" w:rsidRPr="00EC1AB2">
        <w:rPr>
          <w:rFonts w:ascii="Times New Roman" w:hAnsi="Times New Roman" w:cs="Times New Roman"/>
          <w:sz w:val="24"/>
          <w:szCs w:val="24"/>
        </w:rPr>
        <w:t xml:space="preserve">E. </w:t>
      </w:r>
    </w:p>
    <w:p w:rsidR="005536BA" w:rsidRPr="00EC1AB2" w:rsidRDefault="00D53741"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jau minėta, </w:t>
      </w:r>
      <w:r w:rsidR="000C2B8E" w:rsidRPr="00EC1AB2">
        <w:rPr>
          <w:rFonts w:ascii="Times New Roman" w:hAnsi="Times New Roman" w:cs="Times New Roman"/>
          <w:sz w:val="24"/>
          <w:szCs w:val="24"/>
        </w:rPr>
        <w:t>RKF</w:t>
      </w:r>
      <w:r w:rsidR="00AE7CA5" w:rsidRPr="00EC1AB2">
        <w:rPr>
          <w:rFonts w:ascii="Times New Roman" w:hAnsi="Times New Roman" w:cs="Times New Roman"/>
          <w:sz w:val="24"/>
          <w:szCs w:val="24"/>
        </w:rPr>
        <w:t xml:space="preserve"> investicijų pobūdis</w:t>
      </w:r>
      <w:r w:rsidR="00482B45" w:rsidRPr="00EC1AB2">
        <w:rPr>
          <w:rFonts w:ascii="Times New Roman" w:hAnsi="Times New Roman" w:cs="Times New Roman"/>
          <w:sz w:val="24"/>
          <w:szCs w:val="24"/>
        </w:rPr>
        <w:t xml:space="preserve"> didžia </w:t>
      </w:r>
      <w:r w:rsidR="00AE7CA5" w:rsidRPr="00EC1AB2">
        <w:rPr>
          <w:rFonts w:ascii="Times New Roman" w:hAnsi="Times New Roman" w:cs="Times New Roman"/>
          <w:sz w:val="24"/>
          <w:szCs w:val="24"/>
        </w:rPr>
        <w:t xml:space="preserve"> priklauso nuo vyraujančio investuotojų tipo</w:t>
      </w:r>
      <w:r w:rsidR="000C2B8E" w:rsidRPr="00EC1AB2">
        <w:rPr>
          <w:rFonts w:ascii="Times New Roman" w:hAnsi="Times New Roman" w:cs="Times New Roman"/>
          <w:sz w:val="24"/>
          <w:szCs w:val="24"/>
        </w:rPr>
        <w:t>.</w:t>
      </w:r>
      <w:r w:rsidRPr="00EC1AB2">
        <w:rPr>
          <w:rFonts w:ascii="Times New Roman" w:hAnsi="Times New Roman" w:cs="Times New Roman"/>
          <w:sz w:val="24"/>
          <w:szCs w:val="24"/>
        </w:rPr>
        <w:t xml:space="preserve"> </w:t>
      </w:r>
    </w:p>
    <w:p w:rsidR="00F9230B" w:rsidRPr="00EC1AB2" w:rsidRDefault="00C542A6"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Pasiskirstymas p</w:t>
      </w:r>
      <w:r w:rsidR="00840C1E" w:rsidRPr="00EC1AB2">
        <w:rPr>
          <w:rFonts w:ascii="Times New Roman" w:hAnsi="Times New Roman" w:cs="Times New Roman"/>
          <w:sz w:val="24"/>
          <w:szCs w:val="24"/>
        </w:rPr>
        <w:t xml:space="preserve">agal investuotojų tipus </w:t>
      </w:r>
      <w:r w:rsidR="00AE7CA5" w:rsidRPr="00EC1AB2">
        <w:rPr>
          <w:rFonts w:ascii="Times New Roman" w:hAnsi="Times New Roman" w:cs="Times New Roman"/>
          <w:sz w:val="24"/>
          <w:szCs w:val="24"/>
        </w:rPr>
        <w:t xml:space="preserve">Baltijos valstybėse ir ES </w:t>
      </w:r>
      <w:r w:rsidR="00840C1E" w:rsidRPr="00EC1AB2">
        <w:rPr>
          <w:rFonts w:ascii="Times New Roman" w:hAnsi="Times New Roman" w:cs="Times New Roman"/>
          <w:sz w:val="24"/>
          <w:szCs w:val="24"/>
        </w:rPr>
        <w:t xml:space="preserve">pateiktas </w:t>
      </w:r>
      <w:r w:rsidR="0049040A" w:rsidRPr="00EC1AB2">
        <w:rPr>
          <w:rFonts w:ascii="Times New Roman" w:hAnsi="Times New Roman" w:cs="Times New Roman"/>
          <w:sz w:val="24"/>
          <w:szCs w:val="24"/>
        </w:rPr>
        <w:t>9</w:t>
      </w:r>
      <w:r w:rsidR="00840C1E" w:rsidRPr="00EC1AB2">
        <w:rPr>
          <w:rFonts w:ascii="Times New Roman" w:hAnsi="Times New Roman" w:cs="Times New Roman"/>
          <w:sz w:val="24"/>
          <w:szCs w:val="24"/>
        </w:rPr>
        <w:t xml:space="preserve"> pav.</w:t>
      </w: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5536BA" w:rsidRPr="00EC1AB2" w:rsidRDefault="005536BA" w:rsidP="007A02A8">
      <w:pPr>
        <w:autoSpaceDE w:val="0"/>
        <w:autoSpaceDN w:val="0"/>
        <w:adjustRightInd w:val="0"/>
        <w:spacing w:after="0" w:line="360" w:lineRule="auto"/>
        <w:ind w:firstLine="567"/>
        <w:jc w:val="both"/>
        <w:rPr>
          <w:rFonts w:ascii="Times New Roman" w:hAnsi="Times New Roman" w:cs="Times New Roman"/>
          <w:sz w:val="24"/>
          <w:szCs w:val="24"/>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5536BA" w:rsidP="007A02A8">
      <w:pPr>
        <w:autoSpaceDE w:val="0"/>
        <w:autoSpaceDN w:val="0"/>
        <w:adjustRightInd w:val="0"/>
        <w:spacing w:after="0" w:line="360" w:lineRule="auto"/>
        <w:ind w:left="1296"/>
        <w:jc w:val="center"/>
        <w:rPr>
          <w:rFonts w:ascii="Times New Roman" w:hAnsi="Times New Roman" w:cs="Times New Roman"/>
          <w:b/>
          <w:sz w:val="28"/>
          <w:szCs w:val="28"/>
        </w:rPr>
      </w:pPr>
      <w:r w:rsidRPr="00EC1AB2">
        <w:rPr>
          <w:rFonts w:ascii="Times New Roman" w:hAnsi="Times New Roman" w:cs="Times New Roman"/>
          <w:noProof/>
          <w:lang w:eastAsia="lt-LT"/>
        </w:rPr>
        <w:drawing>
          <wp:anchor distT="0" distB="0" distL="114300" distR="114300" simplePos="0" relativeHeight="251763712" behindDoc="1" locked="0" layoutInCell="1" allowOverlap="1" wp14:anchorId="298B8F92" wp14:editId="6A0F917A">
            <wp:simplePos x="0" y="0"/>
            <wp:positionH relativeFrom="column">
              <wp:posOffset>-5080</wp:posOffset>
            </wp:positionH>
            <wp:positionV relativeFrom="paragraph">
              <wp:posOffset>-276860</wp:posOffset>
            </wp:positionV>
            <wp:extent cx="6267450" cy="3133725"/>
            <wp:effectExtent l="0" t="0" r="0" b="0"/>
            <wp:wrapTight wrapText="bothSides">
              <wp:wrapPolygon edited="0">
                <wp:start x="788" y="1182"/>
                <wp:lineTo x="788" y="2889"/>
                <wp:lineTo x="4202" y="3545"/>
                <wp:lineTo x="2692" y="3939"/>
                <wp:lineTo x="2560" y="5646"/>
                <wp:lineTo x="4530" y="5646"/>
                <wp:lineTo x="2167" y="6434"/>
                <wp:lineTo x="2232" y="6959"/>
                <wp:lineTo x="8601" y="7747"/>
                <wp:lineTo x="2364" y="7747"/>
                <wp:lineTo x="2364" y="9454"/>
                <wp:lineTo x="788" y="10242"/>
                <wp:lineTo x="657" y="10636"/>
                <wp:lineTo x="2232" y="11949"/>
                <wp:lineTo x="2232" y="12999"/>
                <wp:lineTo x="5646" y="14050"/>
                <wp:lineTo x="3217" y="14050"/>
                <wp:lineTo x="3217" y="15757"/>
                <wp:lineTo x="8732" y="16151"/>
                <wp:lineTo x="2429" y="16676"/>
                <wp:lineTo x="1904" y="16807"/>
                <wp:lineTo x="1904" y="18908"/>
                <wp:lineTo x="6762" y="20353"/>
                <wp:lineTo x="1050" y="20484"/>
                <wp:lineTo x="985" y="21272"/>
                <wp:lineTo x="1773" y="21403"/>
                <wp:lineTo x="21337" y="21403"/>
                <wp:lineTo x="21469" y="3939"/>
                <wp:lineTo x="20943" y="3808"/>
                <wp:lineTo x="10702" y="3545"/>
                <wp:lineTo x="5581" y="1182"/>
                <wp:lineTo x="788" y="1182"/>
              </wp:wrapPolygon>
            </wp:wrapTight>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EC599C" w:rsidRPr="00EC1AB2" w:rsidRDefault="00EC599C"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5536BA" w:rsidRPr="00EC1AB2" w:rsidRDefault="005536BA" w:rsidP="007A02A8">
      <w:pPr>
        <w:tabs>
          <w:tab w:val="left" w:pos="4395"/>
        </w:tabs>
        <w:autoSpaceDE w:val="0"/>
        <w:autoSpaceDN w:val="0"/>
        <w:adjustRightInd w:val="0"/>
        <w:spacing w:after="0" w:line="360" w:lineRule="auto"/>
        <w:jc w:val="both"/>
        <w:rPr>
          <w:rFonts w:ascii="Times New Roman" w:hAnsi="Times New Roman" w:cs="Times New Roman"/>
          <w:b/>
          <w:sz w:val="20"/>
          <w:szCs w:val="20"/>
        </w:rPr>
      </w:pPr>
    </w:p>
    <w:p w:rsidR="005536BA" w:rsidRPr="00EC1AB2" w:rsidRDefault="005536BA" w:rsidP="007A02A8">
      <w:pPr>
        <w:tabs>
          <w:tab w:val="left" w:pos="4395"/>
        </w:tabs>
        <w:autoSpaceDE w:val="0"/>
        <w:autoSpaceDN w:val="0"/>
        <w:adjustRightInd w:val="0"/>
        <w:spacing w:after="0" w:line="360" w:lineRule="auto"/>
        <w:ind w:firstLine="1296"/>
        <w:jc w:val="both"/>
        <w:rPr>
          <w:rFonts w:ascii="Times New Roman" w:hAnsi="Times New Roman" w:cs="Times New Roman"/>
          <w:b/>
          <w:sz w:val="20"/>
          <w:szCs w:val="20"/>
        </w:rPr>
      </w:pPr>
    </w:p>
    <w:p w:rsidR="00AB56C0" w:rsidRPr="00EC1AB2" w:rsidRDefault="00AB56C0"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EVCA Yearbook ir kasmetinį statistikos leidinį, 2011</w:t>
      </w:r>
      <w:r w:rsidRPr="00EC1AB2">
        <w:rPr>
          <w:rFonts w:ascii="Times New Roman" w:hAnsi="Times New Roman" w:cs="Times New Roman"/>
          <w:sz w:val="20"/>
          <w:szCs w:val="20"/>
        </w:rPr>
        <w:tab/>
      </w:r>
    </w:p>
    <w:p w:rsidR="00AB56C0" w:rsidRPr="00EC1AB2" w:rsidRDefault="0049040A" w:rsidP="007A02A8">
      <w:pPr>
        <w:pStyle w:val="Heading5"/>
        <w:spacing w:before="0" w:line="360" w:lineRule="auto"/>
        <w:jc w:val="center"/>
        <w:rPr>
          <w:rFonts w:ascii="Times New Roman" w:hAnsi="Times New Roman" w:cs="Times New Roman"/>
          <w:b/>
          <w:color w:val="auto"/>
          <w:sz w:val="24"/>
          <w:szCs w:val="24"/>
        </w:rPr>
      </w:pPr>
      <w:bookmarkStart w:id="110" w:name="_Toc320761922"/>
      <w:bookmarkStart w:id="111" w:name="_Toc320762157"/>
      <w:bookmarkStart w:id="112" w:name="_Toc320762559"/>
      <w:r w:rsidRPr="00EC1AB2">
        <w:rPr>
          <w:rFonts w:ascii="Times New Roman" w:hAnsi="Times New Roman" w:cs="Times New Roman"/>
          <w:color w:val="auto"/>
          <w:sz w:val="24"/>
          <w:szCs w:val="24"/>
        </w:rPr>
        <w:t>9</w:t>
      </w:r>
      <w:r w:rsidR="00AB56C0" w:rsidRPr="00EC1AB2">
        <w:rPr>
          <w:rFonts w:ascii="Times New Roman" w:hAnsi="Times New Roman" w:cs="Times New Roman"/>
          <w:color w:val="auto"/>
          <w:sz w:val="24"/>
          <w:szCs w:val="24"/>
        </w:rPr>
        <w:t xml:space="preserve"> pav.</w:t>
      </w:r>
      <w:r w:rsidR="00922EC7" w:rsidRPr="00EC1AB2">
        <w:rPr>
          <w:rFonts w:ascii="Times New Roman" w:hAnsi="Times New Roman" w:cs="Times New Roman"/>
          <w:b/>
          <w:color w:val="auto"/>
          <w:sz w:val="24"/>
          <w:szCs w:val="24"/>
        </w:rPr>
        <w:t xml:space="preserve"> Rizikos kapitalo fondų </w:t>
      </w:r>
      <w:r w:rsidR="00AB56C0" w:rsidRPr="00EC1AB2">
        <w:rPr>
          <w:rFonts w:ascii="Times New Roman" w:hAnsi="Times New Roman" w:cs="Times New Roman"/>
          <w:b/>
          <w:color w:val="auto"/>
          <w:sz w:val="24"/>
          <w:szCs w:val="24"/>
        </w:rPr>
        <w:t>investuotojai ES ir Baltijos valstybėse, 2010 m., proc.</w:t>
      </w:r>
      <w:bookmarkEnd w:id="110"/>
      <w:bookmarkEnd w:id="111"/>
      <w:bookmarkEnd w:id="112"/>
    </w:p>
    <w:p w:rsidR="00AB56C0" w:rsidRPr="00EC1AB2" w:rsidRDefault="00AB56C0" w:rsidP="007A02A8">
      <w:pPr>
        <w:pStyle w:val="Heading5"/>
        <w:spacing w:before="0" w:line="360" w:lineRule="auto"/>
        <w:jc w:val="center"/>
        <w:rPr>
          <w:rFonts w:ascii="Times New Roman" w:hAnsi="Times New Roman" w:cs="Times New Roman"/>
          <w:b/>
          <w:color w:val="auto"/>
          <w:sz w:val="24"/>
          <w:szCs w:val="24"/>
        </w:rPr>
      </w:pPr>
    </w:p>
    <w:p w:rsidR="00B33F7D" w:rsidRPr="00EC1AB2" w:rsidRDefault="00436EB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ES RKF daugiausiai lėšų pritraukė iš nežino</w:t>
      </w:r>
      <w:r w:rsidR="00482B45" w:rsidRPr="00EC1AB2">
        <w:rPr>
          <w:rFonts w:ascii="Times New Roman" w:hAnsi="Times New Roman" w:cs="Times New Roman"/>
          <w:sz w:val="24"/>
          <w:szCs w:val="24"/>
        </w:rPr>
        <w:t xml:space="preserve">mų investuotojų, pensijų fondų bei </w:t>
      </w:r>
      <w:r w:rsidRPr="00EC1AB2">
        <w:rPr>
          <w:rFonts w:ascii="Times New Roman" w:hAnsi="Times New Roman" w:cs="Times New Roman"/>
          <w:sz w:val="24"/>
          <w:szCs w:val="24"/>
        </w:rPr>
        <w:t>fondų fondų.</w:t>
      </w:r>
      <w:r w:rsidR="005E3742" w:rsidRPr="00EC1AB2">
        <w:rPr>
          <w:rFonts w:ascii="Times New Roman" w:hAnsi="Times New Roman" w:cs="Times New Roman"/>
          <w:sz w:val="24"/>
          <w:szCs w:val="24"/>
        </w:rPr>
        <w:t xml:space="preserve"> Baltijos valstybėse net 72,2 proc. </w:t>
      </w:r>
      <w:r w:rsidR="00E556B7" w:rsidRPr="00EC1AB2">
        <w:rPr>
          <w:rFonts w:ascii="Times New Roman" w:hAnsi="Times New Roman" w:cs="Times New Roman"/>
          <w:sz w:val="24"/>
          <w:szCs w:val="24"/>
        </w:rPr>
        <w:t xml:space="preserve">2010 m. </w:t>
      </w:r>
      <w:r w:rsidR="005E3742" w:rsidRPr="00EC1AB2">
        <w:rPr>
          <w:rFonts w:ascii="Times New Roman" w:hAnsi="Times New Roman" w:cs="Times New Roman"/>
          <w:sz w:val="24"/>
          <w:szCs w:val="24"/>
        </w:rPr>
        <w:t xml:space="preserve">RKF pritrauktų lėšų sudarė valstybės lėšos. </w:t>
      </w:r>
      <w:r w:rsidR="001761AC" w:rsidRPr="00EC1AB2">
        <w:rPr>
          <w:rFonts w:ascii="Times New Roman" w:hAnsi="Times New Roman" w:cs="Times New Roman"/>
          <w:sz w:val="24"/>
          <w:szCs w:val="24"/>
        </w:rPr>
        <w:t>Tai lėmė šiuo metu įgyvendin</w:t>
      </w:r>
      <w:r w:rsidR="00A244F6" w:rsidRPr="00EC1AB2">
        <w:rPr>
          <w:rFonts w:ascii="Times New Roman" w:hAnsi="Times New Roman" w:cs="Times New Roman"/>
          <w:sz w:val="24"/>
          <w:szCs w:val="24"/>
        </w:rPr>
        <w:t>ama</w:t>
      </w:r>
      <w:r w:rsidR="001761AC" w:rsidRPr="00EC1AB2">
        <w:rPr>
          <w:rFonts w:ascii="Times New Roman" w:hAnsi="Times New Roman" w:cs="Times New Roman"/>
          <w:sz w:val="24"/>
          <w:szCs w:val="24"/>
        </w:rPr>
        <w:t xml:space="preserve"> </w:t>
      </w:r>
      <w:r w:rsidR="001761AC" w:rsidRPr="00EC1AB2">
        <w:rPr>
          <w:rFonts w:ascii="Times New Roman" w:eastAsia="Times New Roman" w:hAnsi="Times New Roman" w:cs="Times New Roman"/>
          <w:sz w:val="24"/>
          <w:szCs w:val="24"/>
          <w:lang w:eastAsia="lt-LT"/>
        </w:rPr>
        <w:t>Europos Komisijos, Europos investicijų banko ir Europos investicijų fondo iniciatyva, kurios tikslas – padėti šalims narėms pasirengti dalį joms numatytų ES struktūrinės paramos lėšų panaudoti MVĮ skirtų finansinių priemonių (mikrokreditavimas, rizikos kapitalo investicijos ir pan.) įgyvendini</w:t>
      </w:r>
      <w:r w:rsidR="004B0B0F" w:rsidRPr="00EC1AB2">
        <w:rPr>
          <w:rFonts w:ascii="Times New Roman" w:eastAsia="Times New Roman" w:hAnsi="Times New Roman" w:cs="Times New Roman"/>
          <w:sz w:val="24"/>
          <w:szCs w:val="24"/>
          <w:lang w:eastAsia="lt-LT"/>
        </w:rPr>
        <w:t>mui. Lietuvoje</w:t>
      </w:r>
      <w:r w:rsidR="001761AC" w:rsidRPr="00EC1AB2">
        <w:rPr>
          <w:rFonts w:ascii="Times New Roman" w:eastAsia="Times New Roman" w:hAnsi="Times New Roman" w:cs="Times New Roman"/>
          <w:sz w:val="24"/>
          <w:szCs w:val="24"/>
          <w:lang w:eastAsia="lt-LT"/>
        </w:rPr>
        <w:t xml:space="preserve"> ši iniciatyva finansuojama 2007-2013 m. Ekonomikos augimo veiksmų programos 2 prioriteto „Verslo produktyvumo didinimas ir aplinkos verslui gerinimas” lėšomis, jai skiriama 275 mln. Lt (apie 80 mln. EUR) Europos Sąjungos struktūrinių lėšų.</w:t>
      </w:r>
    </w:p>
    <w:p w:rsidR="00D04D5F" w:rsidRPr="00EC1AB2" w:rsidRDefault="00B12DAE"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eastAsia="Times New Roman" w:hAnsi="Times New Roman" w:cs="Times New Roman"/>
          <w:sz w:val="24"/>
          <w:szCs w:val="24"/>
          <w:lang w:eastAsia="lt-LT"/>
        </w:rPr>
        <w:t>„</w:t>
      </w:r>
      <w:r w:rsidR="00D04D5F" w:rsidRPr="00EC1AB2">
        <w:rPr>
          <w:rFonts w:ascii="Times New Roman" w:eastAsia="Times New Roman" w:hAnsi="Times New Roman" w:cs="Times New Roman"/>
          <w:sz w:val="24"/>
          <w:szCs w:val="24"/>
          <w:lang w:eastAsia="lt-LT"/>
        </w:rPr>
        <w:t>BaltCap</w:t>
      </w:r>
      <w:r w:rsidRPr="00EC1AB2">
        <w:rPr>
          <w:rFonts w:ascii="Times New Roman" w:eastAsia="Times New Roman" w:hAnsi="Times New Roman" w:cs="Times New Roman"/>
          <w:sz w:val="24"/>
          <w:szCs w:val="24"/>
          <w:lang w:eastAsia="lt-LT"/>
        </w:rPr>
        <w:t>“</w:t>
      </w:r>
      <w:r w:rsidR="00D04D5F" w:rsidRPr="00EC1AB2">
        <w:rPr>
          <w:rFonts w:ascii="Times New Roman" w:eastAsia="Times New Roman" w:hAnsi="Times New Roman" w:cs="Times New Roman"/>
          <w:sz w:val="24"/>
          <w:szCs w:val="24"/>
          <w:lang w:eastAsia="lt-LT"/>
        </w:rPr>
        <w:t xml:space="preserve"> viena iš EIF valdomo JEREMIE kontroliuojančiojo fondo iniciatyvų Lietuv</w:t>
      </w:r>
      <w:r w:rsidR="00B33F7D" w:rsidRPr="00EC1AB2">
        <w:rPr>
          <w:rFonts w:ascii="Times New Roman" w:eastAsia="Times New Roman" w:hAnsi="Times New Roman" w:cs="Times New Roman"/>
          <w:sz w:val="24"/>
          <w:szCs w:val="24"/>
          <w:lang w:eastAsia="lt-LT"/>
        </w:rPr>
        <w:t>oje. Šis RKF</w:t>
      </w:r>
      <w:r w:rsidR="00D04D5F" w:rsidRPr="00EC1AB2">
        <w:rPr>
          <w:rFonts w:ascii="Times New Roman" w:eastAsia="Times New Roman" w:hAnsi="Times New Roman" w:cs="Times New Roman"/>
          <w:sz w:val="24"/>
          <w:szCs w:val="24"/>
          <w:lang w:eastAsia="lt-LT"/>
        </w:rPr>
        <w:t xml:space="preserve"> yra viena iš svarbių JEREMIE kontroliuojančiojo fondo veiklų, ko pasėkoje 20 milijonų eurų bus investuota į Liet</w:t>
      </w:r>
      <w:r w:rsidR="00B33F7D" w:rsidRPr="00EC1AB2">
        <w:rPr>
          <w:rFonts w:ascii="Times New Roman" w:eastAsia="Times New Roman" w:hAnsi="Times New Roman" w:cs="Times New Roman"/>
          <w:sz w:val="24"/>
          <w:szCs w:val="24"/>
          <w:lang w:eastAsia="lt-LT"/>
        </w:rPr>
        <w:t>uvos MVĮ</w:t>
      </w:r>
      <w:r w:rsidR="00D04D5F" w:rsidRPr="00EC1AB2">
        <w:rPr>
          <w:rFonts w:ascii="Times New Roman" w:eastAsia="Times New Roman" w:hAnsi="Times New Roman" w:cs="Times New Roman"/>
          <w:sz w:val="24"/>
          <w:szCs w:val="24"/>
          <w:lang w:eastAsia="lt-LT"/>
        </w:rPr>
        <w:t xml:space="preserve">. Fondas investuos iki 10,05 mln. Lt (3 mln. eurų) į veikiančias įmones, pasižyminčias dideliu augimo potencialu. Planuojama, jog iš viso bus investuota į 7-15 MVĮ, kurias atrinks fondą valdanti profesionali </w:t>
      </w:r>
      <w:r w:rsidR="00620C07" w:rsidRPr="00EC1AB2">
        <w:rPr>
          <w:rFonts w:ascii="Times New Roman" w:eastAsia="Times New Roman" w:hAnsi="Times New Roman" w:cs="Times New Roman"/>
          <w:sz w:val="24"/>
          <w:szCs w:val="24"/>
          <w:lang w:eastAsia="lt-LT"/>
        </w:rPr>
        <w:t>„</w:t>
      </w:r>
      <w:r w:rsidR="00D04D5F" w:rsidRPr="00EC1AB2">
        <w:rPr>
          <w:rFonts w:ascii="Times New Roman" w:eastAsia="Times New Roman" w:hAnsi="Times New Roman" w:cs="Times New Roman"/>
          <w:sz w:val="24"/>
          <w:szCs w:val="24"/>
          <w:lang w:eastAsia="lt-LT"/>
        </w:rPr>
        <w:t>BaltCap</w:t>
      </w:r>
      <w:r w:rsidR="00620C07" w:rsidRPr="00EC1AB2">
        <w:rPr>
          <w:rFonts w:ascii="Times New Roman" w:eastAsia="Times New Roman" w:hAnsi="Times New Roman" w:cs="Times New Roman"/>
          <w:sz w:val="24"/>
          <w:szCs w:val="24"/>
          <w:lang w:eastAsia="lt-LT"/>
        </w:rPr>
        <w:t>“</w:t>
      </w:r>
      <w:r w:rsidR="00D04D5F" w:rsidRPr="00EC1AB2">
        <w:rPr>
          <w:rFonts w:ascii="Times New Roman" w:eastAsia="Times New Roman" w:hAnsi="Times New Roman" w:cs="Times New Roman"/>
          <w:sz w:val="24"/>
          <w:szCs w:val="24"/>
          <w:lang w:eastAsia="lt-LT"/>
        </w:rPr>
        <w:t xml:space="preserve"> komanda.</w:t>
      </w:r>
      <w:r w:rsidR="0013557E" w:rsidRPr="00EC1AB2">
        <w:rPr>
          <w:rFonts w:ascii="Times New Roman" w:eastAsia="Times New Roman" w:hAnsi="Times New Roman" w:cs="Times New Roman"/>
          <w:sz w:val="24"/>
          <w:szCs w:val="24"/>
          <w:lang w:eastAsia="lt-LT"/>
        </w:rPr>
        <w:t xml:space="preserve"> Fondą sudaro</w:t>
      </w:r>
      <w:r w:rsidR="00BD7D16" w:rsidRPr="00EC1AB2">
        <w:rPr>
          <w:rFonts w:ascii="Times New Roman" w:hAnsi="Times New Roman" w:cs="Times New Roman"/>
          <w:sz w:val="24"/>
          <w:szCs w:val="24"/>
        </w:rPr>
        <w:t xml:space="preserve"> </w:t>
      </w:r>
      <w:r w:rsidR="00D04D5F" w:rsidRPr="00EC1AB2">
        <w:rPr>
          <w:rFonts w:ascii="Times New Roman" w:eastAsia="Times New Roman" w:hAnsi="Times New Roman" w:cs="Times New Roman"/>
          <w:sz w:val="24"/>
          <w:szCs w:val="24"/>
          <w:lang w:eastAsia="lt-LT"/>
        </w:rPr>
        <w:t>69 mln. litų (20 mln</w:t>
      </w:r>
      <w:r w:rsidR="0013557E" w:rsidRPr="00EC1AB2">
        <w:rPr>
          <w:rFonts w:ascii="Times New Roman" w:eastAsia="Times New Roman" w:hAnsi="Times New Roman" w:cs="Times New Roman"/>
          <w:sz w:val="24"/>
          <w:szCs w:val="24"/>
          <w:lang w:eastAsia="lt-LT"/>
        </w:rPr>
        <w:t>. eurų). V</w:t>
      </w:r>
      <w:r w:rsidR="00D04D5F" w:rsidRPr="00EC1AB2">
        <w:rPr>
          <w:rFonts w:ascii="Times New Roman" w:eastAsia="Times New Roman" w:hAnsi="Times New Roman" w:cs="Times New Roman"/>
          <w:sz w:val="24"/>
          <w:szCs w:val="24"/>
          <w:lang w:eastAsia="lt-LT"/>
        </w:rPr>
        <w:t xml:space="preserve">irš 48 mln. litų (14 mln. eurų) </w:t>
      </w:r>
      <w:r w:rsidR="0013557E" w:rsidRPr="00EC1AB2">
        <w:rPr>
          <w:rFonts w:ascii="Times New Roman" w:eastAsia="Times New Roman" w:hAnsi="Times New Roman" w:cs="Times New Roman"/>
          <w:sz w:val="24"/>
          <w:szCs w:val="24"/>
          <w:lang w:eastAsia="lt-LT"/>
        </w:rPr>
        <w:t xml:space="preserve">skirta </w:t>
      </w:r>
      <w:r w:rsidR="00D04D5F" w:rsidRPr="00EC1AB2">
        <w:rPr>
          <w:rFonts w:ascii="Times New Roman" w:eastAsia="Times New Roman" w:hAnsi="Times New Roman" w:cs="Times New Roman"/>
          <w:sz w:val="24"/>
          <w:szCs w:val="24"/>
          <w:lang w:eastAsia="lt-LT"/>
        </w:rPr>
        <w:t>iš EIF valdomo JEREMIE k</w:t>
      </w:r>
      <w:r w:rsidR="00BD7D16" w:rsidRPr="00EC1AB2">
        <w:rPr>
          <w:rFonts w:ascii="Times New Roman" w:eastAsia="Times New Roman" w:hAnsi="Times New Roman" w:cs="Times New Roman"/>
          <w:sz w:val="24"/>
          <w:szCs w:val="24"/>
          <w:lang w:eastAsia="lt-LT"/>
        </w:rPr>
        <w:t xml:space="preserve">ontroliuojančiojo fondo ir </w:t>
      </w:r>
      <w:r w:rsidR="00D04D5F" w:rsidRPr="00EC1AB2">
        <w:rPr>
          <w:rFonts w:ascii="Times New Roman" w:eastAsia="Times New Roman" w:hAnsi="Times New Roman" w:cs="Times New Roman"/>
          <w:sz w:val="24"/>
          <w:szCs w:val="24"/>
          <w:lang w:eastAsia="lt-LT"/>
        </w:rPr>
        <w:t>beveik 21 mln. litų (6 mln. eurų) investuoja žinomi instituciniai investuotojai, tame tarpe SEB Venture Capital, LHV Asset Management, Swedbank Investicijų Valdymas bei DnB NORD Investicijų Valdymas.</w:t>
      </w:r>
    </w:p>
    <w:p w:rsidR="00DD5A5D" w:rsidRPr="00EC1AB2" w:rsidRDefault="009E0324"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Vienas iš veiksnių, įtakojantis laukiamą projekto pelningumą</w:t>
      </w:r>
      <w:r w:rsidR="00A7010E"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yra investicijų realizavimo rinka. </w:t>
      </w:r>
      <w:r w:rsidR="004238FD" w:rsidRPr="00EC1AB2">
        <w:rPr>
          <w:rFonts w:ascii="Times New Roman" w:hAnsi="Times New Roman" w:cs="Times New Roman"/>
          <w:sz w:val="24"/>
          <w:szCs w:val="24"/>
        </w:rPr>
        <w:t xml:space="preserve">Da Rin M., Nicodano G., Sembenelli A. (2005) atliktas tyrimas </w:t>
      </w:r>
      <w:r w:rsidR="00A7010E" w:rsidRPr="00EC1AB2">
        <w:rPr>
          <w:rFonts w:ascii="Times New Roman" w:hAnsi="Times New Roman" w:cs="Times New Roman"/>
          <w:sz w:val="24"/>
          <w:szCs w:val="24"/>
        </w:rPr>
        <w:t>patvirtino rizikos kapitalo investicijų realizavimo akcijų rinkoje galimybės svarbą, kurią</w:t>
      </w:r>
      <w:r w:rsidR="004238FD" w:rsidRPr="00EC1AB2">
        <w:rPr>
          <w:rFonts w:ascii="Times New Roman" w:hAnsi="Times New Roman" w:cs="Times New Roman"/>
          <w:sz w:val="24"/>
          <w:szCs w:val="24"/>
        </w:rPr>
        <w:t xml:space="preserve"> taip pat</w:t>
      </w:r>
      <w:r w:rsidR="00A7010E" w:rsidRPr="00EC1AB2">
        <w:rPr>
          <w:rFonts w:ascii="Times New Roman" w:hAnsi="Times New Roman" w:cs="Times New Roman"/>
          <w:sz w:val="24"/>
          <w:szCs w:val="24"/>
        </w:rPr>
        <w:t xml:space="preserve"> tyrė Black, Gilson (1998) bei </w:t>
      </w:r>
      <w:r w:rsidR="006070FC" w:rsidRPr="00EC1AB2">
        <w:rPr>
          <w:rFonts w:ascii="Times New Roman" w:hAnsi="Times New Roman" w:cs="Times New Roman"/>
          <w:sz w:val="24"/>
          <w:szCs w:val="24"/>
        </w:rPr>
        <w:t>Miche</w:t>
      </w:r>
      <w:r w:rsidR="00A7010E" w:rsidRPr="00EC1AB2">
        <w:rPr>
          <w:rFonts w:ascii="Times New Roman" w:hAnsi="Times New Roman" w:cs="Times New Roman"/>
          <w:sz w:val="24"/>
          <w:szCs w:val="24"/>
        </w:rPr>
        <w:t>lacci, Suarez (2004).</w:t>
      </w:r>
      <w:r w:rsidR="00406C68" w:rsidRPr="00EC1AB2">
        <w:rPr>
          <w:rFonts w:ascii="Times New Roman" w:hAnsi="Times New Roman" w:cs="Times New Roman"/>
          <w:sz w:val="24"/>
          <w:szCs w:val="24"/>
        </w:rPr>
        <w:t xml:space="preserve"> RKF</w:t>
      </w:r>
      <w:r w:rsidR="00EF6EDB" w:rsidRPr="00EC1AB2">
        <w:rPr>
          <w:rFonts w:ascii="Times New Roman" w:hAnsi="Times New Roman" w:cs="Times New Roman"/>
          <w:sz w:val="24"/>
          <w:szCs w:val="24"/>
        </w:rPr>
        <w:t xml:space="preserve"> investicijų Baltijos valstybėse realizavimo dinamika</w:t>
      </w:r>
      <w:r w:rsidR="00406C68" w:rsidRPr="00EC1AB2">
        <w:rPr>
          <w:rFonts w:ascii="Times New Roman" w:hAnsi="Times New Roman" w:cs="Times New Roman"/>
          <w:sz w:val="24"/>
          <w:szCs w:val="24"/>
        </w:rPr>
        <w:t xml:space="preserve"> 2007-2010 m. </w:t>
      </w:r>
      <w:r w:rsidR="00EF6EDB" w:rsidRPr="00EC1AB2">
        <w:rPr>
          <w:rFonts w:ascii="Times New Roman" w:hAnsi="Times New Roman" w:cs="Times New Roman"/>
          <w:sz w:val="24"/>
          <w:szCs w:val="24"/>
        </w:rPr>
        <w:t>pateikta</w:t>
      </w:r>
      <w:r w:rsidR="00406C68" w:rsidRPr="00EC1AB2">
        <w:rPr>
          <w:rFonts w:ascii="Times New Roman" w:hAnsi="Times New Roman" w:cs="Times New Roman"/>
          <w:sz w:val="24"/>
          <w:szCs w:val="24"/>
        </w:rPr>
        <w:t xml:space="preserve"> </w:t>
      </w:r>
      <w:r w:rsidR="0049040A" w:rsidRPr="00EC1AB2">
        <w:rPr>
          <w:rFonts w:ascii="Times New Roman" w:hAnsi="Times New Roman" w:cs="Times New Roman"/>
          <w:sz w:val="24"/>
          <w:szCs w:val="24"/>
        </w:rPr>
        <w:t>10</w:t>
      </w:r>
      <w:r w:rsidR="00406C68" w:rsidRPr="00EC1AB2">
        <w:rPr>
          <w:rFonts w:ascii="Times New Roman" w:hAnsi="Times New Roman" w:cs="Times New Roman"/>
          <w:sz w:val="24"/>
          <w:szCs w:val="24"/>
        </w:rPr>
        <w:t xml:space="preserve"> pav.</w:t>
      </w:r>
    </w:p>
    <w:p w:rsidR="009E662B" w:rsidRPr="00EC1AB2" w:rsidRDefault="009E662B" w:rsidP="007A02A8">
      <w:pPr>
        <w:autoSpaceDE w:val="0"/>
        <w:autoSpaceDN w:val="0"/>
        <w:adjustRightInd w:val="0"/>
        <w:spacing w:after="0" w:line="360" w:lineRule="auto"/>
        <w:jc w:val="both"/>
        <w:rPr>
          <w:rFonts w:ascii="Times New Roman" w:hAnsi="Times New Roman" w:cs="Times New Roman"/>
          <w:sz w:val="24"/>
          <w:szCs w:val="24"/>
        </w:rPr>
      </w:pPr>
    </w:p>
    <w:p w:rsidR="00D32C47" w:rsidRPr="00EC1AB2" w:rsidRDefault="00E20791" w:rsidP="007A02A8">
      <w:pPr>
        <w:autoSpaceDE w:val="0"/>
        <w:autoSpaceDN w:val="0"/>
        <w:adjustRightInd w:val="0"/>
        <w:spacing w:after="0" w:line="360" w:lineRule="auto"/>
        <w:rPr>
          <w:rFonts w:ascii="Times New Roman" w:hAnsi="Times New Roman" w:cs="Times New Roman"/>
          <w:sz w:val="28"/>
          <w:szCs w:val="28"/>
        </w:rPr>
      </w:pPr>
      <w:r w:rsidRPr="00EC1AB2">
        <w:rPr>
          <w:rFonts w:ascii="Times New Roman" w:hAnsi="Times New Roman" w:cs="Times New Roman"/>
          <w:noProof/>
          <w:lang w:eastAsia="lt-LT"/>
        </w:rPr>
        <w:drawing>
          <wp:anchor distT="0" distB="0" distL="114300" distR="114300" simplePos="0" relativeHeight="251846656" behindDoc="1" locked="0" layoutInCell="1" allowOverlap="1" wp14:anchorId="724CF36C" wp14:editId="0D236AFA">
            <wp:simplePos x="0" y="0"/>
            <wp:positionH relativeFrom="column">
              <wp:posOffset>396240</wp:posOffset>
            </wp:positionH>
            <wp:positionV relativeFrom="paragraph">
              <wp:posOffset>40005</wp:posOffset>
            </wp:positionV>
            <wp:extent cx="5229225" cy="3147695"/>
            <wp:effectExtent l="0" t="0" r="0" b="0"/>
            <wp:wrapTight wrapText="bothSides">
              <wp:wrapPolygon edited="0">
                <wp:start x="1023" y="523"/>
                <wp:lineTo x="1023" y="1438"/>
                <wp:lineTo x="6059" y="2876"/>
                <wp:lineTo x="1023" y="3007"/>
                <wp:lineTo x="1023" y="3791"/>
                <wp:lineTo x="10780" y="4968"/>
                <wp:lineTo x="1023" y="5229"/>
                <wp:lineTo x="1023" y="6013"/>
                <wp:lineTo x="10780" y="7059"/>
                <wp:lineTo x="1338" y="7321"/>
                <wp:lineTo x="1338" y="8366"/>
                <wp:lineTo x="16603" y="9151"/>
                <wp:lineTo x="1338" y="9935"/>
                <wp:lineTo x="1338" y="10719"/>
                <wp:lineTo x="10780" y="11242"/>
                <wp:lineTo x="1259" y="12288"/>
                <wp:lineTo x="1259" y="13072"/>
                <wp:lineTo x="10780" y="13334"/>
                <wp:lineTo x="1338" y="14641"/>
                <wp:lineTo x="1338" y="15425"/>
                <wp:lineTo x="10780" y="15425"/>
                <wp:lineTo x="1259" y="16994"/>
                <wp:lineTo x="1259" y="18301"/>
                <wp:lineTo x="7475" y="19609"/>
                <wp:lineTo x="2203" y="19870"/>
                <wp:lineTo x="2125" y="20654"/>
                <wp:lineTo x="6216" y="21047"/>
                <wp:lineTo x="14400" y="21047"/>
                <wp:lineTo x="16603" y="20654"/>
                <wp:lineTo x="16446" y="19870"/>
                <wp:lineTo x="13692" y="19609"/>
                <wp:lineTo x="19987" y="18171"/>
                <wp:lineTo x="20066" y="15556"/>
                <wp:lineTo x="19279" y="15425"/>
                <wp:lineTo x="10780" y="15425"/>
                <wp:lineTo x="19830" y="14510"/>
                <wp:lineTo x="19830" y="13726"/>
                <wp:lineTo x="10780" y="13334"/>
                <wp:lineTo x="19830" y="12811"/>
                <wp:lineTo x="19830" y="12027"/>
                <wp:lineTo x="10780" y="11242"/>
                <wp:lineTo x="19357" y="11242"/>
                <wp:lineTo x="20066" y="11112"/>
                <wp:lineTo x="20066" y="7321"/>
                <wp:lineTo x="19436" y="7190"/>
                <wp:lineTo x="10780" y="7059"/>
                <wp:lineTo x="19830" y="6275"/>
                <wp:lineTo x="19830" y="5490"/>
                <wp:lineTo x="10780" y="4968"/>
                <wp:lineTo x="18570" y="4968"/>
                <wp:lineTo x="20066" y="4575"/>
                <wp:lineTo x="20066" y="523"/>
                <wp:lineTo x="1023" y="523"/>
              </wp:wrapPolygon>
            </wp:wrapTight>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DD5A5D" w:rsidRPr="00EC1AB2" w:rsidRDefault="00DD5A5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126BBD" w:rsidRPr="00EC1AB2" w:rsidRDefault="00126BBD" w:rsidP="007A02A8">
      <w:pPr>
        <w:autoSpaceDE w:val="0"/>
        <w:autoSpaceDN w:val="0"/>
        <w:adjustRightInd w:val="0"/>
        <w:spacing w:after="0" w:line="360" w:lineRule="auto"/>
        <w:ind w:left="1296"/>
        <w:jc w:val="center"/>
        <w:rPr>
          <w:rFonts w:ascii="Times New Roman" w:hAnsi="Times New Roman" w:cs="Times New Roman"/>
          <w:b/>
          <w:sz w:val="28"/>
          <w:szCs w:val="28"/>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ind w:firstLine="1296"/>
        <w:jc w:val="both"/>
        <w:rPr>
          <w:rFonts w:ascii="Times New Roman" w:hAnsi="Times New Roman" w:cs="Times New Roman"/>
          <w:sz w:val="24"/>
          <w:szCs w:val="24"/>
        </w:rPr>
      </w:pPr>
    </w:p>
    <w:p w:rsidR="003C4E4D" w:rsidRPr="00EC1AB2" w:rsidRDefault="003C4E4D" w:rsidP="007A02A8">
      <w:pPr>
        <w:spacing w:after="0" w:line="360" w:lineRule="auto"/>
        <w:jc w:val="both"/>
        <w:rPr>
          <w:rFonts w:ascii="Times New Roman" w:hAnsi="Times New Roman" w:cs="Times New Roman"/>
          <w:sz w:val="24"/>
          <w:szCs w:val="24"/>
        </w:rPr>
      </w:pPr>
    </w:p>
    <w:p w:rsidR="00F80D5D" w:rsidRPr="00EC1AB2" w:rsidRDefault="00F80D5D" w:rsidP="007A02A8">
      <w:pPr>
        <w:spacing w:after="0" w:line="360" w:lineRule="auto"/>
        <w:jc w:val="both"/>
        <w:rPr>
          <w:rFonts w:ascii="Times New Roman" w:hAnsi="Times New Roman" w:cs="Times New Roman"/>
          <w:sz w:val="24"/>
          <w:szCs w:val="24"/>
        </w:rPr>
      </w:pPr>
    </w:p>
    <w:p w:rsidR="003C4E4D" w:rsidRPr="00EC1AB2" w:rsidRDefault="003C4E4D" w:rsidP="007A02A8">
      <w:pPr>
        <w:tabs>
          <w:tab w:val="left" w:pos="4395"/>
        </w:tabs>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w:t>
      </w:r>
      <w:r w:rsidR="006C73C5" w:rsidRPr="00EC1AB2">
        <w:rPr>
          <w:rFonts w:ascii="Times New Roman" w:hAnsi="Times New Roman" w:cs="Times New Roman"/>
          <w:sz w:val="20"/>
          <w:szCs w:val="20"/>
        </w:rPr>
        <w:t>pagal EVCA Yearbook ir kasmetinius statistikos leidinius</w:t>
      </w:r>
      <w:r w:rsidRPr="00EC1AB2">
        <w:rPr>
          <w:rFonts w:ascii="Times New Roman" w:hAnsi="Times New Roman" w:cs="Times New Roman"/>
          <w:sz w:val="20"/>
          <w:szCs w:val="20"/>
        </w:rPr>
        <w:t>, 2011</w:t>
      </w:r>
      <w:r w:rsidRPr="00EC1AB2">
        <w:rPr>
          <w:rFonts w:ascii="Times New Roman" w:hAnsi="Times New Roman" w:cs="Times New Roman"/>
          <w:sz w:val="20"/>
          <w:szCs w:val="20"/>
        </w:rPr>
        <w:tab/>
      </w:r>
    </w:p>
    <w:p w:rsidR="003C4E4D" w:rsidRPr="00EC1AB2" w:rsidRDefault="0049040A" w:rsidP="007A02A8">
      <w:pPr>
        <w:pStyle w:val="Heading5"/>
        <w:spacing w:before="0" w:line="360" w:lineRule="auto"/>
        <w:jc w:val="center"/>
        <w:rPr>
          <w:rFonts w:ascii="Times New Roman" w:hAnsi="Times New Roman" w:cs="Times New Roman"/>
          <w:b/>
          <w:color w:val="auto"/>
          <w:sz w:val="24"/>
          <w:szCs w:val="24"/>
        </w:rPr>
      </w:pPr>
      <w:bookmarkStart w:id="113" w:name="_Toc320761923"/>
      <w:bookmarkStart w:id="114" w:name="_Toc320762158"/>
      <w:bookmarkStart w:id="115" w:name="_Toc320762560"/>
      <w:r w:rsidRPr="00EC1AB2">
        <w:rPr>
          <w:rFonts w:ascii="Times New Roman" w:hAnsi="Times New Roman" w:cs="Times New Roman"/>
          <w:color w:val="auto"/>
          <w:sz w:val="24"/>
          <w:szCs w:val="24"/>
        </w:rPr>
        <w:t>10</w:t>
      </w:r>
      <w:r w:rsidR="003C4E4D" w:rsidRPr="00EC1AB2">
        <w:rPr>
          <w:rFonts w:ascii="Times New Roman" w:hAnsi="Times New Roman" w:cs="Times New Roman"/>
          <w:color w:val="auto"/>
          <w:sz w:val="24"/>
          <w:szCs w:val="24"/>
        </w:rPr>
        <w:t xml:space="preserve"> pav.</w:t>
      </w:r>
      <w:r w:rsidR="003C4E4D" w:rsidRPr="00EC1AB2">
        <w:rPr>
          <w:rFonts w:ascii="Times New Roman" w:hAnsi="Times New Roman" w:cs="Times New Roman"/>
          <w:b/>
          <w:color w:val="auto"/>
          <w:sz w:val="24"/>
          <w:szCs w:val="24"/>
        </w:rPr>
        <w:t xml:space="preserve"> </w:t>
      </w:r>
      <w:r w:rsidR="001B54BB" w:rsidRPr="00EC1AB2">
        <w:rPr>
          <w:rFonts w:ascii="Times New Roman" w:hAnsi="Times New Roman" w:cs="Times New Roman"/>
          <w:b/>
          <w:color w:val="auto"/>
          <w:sz w:val="24"/>
          <w:szCs w:val="24"/>
        </w:rPr>
        <w:t>Rizikos kapitalo fondų</w:t>
      </w:r>
      <w:r w:rsidR="00B90B50" w:rsidRPr="00EC1AB2">
        <w:rPr>
          <w:rFonts w:ascii="Times New Roman" w:hAnsi="Times New Roman" w:cs="Times New Roman"/>
          <w:b/>
          <w:color w:val="auto"/>
          <w:sz w:val="24"/>
          <w:szCs w:val="24"/>
        </w:rPr>
        <w:t xml:space="preserve"> invest</w:t>
      </w:r>
      <w:r w:rsidR="00E20791" w:rsidRPr="00EC1AB2">
        <w:rPr>
          <w:rFonts w:ascii="Times New Roman" w:hAnsi="Times New Roman" w:cs="Times New Roman"/>
          <w:b/>
          <w:color w:val="auto"/>
          <w:sz w:val="24"/>
          <w:szCs w:val="24"/>
        </w:rPr>
        <w:t>icijų realizavimas Baltijos valstybėse 2007-2010 m.</w:t>
      </w:r>
      <w:r w:rsidR="003C4E4D" w:rsidRPr="00EC1AB2">
        <w:rPr>
          <w:rFonts w:ascii="Times New Roman" w:hAnsi="Times New Roman" w:cs="Times New Roman"/>
          <w:b/>
          <w:color w:val="auto"/>
          <w:sz w:val="24"/>
          <w:szCs w:val="24"/>
        </w:rPr>
        <w:t>,</w:t>
      </w:r>
      <w:r w:rsidR="00B90B50" w:rsidRPr="00EC1AB2">
        <w:rPr>
          <w:rFonts w:ascii="Times New Roman" w:hAnsi="Times New Roman" w:cs="Times New Roman"/>
          <w:b/>
          <w:color w:val="auto"/>
          <w:sz w:val="24"/>
          <w:szCs w:val="24"/>
        </w:rPr>
        <w:t xml:space="preserve"> mln. EUR</w:t>
      </w:r>
      <w:bookmarkEnd w:id="113"/>
      <w:bookmarkEnd w:id="114"/>
      <w:bookmarkEnd w:id="115"/>
    </w:p>
    <w:p w:rsidR="003C4E4D" w:rsidRPr="00EC1AB2" w:rsidRDefault="003C4E4D" w:rsidP="007A02A8">
      <w:pPr>
        <w:pStyle w:val="Heading5"/>
        <w:spacing w:before="0" w:line="360" w:lineRule="auto"/>
        <w:jc w:val="center"/>
        <w:rPr>
          <w:rFonts w:ascii="Times New Roman" w:hAnsi="Times New Roman" w:cs="Times New Roman"/>
          <w:b/>
          <w:color w:val="auto"/>
          <w:sz w:val="24"/>
          <w:szCs w:val="24"/>
        </w:rPr>
      </w:pPr>
    </w:p>
    <w:p w:rsidR="0024405B" w:rsidRPr="00EC1AB2" w:rsidRDefault="0049040A"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iš 10</w:t>
      </w:r>
      <w:r w:rsidR="0024405B" w:rsidRPr="00EC1AB2">
        <w:rPr>
          <w:rFonts w:ascii="Times New Roman" w:hAnsi="Times New Roman" w:cs="Times New Roman"/>
          <w:sz w:val="24"/>
          <w:szCs w:val="24"/>
        </w:rPr>
        <w:t xml:space="preserve"> pav. </w:t>
      </w:r>
      <w:r w:rsidR="00A63537" w:rsidRPr="00EC1AB2">
        <w:rPr>
          <w:rFonts w:ascii="Times New Roman" w:hAnsi="Times New Roman" w:cs="Times New Roman"/>
          <w:sz w:val="24"/>
          <w:szCs w:val="24"/>
        </w:rPr>
        <w:t>viduti</w:t>
      </w:r>
      <w:r w:rsidR="00472091" w:rsidRPr="00EC1AB2">
        <w:rPr>
          <w:rFonts w:ascii="Times New Roman" w:hAnsi="Times New Roman" w:cs="Times New Roman"/>
          <w:sz w:val="24"/>
          <w:szCs w:val="24"/>
        </w:rPr>
        <w:t>ni</w:t>
      </w:r>
      <w:r w:rsidR="00A63537" w:rsidRPr="00EC1AB2">
        <w:rPr>
          <w:rFonts w:ascii="Times New Roman" w:hAnsi="Times New Roman" w:cs="Times New Roman"/>
          <w:sz w:val="24"/>
          <w:szCs w:val="24"/>
        </w:rPr>
        <w:t>škai viena realizuota investicija beveik visu pate</w:t>
      </w:r>
      <w:r w:rsidR="00496928" w:rsidRPr="00EC1AB2">
        <w:rPr>
          <w:rFonts w:ascii="Times New Roman" w:hAnsi="Times New Roman" w:cs="Times New Roman"/>
          <w:sz w:val="24"/>
          <w:szCs w:val="24"/>
        </w:rPr>
        <w:t>i</w:t>
      </w:r>
      <w:r w:rsidR="00A63537" w:rsidRPr="00EC1AB2">
        <w:rPr>
          <w:rFonts w:ascii="Times New Roman" w:hAnsi="Times New Roman" w:cs="Times New Roman"/>
          <w:sz w:val="24"/>
          <w:szCs w:val="24"/>
        </w:rPr>
        <w:t xml:space="preserve">ktu laikotarpiu </w:t>
      </w:r>
      <w:r w:rsidR="00E548E8" w:rsidRPr="00EC1AB2">
        <w:rPr>
          <w:rFonts w:ascii="Times New Roman" w:hAnsi="Times New Roman" w:cs="Times New Roman"/>
          <w:sz w:val="24"/>
          <w:szCs w:val="24"/>
        </w:rPr>
        <w:t xml:space="preserve">viršijo </w:t>
      </w:r>
      <w:r w:rsidR="00743162" w:rsidRPr="00EC1AB2">
        <w:rPr>
          <w:rFonts w:ascii="Times New Roman" w:hAnsi="Times New Roman" w:cs="Times New Roman"/>
          <w:sz w:val="24"/>
          <w:szCs w:val="24"/>
        </w:rPr>
        <w:t xml:space="preserve">1 </w:t>
      </w:r>
      <w:r w:rsidR="00E548E8" w:rsidRPr="00EC1AB2">
        <w:rPr>
          <w:rFonts w:ascii="Times New Roman" w:hAnsi="Times New Roman" w:cs="Times New Roman"/>
          <w:sz w:val="24"/>
          <w:szCs w:val="24"/>
        </w:rPr>
        <w:t>mln.</w:t>
      </w:r>
      <w:r w:rsidR="0071459F" w:rsidRPr="00EC1AB2">
        <w:rPr>
          <w:rFonts w:ascii="Times New Roman" w:hAnsi="Times New Roman" w:cs="Times New Roman"/>
          <w:sz w:val="24"/>
          <w:szCs w:val="24"/>
        </w:rPr>
        <w:t xml:space="preserve"> eurų</w:t>
      </w:r>
      <w:r w:rsidR="00496928" w:rsidRPr="00EC1AB2">
        <w:rPr>
          <w:rFonts w:ascii="Times New Roman" w:hAnsi="Times New Roman" w:cs="Times New Roman"/>
          <w:sz w:val="24"/>
          <w:szCs w:val="24"/>
        </w:rPr>
        <w:t>.</w:t>
      </w:r>
      <w:r w:rsidR="005B1E56" w:rsidRPr="00EC1AB2">
        <w:rPr>
          <w:rFonts w:ascii="Times New Roman" w:hAnsi="Times New Roman" w:cs="Times New Roman"/>
          <w:sz w:val="24"/>
          <w:szCs w:val="24"/>
        </w:rPr>
        <w:t xml:space="preserve"> Reikia paminėti, kad analizuojamu</w:t>
      </w:r>
      <w:r w:rsidR="004A51A7" w:rsidRPr="00EC1AB2">
        <w:rPr>
          <w:rFonts w:ascii="Times New Roman" w:hAnsi="Times New Roman" w:cs="Times New Roman"/>
          <w:sz w:val="24"/>
          <w:szCs w:val="24"/>
        </w:rPr>
        <w:t xml:space="preserve"> laikotarpiu </w:t>
      </w:r>
      <w:r w:rsidR="00FA42B3" w:rsidRPr="00EC1AB2">
        <w:rPr>
          <w:rFonts w:ascii="Times New Roman" w:hAnsi="Times New Roman" w:cs="Times New Roman"/>
          <w:sz w:val="24"/>
          <w:szCs w:val="24"/>
        </w:rPr>
        <w:t>nei viena investicija Baltijos valsty</w:t>
      </w:r>
      <w:r w:rsidR="00AF199B" w:rsidRPr="00EC1AB2">
        <w:rPr>
          <w:rFonts w:ascii="Times New Roman" w:hAnsi="Times New Roman" w:cs="Times New Roman"/>
          <w:sz w:val="24"/>
          <w:szCs w:val="24"/>
        </w:rPr>
        <w:t>bėse n</w:t>
      </w:r>
      <w:r w:rsidR="00A10824" w:rsidRPr="00EC1AB2">
        <w:rPr>
          <w:rFonts w:ascii="Times New Roman" w:hAnsi="Times New Roman" w:cs="Times New Roman"/>
          <w:sz w:val="24"/>
          <w:szCs w:val="24"/>
        </w:rPr>
        <w:t>ebuvo realizuota per IPO.</w:t>
      </w:r>
      <w:r w:rsidR="00D9476A" w:rsidRPr="00EC1AB2">
        <w:rPr>
          <w:rFonts w:ascii="Times New Roman" w:hAnsi="Times New Roman" w:cs="Times New Roman"/>
          <w:sz w:val="24"/>
          <w:szCs w:val="24"/>
        </w:rPr>
        <w:t xml:space="preserve"> Didžiausia</w:t>
      </w:r>
      <w:r w:rsidR="005B1E56" w:rsidRPr="00EC1AB2">
        <w:rPr>
          <w:rFonts w:ascii="Times New Roman" w:hAnsi="Times New Roman" w:cs="Times New Roman"/>
          <w:sz w:val="24"/>
          <w:szCs w:val="24"/>
        </w:rPr>
        <w:t xml:space="preserve"> dalis visų</w:t>
      </w:r>
      <w:r w:rsidR="00D9476A" w:rsidRPr="00EC1AB2">
        <w:rPr>
          <w:rFonts w:ascii="Times New Roman" w:hAnsi="Times New Roman" w:cs="Times New Roman"/>
          <w:sz w:val="24"/>
          <w:szCs w:val="24"/>
        </w:rPr>
        <w:t xml:space="preserve"> investicijų </w:t>
      </w:r>
      <w:r w:rsidR="00DE33BA" w:rsidRPr="00EC1AB2">
        <w:rPr>
          <w:rFonts w:ascii="Times New Roman" w:hAnsi="Times New Roman" w:cs="Times New Roman"/>
          <w:sz w:val="24"/>
          <w:szCs w:val="24"/>
        </w:rPr>
        <w:t>realizuota parduodant</w:t>
      </w:r>
      <w:r w:rsidR="005B1E56" w:rsidRPr="00EC1AB2">
        <w:rPr>
          <w:rFonts w:ascii="Times New Roman" w:hAnsi="Times New Roman" w:cs="Times New Roman"/>
          <w:sz w:val="24"/>
          <w:szCs w:val="24"/>
        </w:rPr>
        <w:t xml:space="preserve"> portfelio įmones</w:t>
      </w:r>
      <w:r w:rsidR="00D9476A" w:rsidRPr="00EC1AB2">
        <w:rPr>
          <w:rFonts w:ascii="Times New Roman" w:hAnsi="Times New Roman" w:cs="Times New Roman"/>
          <w:sz w:val="24"/>
          <w:szCs w:val="24"/>
        </w:rPr>
        <w:t xml:space="preserve"> strateginiam investuotojui. </w:t>
      </w:r>
    </w:p>
    <w:p w:rsidR="00A7437C" w:rsidRPr="00EC1AB2" w:rsidRDefault="006D59A9"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Apibendrinant, </w:t>
      </w:r>
      <w:r w:rsidR="00783AB8" w:rsidRPr="00EC1AB2">
        <w:rPr>
          <w:rFonts w:ascii="Times New Roman" w:hAnsi="Times New Roman" w:cs="Times New Roman"/>
          <w:sz w:val="24"/>
          <w:szCs w:val="24"/>
        </w:rPr>
        <w:t xml:space="preserve">Lietuva </w:t>
      </w:r>
      <w:r w:rsidR="00A2766C" w:rsidRPr="00EC1AB2">
        <w:rPr>
          <w:rFonts w:ascii="Times New Roman" w:hAnsi="Times New Roman" w:cs="Times New Roman"/>
          <w:sz w:val="24"/>
          <w:szCs w:val="24"/>
        </w:rPr>
        <w:t>pagal RKF investicijas ES 2010 m.</w:t>
      </w:r>
      <w:r w:rsidR="00362984" w:rsidRPr="00EC1AB2">
        <w:rPr>
          <w:rFonts w:ascii="Times New Roman" w:hAnsi="Times New Roman" w:cs="Times New Roman"/>
          <w:sz w:val="24"/>
          <w:szCs w:val="24"/>
        </w:rPr>
        <w:t xml:space="preserve"> buvo paskutinėje vietoje, taip pat stipriai atsiliko </w:t>
      </w:r>
      <w:r w:rsidR="00157D87" w:rsidRPr="00EC1AB2">
        <w:rPr>
          <w:rFonts w:ascii="Times New Roman" w:hAnsi="Times New Roman" w:cs="Times New Roman"/>
          <w:sz w:val="24"/>
          <w:szCs w:val="24"/>
        </w:rPr>
        <w:t>nuo C</w:t>
      </w:r>
      <w:r w:rsidR="00932640" w:rsidRPr="00EC1AB2">
        <w:rPr>
          <w:rFonts w:ascii="Times New Roman" w:hAnsi="Times New Roman" w:cs="Times New Roman"/>
          <w:sz w:val="24"/>
          <w:szCs w:val="24"/>
        </w:rPr>
        <w:t>E</w:t>
      </w:r>
      <w:r w:rsidR="00362984" w:rsidRPr="00EC1AB2">
        <w:rPr>
          <w:rFonts w:ascii="Times New Roman" w:hAnsi="Times New Roman" w:cs="Times New Roman"/>
          <w:sz w:val="24"/>
          <w:szCs w:val="24"/>
        </w:rPr>
        <w:t>E vidurkio.</w:t>
      </w:r>
      <w:r w:rsidR="00E36217" w:rsidRPr="00EC1AB2">
        <w:rPr>
          <w:rFonts w:ascii="Times New Roman" w:hAnsi="Times New Roman" w:cs="Times New Roman"/>
          <w:sz w:val="24"/>
          <w:szCs w:val="24"/>
        </w:rPr>
        <w:t xml:space="preserve"> Be to, </w:t>
      </w:r>
      <w:r w:rsidR="00A2766C" w:rsidRPr="00EC1AB2">
        <w:rPr>
          <w:rFonts w:ascii="Times New Roman" w:hAnsi="Times New Roman" w:cs="Times New Roman"/>
          <w:sz w:val="24"/>
          <w:szCs w:val="24"/>
        </w:rPr>
        <w:t xml:space="preserve">Lietuvoje esančios RKF investicijos </w:t>
      </w:r>
      <w:r w:rsidR="00176ADE" w:rsidRPr="00EC1AB2">
        <w:rPr>
          <w:rFonts w:ascii="Times New Roman" w:hAnsi="Times New Roman" w:cs="Times New Roman"/>
          <w:sz w:val="24"/>
          <w:szCs w:val="24"/>
        </w:rPr>
        <w:t>didžia dalimi finansuotos iš ES struktūrinės param</w:t>
      </w:r>
      <w:r w:rsidR="00712446" w:rsidRPr="00EC1AB2">
        <w:rPr>
          <w:rFonts w:ascii="Times New Roman" w:hAnsi="Times New Roman" w:cs="Times New Roman"/>
          <w:sz w:val="24"/>
          <w:szCs w:val="24"/>
        </w:rPr>
        <w:t>o</w:t>
      </w:r>
      <w:r w:rsidR="00057832" w:rsidRPr="00EC1AB2">
        <w:rPr>
          <w:rFonts w:ascii="Times New Roman" w:hAnsi="Times New Roman" w:cs="Times New Roman"/>
          <w:sz w:val="24"/>
          <w:szCs w:val="24"/>
        </w:rPr>
        <w:t>s, o ne privačių lėšų šaltinų, todėl galima teigti</w:t>
      </w:r>
      <w:r w:rsidR="00C44625" w:rsidRPr="00EC1AB2">
        <w:rPr>
          <w:rFonts w:ascii="Times New Roman" w:hAnsi="Times New Roman" w:cs="Times New Roman"/>
          <w:sz w:val="24"/>
          <w:szCs w:val="24"/>
        </w:rPr>
        <w:t xml:space="preserve">, kad jeigu nebūtų </w:t>
      </w:r>
      <w:r w:rsidR="0090689A" w:rsidRPr="00EC1AB2">
        <w:rPr>
          <w:rFonts w:ascii="Times New Roman" w:hAnsi="Times New Roman" w:cs="Times New Roman"/>
          <w:sz w:val="24"/>
          <w:szCs w:val="24"/>
        </w:rPr>
        <w:t>tiesioginio valstybės įsikišimo</w:t>
      </w:r>
      <w:r w:rsidR="00057832" w:rsidRPr="00EC1AB2">
        <w:rPr>
          <w:rFonts w:ascii="Times New Roman" w:hAnsi="Times New Roman" w:cs="Times New Roman"/>
          <w:sz w:val="24"/>
          <w:szCs w:val="24"/>
        </w:rPr>
        <w:t>,</w:t>
      </w:r>
      <w:r w:rsidR="00D75355" w:rsidRPr="00EC1AB2">
        <w:rPr>
          <w:rFonts w:ascii="Times New Roman" w:hAnsi="Times New Roman" w:cs="Times New Roman"/>
          <w:sz w:val="24"/>
          <w:szCs w:val="24"/>
        </w:rPr>
        <w:t xml:space="preserve"> siekiant skatinti</w:t>
      </w:r>
      <w:r w:rsidR="0090689A" w:rsidRPr="00EC1AB2">
        <w:rPr>
          <w:rFonts w:ascii="Times New Roman" w:hAnsi="Times New Roman" w:cs="Times New Roman"/>
          <w:sz w:val="24"/>
          <w:szCs w:val="24"/>
        </w:rPr>
        <w:t xml:space="preserve"> rizikos kap</w:t>
      </w:r>
      <w:r w:rsidR="00D75355" w:rsidRPr="00EC1AB2">
        <w:rPr>
          <w:rFonts w:ascii="Times New Roman" w:hAnsi="Times New Roman" w:cs="Times New Roman"/>
          <w:sz w:val="24"/>
          <w:szCs w:val="24"/>
        </w:rPr>
        <w:t>italo sektorių, jis</w:t>
      </w:r>
      <w:r w:rsidR="0090689A" w:rsidRPr="00EC1AB2">
        <w:rPr>
          <w:rFonts w:ascii="Times New Roman" w:hAnsi="Times New Roman" w:cs="Times New Roman"/>
          <w:sz w:val="24"/>
          <w:szCs w:val="24"/>
        </w:rPr>
        <w:t xml:space="preserve"> </w:t>
      </w:r>
      <w:r w:rsidR="00057832" w:rsidRPr="00EC1AB2">
        <w:rPr>
          <w:rFonts w:ascii="Times New Roman" w:hAnsi="Times New Roman" w:cs="Times New Roman"/>
          <w:sz w:val="24"/>
          <w:szCs w:val="24"/>
        </w:rPr>
        <w:t xml:space="preserve">Lietuvoje </w:t>
      </w:r>
      <w:r w:rsidR="00FD3B48" w:rsidRPr="00EC1AB2">
        <w:rPr>
          <w:rFonts w:ascii="Times New Roman" w:hAnsi="Times New Roman" w:cs="Times New Roman"/>
          <w:sz w:val="24"/>
          <w:szCs w:val="24"/>
        </w:rPr>
        <w:t>praktiškai neegzistuotų.</w:t>
      </w:r>
    </w:p>
    <w:p w:rsidR="006A1F7F" w:rsidRPr="00EC1AB2" w:rsidRDefault="006A1F7F" w:rsidP="007A02A8">
      <w:pPr>
        <w:spacing w:after="0" w:line="360" w:lineRule="auto"/>
        <w:ind w:firstLine="1296"/>
        <w:jc w:val="both"/>
        <w:rPr>
          <w:rFonts w:ascii="Times New Roman" w:hAnsi="Times New Roman" w:cs="Times New Roman"/>
          <w:sz w:val="24"/>
          <w:szCs w:val="24"/>
        </w:rPr>
      </w:pPr>
    </w:p>
    <w:p w:rsidR="009C321E" w:rsidRPr="00EC1AB2" w:rsidRDefault="009C321E" w:rsidP="00812D85">
      <w:pPr>
        <w:pStyle w:val="Heading2"/>
        <w:numPr>
          <w:ilvl w:val="1"/>
          <w:numId w:val="32"/>
        </w:numPr>
        <w:spacing w:before="0" w:after="0" w:line="360" w:lineRule="auto"/>
        <w:rPr>
          <w:i w:val="0"/>
          <w:sz w:val="24"/>
          <w:szCs w:val="24"/>
        </w:rPr>
      </w:pPr>
      <w:bookmarkStart w:id="116" w:name="_Toc320566998"/>
      <w:bookmarkStart w:id="117" w:name="_Toc320567038"/>
      <w:bookmarkStart w:id="118" w:name="_Toc320567185"/>
      <w:bookmarkStart w:id="119" w:name="_Toc320761768"/>
      <w:bookmarkStart w:id="120" w:name="_Toc320761924"/>
      <w:bookmarkStart w:id="121" w:name="_Toc320762159"/>
      <w:bookmarkStart w:id="122" w:name="_Toc320762561"/>
      <w:bookmarkStart w:id="123" w:name="_Toc321092701"/>
      <w:r w:rsidRPr="00EC1AB2">
        <w:rPr>
          <w:i w:val="0"/>
          <w:sz w:val="24"/>
          <w:szCs w:val="24"/>
        </w:rPr>
        <w:lastRenderedPageBreak/>
        <w:t>Tyrimo metodik</w:t>
      </w:r>
      <w:bookmarkEnd w:id="116"/>
      <w:bookmarkEnd w:id="117"/>
      <w:bookmarkEnd w:id="118"/>
      <w:bookmarkEnd w:id="119"/>
      <w:bookmarkEnd w:id="120"/>
      <w:bookmarkEnd w:id="121"/>
      <w:bookmarkEnd w:id="122"/>
      <w:r w:rsidR="00495905" w:rsidRPr="00EC1AB2">
        <w:rPr>
          <w:i w:val="0"/>
          <w:sz w:val="24"/>
          <w:szCs w:val="24"/>
        </w:rPr>
        <w:t>a</w:t>
      </w:r>
      <w:bookmarkEnd w:id="123"/>
    </w:p>
    <w:p w:rsidR="00FE09B3" w:rsidRPr="00EC1AB2" w:rsidRDefault="00FE09B3" w:rsidP="007A02A8">
      <w:pPr>
        <w:pStyle w:val="Heading2"/>
        <w:spacing w:before="0" w:after="0" w:line="360" w:lineRule="auto"/>
        <w:rPr>
          <w:i w:val="0"/>
          <w:sz w:val="24"/>
          <w:szCs w:val="24"/>
        </w:rPr>
      </w:pPr>
    </w:p>
    <w:p w:rsidR="00C515EE" w:rsidRPr="00EC1AB2" w:rsidRDefault="00FE09B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Palyginus RKF investicijas Lietuvoje su ES vidurkiu ir pastebėjus stiprų Lietuvos atsilik</w:t>
      </w:r>
      <w:r w:rsidR="0044691E" w:rsidRPr="00EC1AB2">
        <w:rPr>
          <w:rFonts w:ascii="Times New Roman" w:hAnsi="Times New Roman" w:cs="Times New Roman"/>
          <w:sz w:val="24"/>
          <w:szCs w:val="24"/>
        </w:rPr>
        <w:t>im</w:t>
      </w:r>
      <w:r w:rsidRPr="00EC1AB2">
        <w:rPr>
          <w:rFonts w:ascii="Times New Roman" w:hAnsi="Times New Roman" w:cs="Times New Roman"/>
          <w:sz w:val="24"/>
          <w:szCs w:val="24"/>
        </w:rPr>
        <w:t>ą šioje srityje</w:t>
      </w:r>
      <w:r w:rsidR="0044691E" w:rsidRPr="00EC1AB2">
        <w:rPr>
          <w:rFonts w:ascii="Times New Roman" w:hAnsi="Times New Roman" w:cs="Times New Roman"/>
          <w:sz w:val="24"/>
          <w:szCs w:val="24"/>
        </w:rPr>
        <w:t xml:space="preserve"> tampa būtina išanalizuoti, kokias neigiamas pasekmes Lietuva patiria</w:t>
      </w:r>
      <w:r w:rsidR="00402BC1" w:rsidRPr="00EC1AB2">
        <w:rPr>
          <w:rFonts w:ascii="Times New Roman" w:hAnsi="Times New Roman" w:cs="Times New Roman"/>
          <w:sz w:val="24"/>
          <w:szCs w:val="24"/>
        </w:rPr>
        <w:t xml:space="preserve"> dėl</w:t>
      </w:r>
      <w:r w:rsidR="00267630" w:rsidRPr="00EC1AB2">
        <w:rPr>
          <w:rFonts w:ascii="Times New Roman" w:hAnsi="Times New Roman" w:cs="Times New Roman"/>
          <w:sz w:val="24"/>
          <w:szCs w:val="24"/>
        </w:rPr>
        <w:t xml:space="preserve"> mažų RKF investicijų.</w:t>
      </w:r>
      <w:r w:rsidR="00402BC1" w:rsidRPr="00EC1AB2">
        <w:rPr>
          <w:rFonts w:ascii="Times New Roman" w:hAnsi="Times New Roman" w:cs="Times New Roman"/>
          <w:sz w:val="24"/>
          <w:szCs w:val="24"/>
        </w:rPr>
        <w:t xml:space="preserve"> </w:t>
      </w:r>
      <w:r w:rsidR="00410C16" w:rsidRPr="00EC1AB2">
        <w:rPr>
          <w:rFonts w:ascii="Times New Roman" w:hAnsi="Times New Roman" w:cs="Times New Roman"/>
          <w:sz w:val="24"/>
          <w:szCs w:val="24"/>
        </w:rPr>
        <w:t>11</w:t>
      </w:r>
      <w:r w:rsidR="00402BC1" w:rsidRPr="00EC1AB2">
        <w:rPr>
          <w:rFonts w:ascii="Times New Roman" w:hAnsi="Times New Roman" w:cs="Times New Roman"/>
          <w:sz w:val="24"/>
          <w:szCs w:val="24"/>
        </w:rPr>
        <w:t xml:space="preserve"> pav. pateikiama tyrimo nuoseklumo schema.</w:t>
      </w:r>
    </w:p>
    <w:p w:rsidR="00402BC1" w:rsidRPr="00EC1AB2" w:rsidRDefault="00402BC1" w:rsidP="007A02A8">
      <w:pPr>
        <w:autoSpaceDE w:val="0"/>
        <w:autoSpaceDN w:val="0"/>
        <w:adjustRightInd w:val="0"/>
        <w:spacing w:after="0" w:line="360" w:lineRule="auto"/>
        <w:ind w:firstLine="1296"/>
        <w:jc w:val="both"/>
        <w:rPr>
          <w:rFonts w:ascii="Times New Roman" w:hAnsi="Times New Roman" w:cs="Times New Roman"/>
          <w:sz w:val="24"/>
          <w:szCs w:val="24"/>
        </w:rPr>
      </w:pPr>
    </w:p>
    <w:p w:rsidR="009C321E" w:rsidRPr="00EC1AB2" w:rsidRDefault="00C515EE" w:rsidP="007A02A8">
      <w:pPr>
        <w:autoSpaceDE w:val="0"/>
        <w:autoSpaceDN w:val="0"/>
        <w:adjustRightInd w:val="0"/>
        <w:spacing w:after="0" w:line="360" w:lineRule="auto"/>
        <w:rPr>
          <w:rFonts w:ascii="Times New Roman" w:hAnsi="Times New Roman" w:cs="Times New Roman"/>
          <w:b/>
          <w:sz w:val="28"/>
          <w:szCs w:val="28"/>
        </w:rPr>
      </w:pPr>
      <w:r w:rsidRPr="00EC1AB2">
        <w:rPr>
          <w:rFonts w:ascii="Times New Roman" w:hAnsi="Times New Roman" w:cs="Times New Roman"/>
          <w:noProof/>
          <w:lang w:eastAsia="lt-LT"/>
        </w:rPr>
        <mc:AlternateContent>
          <mc:Choice Requires="wps">
            <w:drawing>
              <wp:anchor distT="0" distB="0" distL="114300" distR="114300" simplePos="0" relativeHeight="251803648" behindDoc="0" locked="0" layoutInCell="1" allowOverlap="1" wp14:anchorId="22CBAC4C" wp14:editId="7A9DB147">
                <wp:simplePos x="0" y="0"/>
                <wp:positionH relativeFrom="column">
                  <wp:posOffset>3987165</wp:posOffset>
                </wp:positionH>
                <wp:positionV relativeFrom="paragraph">
                  <wp:posOffset>228600</wp:posOffset>
                </wp:positionV>
                <wp:extent cx="1924050" cy="866775"/>
                <wp:effectExtent l="0" t="0" r="19050" b="28575"/>
                <wp:wrapNone/>
                <wp:docPr id="101" name="Text Box 101"/>
                <wp:cNvGraphicFramePr/>
                <a:graphic xmlns:a="http://schemas.openxmlformats.org/drawingml/2006/main">
                  <a:graphicData uri="http://schemas.microsoft.com/office/word/2010/wordprocessingShape">
                    <wps:wsp>
                      <wps:cNvSpPr txBox="1"/>
                      <wps:spPr>
                        <a:xfrm>
                          <a:off x="0" y="0"/>
                          <a:ext cx="1924050" cy="866775"/>
                        </a:xfrm>
                        <a:prstGeom prst="rect">
                          <a:avLst/>
                        </a:prstGeom>
                        <a:solidFill>
                          <a:schemeClr val="lt1"/>
                        </a:solidFill>
                        <a:ln w="6350">
                          <a:solidFill>
                            <a:schemeClr val="tx1"/>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EC1AB2" w:rsidRPr="00545CAF" w:rsidRDefault="00EC1AB2" w:rsidP="00545CAF">
                            <w:pPr>
                              <w:rPr>
                                <w:rFonts w:ascii="Times New Roman" w:hAnsi="Times New Roman" w:cs="Times New Roman"/>
                                <w:sz w:val="21"/>
                                <w:szCs w:val="21"/>
                              </w:rPr>
                            </w:pPr>
                            <w:r w:rsidRPr="00545CAF">
                              <w:rPr>
                                <w:rFonts w:ascii="Times New Roman" w:hAnsi="Times New Roman" w:cs="Times New Roman"/>
                                <w:sz w:val="21"/>
                                <w:szCs w:val="21"/>
                              </w:rPr>
                              <w:t xml:space="preserve">RKF paplitimo Lietuvoje statistinių duomenų </w:t>
                            </w:r>
                            <w:r>
                              <w:rPr>
                                <w:rFonts w:ascii="Times New Roman" w:hAnsi="Times New Roman" w:cs="Times New Roman"/>
                                <w:sz w:val="21"/>
                                <w:szCs w:val="21"/>
                              </w:rPr>
                              <w:t xml:space="preserve">analizė </w:t>
                            </w:r>
                            <w:r w:rsidRPr="00545CAF">
                              <w:rPr>
                                <w:rFonts w:ascii="Times New Roman" w:hAnsi="Times New Roman" w:cs="Times New Roman"/>
                                <w:sz w:val="21"/>
                                <w:szCs w:val="21"/>
                              </w:rPr>
                              <w:t>bei Lietuvoje atliktų kokybinių tyrimų apžvalga</w:t>
                            </w:r>
                          </w:p>
                          <w:p w:rsidR="00EC1AB2" w:rsidRPr="007A410C" w:rsidRDefault="00EC1AB2" w:rsidP="005D6363">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1" o:spid="_x0000_s1033" type="#_x0000_t202" style="position:absolute;margin-left:313.95pt;margin-top:18pt;width:151.5pt;height:68.2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TMmAIAANcFAAAOAAAAZHJzL2Uyb0RvYy54bWysVN9P2zAQfp+0/8Hy+0jblQIVKepATJPQ&#10;QIOJZ9exm2iOz7PdJt1fvzsnKYUhTUx7Sc6+7359vrvzi7Y2bKt8qMDmfHw04kxZCUVl1zn//nD9&#10;4ZSzEIUthAGrcr5TgV8s3r87b9xcTaAEUyjP0IkN88blvIzRzbMsyFLVIhyBUxaVGnwtIh79Oiu8&#10;aNB7bbLJaDTLGvCF8yBVCHh71Sn5IvnXWsl4q3VQkZmcY24xfX36ruibLc7FfO2FKyvZpyH+IYta&#10;VBaD7l1diSjYxld/uKor6SGAjkcS6gy0rqRKNWA149GLau5L4VSqBckJbk9T+H9u5dftnWdVgW83&#10;GnNmRY2P9KDayD5By+gOGWpcmCPw3iE0tqhA9HAf8JIKb7Wv6Y8lMdQj17s9v+ROktHZZDo6RpVE&#10;3elsdnJyTG6yJ2vnQ/ysoGYk5Nzj+yVaxfYmxA46QChYAFMV15Ux6UA9oy6NZ1uBr21iyhGdP0MZ&#10;y5qczz5iGn/zENtXPVACVyKUfZg1yX0ZxpJPlfquT5i46zhKUtwZRRhjvymNvCeqXsleSKnsvoKE&#10;JpTGWt9i2OOfsnqLcVcHWqTIYOPeuK4s+I6/56QXPwbKdIfH1z2om8TYrtrUcLOhhVZQ7LCzPHTT&#10;GZy8rpDjGxHinfA4jtgxuGLiLX60AXw+6CXOSvC/XrsnPE4JajlrcLxzHn5uhFecmS8W5+dsPJ3S&#10;PkiH6fHJBA/+ULM61NhNfQnYUzghmF0SCR/NIGoP9SNuoiVFRZWwEmPnPA7iZeyWDm4yqZbLBMIN&#10;4ES8sfdOkmtimXrroX0U3vUTEHF2vsKwCMT8xSB0WLK0sNxE0FWaEuK5Y7XnH7dHmrN+09F6Ojwn&#10;1NM+XvwGAAD//wMAUEsDBBQABgAIAAAAIQCkyD4i3gAAAAoBAAAPAAAAZHJzL2Rvd25yZXYueG1s&#10;TI/BToQwEIbvJr5DMybe3CJEdkHKxhi9GGMiethjoSOQpVOkXWDf3vGkx5n58s/3F/vVDmLGyfeO&#10;FNxuIhBIjTM9tQo+P55vdiB80GT04AgVnNHDvry8KHRu3ELvOFehFRxCPtcKuhDGXErfdGi137gR&#10;iW9fbrI68Di10kx64XA7yDiKUml1T/yh0yM+dtgcq5NVUM3L9/EpecNDtthkfK3P7cvYK3V9tT7c&#10;gwi4hj8YfvVZHUp2qt2JjBeDgjTeZowqSFLuxECWRLyomdzGdyDLQv6vUP4AAAD//wMAUEsBAi0A&#10;FAAGAAgAAAAhALaDOJL+AAAA4QEAABMAAAAAAAAAAAAAAAAAAAAAAFtDb250ZW50X1R5cGVzXS54&#10;bWxQSwECLQAUAAYACAAAACEAOP0h/9YAAACUAQAACwAAAAAAAAAAAAAAAAAvAQAAX3JlbHMvLnJl&#10;bHNQSwECLQAUAAYACAAAACEAkGa0zJgCAADXBQAADgAAAAAAAAAAAAAAAAAuAgAAZHJzL2Uyb0Rv&#10;Yy54bWxQSwECLQAUAAYACAAAACEApMg+It4AAAAKAQAADwAAAAAAAAAAAAAAAADyBAAAZHJzL2Rv&#10;d25yZXYueG1sUEsFBgAAAAAEAAQA8wAAAP0FAAAAAA==&#10;" fillcolor="white [3201]" strokecolor="black [3213]" strokeweight=".5pt">
                <v:stroke dashstyle="longDash"/>
                <v:textbox>
                  <w:txbxContent>
                    <w:p w:rsidR="00A03476" w:rsidRPr="00545CAF" w:rsidRDefault="00A03476" w:rsidP="00545CAF">
                      <w:pPr>
                        <w:rPr>
                          <w:rFonts w:ascii="Times New Roman" w:hAnsi="Times New Roman" w:cs="Times New Roman"/>
                          <w:sz w:val="21"/>
                          <w:szCs w:val="21"/>
                        </w:rPr>
                      </w:pPr>
                      <w:r w:rsidRPr="00545CAF">
                        <w:rPr>
                          <w:rFonts w:ascii="Times New Roman" w:hAnsi="Times New Roman" w:cs="Times New Roman"/>
                          <w:sz w:val="21"/>
                          <w:szCs w:val="21"/>
                        </w:rPr>
                        <w:t xml:space="preserve">RKF paplitimo Lietuvoje statistinių duomenų </w:t>
                      </w:r>
                      <w:r>
                        <w:rPr>
                          <w:rFonts w:ascii="Times New Roman" w:hAnsi="Times New Roman" w:cs="Times New Roman"/>
                          <w:sz w:val="21"/>
                          <w:szCs w:val="21"/>
                        </w:rPr>
                        <w:t xml:space="preserve">analizė </w:t>
                      </w:r>
                      <w:r w:rsidRPr="00545CAF">
                        <w:rPr>
                          <w:rFonts w:ascii="Times New Roman" w:hAnsi="Times New Roman" w:cs="Times New Roman"/>
                          <w:sz w:val="21"/>
                          <w:szCs w:val="21"/>
                        </w:rPr>
                        <w:t>bei Lietuvoje atliktų kokybinių tyrimų apžvalga</w:t>
                      </w:r>
                    </w:p>
                    <w:p w:rsidR="00A03476" w:rsidRPr="007A410C" w:rsidRDefault="00A03476" w:rsidP="005D6363">
                      <w:pPr>
                        <w:rPr>
                          <w:rFonts w:ascii="Times New Roman" w:hAnsi="Times New Roman" w:cs="Times New Roman"/>
                          <w:sz w:val="20"/>
                          <w:szCs w:val="20"/>
                        </w:rPr>
                      </w:pPr>
                    </w:p>
                  </w:txbxContent>
                </v:textbox>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01600" behindDoc="0" locked="0" layoutInCell="1" allowOverlap="1" wp14:anchorId="0EA6F08D" wp14:editId="3566F929">
                <wp:simplePos x="0" y="0"/>
                <wp:positionH relativeFrom="column">
                  <wp:posOffset>843915</wp:posOffset>
                </wp:positionH>
                <wp:positionV relativeFrom="paragraph">
                  <wp:posOffset>66675</wp:posOffset>
                </wp:positionV>
                <wp:extent cx="1924050" cy="495300"/>
                <wp:effectExtent l="0" t="0" r="19050" b="19050"/>
                <wp:wrapNone/>
                <wp:docPr id="100" name="Text Box 100"/>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A2756D" w:rsidRDefault="00EC1AB2" w:rsidP="005D6363">
                            <w:pPr>
                              <w:jc w:val="center"/>
                              <w:rPr>
                                <w:rFonts w:ascii="Times New Roman" w:hAnsi="Times New Roman" w:cs="Times New Roman"/>
                              </w:rPr>
                            </w:pPr>
                            <w:r>
                              <w:rPr>
                                <w:rFonts w:ascii="Times New Roman" w:hAnsi="Times New Roman" w:cs="Times New Roman"/>
                              </w:rPr>
                              <w:t>TYRIMO PAGRINDIMAS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0" o:spid="_x0000_s1034" type="#_x0000_t202" style="position:absolute;left:0;text-align:left;margin-left:66.45pt;margin-top:5.25pt;width:151.5pt;height:39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NukwIAAL4FAAAOAAAAZHJzL2Uyb0RvYy54bWysVE1PGzEQvVfqf7B8L5ukoZSIDUpBVJUQ&#10;oELF2fHaZIXX49pOsumv77N3E8LHhaqXXdvz5nnmeWZOTtvGsJXyoSZb8uHBgDNlJVW1fSj5r7uL&#10;T185C1HYShiyquQbFfjp9OOHk7WbqBEtyFTKM5DYMFm7ki9idJOiCHKhGhEOyCkLoybfiIitfygq&#10;L9Zgb0wxGgy+FGvylfMkVQg4Pe+MfJr5tVYyXmsdVGSm5Igt5q/P33n6FtMTMXnwwi1q2Ych/iGK&#10;RtQWl+6ozkUUbOnrV1RNLT0F0vFAUlOQ1rVUOQdkMxy8yOZ2IZzKuUCc4HYyhf9HK69WN57VFd5u&#10;AH2saPBId6qN7Bu1LJ1BobULEwBvHaCxhQHo7XnAYUq81b5Jf6TEYAfXZqdvopPJ6Xg0HhzCJGEb&#10;Hx9+7uiLJ2/nQ/yuqGFpUXKP98uyitVliIgE0C0kXRbI1NVFbUzepJpRZ8azlcBrm5hjhMczlLFs&#10;nSJJcbyiSNw7grkR8jGl+ZwCO2OTp8rl1ceVJOqkyKu4MSphjP2pNOTNirwRpJBS2V2gGZ1QGim9&#10;x7HHP0X1HucuD3jkm8nGnXNTW/KdSs+1rR632uoOD5H28k7L2M7bXFdH20qZU7VBAXnqmjA4eVFD&#10;70sR4o3w6DoUBiZJvMZHG8IrUb/ibEH+z1vnCY9mgJWzNbq45OH3UnjFmflh0SbHw/EYtDFvxodH&#10;I2z8vmW+b7HL5oxQOkPMLCfzMuGj2S61p+YeA2eWboVJWIm7Sx63y7PYzRYMLKlmswxCozsRL+2t&#10;k4k6qZzq7K69F971hR7RIle07XcxeVHvHTZ5WpotI+k6N0PSuVO11x9DIpdrP9DSFNrfZ9TT2J3+&#10;BQAA//8DAFBLAwQUAAYACAAAACEAJ2mjyN4AAAAJAQAADwAAAGRycy9kb3ducmV2LnhtbEyPQU/D&#10;MAyF70j8h8hI3FjadUVd13QCBIdxY0zimjVeW5E4VZNt3X495gQ3P/vp+XvVenJWnHAMvScF6SwB&#10;gdR401OrYPf59lCACFGT0dYTKrhggHV9e1Pp0vgzfeBpG1vBIRRKraCLcSilDE2HToeZH5D4dvCj&#10;05Hl2Eoz6jOHOyvnSfIone6JP3R6wJcOm+/t0Sl4fX5fZpvLZthd2+vCxiz9GvNUqfu76WkFIuIU&#10;/8zwi8/oUDPT3h/JBGFZZ/MlW3lIchBsWGQ5L/YKiiIHWVfyf4P6BwAA//8DAFBLAQItABQABgAI&#10;AAAAIQC2gziS/gAAAOEBAAATAAAAAAAAAAAAAAAAAAAAAABbQ29udGVudF9UeXBlc10ueG1sUEsB&#10;Ai0AFAAGAAgAAAAhADj9If/WAAAAlAEAAAsAAAAAAAAAAAAAAAAALwEAAF9yZWxzLy5yZWxzUEsB&#10;Ai0AFAAGAAgAAAAhACFQU26TAgAAvgUAAA4AAAAAAAAAAAAAAAAALgIAAGRycy9lMm9Eb2MueG1s&#10;UEsBAi0AFAAGAAgAAAAhACdpo8jeAAAACQEAAA8AAAAAAAAAAAAAAAAA7QQAAGRycy9kb3ducmV2&#10;LnhtbFBLBQYAAAAABAAEAPMAAAD4BQAAAAA=&#10;" fillcolor="white [3201]" strokeweight="1.5pt">
                <v:textbox>
                  <w:txbxContent>
                    <w:p w:rsidR="00A03476" w:rsidRPr="00A2756D" w:rsidRDefault="00A03476" w:rsidP="005D6363">
                      <w:pPr>
                        <w:jc w:val="center"/>
                        <w:rPr>
                          <w:rFonts w:ascii="Times New Roman" w:hAnsi="Times New Roman" w:cs="Times New Roman"/>
                        </w:rPr>
                      </w:pPr>
                      <w:r>
                        <w:rPr>
                          <w:rFonts w:ascii="Times New Roman" w:hAnsi="Times New Roman" w:cs="Times New Roman"/>
                        </w:rPr>
                        <w:t>TYRIMO PAGRINDIMAS</w:t>
                      </w:r>
                    </w:p>
                  </w:txbxContent>
                </v:textbox>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04672" behindDoc="0" locked="0" layoutInCell="1" allowOverlap="1" wp14:anchorId="4A716C9D" wp14:editId="7C60B140">
                <wp:simplePos x="0" y="0"/>
                <wp:positionH relativeFrom="column">
                  <wp:posOffset>2767965</wp:posOffset>
                </wp:positionH>
                <wp:positionV relativeFrom="paragraph">
                  <wp:posOffset>41909</wp:posOffset>
                </wp:positionV>
                <wp:extent cx="1219200" cy="0"/>
                <wp:effectExtent l="38100" t="76200" r="0" b="114300"/>
                <wp:wrapNone/>
                <wp:docPr id="102" name="Straight Arrow Connector 102"/>
                <wp:cNvGraphicFramePr/>
                <a:graphic xmlns:a="http://schemas.openxmlformats.org/drawingml/2006/main">
                  <a:graphicData uri="http://schemas.microsoft.com/office/word/2010/wordprocessingShape">
                    <wps:wsp>
                      <wps:cNvCnPr/>
                      <wps:spPr>
                        <a:xfrm rot="10800000">
                          <a:off x="0" y="0"/>
                          <a:ext cx="1219200"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2" o:spid="_x0000_s1026" type="#_x0000_t32" style="position:absolute;margin-left:217.95pt;margin-top:3.3pt;width:96pt;height:0;rotation:18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UD+AEAAFsEAAAOAAAAZHJzL2Uyb0RvYy54bWysVE2P2yAUvFfqf0DcG9s5VNsozqpKur1U&#10;bdTt/gAWQ4wEPPSgcfzv+8CO0y9ValUfEJg3w8zw7O39xVl2VhgN+JY3q5oz5SV0xp9a/vTl4dUd&#10;ZzEJ3wkLXrV8VJHf716+2A5ho9bQg+0UMiLxcTOElvcphU1VRdkrJ+IKgvK0qQGdSLTEU9WhGIjd&#10;2Wpd16+rAbALCFLFSG8P0ybfFX6tlUyftI4qMdty0pbKiGV8zmO124rNCUXojZxliH9Q4YTxdOhC&#10;dRBJsK9ofqFyRiJE0GklwVWgtZGqeCA3Tf2Tm8deBFW8UDgxLDHF/0crP56PyExHd1evOfPC0SU9&#10;JhTm1Cf2FhEGtgfvKUhAlmsosSHEDQH3/ojzKoYjZvsXjY4hUMxNfVfnp6RCPtmlhD4uoatLYpJe&#10;NuvmDd0kZ/K6V008mS9gTO8VOJYnLY+zsEVRU+jF+UNMpISAV0AGW5/HCNZ0D8bassh9pfYW2VlQ&#10;R6RLk/0Q7oeqTHIQsZ+KOppNfZKEse98x9IYKCWRw5nh+agqxzIFUWZptGqS8Vlpijh7LXJLc99E&#10;CCmVT1ch1lN1hmmSvACnGP8InOszVJXG/xvwgigng08L2BkP+DvZt+z0VH9NYPKdI3iGbiwtUqKh&#10;Di5Rz19b/kS+Xxf47Z+w+wYAAP//AwBQSwMEFAAGAAgAAAAhACs/8GvZAAAABwEAAA8AAABkcnMv&#10;ZG93bnJldi54bWxMjsFOwzAQRO9I/IO1SFwQdVIgQIhTIVCOqGqoenZiE0fE6yjeNuHvWbjA8WlG&#10;M6/YLH4QJzvFPqCCdJWAsNgG02OnYP9eXT+AiKTR6CGgVfBlI2zK87NC5ybMuLOnmjrBIxhzrcAR&#10;jbmUsXXW67gKo0XOPsLkNTFOnTSTnnncD3KdJJn0ukd+cHq0L862n/XRK6gqaurXhrbjVX2Ydy41&#10;9JYapS4vlucnEGQX+ivDjz6rQ8lOTTiiiWJQcHtz98hVBVkGgvNsfc/c/LIsC/nfv/wGAAD//wMA&#10;UEsBAi0AFAAGAAgAAAAhALaDOJL+AAAA4QEAABMAAAAAAAAAAAAAAAAAAAAAAFtDb250ZW50X1R5&#10;cGVzXS54bWxQSwECLQAUAAYACAAAACEAOP0h/9YAAACUAQAACwAAAAAAAAAAAAAAAAAvAQAAX3Jl&#10;bHMvLnJlbHNQSwECLQAUAAYACAAAACEAQKm1A/gBAABbBAAADgAAAAAAAAAAAAAAAAAuAgAAZHJz&#10;L2Uyb0RvYy54bWxQSwECLQAUAAYACAAAACEAKz/wa9kAAAAHAQAADwAAAAAAAAAAAAAAAABSBAAA&#10;ZHJzL2Rvd25yZXYueG1sUEsFBgAAAAAEAAQA8wAAAFgFAAAAAA==&#10;" strokecolor="black [3213]">
                <v:stroke dashstyle="dash"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20032" behindDoc="0" locked="0" layoutInCell="1" allowOverlap="1" wp14:anchorId="247CEBDF" wp14:editId="67719B28">
                <wp:simplePos x="0" y="0"/>
                <wp:positionH relativeFrom="column">
                  <wp:posOffset>1786890</wp:posOffset>
                </wp:positionH>
                <wp:positionV relativeFrom="paragraph">
                  <wp:posOffset>36195</wp:posOffset>
                </wp:positionV>
                <wp:extent cx="0" cy="276225"/>
                <wp:effectExtent l="95250" t="0" r="57150" b="66675"/>
                <wp:wrapNone/>
                <wp:docPr id="119" name="Straight Arrow Connector 119"/>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9" o:spid="_x0000_s1026" type="#_x0000_t32" style="position:absolute;margin-left:140.7pt;margin-top:2.85pt;width:0;height:21.7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S+4gEAADMEAAAOAAAAZHJzL2Uyb0RvYy54bWysU1GP0zAMfkfiP0R5Z+0mcUC17oR2HC8I&#10;Jg5+QC5N1khJHDlhXf89Ttp1HCAkEC9unfiz/X12trdnZ9lJYTTgW75e1ZwpL6Ez/tjyr1/uX7zm&#10;LCbhO2HBq5aPKvLb3fNn2yE0agM92E4hoyQ+NkNoeZ9SaKoqyl45EVcQlKdLDehEIhePVYdioOzO&#10;Vpu6vqkGwC4gSBUjnd5Nl3xX8mutZPqkdVSJ2ZZTb6lYLPYx22q3Fc0RReiNnNsQ/9CFE8ZT0SXV&#10;nUiCfUPzSypnJEIEnVYSXAVaG6kKB2Kzrn9i89CLoAoXEieGRab4/9LKj6cDMtPR7NZvOPPC0ZAe&#10;Egpz7BN7iwgD24P3JCQgyzGk2BBiQ8C9P+DsxXDATP+s0eUvEWPnovK4qKzOicnpUNLp5tXNZvMy&#10;p6uuuIAxvVfgWP5peZwbWTpYF5HF6UNME/ACyEWtzzaCNd29sbY4eY/U3iI7CdqAdF7PBZ9EJWHs&#10;O9+xNAZiLzLpOSynrDLdiWD5S6NVU7nPSpN0RGlqqyzttZiQUvl0KWg9RWeYptYWYF34/BE4x2eo&#10;Kgv9N+AFUSqDTwvYGQ/4u+pXjfQUf1Fg4p0leIRuLKMv0tBmlhnOryiv/o9+gV/f+u47AAAA//8D&#10;AFBLAwQUAAYACAAAACEAYsx2Ot0AAAAIAQAADwAAAGRycy9kb3ducmV2LnhtbEyPsU7DQBBEeyT+&#10;4bRIdOQcK0AwXkcIiSIFRQIiSbf2bWwL357luzjm7zlEAeVoRjNv8tVkOzXy4FsnCPNZAoqlcqaV&#10;GuH97eVmCcoHEkOdE0b4Yg+r4vIip8y4s2x43IZaxRLxGSE0IfSZ1r5q2JKfuZ4lekc3WApRDrU2&#10;A51jue10miR32lIrcaGhnp8brj63J4vwulv3H1W5OZj9tB6TA1XHUTzi9dX09Agq8BT+wvCDH9Gh&#10;iEylO4nxqkNIl/NFjCLc3oOK/q8uERYPKegi1/8PFN8AAAD//wMAUEsBAi0AFAAGAAgAAAAhALaD&#10;OJL+AAAA4QEAABMAAAAAAAAAAAAAAAAAAAAAAFtDb250ZW50X1R5cGVzXS54bWxQSwECLQAUAAYA&#10;CAAAACEAOP0h/9YAAACUAQAACwAAAAAAAAAAAAAAAAAvAQAAX3JlbHMvLnJlbHNQSwECLQAUAAYA&#10;CAAAACEA8BtUvuIBAAAzBAAADgAAAAAAAAAAAAAAAAAuAgAAZHJzL2Uyb0RvYy54bWxQSwECLQAU&#10;AAYACAAAACEAYsx2Ot0AAAAIAQAADwAAAAAAAAAAAAAAAAA8BAAAZHJzL2Rvd25yZXYueG1sUEsF&#10;BgAAAAAEAAQA8wAAAEYFAAAAAA==&#10;" strokecolor="black [3213]">
                <v:stroke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19008" behindDoc="0" locked="0" layoutInCell="1" allowOverlap="1" wp14:anchorId="0C5A42DF" wp14:editId="7DC429B8">
                <wp:simplePos x="0" y="0"/>
                <wp:positionH relativeFrom="column">
                  <wp:posOffset>843915</wp:posOffset>
                </wp:positionH>
                <wp:positionV relativeFrom="paragraph">
                  <wp:posOffset>49530</wp:posOffset>
                </wp:positionV>
                <wp:extent cx="1924050" cy="495300"/>
                <wp:effectExtent l="0" t="0" r="19050" b="19050"/>
                <wp:wrapNone/>
                <wp:docPr id="117" name="Text Box 117"/>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A2756D" w:rsidRDefault="00EC1AB2" w:rsidP="005D63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Stiprus Lietuvos atsilikimas </w:t>
                            </w:r>
                            <w:r w:rsidRPr="00A2756D">
                              <w:rPr>
                                <w:rFonts w:ascii="Times New Roman" w:hAnsi="Times New Roman" w:cs="Times New Roman"/>
                                <w:sz w:val="18"/>
                                <w:szCs w:val="18"/>
                              </w:rPr>
                              <w:t>nuo ES vidurkio</w:t>
                            </w:r>
                          </w:p>
                          <w:p w:rsidR="00EC1AB2" w:rsidRPr="00A2756D" w:rsidRDefault="00EC1AB2" w:rsidP="005D6363">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7" o:spid="_x0000_s1035" type="#_x0000_t202" style="position:absolute;left:0;text-align:left;margin-left:66.45pt;margin-top:3.9pt;width:151.5pt;height:39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A0lgIAAL0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Fd6u&#10;f8SZFQ0e6V61kX2nlqUzMLR0YQTgnQM0tjAAvTkPOEyFt9o36Y+SGOzgerXlN4WTyelkMOwdwCRh&#10;G54c7PfyAxQv3s6H+ENRw5JQco/3y7SKxVWIyATQDSRdFsjU1WVtTFZSz6hz49lC4LVNzDnC4xXK&#10;WLYs+eE+0ngXIYXe+k+NkE+pytcRoBmbPFXurnVaiaGOiSzFlVEJY+wvpcFuJuSDHIWUym7zzOiE&#10;0qjoM45r/EtWn3Hu6oBHvpls3Do3tSXfsfSa2uppQ63u8CBpp+4kxnba5rY63jTKlKoV+sdTN4PB&#10;ycsafF+JEG+Fx9ChL7BI4g0+2hAeidYSZzPyfz86T3jMAqycLTHEJQ9/5sIrzsxPiyk56Q+Haeqz&#10;Mjw4GkDxu5bprsXOm3NC5/SxspzMYsJHsxG1p+YB+2aSboVJWIm7Sx434nnsVgv2lVSTSQZhzp2I&#10;V/bOyRQ6sZz67L59EN6t+zxiQq5pM+5i9KbdO2zytDSZR9J1noXEc8fqmn/siNyu632WltCunlEv&#10;W3f8DAAA//8DAFBLAwQUAAYACAAAACEAGOPgGtoAAAAIAQAADwAAAGRycy9kb3ducmV2LnhtbEyP&#10;vU7DMBSFdyTewbpIbNShpeCmcSpAhYWJgjrfxq5tEduR7abh7blMMH46R+en2Uy+Z6NO2cUg4XZW&#10;AdOhi8oFI+Hz4+VGAMsFg8I+Bi3hW2fYtJcXDdYqnsO7HnfFMAoJuUYJtpSh5jx3VnvMszjoQNox&#10;Jo+FMBmuEp4p3Pd8XlX33KML1GBx0M9Wd1+7k5ewfTIr0wlMdiuUc+O0P76ZVymvr6bHNbCip/Jn&#10;ht/5NB1a2nSIp6Ay64kX8xVZJTzQA9LvFkvigwSxFMDbhv8/0P4AAAD//wMAUEsBAi0AFAAGAAgA&#10;AAAhALaDOJL+AAAA4QEAABMAAAAAAAAAAAAAAAAAAAAAAFtDb250ZW50X1R5cGVzXS54bWxQSwEC&#10;LQAUAAYACAAAACEAOP0h/9YAAACUAQAACwAAAAAAAAAAAAAAAAAvAQAAX3JlbHMvLnJlbHNQSwEC&#10;LQAUAAYACAAAACEAdaIgNJYCAAC9BQAADgAAAAAAAAAAAAAAAAAuAgAAZHJzL2Uyb0RvYy54bWxQ&#10;SwECLQAUAAYACAAAACEAGOPgGtoAAAAIAQAADwAAAAAAAAAAAAAAAADwBAAAZHJzL2Rvd25yZXYu&#10;eG1sUEsFBgAAAAAEAAQA8wAAAPcFAAAAAA==&#10;" fillcolor="white [3201]" strokeweight=".5pt">
                <v:textbox>
                  <w:txbxContent>
                    <w:p w:rsidR="00A03476" w:rsidRPr="00A2756D" w:rsidRDefault="00A03476" w:rsidP="005D63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Stiprus Lietuvos atsilikimas </w:t>
                      </w:r>
                      <w:r w:rsidRPr="00A2756D">
                        <w:rPr>
                          <w:rFonts w:ascii="Times New Roman" w:hAnsi="Times New Roman" w:cs="Times New Roman"/>
                          <w:sz w:val="18"/>
                          <w:szCs w:val="18"/>
                        </w:rPr>
                        <w:t>nuo ES vidurkio</w:t>
                      </w:r>
                    </w:p>
                    <w:p w:rsidR="00A03476" w:rsidRPr="00A2756D" w:rsidRDefault="00A03476" w:rsidP="005D6363">
                      <w:pPr>
                        <w:jc w:val="center"/>
                        <w:rPr>
                          <w:rFonts w:ascii="Times New Roman" w:hAnsi="Times New Roman" w:cs="Times New Roman"/>
                        </w:rPr>
                      </w:pPr>
                    </w:p>
                  </w:txbxContent>
                </v:textbox>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p>
    <w:p w:rsidR="005D6363" w:rsidRPr="00EC1AB2" w:rsidRDefault="007A410C"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06720" behindDoc="0" locked="0" layoutInCell="1" allowOverlap="1" wp14:anchorId="69816756" wp14:editId="246632DF">
                <wp:simplePos x="0" y="0"/>
                <wp:positionH relativeFrom="column">
                  <wp:posOffset>3987165</wp:posOffset>
                </wp:positionH>
                <wp:positionV relativeFrom="paragraph">
                  <wp:posOffset>55880</wp:posOffset>
                </wp:positionV>
                <wp:extent cx="1924050" cy="1028700"/>
                <wp:effectExtent l="0" t="0" r="19050" b="19050"/>
                <wp:wrapNone/>
                <wp:docPr id="105" name="Text Box 105"/>
                <wp:cNvGraphicFramePr/>
                <a:graphic xmlns:a="http://schemas.openxmlformats.org/drawingml/2006/main">
                  <a:graphicData uri="http://schemas.microsoft.com/office/word/2010/wordprocessingShape">
                    <wps:wsp>
                      <wps:cNvSpPr txBox="1"/>
                      <wps:spPr>
                        <a:xfrm>
                          <a:off x="0" y="0"/>
                          <a:ext cx="1924050" cy="1028700"/>
                        </a:xfrm>
                        <a:prstGeom prst="rect">
                          <a:avLst/>
                        </a:prstGeom>
                        <a:solidFill>
                          <a:schemeClr val="lt1"/>
                        </a:solidFill>
                        <a:ln w="6350">
                          <a:solidFill>
                            <a:schemeClr val="tx1"/>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EC1AB2" w:rsidRPr="00545CAF" w:rsidRDefault="00EC1AB2" w:rsidP="005D6363">
                            <w:pPr>
                              <w:spacing w:after="0" w:line="240" w:lineRule="auto"/>
                              <w:rPr>
                                <w:rFonts w:ascii="Times New Roman" w:hAnsi="Times New Roman" w:cs="Times New Roman"/>
                                <w:sz w:val="21"/>
                                <w:szCs w:val="21"/>
                              </w:rPr>
                            </w:pPr>
                            <w:r w:rsidRPr="007A410C">
                              <w:rPr>
                                <w:rFonts w:ascii="Times New Roman" w:hAnsi="Times New Roman" w:cs="Times New Roman"/>
                                <w:b/>
                                <w:sz w:val="20"/>
                                <w:szCs w:val="20"/>
                              </w:rPr>
                              <w:sym w:font="Wingdings" w:char="F0A0"/>
                            </w:r>
                            <w:r w:rsidRPr="007A410C">
                              <w:rPr>
                                <w:rFonts w:ascii="Times New Roman" w:hAnsi="Times New Roman" w:cs="Times New Roman"/>
                                <w:sz w:val="20"/>
                                <w:szCs w:val="20"/>
                              </w:rPr>
                              <w:t xml:space="preserve"> </w:t>
                            </w:r>
                            <w:r w:rsidRPr="00545CAF">
                              <w:rPr>
                                <w:rFonts w:ascii="Times New Roman" w:hAnsi="Times New Roman" w:cs="Times New Roman"/>
                                <w:sz w:val="21"/>
                                <w:szCs w:val="21"/>
                              </w:rPr>
                              <w:t>Suminio inovatyvumo indekso sudedamųjų dalių analizė</w:t>
                            </w:r>
                          </w:p>
                          <w:p w:rsidR="00EC1AB2" w:rsidRPr="00545CAF" w:rsidRDefault="00EC1AB2" w:rsidP="005D6363">
                            <w:pPr>
                              <w:spacing w:after="0" w:line="240" w:lineRule="auto"/>
                              <w:rPr>
                                <w:rFonts w:ascii="Times New Roman" w:hAnsi="Times New Roman" w:cs="Times New Roman"/>
                                <w:sz w:val="21"/>
                                <w:szCs w:val="21"/>
                              </w:rPr>
                            </w:pPr>
                            <w:r w:rsidRPr="00545CAF">
                              <w:rPr>
                                <w:rFonts w:ascii="Times New Roman" w:hAnsi="Times New Roman" w:cs="Times New Roman"/>
                                <w:b/>
                                <w:sz w:val="21"/>
                                <w:szCs w:val="21"/>
                              </w:rPr>
                              <w:sym w:font="Wingdings" w:char="F0A0"/>
                            </w:r>
                            <w:r w:rsidRPr="00545CAF">
                              <w:rPr>
                                <w:rFonts w:ascii="Times New Roman" w:hAnsi="Times New Roman" w:cs="Times New Roman"/>
                                <w:sz w:val="21"/>
                                <w:szCs w:val="21"/>
                              </w:rPr>
                              <w:t xml:space="preserve"> RKF investicijų apimties  ir suminio inovatyvumo indekso sudedamųjų dalių koreliacinė analizė</w:t>
                            </w:r>
                          </w:p>
                          <w:p w:rsidR="00EC1AB2" w:rsidRPr="00A2756D" w:rsidRDefault="00EC1AB2" w:rsidP="005D636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5" o:spid="_x0000_s1036" type="#_x0000_t202" style="position:absolute;left:0;text-align:left;margin-left:313.95pt;margin-top:4.4pt;width:151.5pt;height:81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QwmwIAANgFAAAOAAAAZHJzL2Uyb0RvYy54bWysVG1P2zAQ/j5p/8Hy95G0K28VKepATJMQ&#10;oMHEZ9ex22iOz7PdJt2v585JSmFIE9O+JGffc2+P7+7svK0N2ygfKrAFHx3knCkroazssuA/Hq4+&#10;nXAWorClMGBVwbcq8PPZxw9njZuqMazAlMozdGLDtHEFX8XoplkW5ErVIhyAUxaVGnwtIh79Miu9&#10;aNB7bbJxnh9lDfjSeZAqBLy97JR8lvxrrWS81TqoyEzBMbeYvj59F/TNZmdiuvTCrSrZpyH+IYta&#10;VBaD7lxdiijY2ld/uKor6SGAjgcS6gy0rqRKNWA1o/xVNfcr4VSqBckJbkdT+H9u5c3mzrOqxLfL&#10;DzmzosZHelBtZF+gZXSHDDUuTBF47xAaW1QgergPeEmFt9rX9MeSGOqR6+2OX3Inyeh0PMkPUSVR&#10;N8rHJ8d5eoHs2dz5EL8qqBkJBff4gIlXsbkOEVNB6AChaAFMVV5VxqQDNY26MJ5tBD63iSlJtHiB&#10;MpY1BT/6jHn8zUNs3/RACVyKsOrDLEkmOjCSseRTpcbrEybyOpKSFLdGEcbY70oj8YmrN7IXUiq7&#10;qyChCaWx1vcY9vjnrN5j3NWBFiky2LgzrisLvuPvJenlz4Ey3eGRlr26SYztok0ddzr00ALKLbaW&#10;h248g5NXFXJ8LUK8Ex7nEVsGd0y8xY82gM8HvcTZCvzvt+4Jj2OCWs4anO+Ch19r4RVn5pvFATod&#10;TSa0ENJhcng8xoPf1yz2NXZdXwD21Ai3mZNJJHw0g6g91I+4iuYUFVXCSoxd8DiIF7HbOrjKpJrP&#10;EwhXgBPx2t47Sa6JZeqth/ZReNdPQMThuYFhE4jpq0HosGRpYb6OoKs0JcRzx2rPP66P1KD9qqP9&#10;tH9OqOeFPHsCAAD//wMAUEsDBBQABgAIAAAAIQAf3jgy3QAAAAkBAAAPAAAAZHJzL2Rvd25yZXYu&#10;eG1sTI9BT4QwFITvJv6H5pl4c1uXZBeQsjFGL8aYiB48FvoEsvQVaRfYf+/zpMfJTGa+KQ6rG8SM&#10;U+g9abjdKBBIjbc9tRo+3p9uUhAhGrJm8IQazhjgUF5eFCa3fqE3nKvYCi6hkBsNXYxjLmVoOnQm&#10;bPyIxN6Xn5yJLKdW2sksXO4GuVVqJ53piRc6M+JDh82xOjkN1bx8Hx+TV/zMFpeML/W5fR57ra+v&#10;1vs7EBHX+BeGX3xGh5KZan8iG8SgYbfdZxzVkPID9rNEsa45uFcpyLKQ/x+UPwAAAP//AwBQSwEC&#10;LQAUAAYACAAAACEAtoM4kv4AAADhAQAAEwAAAAAAAAAAAAAAAAAAAAAAW0NvbnRlbnRfVHlwZXNd&#10;LnhtbFBLAQItABQABgAIAAAAIQA4/SH/1gAAAJQBAAALAAAAAAAAAAAAAAAAAC8BAABfcmVscy8u&#10;cmVsc1BLAQItABQABgAIAAAAIQAtpgQwmwIAANgFAAAOAAAAAAAAAAAAAAAAAC4CAABkcnMvZTJv&#10;RG9jLnhtbFBLAQItABQABgAIAAAAIQAf3jgy3QAAAAkBAAAPAAAAAAAAAAAAAAAAAPUEAABkcnMv&#10;ZG93bnJldi54bWxQSwUGAAAAAAQABADzAAAA/wUAAAAA&#10;" fillcolor="white [3201]" strokecolor="black [3213]" strokeweight=".5pt">
                <v:stroke dashstyle="longDash"/>
                <v:textbox>
                  <w:txbxContent>
                    <w:p w:rsidR="00A03476" w:rsidRPr="00545CAF" w:rsidRDefault="00A03476" w:rsidP="005D6363">
                      <w:pPr>
                        <w:spacing w:after="0" w:line="240" w:lineRule="auto"/>
                        <w:rPr>
                          <w:rFonts w:ascii="Times New Roman" w:hAnsi="Times New Roman" w:cs="Times New Roman"/>
                          <w:sz w:val="21"/>
                          <w:szCs w:val="21"/>
                        </w:rPr>
                      </w:pPr>
                      <w:r w:rsidRPr="007A410C">
                        <w:rPr>
                          <w:rFonts w:ascii="Times New Roman" w:hAnsi="Times New Roman" w:cs="Times New Roman"/>
                          <w:b/>
                          <w:sz w:val="20"/>
                          <w:szCs w:val="20"/>
                        </w:rPr>
                        <w:sym w:font="Wingdings" w:char="F0A0"/>
                      </w:r>
                      <w:r w:rsidRPr="007A410C">
                        <w:rPr>
                          <w:rFonts w:ascii="Times New Roman" w:hAnsi="Times New Roman" w:cs="Times New Roman"/>
                          <w:sz w:val="20"/>
                          <w:szCs w:val="20"/>
                        </w:rPr>
                        <w:t xml:space="preserve"> </w:t>
                      </w:r>
                      <w:r w:rsidRPr="00545CAF">
                        <w:rPr>
                          <w:rFonts w:ascii="Times New Roman" w:hAnsi="Times New Roman" w:cs="Times New Roman"/>
                          <w:sz w:val="21"/>
                          <w:szCs w:val="21"/>
                        </w:rPr>
                        <w:t>Suminio inovatyvumo indekso sudedamųjų dalių analizė</w:t>
                      </w:r>
                    </w:p>
                    <w:p w:rsidR="00A03476" w:rsidRPr="00545CAF" w:rsidRDefault="00A03476" w:rsidP="005D6363">
                      <w:pPr>
                        <w:spacing w:after="0" w:line="240" w:lineRule="auto"/>
                        <w:rPr>
                          <w:rFonts w:ascii="Times New Roman" w:hAnsi="Times New Roman" w:cs="Times New Roman"/>
                          <w:sz w:val="21"/>
                          <w:szCs w:val="21"/>
                        </w:rPr>
                      </w:pPr>
                      <w:r w:rsidRPr="00545CAF">
                        <w:rPr>
                          <w:rFonts w:ascii="Times New Roman" w:hAnsi="Times New Roman" w:cs="Times New Roman"/>
                          <w:b/>
                          <w:sz w:val="21"/>
                          <w:szCs w:val="21"/>
                        </w:rPr>
                        <w:sym w:font="Wingdings" w:char="F0A0"/>
                      </w:r>
                      <w:r w:rsidRPr="00545CAF">
                        <w:rPr>
                          <w:rFonts w:ascii="Times New Roman" w:hAnsi="Times New Roman" w:cs="Times New Roman"/>
                          <w:sz w:val="21"/>
                          <w:szCs w:val="21"/>
                        </w:rPr>
                        <w:t xml:space="preserve"> RKF investicijų apimties  ir suminio inovatyvumo indekso sudedamųjų dalių koreliacinė analizė</w:t>
                      </w:r>
                    </w:p>
                    <w:p w:rsidR="00A03476" w:rsidRPr="00A2756D" w:rsidRDefault="00A03476" w:rsidP="005D6363">
                      <w:pPr>
                        <w:rPr>
                          <w:rFonts w:ascii="Times New Roman" w:hAnsi="Times New Roman" w:cs="Times New Roman"/>
                        </w:rPr>
                      </w:pPr>
                    </w:p>
                  </w:txbxContent>
                </v:textbox>
              </v:shape>
            </w:pict>
          </mc:Fallback>
        </mc:AlternateContent>
      </w:r>
      <w:r w:rsidR="006E5375"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22080" behindDoc="0" locked="0" layoutInCell="1" allowOverlap="1" wp14:anchorId="7FBA6CAD" wp14:editId="2DE8169E">
                <wp:simplePos x="0" y="0"/>
                <wp:positionH relativeFrom="column">
                  <wp:posOffset>1796415</wp:posOffset>
                </wp:positionH>
                <wp:positionV relativeFrom="paragraph">
                  <wp:posOffset>19050</wp:posOffset>
                </wp:positionV>
                <wp:extent cx="0" cy="276225"/>
                <wp:effectExtent l="95250" t="0" r="57150" b="66675"/>
                <wp:wrapNone/>
                <wp:docPr id="120" name="Straight Arrow Connector 120"/>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0" o:spid="_x0000_s1026" type="#_x0000_t32" style="position:absolute;margin-left:141.45pt;margin-top:1.5pt;width:0;height:21.7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FR4QEAADMEAAAOAAAAZHJzL2Uyb0RvYy54bWysU9uO1DAMfUfiH6K+M+1UYkHVdFZoluUF&#10;wYiFD8imyTRSEkdOmLZ/j5N2OtyExGpf3DrxsX2Ond3taA07SwwaXFtsN1XBpBPQaXdqi29f71+9&#10;LViI3HXcgJNtMclQ3O5fvtgNvpE19GA6iYySuNAMvi36GH1TlkH00vKwAS8dXSpAyyO5eCo75ANl&#10;t6asq+qmHAA7jyBkCHR6N18W+5xfKSniZ6WCjMy0BfUWs8VsH5Mt9zvenJD7XoulDf6ELizXjoqu&#10;qe545Ow76j9SWS0QAqi4EWBLUEoLmTkQm231G5uHnnuZuZA4wa8yhedLKz6dj8h0R7OrSR/HLQ3p&#10;ISLXpz6yd4gwsAM4R0ICshRDig0+NAQ8uCMuXvBHTPRHhTZ9iRgbs8rTqrIcIxPzoaDT+s1NXb9O&#10;6corzmOIHyRYln7aIiyNrB1ss8j8/DHEGXgBpKLGJRvA6O5eG5OdtEfyYJCdOW1AHLdLwV+iItfm&#10;vetYnDyx54n0EpZSlonuTDD/xcnIudwXqUg6ojS3lZf2WowLIV28FDSOohNMUWsrsMp8/glc4hNU&#10;5oX+H/CKyJXBxRVstQP8W/WrRmqOvygw804SPEI35dFnaWgz8wyXV5RW/2c/w69vff8DAAD//wMA&#10;UEsDBBQABgAIAAAAIQDjFW2A3QAAAAgBAAAPAAAAZHJzL2Rvd25yZXYueG1sTI+xTsNAEER7JP7h&#10;tEh05IyBKDFeRwiJIgVFEgRJt/ZdbAvfnuW7OObvWUQB5WhGM2/y1eQ6NdohtJ4RbmcJKMuVNy3X&#10;CG+7l5sFqBCJDXWeLcKXDbAqLi9yyow/88aO21grKeGQEUITY59pHarGOgoz31sW7+gHR1HkUGsz&#10;0FnKXafTJJlrRy3LQkO9fW5s9bk9OYTXj3X/XpWbg9lP6zE5UHUcOSBeX01Pj6CineJfGH7wBR0K&#10;YSr9iU1QHUK6SJcSRbiTS+L/6hLhfv4Ausj1/wPFNwAAAP//AwBQSwECLQAUAAYACAAAACEAtoM4&#10;kv4AAADhAQAAEwAAAAAAAAAAAAAAAAAAAAAAW0NvbnRlbnRfVHlwZXNdLnhtbFBLAQItABQABgAI&#10;AAAAIQA4/SH/1gAAAJQBAAALAAAAAAAAAAAAAAAAAC8BAABfcmVscy8ucmVsc1BLAQItABQABgAI&#10;AAAAIQARCFFR4QEAADMEAAAOAAAAAAAAAAAAAAAAAC4CAABkcnMvZTJvRG9jLnhtbFBLAQItABQA&#10;BgAIAAAAIQDjFW2A3QAAAAgBAAAPAAAAAAAAAAAAAAAAADsEAABkcnMvZG93bnJldi54bWxQSwUG&#10;AAAAAAQABADzAAAARQUAAAAA&#10;" strokecolor="black [3213]">
                <v:stroke endarrow="open"/>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02624" behindDoc="0" locked="0" layoutInCell="1" allowOverlap="1" wp14:anchorId="3BB88949" wp14:editId="31777FDA">
                <wp:simplePos x="0" y="0"/>
                <wp:positionH relativeFrom="column">
                  <wp:posOffset>843915</wp:posOffset>
                </wp:positionH>
                <wp:positionV relativeFrom="paragraph">
                  <wp:posOffset>23495</wp:posOffset>
                </wp:positionV>
                <wp:extent cx="1924050" cy="495300"/>
                <wp:effectExtent l="0" t="0" r="19050" b="19050"/>
                <wp:wrapNone/>
                <wp:docPr id="106" name="Text Box 106"/>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A2756D" w:rsidRDefault="00EC1AB2" w:rsidP="005D6363">
                            <w:pPr>
                              <w:jc w:val="center"/>
                              <w:rPr>
                                <w:rFonts w:ascii="Times New Roman" w:hAnsi="Times New Roman" w:cs="Times New Roman"/>
                              </w:rPr>
                            </w:pPr>
                            <w:r>
                              <w:rPr>
                                <w:rFonts w:ascii="Times New Roman" w:hAnsi="Times New Roman" w:cs="Times New Roman"/>
                              </w:rPr>
                              <w:t>1 ETAPAS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6" o:spid="_x0000_s1037" type="#_x0000_t202" style="position:absolute;left:0;text-align:left;margin-left:66.45pt;margin-top:1.85pt;width:151.5pt;height:39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wBlAIAAL8FAAAOAAAAZHJzL2Uyb0RvYy54bWysVEtv2zAMvg/YfxB0X+1kabcGcYqsRYcB&#10;RVusHXpWZCkxKouapMTOfv1I2U7Tx6XDLjYlfqTIj4/ZWVsbtlU+VGALPjrKOVNWQlnZVcF/3V9+&#10;+spZiMKWwoBVBd+pwM/mHz/MGjdVY1iDKZVn6MSGaeMKvo7RTbMsyLWqRTgCpywqNfhaRDz6VVZ6&#10;0aD32mTjPD/JGvCl8yBVCHh70Sn5PPnXWsl4o3VQkZmCY2wxfX36LumbzWdiuvLCrSvZhyH+IYpa&#10;VBYf3bu6EFGwja9euaor6SGAjkcS6gy0rqRKOWA2o/xFNndr4VTKBckJbk9T+H9u5fX21rOqxNrl&#10;J5xZUWOR7lUb2TdoGd0hQ40LUwTeOYTGFhWIHu4DXlLirfY1/TElhnrkerfnl9xJMjodT/JjVEnU&#10;TU6PP+epANmTtfMhfldQMxIK7rF+iVaxvQoRI0HoAKHHApiqvKyMSQfqGXVuPNsKrLaJKUa0eIYy&#10;ljUUCcXxygX53jtYGiEfKc3nLvBkLFmq1F59XERRR0WS4s4owhj7U2mkNzHyRpBCSmX3gSY0oTSm&#10;9B7DHv8U1XuMuzzQIr0MNu6N68qC71h6zm35OHCrOzySdJA3ibFdtn1fDa2yhHKHHeShm8Lg5GWF&#10;hF+JEG+Fx7HDzsBVEm/wow1gmaCXOFuD//PWPeFxGlDLWYNjXPDweyO84sz8sDgnp6PJhOY+HSbH&#10;X8Z48Iea5aHGbupzwN4Z4dJyMomEj2YQtYf6ATfOgl5FlbAS3y54HMTz2C0X3FhSLRYJhJPuRLyy&#10;d06Sa6KZGu2+fRDe9Z0ecUauYRh4MX3R8B2WLC0sNhF0laaBiO5Y7QuAWyL1a7/RaA0dnhPqae/O&#10;/wIAAP//AwBQSwMEFAAGAAgAAAAhAKFvLfjdAAAACAEAAA8AAABkcnMvZG93bnJldi54bWxMj8FO&#10;wzAQRO9I/IO1SNyok7qlbYhTAYJDuVEqcXXjJYmw11Hstmm/nuUEx6cZzb4t16N34ohD7AJpyCcZ&#10;CKQ62I4aDbuP17sliJgMWeMCoYYzRlhX11elKWw40Tset6kRPEKxMBralPpCyli36E2chB6Js68w&#10;eJMYh0bawZx43Ds5zbJ76U1HfKE1PT63WH9vD17Dy9PbSm3Om353aS4zl1T+OcxzrW9vxscHEAnH&#10;9FeGX31Wh4qd9uFANgrHrKYrrmpQCxCcz9Scea9hmS9AVqX8/0D1AwAA//8DAFBLAQItABQABgAI&#10;AAAAIQC2gziS/gAAAOEBAAATAAAAAAAAAAAAAAAAAAAAAABbQ29udGVudF9UeXBlc10ueG1sUEsB&#10;Ai0AFAAGAAgAAAAhADj9If/WAAAAlAEAAAsAAAAAAAAAAAAAAAAALwEAAF9yZWxzLy5yZWxzUEsB&#10;Ai0AFAAGAAgAAAAhAOQVjAGUAgAAvwUAAA4AAAAAAAAAAAAAAAAALgIAAGRycy9lMm9Eb2MueG1s&#10;UEsBAi0AFAAGAAgAAAAhAKFvLfjdAAAACAEAAA8AAAAAAAAAAAAAAAAA7gQAAGRycy9kb3ducmV2&#10;LnhtbFBLBQYAAAAABAAEAPMAAAD4BQAAAAA=&#10;" fillcolor="white [3201]" strokeweight="1.5pt">
                <v:textbox>
                  <w:txbxContent>
                    <w:p w:rsidR="00A03476" w:rsidRPr="00A2756D" w:rsidRDefault="00A03476" w:rsidP="005D6363">
                      <w:pPr>
                        <w:jc w:val="center"/>
                        <w:rPr>
                          <w:rFonts w:ascii="Times New Roman" w:hAnsi="Times New Roman" w:cs="Times New Roman"/>
                        </w:rPr>
                      </w:pPr>
                      <w:r>
                        <w:rPr>
                          <w:rFonts w:ascii="Times New Roman" w:hAnsi="Times New Roman" w:cs="Times New Roman"/>
                        </w:rPr>
                        <w:t>1 ETAPAS</w:t>
                      </w:r>
                    </w:p>
                  </w:txbxContent>
                </v:textbox>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31296" behindDoc="0" locked="0" layoutInCell="1" allowOverlap="1" wp14:anchorId="507088DD" wp14:editId="083F68BF">
                <wp:simplePos x="0" y="0"/>
                <wp:positionH relativeFrom="column">
                  <wp:posOffset>1796415</wp:posOffset>
                </wp:positionH>
                <wp:positionV relativeFrom="paragraph">
                  <wp:posOffset>255270</wp:posOffset>
                </wp:positionV>
                <wp:extent cx="0" cy="476251"/>
                <wp:effectExtent l="0" t="0" r="19050" b="19050"/>
                <wp:wrapNone/>
                <wp:docPr id="127" name="Straight Connector 127"/>
                <wp:cNvGraphicFramePr/>
                <a:graphic xmlns:a="http://schemas.openxmlformats.org/drawingml/2006/main">
                  <a:graphicData uri="http://schemas.microsoft.com/office/word/2010/wordprocessingShape">
                    <wps:wsp>
                      <wps:cNvCnPr/>
                      <wps:spPr>
                        <a:xfrm>
                          <a:off x="0" y="0"/>
                          <a:ext cx="0" cy="4762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7"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41.45pt,20.1pt" to="141.4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UCzgEAAAYEAAAOAAAAZHJzL2Uyb0RvYy54bWysU01vEzEQvSPxHyzfySZRadEqmx5SlQuC&#10;iMIPcL3jrCXbY41NPv49Y2+yqQAJgXrxru15b+a9Ga/uj96JPVCyGDq5mM2lgKCxt2HXye/fHt99&#10;kCJlFXrlMEAnT5Dk/frtm9UhtrDEAV0PJJgkpPYQOznkHNumSXoAr9IMIwS+NEheZd7SrulJHZjd&#10;u2Y5n982B6Q+EmpIiU8fxku5rvzGgM5fjEmQhesk15brSnV9LmuzXql2RyoOVp/LUP9RhVc2cNKJ&#10;6kFlJX6Q/Y3KW02Y0OSZRt+gMVZD1cBqFvNf1DwNKkLVwuakONmUXo9Wf95vSdiee7e8kyIoz016&#10;yqTsbshigyGwhUii3LJXh5hahmzCls67FLdUhB8N+fJlSeJY/T1N/sIxCz0eaj69ubtdvl8UuuaK&#10;i5TyR0Avyk8nnQ1FuWrV/lPKY+glpBy7UNaEzvaP1rm6KTMDG0dir7jb+XhJ8SKKExZkU3SMlde/&#10;fHIwsn4Fw25wrYuavc7hlVNpDSFfeF3g6AIzXMEEnP8deI4vUKgz+i/gCVEzY8gT2NuA9KfsVyvM&#10;GH9xYNRdLHjG/lR7Wq3hYavNOT+MMs0v9xV+fb7rnwAAAP//AwBQSwMEFAAGAAgAAAAhAFqn+Ljd&#10;AAAACgEAAA8AAABkcnMvZG93bnJldi54bWxMj8FOwzAMhu9IvENkJG4sXTWmUppOCMEFcWnZAW5Z&#10;4zUVjdM16VreHiMOcLT96ff3F7vF9eKMY+g8KVivEhBIjTcdtQr2b883GYgQNRnde0IFXxhgV15e&#10;FDo3fqYKz3VsBYdQyLUCG+OQSxkai06HlR+Q+Hb0o9ORx7GVZtQzh7tepkmylU53xB+sHvDRYvNZ&#10;T07By+k17Dfb6ql6P2X1/HGcbOtRqeur5eEeRMQl/sHwo8/qULLTwU9kgugVpFl6x6iCTZKCYOB3&#10;cWByfZuCLAv5v0L5DQAA//8DAFBLAQItABQABgAIAAAAIQC2gziS/gAAAOEBAAATAAAAAAAAAAAA&#10;AAAAAAAAAABbQ29udGVudF9UeXBlc10ueG1sUEsBAi0AFAAGAAgAAAAhADj9If/WAAAAlAEAAAsA&#10;AAAAAAAAAAAAAAAALwEAAF9yZWxzLy5yZWxzUEsBAi0AFAAGAAgAAAAhABxTtQLOAQAABgQAAA4A&#10;AAAAAAAAAAAAAAAALgIAAGRycy9lMm9Eb2MueG1sUEsBAi0AFAAGAAgAAAAhAFqn+LjdAAAACgEA&#10;AA8AAAAAAAAAAAAAAAAAKAQAAGRycy9kb3ducmV2LnhtbFBLBQYAAAAABAAEAPMAAAAyBQAAAAA=&#10;" strokecolor="black [3213]"/>
            </w:pict>
          </mc:Fallback>
        </mc:AlternateContent>
      </w:r>
      <w:r w:rsidR="005D6363" w:rsidRPr="00EC1AB2">
        <w:rPr>
          <w:rFonts w:ascii="Times New Roman" w:hAnsi="Times New Roman" w:cs="Times New Roman"/>
          <w:noProof/>
          <w:sz w:val="24"/>
          <w:szCs w:val="24"/>
          <w:lang w:eastAsia="lt-LT"/>
        </w:rPr>
        <mc:AlternateContent>
          <mc:Choice Requires="wps">
            <w:drawing>
              <wp:anchor distT="0" distB="0" distL="114300" distR="114300" simplePos="0" relativeHeight="251807744" behindDoc="0" locked="0" layoutInCell="1" allowOverlap="1" wp14:anchorId="03A20E6E" wp14:editId="7B10376C">
                <wp:simplePos x="0" y="0"/>
                <wp:positionH relativeFrom="column">
                  <wp:posOffset>2767965</wp:posOffset>
                </wp:positionH>
                <wp:positionV relativeFrom="paragraph">
                  <wp:posOffset>8256</wp:posOffset>
                </wp:positionV>
                <wp:extent cx="1219200" cy="0"/>
                <wp:effectExtent l="38100" t="76200" r="0" b="114300"/>
                <wp:wrapNone/>
                <wp:docPr id="108" name="Straight Arrow Connector 108"/>
                <wp:cNvGraphicFramePr/>
                <a:graphic xmlns:a="http://schemas.openxmlformats.org/drawingml/2006/main">
                  <a:graphicData uri="http://schemas.microsoft.com/office/word/2010/wordprocessingShape">
                    <wps:wsp>
                      <wps:cNvCnPr/>
                      <wps:spPr>
                        <a:xfrm rot="10800000">
                          <a:off x="0" y="0"/>
                          <a:ext cx="1219200"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8" o:spid="_x0000_s1026" type="#_x0000_t32" style="position:absolute;margin-left:217.95pt;margin-top:.65pt;width:96pt;height:0;rotation:18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fi9wEAAFsEAAAOAAAAZHJzL2Uyb0RvYy54bWysVE2P2yAUvFfqf0DcG9s5VG0UZ7VKur1U&#10;bdRtfwCLIUYCHnrQOP73fWDH6ZcqtVofEJg3w8zw7O3dxVl2VhgN+JY3q5oz5SV0xp9a/vXLw6s3&#10;nMUkfCcseNXyUUV+t3v5YjuEjVpDD7ZTyIjEx80QWt6nFDZVFWWvnIgrCMrTpgZ0ItEST1WHYiB2&#10;Z6t1Xb+uBsAuIEgVI709TJt8V/i1VjJ90jqqxGzLSVsqI5bxKY/Vbis2JxShN3KWIf5DhRPG06EL&#10;1UEkwb6h+Y3KGYkQQaeVBFeB1kaq4oHcNPUvbh57EVTxQuHEsMQUn49WfjwfkZmO7q6mq/LC0SU9&#10;JhTm1Cd2jwgD24P3FCQgyzWU2BDihoB7f8R5FcMRs/2LRscQKGYqrfNTUiGf7FJCH5fQ1SUxSS+b&#10;dfOWbpIzed2rJp7MFzCm9wocy5OWx1nYoqgp9OL8ISZSQsArIIOtz2MEa7oHY21Z5L5Se4vsLKgj&#10;0qXJfgj3U1UmOYjYT0UdzaY+ScLYd75jaQyUksjhzPB8VJVjmYIoszRaNcn4rDRFnL0WuaW5byKE&#10;lMqnqxDrqTrDNElegFOMfwXO9RmqSuP/C3hBlJPBpwXsjAf8k+xbdnqqvyYw+c4RPEE3lhYp0VAH&#10;l6jnry1/Ij+uC/z2T9h9BwAA//8DAFBLAwQUAAYACAAAACEAAXOKr9gAAAAHAQAADwAAAGRycy9k&#10;b3ducmV2LnhtbEyOwU6EQBBE7yb+w6RNvBh3YFdXRYaN0XA0ZtF4HpgWiEwPYXoX/HtbL3p8qUrV&#10;y3eLH9QRp9gHMpCuElBITXA9tQbeXsvLW1CRLTk7BEIDXxhhV5ye5DZzYaY9HitulYxQzKyBjnnM&#10;tI5Nh97GVRiRJPsIk7csOLXaTXaWcT/odZJstbc9yUNnR3zssPmsDt5AWXJdPdX8Ml5U7/O+Sx0/&#10;p86Y87Pl4R4U48J/ZfjRF3UoxKkOB3JRDQauNtd3UpVgA0ry7fpGuP5lXeT6v3/xDQAA//8DAFBL&#10;AQItABQABgAIAAAAIQC2gziS/gAAAOEBAAATAAAAAAAAAAAAAAAAAAAAAABbQ29udGVudF9UeXBl&#10;c10ueG1sUEsBAi0AFAAGAAgAAAAhADj9If/WAAAAlAEAAAsAAAAAAAAAAAAAAAAALwEAAF9yZWxz&#10;Ly5yZWxzUEsBAi0AFAAGAAgAAAAhAFWRZ+L3AQAAWwQAAA4AAAAAAAAAAAAAAAAALgIAAGRycy9l&#10;Mm9Eb2MueG1sUEsBAi0AFAAGAAgAAAAhAAFziq/YAAAABwEAAA8AAAAAAAAAAAAAAAAAUQQAAGRy&#10;cy9kb3ducmV2LnhtbFBLBQYAAAAABAAEAPMAAABWBQAAAAA=&#10;" strokecolor="black [3213]">
                <v:stroke dashstyle="dash" endarrow="open"/>
              </v:shape>
            </w:pict>
          </mc:Fallback>
        </mc:AlternateContent>
      </w:r>
    </w:p>
    <w:p w:rsidR="005D6363" w:rsidRPr="00EC1AB2" w:rsidRDefault="0007627A"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42560" behindDoc="0" locked="0" layoutInCell="1" allowOverlap="1" wp14:anchorId="382B238B" wp14:editId="69FF6854">
                <wp:simplePos x="0" y="0"/>
                <wp:positionH relativeFrom="column">
                  <wp:posOffset>2072640</wp:posOffset>
                </wp:positionH>
                <wp:positionV relativeFrom="paragraph">
                  <wp:posOffset>220980</wp:posOffset>
                </wp:positionV>
                <wp:extent cx="1504950" cy="495300"/>
                <wp:effectExtent l="0" t="0" r="19050" b="19050"/>
                <wp:wrapNone/>
                <wp:docPr id="134" name="Text Box 134"/>
                <wp:cNvGraphicFramePr/>
                <a:graphic xmlns:a="http://schemas.openxmlformats.org/drawingml/2006/main">
                  <a:graphicData uri="http://schemas.microsoft.com/office/word/2010/wordprocessingShape">
                    <wps:wsp>
                      <wps:cNvSpPr txBox="1"/>
                      <wps:spPr>
                        <a:xfrm>
                          <a:off x="0" y="0"/>
                          <a:ext cx="1504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720848" w:rsidRDefault="00EC1AB2" w:rsidP="0007627A">
                            <w:pPr>
                              <w:spacing w:after="0" w:line="240" w:lineRule="auto"/>
                              <w:rPr>
                                <w:rFonts w:ascii="Times New Roman" w:hAnsi="Times New Roman" w:cs="Times New Roman"/>
                                <w:sz w:val="18"/>
                                <w:szCs w:val="18"/>
                              </w:rPr>
                            </w:pPr>
                            <w:r w:rsidRPr="00720848">
                              <w:rPr>
                                <w:rFonts w:ascii="Times New Roman" w:hAnsi="Times New Roman" w:cs="Times New Roman"/>
                                <w:sz w:val="18"/>
                                <w:szCs w:val="18"/>
                              </w:rPr>
                              <w:t>H</w:t>
                            </w:r>
                            <w:r w:rsidRPr="00720848">
                              <w:rPr>
                                <w:rFonts w:ascii="Times New Roman" w:hAnsi="Times New Roman" w:cs="Times New Roman"/>
                                <w:sz w:val="18"/>
                                <w:szCs w:val="18"/>
                                <w:vertAlign w:val="subscript"/>
                              </w:rPr>
                              <w:t>1</w:t>
                            </w:r>
                            <w:r>
                              <w:rPr>
                                <w:rFonts w:ascii="Times New Roman" w:hAnsi="Times New Roman" w:cs="Times New Roman"/>
                                <w:sz w:val="18"/>
                                <w:szCs w:val="18"/>
                              </w:rPr>
                              <w:t xml:space="preserve"> – RKF investicijos</w:t>
                            </w:r>
                            <w:r w:rsidRPr="00720848">
                              <w:rPr>
                                <w:rFonts w:ascii="Times New Roman" w:hAnsi="Times New Roman" w:cs="Times New Roman"/>
                                <w:sz w:val="18"/>
                                <w:szCs w:val="18"/>
                              </w:rPr>
                              <w:t xml:space="preserve"> įtakoja šalies pasiekimus inovacijų srityje</w:t>
                            </w:r>
                          </w:p>
                          <w:p w:rsidR="00EC1AB2" w:rsidRPr="00A2756D" w:rsidRDefault="00EC1AB2" w:rsidP="0007627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4" o:spid="_x0000_s1038" type="#_x0000_t202" style="position:absolute;left:0;text-align:left;margin-left:163.2pt;margin-top:17.4pt;width:118.5pt;height:39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l3kwIAAL4FAAAOAAAAZHJzL2Uyb0RvYy54bWysVE1PGzEQvVfqf7B8L5tAoCVig1IQVSUE&#10;qFBxdrw2WeH1uLaTbPrrefZuQvi4UPWyO/a8Gc+8+Tg5bRvDlsqHmmzJh3sDzpSVVNX2oeS/7y6+&#10;fOMsRGErYciqkq9V4KeTz59OVm6s9mlOplKewYkN45Ur+TxGNy6KIOeqEWGPnLJQavKNiDj6h6Ly&#10;YgXvjSn2B4OjYkW+cp6kCgG3552ST7J/rZWM11oHFZkpOWKL+evzd5a+xeREjB+8cPNa9mGIf4ii&#10;EbXFo1tX5yIKtvD1G1dNLT0F0nFPUlOQ1rVUOQdkMxy8yuZ2LpzKuYCc4LY0hf/nVl4tbzyrK9Tu&#10;YMSZFQ2KdKfayL5Ty9IdGFq5MAbw1gEaWyiA3twHXKbEW+2b9EdKDHpwvd7ym9zJZHQ4GB0fQiWh&#10;g3QwyAUonq2dD/GHooYloeQe9cu0iuVliIgE0A0kPRbI1NVFbUw+pJ5RZ8azpUC1TcwxwuIFyli2&#10;KvnRAcJ44yG53trPjJCPKcuXHnAyNlmq3F19WImhjoksxbVRCWPsL6XBbibknRiFlMpu48zohNLI&#10;6COGPf45qo8Yd3nAIr9MNm6Nm9qS71h6SW31uKFWd3iQtJN3EmM7a7u22nbKjKo1GshTN4TByYsa&#10;hF+KEG+Ex9ShMbBJ4jU+2hCqRL3E2Zz83/fuEx7DAC1nK0xxycOfhfCKM/PTYkyOh6NRGvt8GB1+&#10;3cfB72pmuxq7aM4IrTPEznIyiwkfzUbUnpp7LJxpehUqYSXeLnnciGex2y1YWFJNpxmEQXciXtpb&#10;J5PrRHNqtLv2XnjXN3rEiFzRZt7F+FW/d9hkaWm6iKTrPAyJ6I7VvgBYErlf+4WWttDuOaOe1+7k&#10;CQAA//8DAFBLAwQUAAYACAAAACEAFkQTBt0AAAAKAQAADwAAAGRycy9kb3ducmV2LnhtbEyPwU7D&#10;MBBE70j8g7VI3KjTtEQhxKkAtVw4URBnN3Zti3gd2W6a/j3LCW67O0+zM+1m9gObdEwuoIDlogCm&#10;sQ/KoRHw+bG7q4GlLFHJIaAWcNEJNt31VSsbFc74rqd9NoxMMDVSgM15bDhPvdVepkUYNZJ2DNHL&#10;TGs0XEV5JnM/8LIoKu6lQ/pg5ahfrO6/9ycvYPtsHkxfy2i3tXJumr+Ob+ZViNub+ekRWNZz/oPh&#10;Nz5Fh44yHcIJVWKDgFVZrQmlYU0VCLivVnQ4ELksa+Bdy/9X6H4AAAD//wMAUEsBAi0AFAAGAAgA&#10;AAAhALaDOJL+AAAA4QEAABMAAAAAAAAAAAAAAAAAAAAAAFtDb250ZW50X1R5cGVzXS54bWxQSwEC&#10;LQAUAAYACAAAACEAOP0h/9YAAACUAQAACwAAAAAAAAAAAAAAAAAvAQAAX3JlbHMvLnJlbHNQSwEC&#10;LQAUAAYACAAAACEAm+Spd5MCAAC+BQAADgAAAAAAAAAAAAAAAAAuAgAAZHJzL2Uyb0RvYy54bWxQ&#10;SwECLQAUAAYACAAAACEAFkQTBt0AAAAKAQAADwAAAAAAAAAAAAAAAADtBAAAZHJzL2Rvd25yZXYu&#10;eG1sUEsFBgAAAAAEAAQA8wAAAPcFAAAAAA==&#10;" fillcolor="white [3201]" strokeweight=".5pt">
                <v:textbox>
                  <w:txbxContent>
                    <w:p w:rsidR="00A03476" w:rsidRPr="00720848" w:rsidRDefault="00A03476" w:rsidP="0007627A">
                      <w:pPr>
                        <w:spacing w:after="0" w:line="240" w:lineRule="auto"/>
                        <w:rPr>
                          <w:rFonts w:ascii="Times New Roman" w:hAnsi="Times New Roman" w:cs="Times New Roman"/>
                          <w:sz w:val="18"/>
                          <w:szCs w:val="18"/>
                        </w:rPr>
                      </w:pPr>
                      <w:r w:rsidRPr="00720848">
                        <w:rPr>
                          <w:rFonts w:ascii="Times New Roman" w:hAnsi="Times New Roman" w:cs="Times New Roman"/>
                          <w:sz w:val="18"/>
                          <w:szCs w:val="18"/>
                        </w:rPr>
                        <w:t>H</w:t>
                      </w:r>
                      <w:r w:rsidRPr="00720848">
                        <w:rPr>
                          <w:rFonts w:ascii="Times New Roman" w:hAnsi="Times New Roman" w:cs="Times New Roman"/>
                          <w:sz w:val="18"/>
                          <w:szCs w:val="18"/>
                          <w:vertAlign w:val="subscript"/>
                        </w:rPr>
                        <w:t>1</w:t>
                      </w:r>
                      <w:r>
                        <w:rPr>
                          <w:rFonts w:ascii="Times New Roman" w:hAnsi="Times New Roman" w:cs="Times New Roman"/>
                          <w:sz w:val="18"/>
                          <w:szCs w:val="18"/>
                        </w:rPr>
                        <w:t xml:space="preserve"> – RKF investicijos</w:t>
                      </w:r>
                      <w:r w:rsidRPr="00720848">
                        <w:rPr>
                          <w:rFonts w:ascii="Times New Roman" w:hAnsi="Times New Roman" w:cs="Times New Roman"/>
                          <w:sz w:val="18"/>
                          <w:szCs w:val="18"/>
                        </w:rPr>
                        <w:t xml:space="preserve"> įtakoja šalies pasiekimus inovacijų srityje</w:t>
                      </w:r>
                    </w:p>
                    <w:p w:rsidR="00A03476" w:rsidRPr="00A2756D" w:rsidRDefault="00A03476" w:rsidP="0007627A">
                      <w:pPr>
                        <w:jc w:val="center"/>
                        <w:rPr>
                          <w:rFonts w:ascii="Times New Roman" w:hAnsi="Times New Roman" w:cs="Times New Roman"/>
                        </w:rPr>
                      </w:pPr>
                    </w:p>
                  </w:txbxContent>
                </v:textbox>
              </v:shape>
            </w:pict>
          </mc:Fallback>
        </mc:AlternateContent>
      </w:r>
      <w:r w:rsidR="006E5375" w:rsidRPr="00EC1AB2">
        <w:rPr>
          <w:rFonts w:ascii="Times New Roman" w:hAnsi="Times New Roman" w:cs="Times New Roman"/>
          <w:noProof/>
          <w:sz w:val="24"/>
          <w:szCs w:val="24"/>
          <w:lang w:eastAsia="lt-LT"/>
        </w:rPr>
        <mc:AlternateContent>
          <mc:Choice Requires="wps">
            <w:drawing>
              <wp:anchor distT="0" distB="0" distL="114300" distR="114300" simplePos="0" relativeHeight="251824128" behindDoc="0" locked="0" layoutInCell="1" allowOverlap="1" wp14:anchorId="065260BF" wp14:editId="21562707">
                <wp:simplePos x="0" y="0"/>
                <wp:positionH relativeFrom="column">
                  <wp:posOffset>5715</wp:posOffset>
                </wp:positionH>
                <wp:positionV relativeFrom="paragraph">
                  <wp:posOffset>220980</wp:posOffset>
                </wp:positionV>
                <wp:extent cx="1504950" cy="495300"/>
                <wp:effectExtent l="0" t="0" r="19050" b="19050"/>
                <wp:wrapNone/>
                <wp:docPr id="121" name="Text Box 121"/>
                <wp:cNvGraphicFramePr/>
                <a:graphic xmlns:a="http://schemas.openxmlformats.org/drawingml/2006/main">
                  <a:graphicData uri="http://schemas.microsoft.com/office/word/2010/wordprocessingShape">
                    <wps:wsp>
                      <wps:cNvSpPr txBox="1"/>
                      <wps:spPr>
                        <a:xfrm>
                          <a:off x="0" y="0"/>
                          <a:ext cx="1504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720848" w:rsidRDefault="00EC1AB2" w:rsidP="006E5375">
                            <w:pPr>
                              <w:spacing w:after="0" w:line="240" w:lineRule="auto"/>
                              <w:rPr>
                                <w:rFonts w:ascii="Times New Roman" w:hAnsi="Times New Roman" w:cs="Times New Roman"/>
                                <w:sz w:val="18"/>
                                <w:szCs w:val="18"/>
                              </w:rPr>
                            </w:pPr>
                            <w:r w:rsidRPr="00720848">
                              <w:rPr>
                                <w:rFonts w:ascii="Times New Roman" w:hAnsi="Times New Roman" w:cs="Times New Roman"/>
                                <w:sz w:val="18"/>
                                <w:szCs w:val="18"/>
                              </w:rPr>
                              <w:t>H</w:t>
                            </w:r>
                            <w:r w:rsidRPr="00720848">
                              <w:rPr>
                                <w:rFonts w:ascii="Times New Roman" w:hAnsi="Times New Roman" w:cs="Times New Roman"/>
                                <w:sz w:val="18"/>
                                <w:szCs w:val="18"/>
                                <w:vertAlign w:val="subscript"/>
                              </w:rPr>
                              <w:t>0</w:t>
                            </w:r>
                            <w:r>
                              <w:rPr>
                                <w:rFonts w:ascii="Times New Roman" w:hAnsi="Times New Roman" w:cs="Times New Roman"/>
                                <w:sz w:val="18"/>
                                <w:szCs w:val="18"/>
                              </w:rPr>
                              <w:t xml:space="preserve"> – RKF investicijos</w:t>
                            </w:r>
                            <w:r w:rsidRPr="00720848">
                              <w:rPr>
                                <w:rFonts w:ascii="Times New Roman" w:hAnsi="Times New Roman" w:cs="Times New Roman"/>
                                <w:sz w:val="18"/>
                                <w:szCs w:val="18"/>
                              </w:rPr>
                              <w:t xml:space="preserve"> neįtakoja šalies pasiekimų inovacijų srityje</w:t>
                            </w:r>
                          </w:p>
                          <w:p w:rsidR="00EC1AB2" w:rsidRPr="00A2756D" w:rsidRDefault="00EC1AB2" w:rsidP="006E537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1" o:spid="_x0000_s1039" type="#_x0000_t202" style="position:absolute;left:0;text-align:left;margin-left:.45pt;margin-top:17.4pt;width:118.5pt;height:39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KkkwIAAL4FAAAOAAAAZHJzL2Uyb0RvYy54bWysVE1PGzEQvVfqf7B8L5uEQEvEBqUgqkqo&#10;oELF2fHaZIXX49pOsumv77N3E8LHhaqX3bHnzXjmzcfpWdsYtlI+1GRLPjwYcKaspKq2DyX/dXf5&#10;6QtnIQpbCUNWlXyjAj+bfvxwunYTNaIFmUp5Bic2TNau5IsY3aQoglyoRoQDcspCqck3IuLoH4rK&#10;izW8N6YYDQbHxZp85TxJFQJuLzoln2b/WisZr7UOKjJTcsQW89fn7zx9i+mpmDx44Ra17MMQ/xBF&#10;I2qLR3euLkQUbOnrV66aWnoKpOOBpKYgrWupcg7IZjh4kc3tQjiVcwE5we1oCv/PrfyxuvGsrlC7&#10;0ZAzKxoU6U61kX2llqU7MLR2YQLgrQM0tlAAvb0PuEyJt9o36Y+UGPTgerPjN7mTyehoMD45gkpC&#10;B+lwkAtQPFk7H+I3RQ1LQsk96pdpFaurEBEJoFtIeiyQqavL2ph8SD2jzo1nK4Fqm5hjhMUzlLFs&#10;XfLjQ4TxykNyvbOfGyEfU5bPPeBkbLJUubv6sBJDHRNZihujEsbYn0qD3UzIGzEKKZXdxZnRCaWR&#10;0XsMe/xTVO8x7vKARX6ZbNwZN7Ul37H0nNrqcUut7vAgaS/vJMZ23vZtte2UOVUbNJCnbgiDk5c1&#10;CL8SId4Ij6lDY2CTxGt8tCFUiXqJswX5P2/dJzyGAVrO1pjikoffS+EVZ+a7xZicDMfjNPb5MD76&#10;PMLB72vm+xq7bM4JrYNBQHRZTPhotqL21Nxj4czSq1AJK/F2yeNWPI/dbsHCkmo2yyAMuhPxyt46&#10;mVwnmlOj3bX3wru+0SNG5Adt511MXvR7h02WlmbLSLrOw5CI7ljtC4Alkfu1X2hpC+2fM+pp7U7/&#10;AgAA//8DAFBLAwQUAAYACAAAACEA0/FemNkAAAAHAQAADwAAAGRycy9kb3ducmV2LnhtbEyOwU7D&#10;MBBE70j8g7VI3KjTFEEa4lSAChdOLYjzNnZti3gdxW4a/p7lBMedeZp9zWYOvZjMmHwkBctFAcJQ&#10;F7Unq+Dj/eWmApEyksY+klHwbRJs2suLBmsdz7Qz0z5bwSOUalTgch5qKVPnTMC0iIMh7o5xDJj5&#10;HK3UI555PPSyLIo7GdATf3A4mGdnuq/9KSjYPtm17Soc3bbS3k/z5/HNvip1fTU/PoDIZs5/MPzq&#10;szq07HSIJ9JJ9ArWzClY3bI/t+XqnoMDY8uyAtk28r9/+wMAAP//AwBQSwECLQAUAAYACAAAACEA&#10;toM4kv4AAADhAQAAEwAAAAAAAAAAAAAAAAAAAAAAW0NvbnRlbnRfVHlwZXNdLnhtbFBLAQItABQA&#10;BgAIAAAAIQA4/SH/1gAAAJQBAAALAAAAAAAAAAAAAAAAAC8BAABfcmVscy8ucmVsc1BLAQItABQA&#10;BgAIAAAAIQCxJwKkkwIAAL4FAAAOAAAAAAAAAAAAAAAAAC4CAABkcnMvZTJvRG9jLnhtbFBLAQIt&#10;ABQABgAIAAAAIQDT8V6Y2QAAAAcBAAAPAAAAAAAAAAAAAAAAAO0EAABkcnMvZG93bnJldi54bWxQ&#10;SwUGAAAAAAQABADzAAAA8wUAAAAA&#10;" fillcolor="white [3201]" strokeweight=".5pt">
                <v:textbox>
                  <w:txbxContent>
                    <w:p w:rsidR="00A03476" w:rsidRPr="00720848" w:rsidRDefault="00A03476" w:rsidP="006E5375">
                      <w:pPr>
                        <w:spacing w:after="0" w:line="240" w:lineRule="auto"/>
                        <w:rPr>
                          <w:rFonts w:ascii="Times New Roman" w:hAnsi="Times New Roman" w:cs="Times New Roman"/>
                          <w:sz w:val="18"/>
                          <w:szCs w:val="18"/>
                        </w:rPr>
                      </w:pPr>
                      <w:r w:rsidRPr="00720848">
                        <w:rPr>
                          <w:rFonts w:ascii="Times New Roman" w:hAnsi="Times New Roman" w:cs="Times New Roman"/>
                          <w:sz w:val="18"/>
                          <w:szCs w:val="18"/>
                        </w:rPr>
                        <w:t>H</w:t>
                      </w:r>
                      <w:r w:rsidRPr="00720848">
                        <w:rPr>
                          <w:rFonts w:ascii="Times New Roman" w:hAnsi="Times New Roman" w:cs="Times New Roman"/>
                          <w:sz w:val="18"/>
                          <w:szCs w:val="18"/>
                          <w:vertAlign w:val="subscript"/>
                        </w:rPr>
                        <w:t>0</w:t>
                      </w:r>
                      <w:r>
                        <w:rPr>
                          <w:rFonts w:ascii="Times New Roman" w:hAnsi="Times New Roman" w:cs="Times New Roman"/>
                          <w:sz w:val="18"/>
                          <w:szCs w:val="18"/>
                        </w:rPr>
                        <w:t xml:space="preserve"> – RKF investicijos</w:t>
                      </w:r>
                      <w:r w:rsidRPr="00720848">
                        <w:rPr>
                          <w:rFonts w:ascii="Times New Roman" w:hAnsi="Times New Roman" w:cs="Times New Roman"/>
                          <w:sz w:val="18"/>
                          <w:szCs w:val="18"/>
                        </w:rPr>
                        <w:t xml:space="preserve"> neįtakoja šalies pasiekimų inovacijų srityje</w:t>
                      </w:r>
                    </w:p>
                    <w:p w:rsidR="00A03476" w:rsidRPr="00A2756D" w:rsidRDefault="00A03476" w:rsidP="006E5375">
                      <w:pPr>
                        <w:jc w:val="center"/>
                        <w:rPr>
                          <w:rFonts w:ascii="Times New Roman" w:hAnsi="Times New Roman" w:cs="Times New Roman"/>
                        </w:rPr>
                      </w:pPr>
                    </w:p>
                  </w:txbxContent>
                </v:textbox>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30272" behindDoc="0" locked="0" layoutInCell="1" allowOverlap="1" wp14:anchorId="0123EE65" wp14:editId="5A7D4AAB">
                <wp:simplePos x="0" y="0"/>
                <wp:positionH relativeFrom="column">
                  <wp:posOffset>1796415</wp:posOffset>
                </wp:positionH>
                <wp:positionV relativeFrom="paragraph">
                  <wp:posOffset>205740</wp:posOffset>
                </wp:positionV>
                <wp:extent cx="276225" cy="0"/>
                <wp:effectExtent l="0" t="76200" r="28575" b="114300"/>
                <wp:wrapNone/>
                <wp:docPr id="126" name="Straight Arrow Connector 126"/>
                <wp:cNvGraphicFramePr/>
                <a:graphic xmlns:a="http://schemas.openxmlformats.org/drawingml/2006/main">
                  <a:graphicData uri="http://schemas.microsoft.com/office/word/2010/wordprocessingShape">
                    <wps:wsp>
                      <wps:cNvCnPr/>
                      <wps:spPr>
                        <a:xfrm rot="10800000"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6" o:spid="_x0000_s1026" type="#_x0000_t32" style="position:absolute;margin-left:141.45pt;margin-top:16.2pt;width:21.75pt;height:0;rotation:180;flip:x;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J29QEAAEwEAAAOAAAAZHJzL2Uyb0RvYy54bWysVNuO0zAQfUfiHyy/06SRKKuq6Qp1WXhA&#10;ULHwAV7HbizZHmtsmvbvGTtpyk0rLSIPli9zzsw5Hmdze3KWHRVGA77ly0XNmfISOuMPLf/29f7V&#10;DWcxCd8JC161/Kwiv92+fLEZwlo10IPtFDIi8XE9hJb3KYV1VUXZKyfiAoLydKgBnUi0xEPVoRiI&#10;3dmqqetVNQB2AUGqGGn3bjzk28KvtZLps9ZRJWZbTrWlMmIZH/NYbTdifUAReiOnMsQ/VOGE8ZR0&#10;proTSbDvaP6gckYiRNBpIcFVoLWRqmggNcv6NzUPvQiqaCFzYphtiv+PVn467pGZju6uWXHmhaNL&#10;ekgozKFP7C0iDGwH3pORgCzHkGNDiGsC7vwep1UMe8zyTxodQyCbl/VNnT/OtDXhA20Uf0gxOxX7&#10;z7P96pSYpM3mzappXnMmL0fVSJiJA8b0XoFjedLyOFU4lzayi+PHmKgkAl4AGWx9HiNY090ba8si&#10;N5jaWWRHQa2RTsssjHC/RCVh7DvfsXQOZIvIbkxhmbLKPozKyyydrRrTfVGaPCVJY1mlm6/JhJTK&#10;p0tC6yk6wzSVNgPr4taTwCk+Q1Xp9OeAZ0TJDD7NYGc84N+yXz3SY/zFgVF3tuARunPpiWINtWyx&#10;dHpe+U38vC7w609g+wMAAP//AwBQSwMEFAAGAAgAAAAhAFCOoifdAAAACQEAAA8AAABkcnMvZG93&#10;bnJldi54bWxMj01PAyEQhu8m/gcyJt4sSJumrss2pkmtJl5aTb1SwIUIwwZou/57MR70Nh9P3nmm&#10;XY7Bk5NJ2UUUcDthQAyqqB32At5e1zcLILlI1NJHNAK+TIZld3nRykbHM27NaVd6UkMwN1KALWVo&#10;KM3KmiDzJA4G6+4jpiBLbVNPdZLnGh485YzNaZAO6wUrB7OyRn3ujkHAxm3Ue3piziq2Xu3H5/3M&#10;vzwKcX01PtwDKWYsfzD86Fd16KrTIR5RZ+IF8AW/q6iAKZ8BqcCUz2tx+B3QrqX/P+i+AQAA//8D&#10;AFBLAQItABQABgAIAAAAIQC2gziS/gAAAOEBAAATAAAAAAAAAAAAAAAAAAAAAABbQ29udGVudF9U&#10;eXBlc10ueG1sUEsBAi0AFAAGAAgAAAAhADj9If/WAAAAlAEAAAsAAAAAAAAAAAAAAAAALwEAAF9y&#10;ZWxzLy5yZWxzUEsBAi0AFAAGAAgAAAAhAIpLYnb1AQAATAQAAA4AAAAAAAAAAAAAAAAALgIAAGRy&#10;cy9lMm9Eb2MueG1sUEsBAi0AFAAGAAgAAAAhAFCOoifdAAAACQEAAA8AAAAAAAAAAAAAAAAATwQA&#10;AGRycy9kb3ducmV2LnhtbFBLBQYAAAAABAAEAPMAAABZBQAAAAA=&#10;" strokecolor="black [3213]">
                <v:stroke endarrow="open"/>
              </v:shape>
            </w:pict>
          </mc:Fallback>
        </mc:AlternateContent>
      </w: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28224" behindDoc="0" locked="0" layoutInCell="1" allowOverlap="1" wp14:anchorId="13A661E2" wp14:editId="7105DF49">
                <wp:simplePos x="0" y="0"/>
                <wp:positionH relativeFrom="column">
                  <wp:posOffset>1510665</wp:posOffset>
                </wp:positionH>
                <wp:positionV relativeFrom="paragraph">
                  <wp:posOffset>205740</wp:posOffset>
                </wp:positionV>
                <wp:extent cx="276225" cy="0"/>
                <wp:effectExtent l="38100" t="76200" r="0" b="114300"/>
                <wp:wrapNone/>
                <wp:docPr id="125" name="Straight Arrow Connector 125"/>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5" o:spid="_x0000_s1026" type="#_x0000_t32" style="position:absolute;margin-left:118.95pt;margin-top:16.2pt;width:21.75pt;height:0;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446QEAAD0EAAAOAAAAZHJzL2Uyb0RvYy54bWysU8GO0zAQvSPxD5bvNG0lFhQ1XaEuCwcE&#10;FQsf4HXsxpLtscamSf6esZOmLCAkEBfLY897M+95vLsdnGVnhdGAb/hmteZMeQmt8aeGf/1y/+I1&#10;ZzEJ3woLXjV8VJHf7p8/2/WhVlvowLYKGZH4WPeh4V1Koa6qKDvlRFxBUJ4uNaATiUI8VS2Kntid&#10;rbbr9U3VA7YBQaoY6fRuuuT7wq+1kumT1lElZhtOvaWyYlkf81rtd6I+oQidkXMb4h+6cMJ4KrpQ&#10;3Ykk2Dc0v1A5IxEi6LSS4CrQ2khVNJCazfonNQ+dCKpoIXNiWGyK/49WfjwfkZmW3m77kjMvHD3S&#10;Q0JhTl1ibxChZwfwnowEZDmHHOtDrAl48EecoxiOmOUPGh3T1oT3RFgMIYlsKH6Pi99qSEzS4fbV&#10;zTZXlZeramLITAFjeqfAsbxpeJxbWnqZ2MX5Q0zUAwEvgAy2Pq8RrGnvjbUlyBOlDhbZWdAspGGT&#10;lRDuSVYSxr71LUtjIB9Elj+nZcoqC5+kll0arZrKfVaaTCRJU1tlfK/FhJTKp0tB6yk7wzS1tgDX&#10;xa0/Auf8DFVltP8GvCBKZfBpATvjAX9X/eqRnvIvDky6swWP0I5lCIo1NKPF0vk/5U/wY1zg11+/&#10;/w4AAP//AwBQSwMEFAAGAAgAAAAhAF9sNUjfAAAACQEAAA8AAABkcnMvZG93bnJldi54bWxMj91K&#10;xDAQRu8F3yGM4I246XbdutamiygiuCK46wOkzdgWm0lJsm19e0e80Lv5OXxzptjOthcj+tA5UrBc&#10;JCCQamc6ahS8Hx4vNyBC1GR07wgVfGGAbXl6UujcuInecNzHRnAIhVwraGMccilD3aLVYeEGJN59&#10;OG915NY30ng9cbjtZZokmbS6I77Q6gHvW6w/90er4OJ5nLKX18PDztf9uK7Wu+wpq5Q6P5vvbkFE&#10;nOMfDD/6rA4lO1XuSCaIXkG6ur5hVMEqvQLBQLpZclH9DmRZyP8flN8AAAD//wMAUEsBAi0AFAAG&#10;AAgAAAAhALaDOJL+AAAA4QEAABMAAAAAAAAAAAAAAAAAAAAAAFtDb250ZW50X1R5cGVzXS54bWxQ&#10;SwECLQAUAAYACAAAACEAOP0h/9YAAACUAQAACwAAAAAAAAAAAAAAAAAvAQAAX3JlbHMvLnJlbHNQ&#10;SwECLQAUAAYACAAAACEAA51uOOkBAAA9BAAADgAAAAAAAAAAAAAAAAAuAgAAZHJzL2Uyb0RvYy54&#10;bWxQSwECLQAUAAYACAAAACEAX2w1SN8AAAAJAQAADwAAAAAAAAAAAAAAAABDBAAAZHJzL2Rvd25y&#10;ZXYueG1sUEsFBgAAAAAEAAQA8wAAAE8FAAAAAA==&#10;" strokecolor="black [3213]">
                <v:stroke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33344" behindDoc="0" locked="0" layoutInCell="1" allowOverlap="1" wp14:anchorId="0953D89A" wp14:editId="70A940C4">
                <wp:simplePos x="0" y="0"/>
                <wp:positionH relativeFrom="column">
                  <wp:posOffset>2815590</wp:posOffset>
                </wp:positionH>
                <wp:positionV relativeFrom="paragraph">
                  <wp:posOffset>190500</wp:posOffset>
                </wp:positionV>
                <wp:extent cx="0" cy="276225"/>
                <wp:effectExtent l="95250" t="0" r="57150" b="66675"/>
                <wp:wrapNone/>
                <wp:docPr id="128" name="Straight Arrow Connector 128"/>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8" o:spid="_x0000_s1026" type="#_x0000_t32" style="position:absolute;margin-left:221.7pt;margin-top:15pt;width:0;height:21.7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3G4gEAADMEAAAOAAAAZHJzL2Uyb0RvYy54bWysU9uO1DAMfUfiH6K+M+1UYkHVdFZoluUF&#10;wYiFD8imyTRSEkdOmLZ/j5N2OtyExGpf3DrxsX2Ond3taA07SwwaXFtsN1XBpBPQaXdqi29f71+9&#10;LViI3HXcgJNtMclQ3O5fvtgNvpE19GA6iYySuNAMvi36GH1TlkH00vKwAS8dXSpAyyO5eCo75ANl&#10;t6asq+qmHAA7jyBkCHR6N18W+5xfKSniZ6WCjMy0BfUWs8VsH5Mt9zvenJD7XoulDf6ELizXjoqu&#10;qe545Ow76j9SWS0QAqi4EWBLUEoLmTkQm231G5uHnnuZuZA4wa8yhedLKz6dj8h0R7OraVSOWxrS&#10;Q0SuT31k7xBhYAdwjoQEZCmGFBt8aAh4cEdcvOCPmOiPCm36EjE2ZpWnVWU5RibmQ0Gn9Zubun6d&#10;0pVXnMcQP0iwLP20RVgaWTvYZpH5+WOIM/ACSEWNSzaA0d29NiY7aY/kwSA7c9qAOG6Xgr9ERa7N&#10;e9exOHlizxPpJSylLBPdmWD+i5ORc7kvUpF0RGluKy/ttRgXQrp4KWgcRSeYotZWYJX5/BO4xCeo&#10;zAv9P+AVkSuDiyvYagf4t+pXjdQcf1Fg5p0keIRuyqPP0tBm5hkuryit/s9+hl/f+v4HAAAA//8D&#10;AFBLAwQUAAYACAAAACEA+xATyN0AAAAJAQAADwAAAGRycy9kb3ducmV2LnhtbEyPwU7DMAyG70i8&#10;Q2QkbiyBFphK0wkhcdiBwwaC7eYmWVvROFWTdeXtMeIAR9uffn9/uZp9LyY3xi6QhuuFAuHIBNtR&#10;o+Ht9flqCSImJIt9IKfhy0VYVednJRY2nGjjpm1qBIdQLFBDm9JQSBlN6zzGRRgc8e0QRo+Jx7GR&#10;dsQTh/te3ih1Jz12xB9aHNxT68zn9ug1vHysh3dTb/Z2N68ntUdzmChqfXkxPz6ASG5OfzD86LM6&#10;VOxUhyPZKHoNeZ7ljGrIFHdi4HdRa7jPbkFWpfzfoPoGAAD//wMAUEsBAi0AFAAGAAgAAAAhALaD&#10;OJL+AAAA4QEAABMAAAAAAAAAAAAAAAAAAAAAAFtDb250ZW50X1R5cGVzXS54bWxQSwECLQAUAAYA&#10;CAAAACEAOP0h/9YAAACUAQAACwAAAAAAAAAAAAAAAAAvAQAAX3JlbHMvLnJlbHNQSwECLQAUAAYA&#10;CAAAACEAlRTNxuIBAAAzBAAADgAAAAAAAAAAAAAAAAAuAgAAZHJzL2Uyb0RvYy54bWxQSwECLQAU&#10;AAYACAAAACEA+xATyN0AAAAJAQAADwAAAAAAAAAAAAAAAAA8BAAAZHJzL2Rvd25yZXYueG1sUEsF&#10;BgAAAAAEAAQA8wAAAEYFAAAAAA==&#10;" strokecolor="black [3213]">
                <v:stroke endarrow="open"/>
              </v:shape>
            </w:pict>
          </mc:Fallback>
        </mc:AlternateContent>
      </w:r>
    </w:p>
    <w:p w:rsidR="005D6363" w:rsidRPr="00EC1AB2" w:rsidRDefault="0007627A"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13888" behindDoc="0" locked="0" layoutInCell="1" allowOverlap="1" wp14:anchorId="2826A195" wp14:editId="6D1186B3">
                <wp:simplePos x="0" y="0"/>
                <wp:positionH relativeFrom="column">
                  <wp:posOffset>4015740</wp:posOffset>
                </wp:positionH>
                <wp:positionV relativeFrom="paragraph">
                  <wp:posOffset>204470</wp:posOffset>
                </wp:positionV>
                <wp:extent cx="1924050" cy="495300"/>
                <wp:effectExtent l="0" t="0" r="19050" b="19050"/>
                <wp:wrapNone/>
                <wp:docPr id="110" name="Text Box 110"/>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6350">
                          <a:solidFill>
                            <a:schemeClr val="tx1"/>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EC1AB2" w:rsidRPr="00545CAF" w:rsidRDefault="00EC1AB2" w:rsidP="005D6363">
                            <w:pPr>
                              <w:rPr>
                                <w:rFonts w:ascii="Times New Roman" w:hAnsi="Times New Roman" w:cs="Times New Roman"/>
                                <w:sz w:val="21"/>
                                <w:szCs w:val="21"/>
                              </w:rPr>
                            </w:pPr>
                            <w:r w:rsidRPr="00545CAF">
                              <w:rPr>
                                <w:rFonts w:ascii="Times New Roman" w:hAnsi="Times New Roman" w:cs="Times New Roman"/>
                                <w:sz w:val="21"/>
                                <w:szCs w:val="21"/>
                              </w:rPr>
                              <w:t>Ekspertinis tyrimas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0" o:spid="_x0000_s1040" type="#_x0000_t202" style="position:absolute;left:0;text-align:left;margin-left:316.2pt;margin-top:16.1pt;width:151.5pt;height:39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pmgIAANgFAAAOAAAAZHJzL2Uyb0RvYy54bWysVF1P2zAUfZ+0/2D5faQtha0VKepATJMQ&#10;oMHEs+vYTTTH9my3Sffrd+wkpTCkiWkvybXvuV/H996z87ZWZCucr4zO6fhoRInQ3BSVXuf0+8PV&#10;h0+U+MB0wZTRIqc74en54v27s8bOxcSURhXCETjRft7YnJYh2HmWeV6KmvkjY4WGUhpXs4CjW2eF&#10;Yw281yqbjEanWWNcYZ3hwnvcXnZKukj+pRQ83ErpRSAqp8gtpK9L31X8ZoszNl87ZsuK92mwf8ii&#10;ZpVG0L2rSxYY2bjqD1d1xZ3xRoYjburMSFlxkWpANePRi2ruS2ZFqgXkeLunyf8/t/xme+dIVeDt&#10;xuBHsxqP9CDaQD6blsQ7MNRYPwfw3gIaWiiAHu49LmPhrXR1/KMkAj187fb8Rnc8Gs0m09EJVBy6&#10;6ezkeJTcZ0/W1vnwRZiaRCGnDu+XaGXbax+QCaADJAbzRlXFVaVUOsSeERfKkS3Da6uQcoTFM5TS&#10;pMnp6THS+JuH0L7qISZwyXzZh1lHObKBSEpHnyL1XZ9w5K7jKElhp0TEKP1NSPCeqHole8a50PsK&#10;EjqiJGp9i2GPf8rqLcZdHbBIkY0Oe+O60sZ1/D0nvfgxUCY7PGg5qDuKoV21XcMdDz20MsUOreVM&#10;N57e8qsKJF8zH+6YwzyiZbBjwi0+Uhm8n+klSkrjfr12H/EYE2gpaTDfOfU/N8wJStRXjQGajadT&#10;uA3pMD35OMHBHWpWhxq9qS8MmmqMbWZ5EiM+qEGUztSPWEXLGBUqpjli5zQM4kXotg5WGRfLZQJh&#10;BVgWrvW95dF1pDk210P7yJztRyBgeG7MsAnY/MUkdNhoqc1yE4ys0phEojtW+wfA+kgd2q+6uJ8O&#10;zwn1tJAXvwEAAP//AwBQSwMEFAAGAAgAAAAhAAaVKoXfAAAACgEAAA8AAABkcnMvZG93bnJldi54&#10;bWxMj8tOwzAQRfdI/IM1SOyoUxuqNsSpEIINQkgEFl068ZBEjR/EbpL+PcMKljNzdOfcYr/YgU04&#10;xt47BetVBgxd403vWgWfH883W2AxaWf04B0qOGOEfXl5Uejc+Nm941SlllGIi7lW0KUUcs5j06HV&#10;ceUDOrp9+dHqROPYcjPqmcLtwEWWbbjVvaMPnQ742GFzrE5WQTXN38cn+YaH3WxleK3P7Uvolbq+&#10;Wh7ugSVc0h8Mv/qkDiU51f7kTGSDgo0Ut4QqkEIAI2An72hRE7nOBPCy4P8rlD8AAAD//wMAUEsB&#10;Ai0AFAAGAAgAAAAhALaDOJL+AAAA4QEAABMAAAAAAAAAAAAAAAAAAAAAAFtDb250ZW50X1R5cGVz&#10;XS54bWxQSwECLQAUAAYACAAAACEAOP0h/9YAAACUAQAACwAAAAAAAAAAAAAAAAAvAQAAX3JlbHMv&#10;LnJlbHNQSwECLQAUAAYACAAAACEAPt9qaZoCAADYBQAADgAAAAAAAAAAAAAAAAAuAgAAZHJzL2Uy&#10;b0RvYy54bWxQSwECLQAUAAYACAAAACEABpUqhd8AAAAKAQAADwAAAAAAAAAAAAAAAAD0BAAAZHJz&#10;L2Rvd25yZXYueG1sUEsFBgAAAAAEAAQA8wAAAAAGAAAAAA==&#10;" fillcolor="white [3201]" strokecolor="black [3213]" strokeweight=".5pt">
                <v:stroke dashstyle="longDash"/>
                <v:textbox>
                  <w:txbxContent>
                    <w:p w:rsidR="00A03476" w:rsidRPr="00545CAF" w:rsidRDefault="00A03476" w:rsidP="005D6363">
                      <w:pPr>
                        <w:rPr>
                          <w:rFonts w:ascii="Times New Roman" w:hAnsi="Times New Roman" w:cs="Times New Roman"/>
                          <w:sz w:val="21"/>
                          <w:szCs w:val="21"/>
                        </w:rPr>
                      </w:pPr>
                      <w:r w:rsidRPr="00545CAF">
                        <w:rPr>
                          <w:rFonts w:ascii="Times New Roman" w:hAnsi="Times New Roman" w:cs="Times New Roman"/>
                          <w:sz w:val="21"/>
                          <w:szCs w:val="21"/>
                        </w:rPr>
                        <w:t>Ekspertinis tyrimas</w:t>
                      </w:r>
                    </w:p>
                  </w:txbxContent>
                </v:textbox>
              </v:shape>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08768" behindDoc="0" locked="0" layoutInCell="1" allowOverlap="1" wp14:anchorId="54697C5C" wp14:editId="6DD4AEA9">
                <wp:simplePos x="0" y="0"/>
                <wp:positionH relativeFrom="column">
                  <wp:posOffset>1824990</wp:posOffset>
                </wp:positionH>
                <wp:positionV relativeFrom="paragraph">
                  <wp:posOffset>204470</wp:posOffset>
                </wp:positionV>
                <wp:extent cx="1924050" cy="495300"/>
                <wp:effectExtent l="0" t="0" r="19050" b="19050"/>
                <wp:wrapNone/>
                <wp:docPr id="111" name="Text Box 111"/>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A2756D" w:rsidRDefault="00EC1AB2" w:rsidP="005D6363">
                            <w:pPr>
                              <w:jc w:val="center"/>
                              <w:rPr>
                                <w:rFonts w:ascii="Times New Roman" w:hAnsi="Times New Roman" w:cs="Times New Roman"/>
                              </w:rPr>
                            </w:pPr>
                            <w:r>
                              <w:rPr>
                                <w:rFonts w:ascii="Times New Roman" w:hAnsi="Times New Roman" w:cs="Times New Roman"/>
                              </w:rPr>
                              <w:t>2 ETAPAS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1" o:spid="_x0000_s1041" type="#_x0000_t202" style="position:absolute;left:0;text-align:left;margin-left:143.7pt;margin-top:16.1pt;width:151.5pt;height:39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iWlAIAAL8FAAAOAAAAZHJzL2Uyb0RvYy54bWysVEtv2zAMvg/YfxB0X51k6bYGdYqsRYcB&#10;RVusHXpWZKkRKouapMTOfn1J2U7Tx6XDLjYlfqTIj4/jk7a2bKNCNOBKPj4YcaachMq4+5L/vj3/&#10;9I2zmISrhAWnSr5VkZ/MP344bvxMTWAFtlKBoRMXZ40v+SolPyuKKFeqFvEAvHKo1BBqkfAY7osq&#10;iAa917aYjEZfigZC5QNIFSPennVKPs/+tVYyXWkdVWK25Bhbyt+Qv0v6FvNjMbsPwq+M7MMQ/xBF&#10;LYzDR3euzkQSbB3MK1e1kQEi6HQgoS5AayNVzgGzGY9eZHOzEl7lXJCc6Hc0xf/nVl5urgMzFdZu&#10;PObMiRqLdKvaxL5Dy+gOGWp8nCHwxiM0tahA9HAf8ZISb3Wo6Y8pMdQj19sdv+ROktHRZDo6RJVE&#10;3fTo8PMoF6B4svYhph8KakZCyQPWL9MqNhcxYSQIHSD0WARrqnNjbT5Qz6hTG9hGYLVtyjGixTOU&#10;dayhSCiOVy7I987B0gr5QGk+d4En68hS5fbq4yKKOiqylLZWEca6X0ojvZmRN4IUUiq3CzSjCaUx&#10;pfcY9vinqN5j3OWBFvllcGlnXBsHoWPpObfVw8Ct7vBI0l7eJKZ22XZ9NR1aZQnVFjsoQDeF0ctz&#10;g4RfiJiuRcCxw87AVZKu8KMtYJmglzhbQfj71j3hcRpQy1mDY1zy+GctguLM/nQ4J0fj6ZTmPh+m&#10;h18neAj7muW+xq3rU8DewUnA6LJI+GQHUQeo73DjLOhVVAkn8e2Sp0E8Td1ywY0l1WKRQTjpXqQL&#10;d+MluSaaqdFu2zsRfN/pCWfkEoaBF7MXDd9hydLBYp1AmzwNRHTHal8A3BK5X/uNRmto/5xRT3t3&#10;/ggAAP//AwBQSwMEFAAGAAgAAAAhAB1NAujgAAAACgEAAA8AAABkcnMvZG93bnJldi54bWxMj01P&#10;wkAQhu8m/ofNmHiT3W5BoXZL1OgBbiIJ16U7tI370XQXKPx6x5MeZ+bJO89bLkdn2QmH2AWvIJsI&#10;YOjrYDrfKNh+fTzMgcWkvdE2eFRwwQjL6vam1IUJZ/+Jp01qGIX4WGgFbUp9wXmsW3Q6TkKPnm6H&#10;MDidaBwabgZ9pnBnuRTikTvdefrQ6h7fWqy/N0en4P11vchXl1W/vTbXqU15thtmmVL3d+PLM7CE&#10;Y/qD4Vef1KEip304ehOZVSDnT1NCFeRSAiNgthC02BOZCQm8Kvn/CtUPAAAA//8DAFBLAQItABQA&#10;BgAIAAAAIQC2gziS/gAAAOEBAAATAAAAAAAAAAAAAAAAAAAAAABbQ29udGVudF9UeXBlc10ueG1s&#10;UEsBAi0AFAAGAAgAAAAhADj9If/WAAAAlAEAAAsAAAAAAAAAAAAAAAAALwEAAF9yZWxzLy5yZWxz&#10;UEsBAi0AFAAGAAgAAAAhADVDGJaUAgAAvwUAAA4AAAAAAAAAAAAAAAAALgIAAGRycy9lMm9Eb2Mu&#10;eG1sUEsBAi0AFAAGAAgAAAAhAB1NAujgAAAACgEAAA8AAAAAAAAAAAAAAAAA7gQAAGRycy9kb3du&#10;cmV2LnhtbFBLBQYAAAAABAAEAPMAAAD7BQAAAAA=&#10;" fillcolor="white [3201]" strokeweight="1.5pt">
                <v:textbox>
                  <w:txbxContent>
                    <w:p w:rsidR="00A03476" w:rsidRPr="00A2756D" w:rsidRDefault="00A03476" w:rsidP="005D6363">
                      <w:pPr>
                        <w:jc w:val="center"/>
                        <w:rPr>
                          <w:rFonts w:ascii="Times New Roman" w:hAnsi="Times New Roman" w:cs="Times New Roman"/>
                        </w:rPr>
                      </w:pPr>
                      <w:r>
                        <w:rPr>
                          <w:rFonts w:ascii="Times New Roman" w:hAnsi="Times New Roman" w:cs="Times New Roman"/>
                        </w:rPr>
                        <w:t>2 ETAPAS</w:t>
                      </w:r>
                    </w:p>
                  </w:txbxContent>
                </v:textbox>
              </v:shape>
            </w:pict>
          </mc:Fallback>
        </mc:AlternateContent>
      </w:r>
    </w:p>
    <w:p w:rsidR="005D6363" w:rsidRPr="00EC1AB2" w:rsidRDefault="0007627A"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40512" behindDoc="0" locked="0" layoutInCell="1" allowOverlap="1" wp14:anchorId="133D700D" wp14:editId="37005081">
                <wp:simplePos x="0" y="0"/>
                <wp:positionH relativeFrom="column">
                  <wp:posOffset>3749040</wp:posOffset>
                </wp:positionH>
                <wp:positionV relativeFrom="paragraph">
                  <wp:posOffset>178434</wp:posOffset>
                </wp:positionV>
                <wp:extent cx="266700" cy="0"/>
                <wp:effectExtent l="38100" t="76200" r="0" b="114300"/>
                <wp:wrapNone/>
                <wp:docPr id="133" name="Straight Arrow Connector 133"/>
                <wp:cNvGraphicFramePr/>
                <a:graphic xmlns:a="http://schemas.openxmlformats.org/drawingml/2006/main">
                  <a:graphicData uri="http://schemas.microsoft.com/office/word/2010/wordprocessingShape">
                    <wps:wsp>
                      <wps:cNvCnPr/>
                      <wps:spPr>
                        <a:xfrm rot="10800000">
                          <a:off x="0" y="0"/>
                          <a:ext cx="266700"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3" o:spid="_x0000_s1026" type="#_x0000_t32" style="position:absolute;margin-left:295.2pt;margin-top:14.05pt;width:21pt;height:0;rotation:180;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RR+wEAAFoEAAAOAAAAZHJzL2Uyb0RvYy54bWyslMGO0zAQhu9IvIPlO03alcqqarpCLcsF&#10;QcXCA3gdu7Fke6yxadK3Z+ykKSwSEogcLDuef/zPl3G2D4Oz7KwwGvANXy5qzpSX0Bp/avi3r49v&#10;7jmLSfhWWPCq4RcV+cPu9attHzZqBR3YViGjJD5u+tDwLqWwqaooO+VEXEBQnjY1oBOJlniqWhQ9&#10;ZXe2WtX1uuoB24AgVYz09jBu8l3Jr7WS6bPWUSVmG07eUhmxjM95rHZbsTmhCJ2Rkw3xDy6cMJ4O&#10;nVMdRBLsO5rfUjkjESLotJDgKtDaSFVqoGqW9YtqnjoRVKmF4MQwY4r/L638dD4iMy19u7s7zrxw&#10;9JGeEgpz6hJ7hwg924P3BBKQ5Rgi1oe4IeHeH3FaxXDEXP6g0TEEwrys7+v8FCpUJxsK9MsMXQ2J&#10;SXq5Wq/fUhiT161qTJPTBYzpgwLH8qThcfI1G1qW7OL8MSYyQsKrIIutz2MEa9pHY21Z5LZSe4vs&#10;LKgh0rDM5ZDul6ic5CBiNwa1NBvbJAlj3/uWpUsgSCKzmeT5qCpTGTmUWbpYNdr4ojQRplJHu6W3&#10;byaElMqnqxHrKTrLNFmehSPFPwqn+CxVpe//Rjwrysng0yx2xgMWyi9Ov7HTY/yVwFh3RvAM7aV0&#10;SEFDDVxQT5ct35Cf10V++yXsfgAAAP//AwBQSwMEFAAGAAgAAAAhAIQKLf7cAAAACQEAAA8AAABk&#10;cnMvZG93bnJldi54bWxMj8FOwzAMhu9IvENkJC6IpS0wbaXphEA9IrSCdk4b01Q0TtV4a3l7gjiw&#10;o39/+v252C1uECecQu9JQbpKQCC13vTUKfh4r243IAJrMnrwhAq+McCuvLwodG78THs81dyJWEIh&#10;1wos85hLGVqLToeVH5Hi7tNPTnMcp06aSc+x3A0yS5K1dLqneMHqEZ8ttl/10SmoKm7ql4bfxpv6&#10;MO9tavg1NUpdXy1PjyAYF/6H4Vc/qkMZnRp/JBPEoOBhm9xHVEG2SUFEYH2XxaD5C2RZyPMPyh8A&#10;AAD//wMAUEsBAi0AFAAGAAgAAAAhALaDOJL+AAAA4QEAABMAAAAAAAAAAAAAAAAAAAAAAFtDb250&#10;ZW50X1R5cGVzXS54bWxQSwECLQAUAAYACAAAACEAOP0h/9YAAACUAQAACwAAAAAAAAAAAAAAAAAv&#10;AQAAX3JlbHMvLnJlbHNQSwECLQAUAAYACAAAACEAuSVkUfsBAABaBAAADgAAAAAAAAAAAAAAAAAu&#10;AgAAZHJzL2Uyb0RvYy54bWxQSwECLQAUAAYACAAAACEAhAot/twAAAAJAQAADwAAAAAAAAAAAAAA&#10;AABVBAAAZHJzL2Rvd25yZXYueG1sUEsFBgAAAAAEAAQA8wAAAF4FAAAAAA==&#10;" strokecolor="black [3213]">
                <v:stroke dashstyle="dash"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37440" behindDoc="0" locked="0" layoutInCell="1" allowOverlap="1" wp14:anchorId="221D3E08" wp14:editId="56E1723A">
                <wp:simplePos x="0" y="0"/>
                <wp:positionH relativeFrom="column">
                  <wp:posOffset>2767965</wp:posOffset>
                </wp:positionH>
                <wp:positionV relativeFrom="paragraph">
                  <wp:posOffset>173355</wp:posOffset>
                </wp:positionV>
                <wp:extent cx="0" cy="276225"/>
                <wp:effectExtent l="95250" t="0" r="57150" b="66675"/>
                <wp:wrapNone/>
                <wp:docPr id="130" name="Straight Arrow Connector 130"/>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0" o:spid="_x0000_s1026" type="#_x0000_t32" style="position:absolute;margin-left:217.95pt;margin-top:13.65pt;width:0;height:21.7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a4QEAADMEAAAOAAAAZHJzL2Uyb0RvYy54bWysU8GO1DAMvSPxD1HvTDtFLKiazgrNslwQ&#10;jFj4gGyaTCMlceSEafv3OGmnwwJCAnFx68TP9nt2drejNewsMWhwbbHdVAWTTkCn3aktvn65f/Gm&#10;YCFy13EDTrbFJENxu3/+bDf4RtbQg+kkMkriQjP4tuhj9E1ZBtFLy8MGvHR0qQAtj+TiqeyQD5Td&#10;mrKuqptyAOw8gpAh0OndfFnsc36lpIiflAoyMtMW1FvMFrN9TLbc73hzQu57LZY2+D90Ybl2VHRN&#10;dccjZ99Q/5LKaoEQQMWNAFuCUlrIzIHYbKuf2Dz03MvMhcQJfpUp/L+04uP5iEx3NLuXpI/jlob0&#10;EJHrUx/ZW0QY2AGcIyEBWYohxQYfGgIe3BEXL/gjJvqjQpu+RIyNWeVpVVmOkYn5UNBp/fqmrl+l&#10;dOUV5zHE9xIsSz9tEZZG1g62WWR+/hDiDLwAUlHjkg1gdHevjclO2iN5MMjOnDYgjtul4JOoyLV5&#10;5zoWJ0/seSK9hKWUZaI7E8x/cTJyLvdZKpKOKM1t5aW9FuNCSBcvBY2j6ART1NoKrDKfPwKX+ASV&#10;eaH/BrwicmVwcQVb7QB/V/2qkZrjLwrMvJMEj9BNefRZGtrMPMPlFaXV/9HP8Otb338HAAD//wMA&#10;UEsDBBQABgAIAAAAIQCZpn1k3gAAAAkBAAAPAAAAZHJzL2Rvd25yZXYueG1sTI/BTsMwDIbvSLxD&#10;ZCRuLGEDNkrdCSFx2IHDBmLbzU2ytqJxqibrytsTtAMcbX/6/f35cnStGGwfGs8ItxMFwrL2puEK&#10;4eP99WYBIkRiQ61ni/BtAyyLy4ucMuNPvLbDJlYihXDICKGOscukDLq2jsLEd5bT7eB7RzGNfSVN&#10;T6cU7lo5VepBOmo4faipsy+11V+bo0N42666T12u92Y3rga1J30YOCBeX43PTyCiHeMfDL/6SR2K&#10;5FT6I5sgWoS72f1jQhGm8xmIBJwXJcJcLUAWufzfoPgBAAD//wMAUEsBAi0AFAAGAAgAAAAhALaD&#10;OJL+AAAA4QEAABMAAAAAAAAAAAAAAAAAAAAAAFtDb250ZW50X1R5cGVzXS54bWxQSwECLQAUAAYA&#10;CAAAACEAOP0h/9YAAACUAQAACwAAAAAAAAAAAAAAAAAvAQAAX3JlbHMvLnJlbHNQSwECLQAUAAYA&#10;CAAAACEAnfDPmuEBAAAzBAAADgAAAAAAAAAAAAAAAAAuAgAAZHJzL2Uyb0RvYy54bWxQSwECLQAU&#10;AAYACAAAACEAmaZ9ZN4AAAAJAQAADwAAAAAAAAAAAAAAAAA7BAAAZHJzL2Rvd25yZXYueG1sUEsF&#10;BgAAAAAEAAQA8wAAAEYFAAAAAA==&#10;" strokecolor="black [3213]">
                <v:stroke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35392" behindDoc="0" locked="0" layoutInCell="1" allowOverlap="1" wp14:anchorId="21E7F330" wp14:editId="5A69434A">
                <wp:simplePos x="0" y="0"/>
                <wp:positionH relativeFrom="column">
                  <wp:posOffset>1796415</wp:posOffset>
                </wp:positionH>
                <wp:positionV relativeFrom="paragraph">
                  <wp:posOffset>187960</wp:posOffset>
                </wp:positionV>
                <wp:extent cx="1924050" cy="495300"/>
                <wp:effectExtent l="0" t="0" r="19050" b="19050"/>
                <wp:wrapNone/>
                <wp:docPr id="129" name="Text Box 129"/>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5D6363" w:rsidRDefault="00EC1AB2" w:rsidP="006E5375">
                            <w:pPr>
                              <w:rPr>
                                <w:rFonts w:ascii="Times New Roman" w:hAnsi="Times New Roman" w:cs="Times New Roman"/>
                                <w:sz w:val="18"/>
                                <w:szCs w:val="18"/>
                              </w:rPr>
                            </w:pPr>
                            <w:r w:rsidRPr="005D6363">
                              <w:rPr>
                                <w:rFonts w:ascii="Times New Roman" w:hAnsi="Times New Roman" w:cs="Times New Roman"/>
                                <w:sz w:val="18"/>
                                <w:szCs w:val="18"/>
                              </w:rPr>
                              <w:t>RKF plėtros problemų Lietuvoje identifikavimas</w:t>
                            </w:r>
                          </w:p>
                          <w:p w:rsidR="00EC1AB2" w:rsidRPr="00A2756D" w:rsidRDefault="00EC1AB2" w:rsidP="006E537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9" o:spid="_x0000_s1042" type="#_x0000_t202" style="position:absolute;left:0;text-align:left;margin-left:141.45pt;margin-top:14.8pt;width:151.5pt;height:39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OslgIAAL4FAAAOAAAAZHJzL2Uyb0RvYy54bWysVE1PGzEQvVfqf7B8L5uEhDYRG5SCqCqh&#10;ggoVZ8drkxVej2s7yaa/vs/eJISPC1Uvu2PPm/HMm4/Ts7YxbKV8qMmWvH/U40xZSVVtH0r+6+7y&#10;0xfOQhS2EoasKvlGBX42/fjhdO0makALMpXyDE5smKxdyRcxuklRBLlQjQhH5JSFUpNvRMTRPxSV&#10;F2t4b0wx6PVOijX5ynmSKgTcXnRKPs3+tVYyXmsdVGSm5Igt5q/P33n6FtNTMXnwwi1quQ1D/EMU&#10;jagtHt27uhBRsKWvX7lqaukpkI5HkpqCtK6lyjkgm37vRTa3C+FUzgXkBLenKfw/t/LH6sazukLt&#10;BmPOrGhQpDvVRvaVWpbuwNDahQmAtw7Q2EIB9O4+4DIl3mrfpD9SYtCD682e3+ROJqPxYNgbQSWh&#10;G45Hx71cgOLJ2vkQvylqWBJK7lG/TKtYXYWISADdQdJjgUxdXdbG5EPqGXVuPFsJVNvEHCMsnqGM&#10;ZeuSnxwjjFcekuu9/dwI+ZiyfO4BJ2OTpcrdtQ0rMdQxkaW4MSphjP2pNNjNhLwRo5BS2X2cGZ1Q&#10;Ghm9x3CLf4rqPcZdHrDIL5ONe+OmtuQ7lp5TWz3uqNUdHiQd5J3E2M7brq1Gu06ZU7VBA3nqhjA4&#10;eVmD8CsR4o3wmDo0BjZJvMZHG0KVaCtxtiD/5637hMcwQMvZGlNc8vB7KbzizHy3GJNxfzhMY58P&#10;w9HnAQ7+UDM/1Nhlc05onT52lpNZTPhodqL21Nxj4czSq1AJK/F2yeNOPI/dbsHCkmo2yyAMuhPx&#10;yt46mVwnmlOj3bX3wrtto0eMyA/azbuYvOj3DpssLc2WkXSdhyER3bG6LQCWRO7X7UJLW+jwnFFP&#10;a3f6FwAA//8DAFBLAwQUAAYACAAAACEAqVGXIdwAAAAKAQAADwAAAGRycy9kb3ducmV2LnhtbEyP&#10;PU/DMBCGdyT+g3VIbNRppAYnxKkAFRYmCmJ2Y9e2Gp+j2E3Dv+eYYLuPR+89126XMLDZTMlHlLBe&#10;FcAM9lF7tBI+P17uBLCUFWo1RDQSvk2CbXd91apGxwu+m3mfLaMQTI2S4HIeG85T70xQaRVHg7Q7&#10;ximoTO1kuZ7UhcLDwMuiqHhQHumCU6N5dqY/7c9Bwu7J1rYXanI7ob2fl6/jm32V8vZmeXwAls2S&#10;/2D41Sd16MjpEM+oExsklKKsCaWiroARsBEbGhyILO4r4F3L/7/Q/QAAAP//AwBQSwECLQAUAAYA&#10;CAAAACEAtoM4kv4AAADhAQAAEwAAAAAAAAAAAAAAAAAAAAAAW0NvbnRlbnRfVHlwZXNdLnhtbFBL&#10;AQItABQABgAIAAAAIQA4/SH/1gAAAJQBAAALAAAAAAAAAAAAAAAAAC8BAABfcmVscy8ucmVsc1BL&#10;AQItABQABgAIAAAAIQCd87OslgIAAL4FAAAOAAAAAAAAAAAAAAAAAC4CAABkcnMvZTJvRG9jLnht&#10;bFBLAQItABQABgAIAAAAIQCpUZch3AAAAAoBAAAPAAAAAAAAAAAAAAAAAPAEAABkcnMvZG93bnJl&#10;di54bWxQSwUGAAAAAAQABADzAAAA+QUAAAAA&#10;" fillcolor="white [3201]" strokeweight=".5pt">
                <v:textbox>
                  <w:txbxContent>
                    <w:p w:rsidR="00A03476" w:rsidRPr="005D6363" w:rsidRDefault="00A03476" w:rsidP="006E5375">
                      <w:pPr>
                        <w:rPr>
                          <w:rFonts w:ascii="Times New Roman" w:hAnsi="Times New Roman" w:cs="Times New Roman"/>
                          <w:sz w:val="18"/>
                          <w:szCs w:val="18"/>
                        </w:rPr>
                      </w:pPr>
                      <w:r w:rsidRPr="005D6363">
                        <w:rPr>
                          <w:rFonts w:ascii="Times New Roman" w:hAnsi="Times New Roman" w:cs="Times New Roman"/>
                          <w:sz w:val="18"/>
                          <w:szCs w:val="18"/>
                        </w:rPr>
                        <w:t>RKF plėtros problemų Lietuvoje identifikavimas</w:t>
                      </w:r>
                    </w:p>
                    <w:p w:rsidR="00A03476" w:rsidRPr="00A2756D" w:rsidRDefault="00A03476" w:rsidP="006E5375">
                      <w:pPr>
                        <w:jc w:val="center"/>
                        <w:rPr>
                          <w:rFonts w:ascii="Times New Roman" w:hAnsi="Times New Roman" w:cs="Times New Roman"/>
                        </w:rPr>
                      </w:pPr>
                    </w:p>
                  </w:txbxContent>
                </v:textbox>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noProof/>
          <w:sz w:val="24"/>
          <w:szCs w:val="24"/>
          <w:lang w:eastAsia="lt-LT"/>
        </w:rPr>
        <mc:AlternateContent>
          <mc:Choice Requires="wps">
            <w:drawing>
              <wp:anchor distT="0" distB="0" distL="114300" distR="114300" simplePos="0" relativeHeight="251839488" behindDoc="0" locked="0" layoutInCell="1" allowOverlap="1" wp14:anchorId="13475955" wp14:editId="333AD77D">
                <wp:simplePos x="0" y="0"/>
                <wp:positionH relativeFrom="column">
                  <wp:posOffset>2767965</wp:posOffset>
                </wp:positionH>
                <wp:positionV relativeFrom="paragraph">
                  <wp:posOffset>156845</wp:posOffset>
                </wp:positionV>
                <wp:extent cx="0" cy="276225"/>
                <wp:effectExtent l="95250" t="0" r="57150" b="66675"/>
                <wp:wrapNone/>
                <wp:docPr id="131" name="Straight Arrow Connector 131"/>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1" o:spid="_x0000_s1026" type="#_x0000_t32" style="position:absolute;margin-left:217.95pt;margin-top:12.35pt;width:0;height:21.7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l4gEAADMEAAAOAAAAZHJzL2Uyb0RvYy54bWysU8GO0zAQvSPxD5bvNGkRC6qarlCX5YKg&#10;YuEDvI7dWLI91tg0yd8zdtKUBYQE4uJk7Hkz7z2Pd7eDs+ysMBrwDV+vas6Ul9Aaf2r41y/3L95w&#10;FpPwrbDgVcNHFfnt/vmzXR+2agMd2FYhoyI+bvvQ8C6lsK2qKDvlRFxBUJ4ONaATiUI8VS2Knqo7&#10;W23q+qbqAduAIFWMtHs3HfJ9qa+1kumT1lElZhtO3FJZsayPea32O7E9oQidkTMN8Q8snDCemi6l&#10;7kQS7BuaX0o5IxEi6LSS4CrQ2khVNJCadf2TmodOBFW0kDkxLDbF/1dWfjwfkZmW7u7lmjMvHF3S&#10;Q0JhTl1ibxGhZwfwnowEZDmHHOtD3BLw4I84RzEcMcsfNLr8JWFsKC6Pi8tqSExOm5J2N69vNptX&#10;uVx1xQWM6b0Cx/JPw+NMZGGwLiaL84eYJuAFkJtan9cI1rT3xtoS5DlSB4vsLGgC0lD4U8MnWUkY&#10;+863LI2B1IsseuaVS1ZZ7iSw/KXRqqndZ6XJOpI00SpDe20mpFQ+XRpaT9kZponaAqyLnj8C5/wM&#10;VWWg/wa8IEpn8GkBO+MBf9f96pGe8i8OTLqzBY/QjuXqizU0meUO51eUR//HuMCvb33/HQAA//8D&#10;AFBLAwQUAAYACAAAACEANo9Yed4AAAAJAQAADwAAAGRycy9kb3ducmV2LnhtbEyPsU7DQAyGdyTe&#10;4WQkNnohlFJCnAohMXRgaEFANyfnJhE5X5S7puHtOdQBRtuffn9/vppsp0YefOsE4XqWgGKpnGml&#10;Rnh7fb5agvKBxFDnhBG+2cOqOD/LKTPuKBset6FWMUR8RghNCH2mta8atuRnrmeJt70bLIU4DrU2&#10;Ax1juO10miQLbamV+KGhnp8arr62B4vw8rHu36tyszOf03pMdlTtR/GIlxfT4wOowFP4g+FXP6pD&#10;EZ1KdxDjVYcwv7m9jyhCOr8DFYHTokRYLFPQRa7/Nyh+AAAA//8DAFBLAQItABQABgAIAAAAIQC2&#10;gziS/gAAAOEBAAATAAAAAAAAAAAAAAAAAAAAAABbQ29udGVudF9UeXBlc10ueG1sUEsBAi0AFAAG&#10;AAgAAAAhADj9If/WAAAAlAEAAAsAAAAAAAAAAAAAAAAALwEAAF9yZWxzLy5yZWxzUEsBAi0AFAAG&#10;AAgAAAAhAC3whGXiAQAAMwQAAA4AAAAAAAAAAAAAAAAALgIAAGRycy9lMm9Eb2MueG1sUEsBAi0A&#10;FAAGAAgAAAAhADaPWHneAAAACQEAAA8AAAAAAAAAAAAAAAAAPAQAAGRycy9kb3ducmV2LnhtbFBL&#10;BQYAAAAABAAEAPMAAABHBQAAAAA=&#10;" strokecolor="black [3213]">
                <v:stroke endarrow="open"/>
              </v:shape>
            </w:pict>
          </mc:Fallback>
        </mc:AlternateContent>
      </w:r>
    </w:p>
    <w:p w:rsidR="005D6363" w:rsidRPr="00EC1AB2" w:rsidRDefault="006E5375" w:rsidP="007A02A8">
      <w:p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815936" behindDoc="0" locked="0" layoutInCell="1" allowOverlap="1" wp14:anchorId="7369A66E" wp14:editId="3722C9DD">
                <wp:simplePos x="0" y="0"/>
                <wp:positionH relativeFrom="column">
                  <wp:posOffset>1824990</wp:posOffset>
                </wp:positionH>
                <wp:positionV relativeFrom="paragraph">
                  <wp:posOffset>189230</wp:posOffset>
                </wp:positionV>
                <wp:extent cx="1924050" cy="495300"/>
                <wp:effectExtent l="0" t="0" r="19050" b="19050"/>
                <wp:wrapNone/>
                <wp:docPr id="115" name="Text Box 115"/>
                <wp:cNvGraphicFramePr/>
                <a:graphic xmlns:a="http://schemas.openxmlformats.org/drawingml/2006/main">
                  <a:graphicData uri="http://schemas.microsoft.com/office/word/2010/wordprocessingShape">
                    <wps:wsp>
                      <wps:cNvSpPr txBox="1"/>
                      <wps:spPr>
                        <a:xfrm>
                          <a:off x="0" y="0"/>
                          <a:ext cx="1924050" cy="495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A2756D" w:rsidRDefault="00EC1AB2" w:rsidP="005D6363">
                            <w:pPr>
                              <w:rPr>
                                <w:rFonts w:ascii="Times New Roman" w:hAnsi="Times New Roman" w:cs="Times New Roman"/>
                              </w:rPr>
                            </w:pPr>
                            <w:r>
                              <w:rPr>
                                <w:rFonts w:ascii="Times New Roman" w:hAnsi="Times New Roman" w:cs="Times New Roman"/>
                              </w:rPr>
                              <w:t>PASIŪLYMŲ PATEIKIMAS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5" o:spid="_x0000_s1043" type="#_x0000_t202" style="position:absolute;left:0;text-align:left;margin-left:143.7pt;margin-top:14.9pt;width:151.5pt;height:39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OlQIAAL8FAAAOAAAAZHJzL2Uyb0RvYy54bWysVE1v2zAMvQ/YfxB0X51kSbcEcYqsRYcB&#10;RVusHXpWZKkxKouapMTOfv1I2U6TtpcOu9iU+EiRjx/zs6YybKt8KMHmfHgy4ExZCUVpH3P+6/7y&#10;01fOQhS2EAasyvlOBX62+PhhXruZGsEaTKE8Qyc2zGqX83WMbpZlQa5VJcIJOGVRqcFXIuLRP2aF&#10;FzV6r0w2GgxOsxp84TxIFQLeXrRKvkj+tVYy3mgdVGQm5xhbTF+fviv6Zou5mD164dal7MIQ/xBF&#10;JUqLj+5dXYgo2MaXr1xVpfQQQMcTCVUGWpdSpRwwm+HgRTZ3a+FUygXJCW5PU/h/buX19tazssDa&#10;DSecWVFhke5VE9k3aBjdIUO1CzME3jmExgYViO7vA15S4o32Ff0xJYZ65Hq355fcSTKajsaDCaok&#10;6sbTyedBKkD2bO18iN8VVIyEnHusX6JVbK9CxEgQ2kPosQCmLC5LY9KBekadG8+2AqttYooRLY5Q&#10;xrKaIqE4Xrkg33sHKyPkE6V57AJPxpKlSu3VxUUUtVQkKe6MIoyxP5VGehMjbwQppFR2H2hCE0pj&#10;Su8x7PDPUb3HuM0DLdLLYOPeuCot+JalY26Lp55b3eKRpIO8SYzNqmn76rRvlRUUO+wgD+0UBicv&#10;SyT8SoR4KzyOHXYGrpJ4gx9tAMsEncTZGvyft+4Jj9OAWs5qHOOch98b4RVn5ofFOZkOx2Oa+3QY&#10;T76M8OAPNatDjd1U54C9M8Sl5WQSCR9NL2oP1QNunCW9iiphJb6d89iL57FdLrixpFouEwgn3Yl4&#10;Ze+cJNdEMzXaffMgvOs6PeKMXEM/8GL2ouFbLFlaWG4i6DJNAxHdstoVALdE6tduo9EaOjwn1PPe&#10;XfwFAAD//wMAUEsDBBQABgAIAAAAIQA9B75Z3wAAAAoBAAAPAAAAZHJzL2Rvd25yZXYueG1sTI9L&#10;T8MwEITvSPwHa5G4UTt90CTEqQDBodwolbi68ZJE+BHZbpv213d7gtvuzqfZmWo1WsMOGGLvnYRs&#10;IoCha7zuXSth+/X+kAOLSTmtjHco4YQRVvXtTaVK7Y/uEw+b1DIycbFUErqUhpLz2HRoVZz4AR1p&#10;Pz5YlWgNLddBHcncGj4V4pFb1Tv60KkBXztsfjd7K+Ht5aOYrU/rYXtuz3OTZtl3WGRS3t+Nz0/A&#10;Eo7pD4ZrfIoONWXa+b3TkRkJ03w5J5SGgioQsCgEHXZEimUOvK74/wr1BQAA//8DAFBLAQItABQA&#10;BgAIAAAAIQC2gziS/gAAAOEBAAATAAAAAAAAAAAAAAAAAAAAAABbQ29udGVudF9UeXBlc10ueG1s&#10;UEsBAi0AFAAGAAgAAAAhADj9If/WAAAAlAEAAAsAAAAAAAAAAAAAAAAALwEAAF9yZWxzLy5yZWxz&#10;UEsBAi0AFAAGAAgAAAAhAD4EN46VAgAAvwUAAA4AAAAAAAAAAAAAAAAALgIAAGRycy9lMm9Eb2Mu&#10;eG1sUEsBAi0AFAAGAAgAAAAhAD0HvlnfAAAACgEAAA8AAAAAAAAAAAAAAAAA7wQAAGRycy9kb3du&#10;cmV2LnhtbFBLBQYAAAAABAAEAPMAAAD7BQAAAAA=&#10;" fillcolor="white [3201]" strokeweight="1.5pt">
                <v:textbox>
                  <w:txbxContent>
                    <w:p w:rsidR="00A03476" w:rsidRPr="00A2756D" w:rsidRDefault="00A03476" w:rsidP="005D6363">
                      <w:pPr>
                        <w:rPr>
                          <w:rFonts w:ascii="Times New Roman" w:hAnsi="Times New Roman" w:cs="Times New Roman"/>
                        </w:rPr>
                      </w:pPr>
                      <w:r>
                        <w:rPr>
                          <w:rFonts w:ascii="Times New Roman" w:hAnsi="Times New Roman" w:cs="Times New Roman"/>
                        </w:rPr>
                        <w:t>PASIŪLYMŲ PATEIKIMAS</w:t>
                      </w:r>
                    </w:p>
                  </w:txbxContent>
                </v:textbox>
              </v:shape>
            </w:pict>
          </mc:Fallback>
        </mc:AlternateContent>
      </w: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p>
    <w:p w:rsidR="005D6363" w:rsidRPr="00EC1AB2" w:rsidRDefault="005D6363" w:rsidP="007A02A8">
      <w:pPr>
        <w:autoSpaceDE w:val="0"/>
        <w:autoSpaceDN w:val="0"/>
        <w:adjustRightInd w:val="0"/>
        <w:spacing w:after="0" w:line="360" w:lineRule="auto"/>
        <w:jc w:val="both"/>
        <w:rPr>
          <w:rFonts w:ascii="Times New Roman" w:hAnsi="Times New Roman" w:cs="Times New Roman"/>
          <w:b/>
          <w:sz w:val="24"/>
          <w:szCs w:val="24"/>
        </w:rPr>
      </w:pPr>
    </w:p>
    <w:p w:rsidR="005D6363" w:rsidRPr="00EC1AB2" w:rsidRDefault="00722DA5" w:rsidP="007A02A8">
      <w:pPr>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sudaryta darbo autorės</w:t>
      </w:r>
    </w:p>
    <w:p w:rsidR="005D6363" w:rsidRPr="00EC1AB2" w:rsidRDefault="00410C16" w:rsidP="007A02A8">
      <w:pPr>
        <w:pStyle w:val="Heading5"/>
        <w:spacing w:before="0" w:line="360" w:lineRule="auto"/>
        <w:jc w:val="center"/>
        <w:rPr>
          <w:rFonts w:ascii="Times New Roman" w:hAnsi="Times New Roman" w:cs="Times New Roman"/>
          <w:b/>
          <w:sz w:val="24"/>
          <w:szCs w:val="24"/>
        </w:rPr>
      </w:pPr>
      <w:bookmarkStart w:id="124" w:name="_Toc320761925"/>
      <w:bookmarkStart w:id="125" w:name="_Toc320762160"/>
      <w:bookmarkStart w:id="126" w:name="_Toc320762562"/>
      <w:r w:rsidRPr="00EC1AB2">
        <w:rPr>
          <w:rFonts w:ascii="Times New Roman" w:hAnsi="Times New Roman" w:cs="Times New Roman"/>
          <w:color w:val="auto"/>
          <w:sz w:val="24"/>
          <w:szCs w:val="24"/>
        </w:rPr>
        <w:t>11</w:t>
      </w:r>
      <w:r w:rsidR="009C321E" w:rsidRPr="00EC1AB2">
        <w:rPr>
          <w:rFonts w:ascii="Times New Roman" w:hAnsi="Times New Roman" w:cs="Times New Roman"/>
          <w:color w:val="auto"/>
          <w:sz w:val="24"/>
          <w:szCs w:val="24"/>
        </w:rPr>
        <w:t xml:space="preserve"> pav.</w:t>
      </w:r>
      <w:r w:rsidR="00DE5CEE" w:rsidRPr="00EC1AB2">
        <w:t xml:space="preserve"> </w:t>
      </w:r>
      <w:r w:rsidR="00DE5CEE" w:rsidRPr="00EC1AB2">
        <w:rPr>
          <w:rFonts w:ascii="Times New Roman" w:hAnsi="Times New Roman" w:cs="Times New Roman"/>
          <w:b/>
          <w:color w:val="0D0D0D" w:themeColor="text1" w:themeTint="F2"/>
          <w:sz w:val="24"/>
          <w:szCs w:val="24"/>
        </w:rPr>
        <w:t>Rizikos kapitalo fondų plėtros problemų Lietuvoje</w:t>
      </w:r>
      <w:r w:rsidR="006A1F7F" w:rsidRPr="00EC1AB2">
        <w:rPr>
          <w:rFonts w:ascii="Times New Roman" w:hAnsi="Times New Roman" w:cs="Times New Roman"/>
          <w:b/>
          <w:color w:val="0D0D0D" w:themeColor="text1" w:themeTint="F2"/>
          <w:sz w:val="24"/>
          <w:szCs w:val="24"/>
        </w:rPr>
        <w:t xml:space="preserve"> </w:t>
      </w:r>
      <w:r w:rsidR="006A1F7F" w:rsidRPr="00EC1AB2">
        <w:rPr>
          <w:rFonts w:ascii="Times New Roman" w:hAnsi="Times New Roman" w:cs="Times New Roman"/>
          <w:b/>
          <w:color w:val="auto"/>
          <w:sz w:val="24"/>
          <w:szCs w:val="24"/>
        </w:rPr>
        <w:t>nuoseklumo schema</w:t>
      </w:r>
      <w:bookmarkEnd w:id="124"/>
      <w:bookmarkEnd w:id="125"/>
      <w:bookmarkEnd w:id="126"/>
    </w:p>
    <w:p w:rsidR="00B66014" w:rsidRPr="00EC1AB2" w:rsidRDefault="00B66014" w:rsidP="007A02A8">
      <w:pPr>
        <w:autoSpaceDE w:val="0"/>
        <w:autoSpaceDN w:val="0"/>
        <w:adjustRightInd w:val="0"/>
        <w:spacing w:after="0" w:line="360" w:lineRule="auto"/>
        <w:jc w:val="both"/>
        <w:rPr>
          <w:rFonts w:ascii="Times New Roman" w:hAnsi="Times New Roman" w:cs="Times New Roman"/>
          <w:sz w:val="24"/>
          <w:szCs w:val="24"/>
        </w:rPr>
      </w:pPr>
    </w:p>
    <w:p w:rsidR="00F779AA" w:rsidRPr="00EC1AB2" w:rsidRDefault="00CD51B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4A6D7F" w:rsidRPr="00EC1AB2">
        <w:rPr>
          <w:rFonts w:ascii="Times New Roman" w:hAnsi="Times New Roman" w:cs="Times New Roman"/>
          <w:sz w:val="24"/>
          <w:szCs w:val="24"/>
        </w:rPr>
        <w:t>11</w:t>
      </w:r>
      <w:r w:rsidRPr="00EC1AB2">
        <w:rPr>
          <w:rFonts w:ascii="Times New Roman" w:hAnsi="Times New Roman" w:cs="Times New Roman"/>
          <w:sz w:val="24"/>
          <w:szCs w:val="24"/>
        </w:rPr>
        <w:t xml:space="preserve"> pav. </w:t>
      </w:r>
      <w:r w:rsidR="00083686" w:rsidRPr="00EC1AB2">
        <w:rPr>
          <w:rFonts w:ascii="Times New Roman" w:hAnsi="Times New Roman" w:cs="Times New Roman"/>
          <w:sz w:val="24"/>
          <w:szCs w:val="24"/>
        </w:rPr>
        <w:t>išanalizavus statistinius duomenis bei Lietuvoje atliktus kokybinius tyrimus</w:t>
      </w:r>
      <w:r w:rsidR="00AA6A31" w:rsidRPr="00EC1AB2">
        <w:rPr>
          <w:rFonts w:ascii="Times New Roman" w:hAnsi="Times New Roman" w:cs="Times New Roman"/>
          <w:sz w:val="24"/>
          <w:szCs w:val="24"/>
        </w:rPr>
        <w:t>,</w:t>
      </w:r>
      <w:r w:rsidR="00083686" w:rsidRPr="00EC1AB2">
        <w:rPr>
          <w:rFonts w:ascii="Times New Roman" w:hAnsi="Times New Roman" w:cs="Times New Roman"/>
          <w:sz w:val="24"/>
          <w:szCs w:val="24"/>
        </w:rPr>
        <w:t xml:space="preserve"> susijusius su RKF investicijų paklausa</w:t>
      </w:r>
      <w:r w:rsidR="00AA6A31" w:rsidRPr="00EC1AB2">
        <w:rPr>
          <w:rFonts w:ascii="Times New Roman" w:hAnsi="Times New Roman" w:cs="Times New Roman"/>
          <w:sz w:val="24"/>
          <w:szCs w:val="24"/>
        </w:rPr>
        <w:t>,</w:t>
      </w:r>
      <w:r w:rsidR="00083686" w:rsidRPr="00EC1AB2">
        <w:rPr>
          <w:rFonts w:ascii="Times New Roman" w:hAnsi="Times New Roman" w:cs="Times New Roman"/>
          <w:sz w:val="24"/>
          <w:szCs w:val="24"/>
        </w:rPr>
        <w:t xml:space="preserve"> ir pastebėjus stiprų Lietuvos atsilikimą nuo ES </w:t>
      </w:r>
      <w:r w:rsidR="0056331D" w:rsidRPr="00EC1AB2">
        <w:rPr>
          <w:rFonts w:ascii="Times New Roman" w:hAnsi="Times New Roman" w:cs="Times New Roman"/>
          <w:sz w:val="24"/>
          <w:szCs w:val="24"/>
        </w:rPr>
        <w:t xml:space="preserve">vidurkio bei kitų panašaus išsivystymo šalių </w:t>
      </w:r>
      <w:r w:rsidR="00083686" w:rsidRPr="00EC1AB2">
        <w:rPr>
          <w:rFonts w:ascii="Times New Roman" w:hAnsi="Times New Roman" w:cs="Times New Roman"/>
          <w:sz w:val="24"/>
          <w:szCs w:val="24"/>
        </w:rPr>
        <w:t>šioje srityje</w:t>
      </w:r>
      <w:r w:rsidR="00AA6A31" w:rsidRPr="00EC1AB2">
        <w:rPr>
          <w:rFonts w:ascii="Times New Roman" w:hAnsi="Times New Roman" w:cs="Times New Roman"/>
          <w:sz w:val="24"/>
          <w:szCs w:val="24"/>
        </w:rPr>
        <w:t>,</w:t>
      </w:r>
      <w:r w:rsidR="00083686" w:rsidRPr="00EC1AB2">
        <w:rPr>
          <w:rFonts w:ascii="Times New Roman" w:hAnsi="Times New Roman" w:cs="Times New Roman"/>
          <w:sz w:val="24"/>
          <w:szCs w:val="24"/>
        </w:rPr>
        <w:t xml:space="preserve"> perei</w:t>
      </w:r>
      <w:r w:rsidR="00F779AA" w:rsidRPr="00EC1AB2">
        <w:rPr>
          <w:rFonts w:ascii="Times New Roman" w:hAnsi="Times New Roman" w:cs="Times New Roman"/>
          <w:sz w:val="24"/>
          <w:szCs w:val="24"/>
        </w:rPr>
        <w:t>nama prie pi</w:t>
      </w:r>
      <w:r w:rsidR="00D42CE0" w:rsidRPr="00EC1AB2">
        <w:rPr>
          <w:rFonts w:ascii="Times New Roman" w:hAnsi="Times New Roman" w:cs="Times New Roman"/>
          <w:sz w:val="24"/>
          <w:szCs w:val="24"/>
        </w:rPr>
        <w:t xml:space="preserve">rmojo tyrimo etapo. Šiame </w:t>
      </w:r>
      <w:r w:rsidR="00D42CE0" w:rsidRPr="00EC1AB2">
        <w:rPr>
          <w:rFonts w:ascii="Times New Roman" w:hAnsi="Times New Roman" w:cs="Times New Roman"/>
          <w:sz w:val="24"/>
          <w:szCs w:val="24"/>
        </w:rPr>
        <w:lastRenderedPageBreak/>
        <w:t>etape</w:t>
      </w:r>
      <w:r w:rsidR="00B74DE8" w:rsidRPr="00EC1AB2">
        <w:rPr>
          <w:rFonts w:ascii="Times New Roman" w:hAnsi="Times New Roman" w:cs="Times New Roman"/>
          <w:sz w:val="24"/>
          <w:szCs w:val="24"/>
        </w:rPr>
        <w:t>, darant prielaidą, kad RKF investicijos galimai įtakoja ša</w:t>
      </w:r>
      <w:r w:rsidR="00C275EF" w:rsidRPr="00EC1AB2">
        <w:rPr>
          <w:rFonts w:ascii="Times New Roman" w:hAnsi="Times New Roman" w:cs="Times New Roman"/>
          <w:sz w:val="24"/>
          <w:szCs w:val="24"/>
        </w:rPr>
        <w:t>lies rezultatus inovacijų srityje</w:t>
      </w:r>
      <w:r w:rsidR="00545CAF" w:rsidRPr="00EC1AB2">
        <w:rPr>
          <w:rFonts w:ascii="Times New Roman" w:hAnsi="Times New Roman" w:cs="Times New Roman"/>
          <w:sz w:val="24"/>
          <w:szCs w:val="24"/>
        </w:rPr>
        <w:t xml:space="preserve"> </w:t>
      </w:r>
      <w:r w:rsidR="00C275EF" w:rsidRPr="00EC1AB2">
        <w:rPr>
          <w:rFonts w:ascii="Times New Roman" w:hAnsi="Times New Roman" w:cs="Times New Roman"/>
          <w:sz w:val="24"/>
          <w:szCs w:val="24"/>
        </w:rPr>
        <w:t>analizuojamas Li</w:t>
      </w:r>
      <w:r w:rsidR="00D42CE0" w:rsidRPr="00EC1AB2">
        <w:rPr>
          <w:rFonts w:ascii="Times New Roman" w:hAnsi="Times New Roman" w:cs="Times New Roman"/>
          <w:sz w:val="24"/>
          <w:szCs w:val="24"/>
        </w:rPr>
        <w:t>etuvoje</w:t>
      </w:r>
      <w:r w:rsidR="00C275EF" w:rsidRPr="00EC1AB2">
        <w:rPr>
          <w:rFonts w:ascii="Times New Roman" w:hAnsi="Times New Roman" w:cs="Times New Roman"/>
          <w:sz w:val="24"/>
          <w:szCs w:val="24"/>
        </w:rPr>
        <w:t xml:space="preserve"> esantis inovacijų lygis.</w:t>
      </w:r>
    </w:p>
    <w:p w:rsidR="008D4CD2" w:rsidRPr="00EC1AB2" w:rsidRDefault="008D4CD2"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Pastaruoju metu Lietuva sulaukė Europos Komisijos pastabų ir rekomendacijų dėti daugiau pastangų, kad gerėtų padėtis inovacijų srityje, argumentuojant tuo, kad daugiau dėmesio inovacijoms verčia skirti visos ES pastangos atgauti konkurencingumą, turintį lemiamos reikšmės regiono, išvarginto euro zonos skolų krizės, spartesniam </w:t>
      </w:r>
      <w:r w:rsidR="00114211" w:rsidRPr="00EC1AB2">
        <w:rPr>
          <w:rFonts w:ascii="Times New Roman" w:hAnsi="Times New Roman" w:cs="Times New Roman"/>
          <w:sz w:val="24"/>
          <w:szCs w:val="24"/>
        </w:rPr>
        <w:t>atsigavimui, todėl</w:t>
      </w:r>
      <w:r w:rsidR="00D42CE0" w:rsidRPr="00EC1AB2">
        <w:rPr>
          <w:rFonts w:ascii="Times New Roman" w:hAnsi="Times New Roman" w:cs="Times New Roman"/>
          <w:sz w:val="24"/>
          <w:szCs w:val="24"/>
        </w:rPr>
        <w:t>, kaip jau minėta,</w:t>
      </w:r>
      <w:r w:rsidR="00114211" w:rsidRPr="00EC1AB2">
        <w:rPr>
          <w:rFonts w:ascii="Times New Roman" w:hAnsi="Times New Roman" w:cs="Times New Roman"/>
          <w:sz w:val="24"/>
          <w:szCs w:val="24"/>
        </w:rPr>
        <w:t xml:space="preserve"> pirmajame </w:t>
      </w:r>
      <w:r w:rsidR="00FF5173" w:rsidRPr="00EC1AB2">
        <w:rPr>
          <w:rFonts w:ascii="Times New Roman" w:hAnsi="Times New Roman" w:cs="Times New Roman"/>
          <w:sz w:val="24"/>
          <w:szCs w:val="24"/>
        </w:rPr>
        <w:t>tyrimo etape bus analizuojamas Lietuvos suminis inovatyvumo indeksas bei jo</w:t>
      </w:r>
      <w:r w:rsidR="00114211" w:rsidRPr="00EC1AB2">
        <w:rPr>
          <w:rFonts w:ascii="Times New Roman" w:hAnsi="Times New Roman" w:cs="Times New Roman"/>
          <w:sz w:val="24"/>
          <w:szCs w:val="24"/>
        </w:rPr>
        <w:t xml:space="preserve"> sudedamosios dalys, siek</w:t>
      </w:r>
      <w:r w:rsidR="007129F0" w:rsidRPr="00EC1AB2">
        <w:rPr>
          <w:rFonts w:ascii="Times New Roman" w:hAnsi="Times New Roman" w:cs="Times New Roman"/>
          <w:sz w:val="24"/>
          <w:szCs w:val="24"/>
        </w:rPr>
        <w:t>i</w:t>
      </w:r>
      <w:r w:rsidR="00114211" w:rsidRPr="00EC1AB2">
        <w:rPr>
          <w:rFonts w:ascii="Times New Roman" w:hAnsi="Times New Roman" w:cs="Times New Roman"/>
          <w:sz w:val="24"/>
          <w:szCs w:val="24"/>
        </w:rPr>
        <w:t>ant nustatyti stipriąsia</w:t>
      </w:r>
      <w:r w:rsidR="00BE5CAE" w:rsidRPr="00EC1AB2">
        <w:rPr>
          <w:rFonts w:ascii="Times New Roman" w:hAnsi="Times New Roman" w:cs="Times New Roman"/>
          <w:sz w:val="24"/>
          <w:szCs w:val="24"/>
        </w:rPr>
        <w:t xml:space="preserve">s bei silpnąsias </w:t>
      </w:r>
      <w:r w:rsidR="00FF5173" w:rsidRPr="00EC1AB2">
        <w:rPr>
          <w:rFonts w:ascii="Times New Roman" w:hAnsi="Times New Roman" w:cs="Times New Roman"/>
          <w:sz w:val="24"/>
          <w:szCs w:val="24"/>
        </w:rPr>
        <w:t>puses</w:t>
      </w:r>
      <w:r w:rsidR="00BE5CAE" w:rsidRPr="00EC1AB2">
        <w:rPr>
          <w:rFonts w:ascii="Times New Roman" w:hAnsi="Times New Roman" w:cs="Times New Roman"/>
          <w:sz w:val="24"/>
          <w:szCs w:val="24"/>
        </w:rPr>
        <w:t>.</w:t>
      </w:r>
    </w:p>
    <w:p w:rsidR="00276FCE" w:rsidRPr="00EC1AB2" w:rsidRDefault="00276FCE"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Antras šio tyrimo etapo žingsnis –</w:t>
      </w:r>
      <w:r w:rsidR="00373D73" w:rsidRPr="00EC1AB2">
        <w:rPr>
          <w:rFonts w:ascii="Times New Roman" w:hAnsi="Times New Roman" w:cs="Times New Roman"/>
          <w:sz w:val="24"/>
          <w:szCs w:val="24"/>
        </w:rPr>
        <w:t xml:space="preserve"> suminio inovatyvumo</w:t>
      </w:r>
      <w:r w:rsidR="006B7646" w:rsidRPr="00EC1AB2">
        <w:rPr>
          <w:rFonts w:ascii="Times New Roman" w:hAnsi="Times New Roman" w:cs="Times New Roman"/>
          <w:sz w:val="24"/>
          <w:szCs w:val="24"/>
        </w:rPr>
        <w:t xml:space="preserve"> indekso</w:t>
      </w:r>
      <w:r w:rsidR="00373D73" w:rsidRPr="00EC1AB2">
        <w:rPr>
          <w:rFonts w:ascii="Times New Roman" w:hAnsi="Times New Roman" w:cs="Times New Roman"/>
          <w:sz w:val="24"/>
          <w:szCs w:val="24"/>
        </w:rPr>
        <w:t xml:space="preserve"> sudedamųjų dalių bei RKF investicijų apimties </w:t>
      </w:r>
      <w:r w:rsidRPr="00EC1AB2">
        <w:rPr>
          <w:rFonts w:ascii="Times New Roman" w:hAnsi="Times New Roman" w:cs="Times New Roman"/>
          <w:sz w:val="24"/>
          <w:szCs w:val="24"/>
        </w:rPr>
        <w:t>koreliacinė analizė.</w:t>
      </w:r>
      <w:r w:rsidR="006B7646" w:rsidRPr="00EC1AB2">
        <w:rPr>
          <w:rFonts w:ascii="Times New Roman" w:hAnsi="Times New Roman" w:cs="Times New Roman"/>
          <w:sz w:val="24"/>
          <w:szCs w:val="24"/>
        </w:rPr>
        <w:t xml:space="preserve"> Šiame </w:t>
      </w:r>
      <w:r w:rsidR="00415753" w:rsidRPr="00EC1AB2">
        <w:rPr>
          <w:rFonts w:ascii="Times New Roman" w:hAnsi="Times New Roman" w:cs="Times New Roman"/>
          <w:sz w:val="24"/>
          <w:szCs w:val="24"/>
        </w:rPr>
        <w:t xml:space="preserve">žingsnyje suformuojamos </w:t>
      </w:r>
      <w:r w:rsidR="006B7646" w:rsidRPr="00EC1AB2">
        <w:rPr>
          <w:rFonts w:ascii="Times New Roman" w:hAnsi="Times New Roman" w:cs="Times New Roman"/>
          <w:sz w:val="24"/>
          <w:szCs w:val="24"/>
        </w:rPr>
        <w:t xml:space="preserve">tyrimo </w:t>
      </w:r>
      <w:r w:rsidR="00415753" w:rsidRPr="00EC1AB2">
        <w:rPr>
          <w:rFonts w:ascii="Times New Roman" w:hAnsi="Times New Roman" w:cs="Times New Roman"/>
          <w:sz w:val="24"/>
          <w:szCs w:val="24"/>
        </w:rPr>
        <w:t>hipotezės:</w:t>
      </w:r>
    </w:p>
    <w:p w:rsidR="00415753" w:rsidRPr="00EC1AB2" w:rsidRDefault="0041575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H</w:t>
      </w:r>
      <w:r w:rsidRPr="00EC1AB2">
        <w:rPr>
          <w:rFonts w:ascii="Times New Roman" w:hAnsi="Times New Roman" w:cs="Times New Roman"/>
          <w:sz w:val="24"/>
          <w:szCs w:val="24"/>
          <w:vertAlign w:val="subscript"/>
        </w:rPr>
        <w:t>0</w:t>
      </w:r>
      <w:r w:rsidRPr="00EC1AB2">
        <w:rPr>
          <w:rFonts w:ascii="Times New Roman" w:hAnsi="Times New Roman" w:cs="Times New Roman"/>
          <w:sz w:val="24"/>
          <w:szCs w:val="24"/>
        </w:rPr>
        <w:t xml:space="preserve"> – RKF investicijos neįtakoja šalies pasiekimų inovacijų srityje;</w:t>
      </w:r>
    </w:p>
    <w:p w:rsidR="00415753" w:rsidRPr="00EC1AB2" w:rsidRDefault="0041575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H</w:t>
      </w:r>
      <w:r w:rsidRPr="00EC1AB2">
        <w:rPr>
          <w:rFonts w:ascii="Times New Roman" w:hAnsi="Times New Roman" w:cs="Times New Roman"/>
          <w:sz w:val="24"/>
          <w:szCs w:val="24"/>
          <w:vertAlign w:val="subscript"/>
        </w:rPr>
        <w:t>1</w:t>
      </w:r>
      <w:r w:rsidRPr="00EC1AB2">
        <w:rPr>
          <w:rFonts w:ascii="Times New Roman" w:hAnsi="Times New Roman" w:cs="Times New Roman"/>
          <w:sz w:val="24"/>
          <w:szCs w:val="24"/>
        </w:rPr>
        <w:t xml:space="preserve"> – RKF investicijos įtakoja šalies pasiekimus ino</w:t>
      </w:r>
      <w:r w:rsidR="001B3914" w:rsidRPr="00EC1AB2">
        <w:rPr>
          <w:rFonts w:ascii="Times New Roman" w:hAnsi="Times New Roman" w:cs="Times New Roman"/>
          <w:sz w:val="24"/>
          <w:szCs w:val="24"/>
        </w:rPr>
        <w:t>vacijų srityje.</w:t>
      </w:r>
    </w:p>
    <w:p w:rsidR="003062FD" w:rsidRPr="00EC1AB2" w:rsidRDefault="00A10B0B"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Jeigu tyrimo metu H</w:t>
      </w:r>
      <w:r w:rsidRPr="00EC1AB2">
        <w:rPr>
          <w:rFonts w:ascii="Times New Roman" w:hAnsi="Times New Roman" w:cs="Times New Roman"/>
          <w:sz w:val="24"/>
          <w:szCs w:val="24"/>
          <w:vertAlign w:val="subscript"/>
        </w:rPr>
        <w:t>0</w:t>
      </w:r>
      <w:r w:rsidRPr="00EC1AB2">
        <w:rPr>
          <w:rFonts w:ascii="Times New Roman" w:hAnsi="Times New Roman" w:cs="Times New Roman"/>
          <w:sz w:val="24"/>
          <w:szCs w:val="24"/>
        </w:rPr>
        <w:t xml:space="preserve"> hipotezė bus atmetama ir priimama H</w:t>
      </w:r>
      <w:r w:rsidRPr="00EC1AB2">
        <w:rPr>
          <w:rFonts w:ascii="Times New Roman" w:hAnsi="Times New Roman" w:cs="Times New Roman"/>
          <w:sz w:val="24"/>
          <w:szCs w:val="24"/>
          <w:vertAlign w:val="subscript"/>
        </w:rPr>
        <w:t>1</w:t>
      </w:r>
      <w:r w:rsidRPr="00EC1AB2">
        <w:rPr>
          <w:rFonts w:ascii="Times New Roman" w:hAnsi="Times New Roman" w:cs="Times New Roman"/>
          <w:sz w:val="24"/>
          <w:szCs w:val="24"/>
        </w:rPr>
        <w:t xml:space="preserve">,  iškils būtinybė nustatyti priežastis, dėl kurių </w:t>
      </w:r>
      <w:r w:rsidR="00A81FAB" w:rsidRPr="00EC1AB2">
        <w:rPr>
          <w:rFonts w:ascii="Times New Roman" w:hAnsi="Times New Roman" w:cs="Times New Roman"/>
          <w:sz w:val="24"/>
          <w:szCs w:val="24"/>
        </w:rPr>
        <w:t xml:space="preserve">RKF nepaplitę Lietuvoje. </w:t>
      </w:r>
      <w:r w:rsidR="00AC53C2" w:rsidRPr="00EC1AB2">
        <w:rPr>
          <w:rFonts w:ascii="Times New Roman" w:hAnsi="Times New Roman" w:cs="Times New Roman"/>
          <w:sz w:val="24"/>
          <w:szCs w:val="24"/>
        </w:rPr>
        <w:t xml:space="preserve">Šiam tyrimo etapui bus pasirinktas kokybinis metodas – ekspertų vertinimo. </w:t>
      </w:r>
      <w:r w:rsidR="003062FD" w:rsidRPr="00EC1AB2">
        <w:rPr>
          <w:rFonts w:ascii="Times New Roman" w:hAnsi="Times New Roman" w:cs="Times New Roman"/>
          <w:sz w:val="24"/>
          <w:szCs w:val="24"/>
        </w:rPr>
        <w:t>Ekspertų vertinimo metodas – specialiai, parinktų grupės žmonių, kurie išmano tam tikrą sritį, sp</w:t>
      </w:r>
      <w:r w:rsidR="00746500" w:rsidRPr="00EC1AB2">
        <w:rPr>
          <w:rFonts w:ascii="Times New Roman" w:hAnsi="Times New Roman" w:cs="Times New Roman"/>
          <w:sz w:val="24"/>
          <w:szCs w:val="24"/>
        </w:rPr>
        <w:t>ecifinės rūšies apklausa</w:t>
      </w:r>
      <w:r w:rsidR="007F6F93" w:rsidRPr="00EC1AB2">
        <w:rPr>
          <w:rFonts w:ascii="Times New Roman" w:hAnsi="Times New Roman" w:cs="Times New Roman"/>
          <w:sz w:val="24"/>
          <w:szCs w:val="24"/>
        </w:rPr>
        <w:t xml:space="preserve">. </w:t>
      </w:r>
    </w:p>
    <w:p w:rsidR="007F6F93" w:rsidRPr="00EC1AB2" w:rsidRDefault="007F6F9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Identifikavus pagrindines priežastis bus pateikia</w:t>
      </w:r>
      <w:r w:rsidR="00A24326" w:rsidRPr="00EC1AB2">
        <w:rPr>
          <w:rFonts w:ascii="Times New Roman" w:hAnsi="Times New Roman" w:cs="Times New Roman"/>
          <w:sz w:val="24"/>
          <w:szCs w:val="24"/>
        </w:rPr>
        <w:t>mos gairės šioms kliūtims šalinti</w:t>
      </w:r>
      <w:r w:rsidRPr="00EC1AB2">
        <w:rPr>
          <w:rFonts w:ascii="Times New Roman" w:hAnsi="Times New Roman" w:cs="Times New Roman"/>
          <w:sz w:val="24"/>
          <w:szCs w:val="24"/>
        </w:rPr>
        <w:t>.</w:t>
      </w:r>
    </w:p>
    <w:p w:rsidR="00152542" w:rsidRPr="00EC1AB2" w:rsidRDefault="00133D05"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Taigi, suformuluotas šio</w:t>
      </w:r>
      <w:r w:rsidRPr="00EC1AB2">
        <w:rPr>
          <w:rFonts w:ascii="Times New Roman" w:hAnsi="Times New Roman" w:cs="Times New Roman"/>
          <w:b/>
          <w:sz w:val="24"/>
          <w:szCs w:val="24"/>
        </w:rPr>
        <w:t xml:space="preserve"> t</w:t>
      </w:r>
      <w:r w:rsidR="00D56ACB" w:rsidRPr="00EC1AB2">
        <w:rPr>
          <w:rFonts w:ascii="Times New Roman" w:hAnsi="Times New Roman" w:cs="Times New Roman"/>
          <w:b/>
          <w:sz w:val="24"/>
          <w:szCs w:val="24"/>
        </w:rPr>
        <w:t>yrimo tik</w:t>
      </w:r>
      <w:r w:rsidR="00580C9E" w:rsidRPr="00EC1AB2">
        <w:rPr>
          <w:rFonts w:ascii="Times New Roman" w:hAnsi="Times New Roman" w:cs="Times New Roman"/>
          <w:b/>
          <w:sz w:val="24"/>
          <w:szCs w:val="24"/>
        </w:rPr>
        <w:t>sl</w:t>
      </w:r>
      <w:r w:rsidRPr="00EC1AB2">
        <w:rPr>
          <w:rFonts w:ascii="Times New Roman" w:hAnsi="Times New Roman" w:cs="Times New Roman"/>
          <w:b/>
          <w:sz w:val="24"/>
          <w:szCs w:val="24"/>
        </w:rPr>
        <w:t xml:space="preserve">as </w:t>
      </w:r>
      <w:r w:rsidRPr="00EC1AB2">
        <w:rPr>
          <w:rFonts w:ascii="Times New Roman" w:hAnsi="Times New Roman" w:cs="Times New Roman"/>
          <w:sz w:val="24"/>
          <w:szCs w:val="24"/>
        </w:rPr>
        <w:t>yra</w:t>
      </w:r>
      <w:r w:rsidR="00D56ACB" w:rsidRPr="00EC1AB2">
        <w:rPr>
          <w:rFonts w:ascii="Times New Roman" w:hAnsi="Times New Roman" w:cs="Times New Roman"/>
          <w:b/>
          <w:sz w:val="24"/>
          <w:szCs w:val="24"/>
        </w:rPr>
        <w:t xml:space="preserve"> </w:t>
      </w:r>
      <w:r w:rsidR="0019503C" w:rsidRPr="00EC1AB2">
        <w:rPr>
          <w:rFonts w:ascii="Times New Roman" w:hAnsi="Times New Roman" w:cs="Times New Roman"/>
          <w:sz w:val="24"/>
          <w:szCs w:val="24"/>
        </w:rPr>
        <w:t>išanalizuoti</w:t>
      </w:r>
      <w:r w:rsidR="00D56ACB" w:rsidRPr="00EC1AB2">
        <w:rPr>
          <w:rFonts w:ascii="Times New Roman" w:hAnsi="Times New Roman" w:cs="Times New Roman"/>
          <w:sz w:val="24"/>
          <w:szCs w:val="24"/>
        </w:rPr>
        <w:t xml:space="preserve"> rizikos kapitalo įtaką šalies pasiekimams inovacijų sri</w:t>
      </w:r>
      <w:r w:rsidR="0019503C" w:rsidRPr="00EC1AB2">
        <w:rPr>
          <w:rFonts w:ascii="Times New Roman" w:hAnsi="Times New Roman" w:cs="Times New Roman"/>
          <w:sz w:val="24"/>
          <w:szCs w:val="24"/>
        </w:rPr>
        <w:t>tyje ir</w:t>
      </w:r>
      <w:r w:rsidR="00580C9E" w:rsidRPr="00EC1AB2">
        <w:rPr>
          <w:rFonts w:ascii="Times New Roman" w:hAnsi="Times New Roman" w:cs="Times New Roman"/>
          <w:sz w:val="24"/>
          <w:szCs w:val="24"/>
        </w:rPr>
        <w:t xml:space="preserve"> identifikuoti priežastis tru</w:t>
      </w:r>
      <w:r w:rsidR="00D56ACB" w:rsidRPr="00EC1AB2">
        <w:rPr>
          <w:rFonts w:ascii="Times New Roman" w:hAnsi="Times New Roman" w:cs="Times New Roman"/>
          <w:sz w:val="24"/>
          <w:szCs w:val="24"/>
        </w:rPr>
        <w:t>kdančias plėtotis rizikos kapitalo fondams Lietuvoje bei</w:t>
      </w:r>
      <w:r w:rsidR="0019503C" w:rsidRPr="00EC1AB2">
        <w:rPr>
          <w:rFonts w:ascii="Times New Roman" w:hAnsi="Times New Roman" w:cs="Times New Roman"/>
          <w:sz w:val="24"/>
          <w:szCs w:val="24"/>
        </w:rPr>
        <w:t xml:space="preserve"> pateikti</w:t>
      </w:r>
      <w:r w:rsidR="00D56ACB" w:rsidRPr="00EC1AB2">
        <w:rPr>
          <w:rFonts w:ascii="Times New Roman" w:hAnsi="Times New Roman" w:cs="Times New Roman"/>
          <w:sz w:val="24"/>
          <w:szCs w:val="24"/>
        </w:rPr>
        <w:t xml:space="preserve"> šių p</w:t>
      </w:r>
      <w:r w:rsidR="00E86454" w:rsidRPr="00EC1AB2">
        <w:rPr>
          <w:rFonts w:ascii="Times New Roman" w:hAnsi="Times New Roman" w:cs="Times New Roman"/>
          <w:sz w:val="24"/>
          <w:szCs w:val="24"/>
        </w:rPr>
        <w:t>riežasčių šalinimo galimybes.</w:t>
      </w:r>
    </w:p>
    <w:p w:rsidR="00D56ACB" w:rsidRPr="00EC1AB2" w:rsidRDefault="00D56ACB"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Tyrimo objektas</w:t>
      </w:r>
      <w:r w:rsidRPr="00EC1AB2">
        <w:rPr>
          <w:rFonts w:ascii="Times New Roman" w:hAnsi="Times New Roman" w:cs="Times New Roman"/>
          <w:sz w:val="24"/>
          <w:szCs w:val="24"/>
        </w:rPr>
        <w:t xml:space="preserve"> </w:t>
      </w:r>
      <w:r w:rsidR="00D0270C" w:rsidRPr="00EC1AB2">
        <w:rPr>
          <w:rFonts w:ascii="Times New Roman" w:hAnsi="Times New Roman" w:cs="Times New Roman"/>
          <w:sz w:val="24"/>
          <w:szCs w:val="24"/>
        </w:rPr>
        <w:t>–</w:t>
      </w:r>
      <w:r w:rsidRPr="00EC1AB2">
        <w:rPr>
          <w:rFonts w:ascii="Times New Roman" w:hAnsi="Times New Roman" w:cs="Times New Roman"/>
          <w:sz w:val="24"/>
          <w:szCs w:val="24"/>
        </w:rPr>
        <w:t xml:space="preserve"> </w:t>
      </w:r>
      <w:r w:rsidR="007D1EB0" w:rsidRPr="00EC1AB2">
        <w:rPr>
          <w:rFonts w:ascii="Times New Roman" w:hAnsi="Times New Roman" w:cs="Times New Roman"/>
          <w:sz w:val="24"/>
          <w:szCs w:val="24"/>
        </w:rPr>
        <w:t xml:space="preserve">rizikos kapitalo įtaka šalies pasiekimams inovacijų srityje bei </w:t>
      </w:r>
      <w:r w:rsidR="00D0270C" w:rsidRPr="00EC1AB2">
        <w:rPr>
          <w:rFonts w:ascii="Times New Roman" w:hAnsi="Times New Roman" w:cs="Times New Roman"/>
          <w:sz w:val="24"/>
          <w:szCs w:val="24"/>
        </w:rPr>
        <w:t>rizikos kapitalo fondų plėtros p</w:t>
      </w:r>
      <w:r w:rsidR="0011526A" w:rsidRPr="00EC1AB2">
        <w:rPr>
          <w:rFonts w:ascii="Times New Roman" w:hAnsi="Times New Roman" w:cs="Times New Roman"/>
          <w:sz w:val="24"/>
          <w:szCs w:val="24"/>
        </w:rPr>
        <w:t>roble</w:t>
      </w:r>
      <w:r w:rsidR="00D0270C" w:rsidRPr="00EC1AB2">
        <w:rPr>
          <w:rFonts w:ascii="Times New Roman" w:hAnsi="Times New Roman" w:cs="Times New Roman"/>
          <w:sz w:val="24"/>
          <w:szCs w:val="24"/>
        </w:rPr>
        <w:t>mos Liet</w:t>
      </w:r>
      <w:r w:rsidR="00580C9E" w:rsidRPr="00EC1AB2">
        <w:rPr>
          <w:rFonts w:ascii="Times New Roman" w:hAnsi="Times New Roman" w:cs="Times New Roman"/>
          <w:sz w:val="24"/>
          <w:szCs w:val="24"/>
        </w:rPr>
        <w:t>u</w:t>
      </w:r>
      <w:r w:rsidR="00D0270C" w:rsidRPr="00EC1AB2">
        <w:rPr>
          <w:rFonts w:ascii="Times New Roman" w:hAnsi="Times New Roman" w:cs="Times New Roman"/>
          <w:sz w:val="24"/>
          <w:szCs w:val="24"/>
        </w:rPr>
        <w:t>voje.</w:t>
      </w:r>
    </w:p>
    <w:p w:rsidR="00892344" w:rsidRPr="00EC1AB2" w:rsidRDefault="00133D05" w:rsidP="007A02A8">
      <w:pPr>
        <w:autoSpaceDE w:val="0"/>
        <w:autoSpaceDN w:val="0"/>
        <w:adjustRightInd w:val="0"/>
        <w:spacing w:after="0" w:line="360" w:lineRule="auto"/>
        <w:ind w:firstLine="360"/>
        <w:jc w:val="both"/>
        <w:rPr>
          <w:rFonts w:ascii="Times New Roman" w:hAnsi="Times New Roman" w:cs="Times New Roman"/>
          <w:sz w:val="24"/>
          <w:szCs w:val="24"/>
        </w:rPr>
      </w:pPr>
      <w:r w:rsidRPr="00EC1AB2">
        <w:rPr>
          <w:rFonts w:ascii="Times New Roman" w:hAnsi="Times New Roman" w:cs="Times New Roman"/>
          <w:sz w:val="24"/>
          <w:szCs w:val="24"/>
        </w:rPr>
        <w:t>Tyrimo tikslui pasiekti iškelti šie</w:t>
      </w:r>
      <w:r w:rsidRPr="00EC1AB2">
        <w:rPr>
          <w:rFonts w:ascii="Times New Roman" w:hAnsi="Times New Roman" w:cs="Times New Roman"/>
          <w:b/>
          <w:sz w:val="24"/>
          <w:szCs w:val="24"/>
        </w:rPr>
        <w:t xml:space="preserve"> </w:t>
      </w:r>
      <w:r w:rsidR="00892344" w:rsidRPr="00EC1AB2">
        <w:rPr>
          <w:rFonts w:ascii="Times New Roman" w:hAnsi="Times New Roman" w:cs="Times New Roman"/>
          <w:b/>
          <w:sz w:val="24"/>
          <w:szCs w:val="24"/>
        </w:rPr>
        <w:t>uždaviniai</w:t>
      </w:r>
      <w:r w:rsidR="00892344" w:rsidRPr="00EC1AB2">
        <w:rPr>
          <w:rFonts w:ascii="Times New Roman" w:hAnsi="Times New Roman" w:cs="Times New Roman"/>
          <w:sz w:val="24"/>
          <w:szCs w:val="24"/>
        </w:rPr>
        <w:t>:</w:t>
      </w:r>
    </w:p>
    <w:p w:rsidR="00892344" w:rsidRPr="00EC1AB2" w:rsidRDefault="00892344" w:rsidP="007A02A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Išnagrinėti Lietuvos suminį inovatyvumo indeksą bei jo sudedamąsias</w:t>
      </w:r>
      <w:r w:rsidR="00711ECB" w:rsidRPr="00EC1AB2">
        <w:rPr>
          <w:rFonts w:ascii="Times New Roman" w:hAnsi="Times New Roman" w:cs="Times New Roman"/>
          <w:sz w:val="24"/>
          <w:szCs w:val="24"/>
        </w:rPr>
        <w:t xml:space="preserve"> dalis</w:t>
      </w:r>
      <w:r w:rsidRPr="00EC1AB2">
        <w:rPr>
          <w:rFonts w:ascii="Times New Roman" w:hAnsi="Times New Roman" w:cs="Times New Roman"/>
          <w:sz w:val="24"/>
          <w:szCs w:val="24"/>
        </w:rPr>
        <w:t xml:space="preserve"> ir išskirti</w:t>
      </w:r>
      <w:r w:rsidR="00580C9E" w:rsidRPr="00EC1AB2">
        <w:rPr>
          <w:rFonts w:ascii="Times New Roman" w:hAnsi="Times New Roman" w:cs="Times New Roman"/>
          <w:sz w:val="24"/>
          <w:szCs w:val="24"/>
        </w:rPr>
        <w:t xml:space="preserve"> Lietuvos stipriąsias bei silpną</w:t>
      </w:r>
      <w:r w:rsidRPr="00EC1AB2">
        <w:rPr>
          <w:rFonts w:ascii="Times New Roman" w:hAnsi="Times New Roman" w:cs="Times New Roman"/>
          <w:sz w:val="24"/>
          <w:szCs w:val="24"/>
        </w:rPr>
        <w:t>sias puses;</w:t>
      </w:r>
    </w:p>
    <w:p w:rsidR="00892344" w:rsidRPr="00EC1AB2" w:rsidRDefault="00892344" w:rsidP="007A02A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Nustatyti koreliaciniu</w:t>
      </w:r>
      <w:r w:rsidR="003A5A2C" w:rsidRPr="00EC1AB2">
        <w:rPr>
          <w:rFonts w:ascii="Times New Roman" w:hAnsi="Times New Roman" w:cs="Times New Roman"/>
          <w:sz w:val="24"/>
          <w:szCs w:val="24"/>
        </w:rPr>
        <w:t>s ryšius tarp RKF</w:t>
      </w:r>
      <w:r w:rsidR="00482592" w:rsidRPr="00EC1AB2">
        <w:rPr>
          <w:rFonts w:ascii="Times New Roman" w:hAnsi="Times New Roman" w:cs="Times New Roman"/>
          <w:sz w:val="24"/>
          <w:szCs w:val="24"/>
        </w:rPr>
        <w:t xml:space="preserve"> investicijų</w:t>
      </w:r>
      <w:r w:rsidRPr="00EC1AB2">
        <w:rPr>
          <w:rFonts w:ascii="Times New Roman" w:hAnsi="Times New Roman" w:cs="Times New Roman"/>
          <w:sz w:val="24"/>
          <w:szCs w:val="24"/>
        </w:rPr>
        <w:t xml:space="preserve"> ir suminio inovatyvumo indekso sudedamųjų dalių</w:t>
      </w:r>
      <w:r w:rsidR="006B7646" w:rsidRPr="00EC1AB2">
        <w:rPr>
          <w:rFonts w:ascii="Times New Roman" w:hAnsi="Times New Roman" w:cs="Times New Roman"/>
          <w:sz w:val="24"/>
          <w:szCs w:val="24"/>
        </w:rPr>
        <w:t xml:space="preserve">, t.y. </w:t>
      </w:r>
      <w:r w:rsidR="007C413B" w:rsidRPr="00EC1AB2">
        <w:rPr>
          <w:rFonts w:ascii="Times New Roman" w:hAnsi="Times New Roman" w:cs="Times New Roman"/>
          <w:sz w:val="24"/>
          <w:szCs w:val="24"/>
        </w:rPr>
        <w:t xml:space="preserve">identifikuoti </w:t>
      </w:r>
      <w:r w:rsidR="00711ECB" w:rsidRPr="00EC1AB2">
        <w:rPr>
          <w:rFonts w:ascii="Times New Roman" w:hAnsi="Times New Roman" w:cs="Times New Roman"/>
          <w:sz w:val="24"/>
          <w:szCs w:val="24"/>
        </w:rPr>
        <w:t>rodiklius, kuriuos teigiama</w:t>
      </w:r>
      <w:r w:rsidR="00FB4669" w:rsidRPr="00EC1AB2">
        <w:rPr>
          <w:rFonts w:ascii="Times New Roman" w:hAnsi="Times New Roman" w:cs="Times New Roman"/>
          <w:sz w:val="24"/>
          <w:szCs w:val="24"/>
        </w:rPr>
        <w:t>i įtakoja RKF</w:t>
      </w:r>
      <w:r w:rsidR="00711ECB" w:rsidRPr="00EC1AB2">
        <w:rPr>
          <w:rFonts w:ascii="Times New Roman" w:hAnsi="Times New Roman" w:cs="Times New Roman"/>
          <w:sz w:val="24"/>
          <w:szCs w:val="24"/>
        </w:rPr>
        <w:t xml:space="preserve"> investicijos;</w:t>
      </w:r>
    </w:p>
    <w:p w:rsidR="00077F6F" w:rsidRPr="00EC1AB2" w:rsidRDefault="006B7646" w:rsidP="007A02A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Identifikuoti</w:t>
      </w:r>
      <w:r w:rsidR="003A5A2C" w:rsidRPr="00EC1AB2">
        <w:rPr>
          <w:rFonts w:ascii="Times New Roman" w:hAnsi="Times New Roman" w:cs="Times New Roman"/>
          <w:sz w:val="24"/>
          <w:szCs w:val="24"/>
        </w:rPr>
        <w:t xml:space="preserve"> RKF</w:t>
      </w:r>
      <w:r w:rsidR="00711ECB" w:rsidRPr="00EC1AB2">
        <w:rPr>
          <w:rFonts w:ascii="Times New Roman" w:hAnsi="Times New Roman" w:cs="Times New Roman"/>
          <w:sz w:val="24"/>
          <w:szCs w:val="24"/>
        </w:rPr>
        <w:t xml:space="preserve"> plėtros problemas </w:t>
      </w:r>
      <w:r w:rsidR="0019503C" w:rsidRPr="00EC1AB2">
        <w:rPr>
          <w:rFonts w:ascii="Times New Roman" w:hAnsi="Times New Roman" w:cs="Times New Roman"/>
          <w:sz w:val="24"/>
          <w:szCs w:val="24"/>
        </w:rPr>
        <w:t xml:space="preserve">Lietuvoje </w:t>
      </w:r>
      <w:r w:rsidRPr="00EC1AB2">
        <w:rPr>
          <w:rFonts w:ascii="Times New Roman" w:hAnsi="Times New Roman" w:cs="Times New Roman"/>
          <w:sz w:val="24"/>
          <w:szCs w:val="24"/>
        </w:rPr>
        <w:t>bei pat</w:t>
      </w:r>
      <w:r w:rsidR="008E5B08" w:rsidRPr="00EC1AB2">
        <w:rPr>
          <w:rFonts w:ascii="Times New Roman" w:hAnsi="Times New Roman" w:cs="Times New Roman"/>
          <w:sz w:val="24"/>
          <w:szCs w:val="24"/>
        </w:rPr>
        <w:t>eikti pasiūlymus</w:t>
      </w:r>
      <w:r w:rsidR="00711ECB" w:rsidRPr="00EC1AB2">
        <w:rPr>
          <w:rFonts w:ascii="Times New Roman" w:hAnsi="Times New Roman" w:cs="Times New Roman"/>
          <w:sz w:val="24"/>
          <w:szCs w:val="24"/>
        </w:rPr>
        <w:t xml:space="preserve"> </w:t>
      </w:r>
      <w:r w:rsidR="00B04A2C" w:rsidRPr="00EC1AB2">
        <w:rPr>
          <w:rFonts w:ascii="Times New Roman" w:hAnsi="Times New Roman" w:cs="Times New Roman"/>
          <w:sz w:val="24"/>
          <w:szCs w:val="24"/>
        </w:rPr>
        <w:t xml:space="preserve">šių </w:t>
      </w:r>
      <w:r w:rsidR="00DD6BC1" w:rsidRPr="00EC1AB2">
        <w:rPr>
          <w:rFonts w:ascii="Times New Roman" w:hAnsi="Times New Roman" w:cs="Times New Roman"/>
          <w:sz w:val="24"/>
          <w:szCs w:val="24"/>
        </w:rPr>
        <w:t>problemų sprendimui.</w:t>
      </w:r>
    </w:p>
    <w:p w:rsidR="00B308BA" w:rsidRPr="00EC1AB2" w:rsidRDefault="00482592" w:rsidP="007A02A8">
      <w:pPr>
        <w:autoSpaceDE w:val="0"/>
        <w:autoSpaceDN w:val="0"/>
        <w:adjustRightInd w:val="0"/>
        <w:spacing w:after="0" w:line="360" w:lineRule="auto"/>
        <w:ind w:firstLine="360"/>
        <w:jc w:val="both"/>
        <w:rPr>
          <w:rFonts w:ascii="Times New Roman" w:hAnsi="Times New Roman" w:cs="Times New Roman"/>
          <w:sz w:val="24"/>
          <w:szCs w:val="24"/>
        </w:rPr>
      </w:pPr>
      <w:r w:rsidRPr="00EC1AB2">
        <w:rPr>
          <w:rFonts w:ascii="Times New Roman" w:hAnsi="Times New Roman" w:cs="Times New Roman"/>
          <w:sz w:val="24"/>
          <w:szCs w:val="24"/>
        </w:rPr>
        <w:t>Taigi, atlikus tyrimą</w:t>
      </w:r>
      <w:r w:rsidR="00077F6F" w:rsidRPr="00EC1AB2">
        <w:rPr>
          <w:rFonts w:ascii="Times New Roman" w:hAnsi="Times New Roman" w:cs="Times New Roman"/>
          <w:sz w:val="24"/>
          <w:szCs w:val="24"/>
        </w:rPr>
        <w:t xml:space="preserve"> bus galima paneigti arba patvirtinti hipotezes apie RKF investicijų įtaką šalies pasiekimams inovacijų srityje bei pateikti gaires RKF plėtros skatinimui Lietuvoje.</w:t>
      </w:r>
    </w:p>
    <w:p w:rsidR="00590E24" w:rsidRPr="00EC1AB2" w:rsidRDefault="00590E24" w:rsidP="007A02A8">
      <w:pPr>
        <w:autoSpaceDE w:val="0"/>
        <w:autoSpaceDN w:val="0"/>
        <w:adjustRightInd w:val="0"/>
        <w:spacing w:after="0" w:line="360" w:lineRule="auto"/>
        <w:ind w:firstLine="720"/>
        <w:jc w:val="both"/>
        <w:rPr>
          <w:rFonts w:ascii="Times New Roman" w:hAnsi="Times New Roman" w:cs="Times New Roman"/>
          <w:sz w:val="24"/>
          <w:szCs w:val="24"/>
        </w:rPr>
      </w:pPr>
    </w:p>
    <w:p w:rsidR="00590E24" w:rsidRPr="00EC1AB2" w:rsidRDefault="00590E24" w:rsidP="007A02A8">
      <w:pPr>
        <w:autoSpaceDE w:val="0"/>
        <w:autoSpaceDN w:val="0"/>
        <w:adjustRightInd w:val="0"/>
        <w:spacing w:after="0" w:line="360" w:lineRule="auto"/>
        <w:ind w:firstLine="720"/>
        <w:jc w:val="both"/>
        <w:rPr>
          <w:rFonts w:ascii="Times New Roman" w:hAnsi="Times New Roman" w:cs="Times New Roman"/>
          <w:sz w:val="24"/>
          <w:szCs w:val="24"/>
        </w:rPr>
      </w:pPr>
    </w:p>
    <w:p w:rsidR="00590E24" w:rsidRPr="00EC1AB2" w:rsidRDefault="00590E24" w:rsidP="007A02A8">
      <w:pPr>
        <w:autoSpaceDE w:val="0"/>
        <w:autoSpaceDN w:val="0"/>
        <w:adjustRightInd w:val="0"/>
        <w:spacing w:after="0" w:line="360" w:lineRule="auto"/>
        <w:ind w:firstLine="720"/>
        <w:jc w:val="both"/>
        <w:rPr>
          <w:rFonts w:ascii="Times New Roman" w:hAnsi="Times New Roman" w:cs="Times New Roman"/>
          <w:sz w:val="24"/>
          <w:szCs w:val="24"/>
        </w:rPr>
      </w:pPr>
    </w:p>
    <w:p w:rsidR="00590E24" w:rsidRPr="00EC1AB2" w:rsidRDefault="00590E24" w:rsidP="007A02A8">
      <w:pPr>
        <w:autoSpaceDE w:val="0"/>
        <w:autoSpaceDN w:val="0"/>
        <w:adjustRightInd w:val="0"/>
        <w:spacing w:after="0" w:line="360" w:lineRule="auto"/>
        <w:ind w:firstLine="720"/>
        <w:jc w:val="both"/>
        <w:rPr>
          <w:rFonts w:ascii="Times New Roman" w:hAnsi="Times New Roman" w:cs="Times New Roman"/>
          <w:sz w:val="24"/>
          <w:szCs w:val="24"/>
        </w:rPr>
      </w:pPr>
    </w:p>
    <w:p w:rsidR="00E41A12" w:rsidRPr="00EC1AB2" w:rsidRDefault="001B54BB" w:rsidP="00812D85">
      <w:pPr>
        <w:pStyle w:val="Heading1"/>
        <w:numPr>
          <w:ilvl w:val="0"/>
          <w:numId w:val="32"/>
        </w:numPr>
        <w:spacing w:before="0" w:after="0" w:line="360" w:lineRule="auto"/>
        <w:rPr>
          <w:sz w:val="28"/>
          <w:szCs w:val="28"/>
        </w:rPr>
      </w:pPr>
      <w:bookmarkStart w:id="127" w:name="_Toc320566999"/>
      <w:bookmarkStart w:id="128" w:name="_Toc320567039"/>
      <w:bookmarkStart w:id="129" w:name="_Toc320567186"/>
      <w:bookmarkStart w:id="130" w:name="_Toc320761769"/>
      <w:bookmarkStart w:id="131" w:name="_Toc320761926"/>
      <w:bookmarkStart w:id="132" w:name="_Toc320762161"/>
      <w:bookmarkStart w:id="133" w:name="_Toc320762563"/>
      <w:bookmarkStart w:id="134" w:name="_Toc321092702"/>
      <w:r w:rsidRPr="00EC1AB2">
        <w:rPr>
          <w:sz w:val="28"/>
          <w:szCs w:val="28"/>
        </w:rPr>
        <w:lastRenderedPageBreak/>
        <w:t>RIZIKOS KAPITALO FONDŲ</w:t>
      </w:r>
      <w:r w:rsidR="004F1C44" w:rsidRPr="00EC1AB2">
        <w:rPr>
          <w:sz w:val="28"/>
          <w:szCs w:val="28"/>
        </w:rPr>
        <w:t xml:space="preserve"> </w:t>
      </w:r>
      <w:r w:rsidR="00590E24" w:rsidRPr="00EC1AB2">
        <w:rPr>
          <w:sz w:val="28"/>
          <w:szCs w:val="28"/>
        </w:rPr>
        <w:t xml:space="preserve">PLĖTROS </w:t>
      </w:r>
      <w:bookmarkEnd w:id="127"/>
      <w:bookmarkEnd w:id="128"/>
      <w:bookmarkEnd w:id="129"/>
      <w:bookmarkEnd w:id="130"/>
      <w:bookmarkEnd w:id="131"/>
      <w:bookmarkEnd w:id="132"/>
      <w:bookmarkEnd w:id="133"/>
      <w:r w:rsidRPr="00EC1AB2">
        <w:rPr>
          <w:sz w:val="28"/>
          <w:szCs w:val="28"/>
        </w:rPr>
        <w:t>PROBLEMOS BEI JŲ ŠALINIMO GAIRĖS</w:t>
      </w:r>
      <w:bookmarkEnd w:id="134"/>
    </w:p>
    <w:p w:rsidR="003B4694" w:rsidRPr="00EC1AB2" w:rsidRDefault="003B4694" w:rsidP="007A02A8">
      <w:pPr>
        <w:pStyle w:val="Heading1"/>
        <w:spacing w:before="0" w:after="0" w:line="360" w:lineRule="auto"/>
        <w:rPr>
          <w:sz w:val="28"/>
          <w:szCs w:val="28"/>
        </w:rPr>
      </w:pPr>
    </w:p>
    <w:p w:rsidR="003B4694" w:rsidRPr="00EC1AB2" w:rsidRDefault="003B4694"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Pirmoje šio s</w:t>
      </w:r>
      <w:r w:rsidR="0092195B" w:rsidRPr="00EC1AB2">
        <w:rPr>
          <w:rFonts w:ascii="Times New Roman" w:hAnsi="Times New Roman" w:cs="Times New Roman"/>
          <w:sz w:val="24"/>
          <w:szCs w:val="24"/>
        </w:rPr>
        <w:t>kyriaus dalyje bus analizuojami Lietuvoje pasiekti rezultatai diegiant inovacijas</w:t>
      </w:r>
      <w:r w:rsidRPr="00EC1AB2">
        <w:rPr>
          <w:rFonts w:ascii="Times New Roman" w:hAnsi="Times New Roman" w:cs="Times New Roman"/>
          <w:sz w:val="24"/>
          <w:szCs w:val="24"/>
        </w:rPr>
        <w:t xml:space="preserve"> </w:t>
      </w:r>
      <w:r w:rsidR="0092195B" w:rsidRPr="00EC1AB2">
        <w:rPr>
          <w:rFonts w:ascii="Times New Roman" w:hAnsi="Times New Roman" w:cs="Times New Roman"/>
          <w:sz w:val="24"/>
          <w:szCs w:val="24"/>
        </w:rPr>
        <w:t>bei</w:t>
      </w:r>
      <w:r w:rsidR="00AC3DC3" w:rsidRPr="00EC1AB2">
        <w:rPr>
          <w:rFonts w:ascii="Times New Roman" w:hAnsi="Times New Roman" w:cs="Times New Roman"/>
          <w:sz w:val="24"/>
          <w:szCs w:val="24"/>
        </w:rPr>
        <w:t xml:space="preserve">, siekiant </w:t>
      </w:r>
      <w:r w:rsidRPr="00EC1AB2">
        <w:rPr>
          <w:rFonts w:ascii="Times New Roman" w:hAnsi="Times New Roman" w:cs="Times New Roman"/>
          <w:sz w:val="24"/>
          <w:szCs w:val="24"/>
        </w:rPr>
        <w:t xml:space="preserve"> identifikuoti</w:t>
      </w:r>
      <w:r w:rsidR="00AC3DC3" w:rsidRPr="00EC1AB2">
        <w:rPr>
          <w:rFonts w:ascii="Times New Roman" w:hAnsi="Times New Roman" w:cs="Times New Roman"/>
          <w:sz w:val="24"/>
          <w:szCs w:val="24"/>
        </w:rPr>
        <w:t xml:space="preserve"> Lietuvos</w:t>
      </w:r>
      <w:r w:rsidRPr="00EC1AB2">
        <w:rPr>
          <w:rFonts w:ascii="Times New Roman" w:hAnsi="Times New Roman" w:cs="Times New Roman"/>
          <w:sz w:val="24"/>
          <w:szCs w:val="24"/>
        </w:rPr>
        <w:t xml:space="preserve"> s</w:t>
      </w:r>
      <w:r w:rsidR="004918CF" w:rsidRPr="00EC1AB2">
        <w:rPr>
          <w:rFonts w:ascii="Times New Roman" w:hAnsi="Times New Roman" w:cs="Times New Roman"/>
          <w:sz w:val="24"/>
          <w:szCs w:val="24"/>
        </w:rPr>
        <w:t xml:space="preserve">tipriąsias bei silpnąsias </w:t>
      </w:r>
      <w:r w:rsidR="0092195B" w:rsidRPr="00EC1AB2">
        <w:rPr>
          <w:rFonts w:ascii="Times New Roman" w:hAnsi="Times New Roman" w:cs="Times New Roman"/>
          <w:sz w:val="24"/>
          <w:szCs w:val="24"/>
        </w:rPr>
        <w:t xml:space="preserve">puses šioje </w:t>
      </w:r>
      <w:r w:rsidR="00DF3D61" w:rsidRPr="00EC1AB2">
        <w:rPr>
          <w:rFonts w:ascii="Times New Roman" w:hAnsi="Times New Roman" w:cs="Times New Roman"/>
          <w:sz w:val="24"/>
          <w:szCs w:val="24"/>
        </w:rPr>
        <w:t>srityje</w:t>
      </w:r>
      <w:r w:rsidR="004918CF" w:rsidRPr="00EC1AB2">
        <w:rPr>
          <w:rFonts w:ascii="Times New Roman" w:hAnsi="Times New Roman" w:cs="Times New Roman"/>
          <w:sz w:val="24"/>
          <w:szCs w:val="24"/>
        </w:rPr>
        <w:t>.</w:t>
      </w:r>
      <w:r w:rsidR="00AC3DC3" w:rsidRPr="00EC1AB2">
        <w:rPr>
          <w:rFonts w:ascii="Times New Roman" w:hAnsi="Times New Roman" w:cs="Times New Roman"/>
          <w:sz w:val="24"/>
          <w:szCs w:val="24"/>
        </w:rPr>
        <w:t xml:space="preserve"> Antrame skyriuje bus atliekama RKF apimties ir suminio inovatyvumo indekso koreliacinė analizė, siekiant nustatyti RKF įtaką šalies pasiekimams inovacijų srityje.</w:t>
      </w:r>
      <w:r w:rsidR="009C497D" w:rsidRPr="00EC1AB2">
        <w:rPr>
          <w:rFonts w:ascii="Times New Roman" w:hAnsi="Times New Roman" w:cs="Times New Roman"/>
          <w:sz w:val="24"/>
          <w:szCs w:val="24"/>
        </w:rPr>
        <w:t xml:space="preserve"> Pa</w:t>
      </w:r>
      <w:r w:rsidR="0092195B" w:rsidRPr="00EC1AB2">
        <w:rPr>
          <w:rFonts w:ascii="Times New Roman" w:hAnsi="Times New Roman" w:cs="Times New Roman"/>
          <w:sz w:val="24"/>
          <w:szCs w:val="24"/>
        </w:rPr>
        <w:t>s</w:t>
      </w:r>
      <w:r w:rsidR="009C497D" w:rsidRPr="00EC1AB2">
        <w:rPr>
          <w:rFonts w:ascii="Times New Roman" w:hAnsi="Times New Roman" w:cs="Times New Roman"/>
          <w:sz w:val="24"/>
          <w:szCs w:val="24"/>
        </w:rPr>
        <w:t>kutiniame</w:t>
      </w:r>
      <w:r w:rsidR="006747DA" w:rsidRPr="00EC1AB2">
        <w:rPr>
          <w:rFonts w:ascii="Times New Roman" w:hAnsi="Times New Roman" w:cs="Times New Roman"/>
          <w:sz w:val="24"/>
          <w:szCs w:val="24"/>
        </w:rPr>
        <w:t xml:space="preserve"> šio skyriaus poskyryje </w:t>
      </w:r>
      <w:r w:rsidR="009C497D" w:rsidRPr="00EC1AB2">
        <w:rPr>
          <w:rFonts w:ascii="Times New Roman" w:hAnsi="Times New Roman" w:cs="Times New Roman"/>
          <w:sz w:val="24"/>
          <w:szCs w:val="24"/>
        </w:rPr>
        <w:t xml:space="preserve">bus </w:t>
      </w:r>
      <w:r w:rsidR="006747DA" w:rsidRPr="00EC1AB2">
        <w:rPr>
          <w:rFonts w:ascii="Times New Roman" w:hAnsi="Times New Roman" w:cs="Times New Roman"/>
          <w:sz w:val="24"/>
          <w:szCs w:val="24"/>
        </w:rPr>
        <w:t>ana</w:t>
      </w:r>
      <w:r w:rsidR="009C497D" w:rsidRPr="00EC1AB2">
        <w:rPr>
          <w:rFonts w:ascii="Times New Roman" w:hAnsi="Times New Roman" w:cs="Times New Roman"/>
          <w:sz w:val="24"/>
          <w:szCs w:val="24"/>
        </w:rPr>
        <w:t>lizuojamos RKF plėtrai Lietuvoje kylančios kliūtys bei pateikiamos jų šalinimo gairės.</w:t>
      </w:r>
    </w:p>
    <w:p w:rsidR="00E41A12" w:rsidRPr="00EC1AB2" w:rsidRDefault="00E41A12" w:rsidP="007A02A8">
      <w:pPr>
        <w:autoSpaceDE w:val="0"/>
        <w:autoSpaceDN w:val="0"/>
        <w:adjustRightInd w:val="0"/>
        <w:spacing w:after="0" w:line="360" w:lineRule="auto"/>
        <w:rPr>
          <w:rFonts w:ascii="Times New Roman" w:hAnsi="Times New Roman" w:cs="Times New Roman"/>
          <w:b/>
          <w:sz w:val="28"/>
          <w:szCs w:val="28"/>
        </w:rPr>
      </w:pPr>
    </w:p>
    <w:p w:rsidR="005C0646" w:rsidRPr="00EC1AB2" w:rsidRDefault="0092195B" w:rsidP="00812D85">
      <w:pPr>
        <w:pStyle w:val="Heading2"/>
        <w:numPr>
          <w:ilvl w:val="1"/>
          <w:numId w:val="32"/>
        </w:numPr>
        <w:spacing w:before="0" w:after="0" w:line="360" w:lineRule="auto"/>
        <w:rPr>
          <w:i w:val="0"/>
          <w:sz w:val="24"/>
          <w:szCs w:val="24"/>
        </w:rPr>
      </w:pPr>
      <w:bookmarkStart w:id="135" w:name="_Toc320567000"/>
      <w:bookmarkStart w:id="136" w:name="_Toc320567040"/>
      <w:bookmarkStart w:id="137" w:name="_Toc320567187"/>
      <w:bookmarkStart w:id="138" w:name="_Toc320761770"/>
      <w:bookmarkStart w:id="139" w:name="_Toc320761927"/>
      <w:bookmarkStart w:id="140" w:name="_Toc320762162"/>
      <w:bookmarkStart w:id="141" w:name="_Toc320762564"/>
      <w:bookmarkStart w:id="142" w:name="_Toc321092703"/>
      <w:r w:rsidRPr="00EC1AB2">
        <w:rPr>
          <w:i w:val="0"/>
          <w:sz w:val="24"/>
          <w:szCs w:val="24"/>
        </w:rPr>
        <w:t xml:space="preserve">Lietuvos suminio inovatyvumo </w:t>
      </w:r>
      <w:r w:rsidR="00BC1B73" w:rsidRPr="00EC1AB2">
        <w:rPr>
          <w:i w:val="0"/>
          <w:sz w:val="24"/>
          <w:szCs w:val="24"/>
        </w:rPr>
        <w:t xml:space="preserve">indekso </w:t>
      </w:r>
      <w:r w:rsidRPr="00EC1AB2">
        <w:rPr>
          <w:i w:val="0"/>
          <w:sz w:val="24"/>
          <w:szCs w:val="24"/>
        </w:rPr>
        <w:t>analizė</w:t>
      </w:r>
      <w:r w:rsidR="00F0507B" w:rsidRPr="00EC1AB2">
        <w:rPr>
          <w:i w:val="0"/>
          <w:sz w:val="24"/>
          <w:szCs w:val="24"/>
        </w:rPr>
        <w:t xml:space="preserve"> </w:t>
      </w:r>
      <w:r w:rsidR="003B4694" w:rsidRPr="00EC1AB2">
        <w:rPr>
          <w:i w:val="0"/>
          <w:sz w:val="24"/>
          <w:szCs w:val="24"/>
        </w:rPr>
        <w:t>ES</w:t>
      </w:r>
      <w:r w:rsidR="007F5B0E" w:rsidRPr="00EC1AB2">
        <w:rPr>
          <w:i w:val="0"/>
          <w:sz w:val="24"/>
          <w:szCs w:val="24"/>
        </w:rPr>
        <w:t xml:space="preserve"> kontekste</w:t>
      </w:r>
      <w:bookmarkEnd w:id="135"/>
      <w:bookmarkEnd w:id="136"/>
      <w:bookmarkEnd w:id="137"/>
      <w:bookmarkEnd w:id="138"/>
      <w:bookmarkEnd w:id="139"/>
      <w:bookmarkEnd w:id="140"/>
      <w:bookmarkEnd w:id="141"/>
      <w:bookmarkEnd w:id="142"/>
    </w:p>
    <w:p w:rsidR="0037762C" w:rsidRPr="00EC1AB2" w:rsidRDefault="0037762C" w:rsidP="007A02A8">
      <w:pPr>
        <w:pStyle w:val="Heading2"/>
        <w:spacing w:before="0" w:after="0" w:line="360" w:lineRule="auto"/>
        <w:jc w:val="center"/>
        <w:rPr>
          <w:i w:val="0"/>
          <w:sz w:val="28"/>
          <w:szCs w:val="28"/>
        </w:rPr>
      </w:pPr>
    </w:p>
    <w:p w:rsidR="00687340" w:rsidRPr="00EC1AB2" w:rsidRDefault="0037762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Ekonomikos konkurencing</w:t>
      </w:r>
      <w:r w:rsidR="002B7B1F" w:rsidRPr="00EC1AB2">
        <w:rPr>
          <w:rFonts w:ascii="Times New Roman" w:hAnsi="Times New Roman" w:cs="Times New Roman"/>
          <w:sz w:val="24"/>
          <w:szCs w:val="24"/>
        </w:rPr>
        <w:t>umas ir augimas glaudžiai susiję</w:t>
      </w:r>
      <w:r w:rsidRPr="00EC1AB2">
        <w:rPr>
          <w:rFonts w:ascii="Times New Roman" w:hAnsi="Times New Roman" w:cs="Times New Roman"/>
          <w:sz w:val="24"/>
          <w:szCs w:val="24"/>
        </w:rPr>
        <w:t>s su inovacijomis – jos leidžia pasiekti didesnį verslo našumą ir pelningumą. Be to, sunkmečio laikot</w:t>
      </w:r>
      <w:r w:rsidR="002B7B1F" w:rsidRPr="00EC1AB2">
        <w:rPr>
          <w:rFonts w:ascii="Times New Roman" w:hAnsi="Times New Roman" w:cs="Times New Roman"/>
          <w:sz w:val="24"/>
          <w:szCs w:val="24"/>
        </w:rPr>
        <w:t>arpiu lengviau išlikti ir verslą</w:t>
      </w:r>
      <w:r w:rsidRPr="00EC1AB2">
        <w:rPr>
          <w:rFonts w:ascii="Times New Roman" w:hAnsi="Times New Roman" w:cs="Times New Roman"/>
          <w:sz w:val="24"/>
          <w:szCs w:val="24"/>
        </w:rPr>
        <w:t xml:space="preserve"> plėtoti dides</w:t>
      </w:r>
      <w:r w:rsidR="002B7B1F" w:rsidRPr="00EC1AB2">
        <w:rPr>
          <w:rFonts w:ascii="Times New Roman" w:hAnsi="Times New Roman" w:cs="Times New Roman"/>
          <w:sz w:val="24"/>
          <w:szCs w:val="24"/>
        </w:rPr>
        <w:t>nę pridėtinę vertę kuriančioms į</w:t>
      </w:r>
      <w:r w:rsidRPr="00EC1AB2">
        <w:rPr>
          <w:rFonts w:ascii="Times New Roman" w:hAnsi="Times New Roman" w:cs="Times New Roman"/>
          <w:sz w:val="24"/>
          <w:szCs w:val="24"/>
        </w:rPr>
        <w:t>monėms, diegiančioms naujas technologijas, pažangius metodus ir kit</w:t>
      </w:r>
      <w:r w:rsidR="008D4B1F" w:rsidRPr="00EC1AB2">
        <w:rPr>
          <w:rFonts w:ascii="Times New Roman" w:hAnsi="Times New Roman" w:cs="Times New Roman"/>
          <w:sz w:val="24"/>
          <w:szCs w:val="24"/>
        </w:rPr>
        <w:t>as inovacijas, kurios sąlygo</w:t>
      </w:r>
      <w:r w:rsidR="007B7A6B" w:rsidRPr="00EC1AB2">
        <w:rPr>
          <w:rFonts w:ascii="Times New Roman" w:hAnsi="Times New Roman" w:cs="Times New Roman"/>
          <w:sz w:val="24"/>
          <w:szCs w:val="24"/>
        </w:rPr>
        <w:t xml:space="preserve">ja </w:t>
      </w:r>
      <w:r w:rsidR="008D4B1F" w:rsidRPr="00EC1AB2">
        <w:rPr>
          <w:rFonts w:ascii="Times New Roman" w:hAnsi="Times New Roman" w:cs="Times New Roman"/>
          <w:sz w:val="24"/>
          <w:szCs w:val="24"/>
        </w:rPr>
        <w:t>įmonės veiklos rodiklių didėjimą</w:t>
      </w:r>
      <w:r w:rsidR="007B7A6B" w:rsidRPr="00EC1AB2">
        <w:rPr>
          <w:rFonts w:ascii="Times New Roman" w:hAnsi="Times New Roman" w:cs="Times New Roman"/>
          <w:sz w:val="24"/>
          <w:szCs w:val="24"/>
        </w:rPr>
        <w:t xml:space="preserve"> (tokių</w:t>
      </w:r>
      <w:r w:rsidR="002F34A1" w:rsidRPr="00EC1AB2">
        <w:rPr>
          <w:rFonts w:ascii="Times New Roman" w:hAnsi="Times New Roman" w:cs="Times New Roman"/>
          <w:sz w:val="24"/>
          <w:szCs w:val="24"/>
        </w:rPr>
        <w:t xml:space="preserve"> kaip produktyvumas, </w:t>
      </w:r>
      <w:r w:rsidR="008D4B1F" w:rsidRPr="00EC1AB2">
        <w:rPr>
          <w:rFonts w:ascii="Times New Roman" w:hAnsi="Times New Roman" w:cs="Times New Roman"/>
          <w:sz w:val="24"/>
          <w:szCs w:val="24"/>
        </w:rPr>
        <w:t>pa</w:t>
      </w:r>
      <w:r w:rsidR="002F34A1" w:rsidRPr="00EC1AB2">
        <w:rPr>
          <w:rFonts w:ascii="Times New Roman" w:hAnsi="Times New Roman" w:cs="Times New Roman"/>
          <w:sz w:val="24"/>
          <w:szCs w:val="24"/>
        </w:rPr>
        <w:t xml:space="preserve">rdavimai, </w:t>
      </w:r>
      <w:r w:rsidR="008D4B1F" w:rsidRPr="00EC1AB2">
        <w:rPr>
          <w:rFonts w:ascii="Times New Roman" w:hAnsi="Times New Roman" w:cs="Times New Roman"/>
          <w:sz w:val="24"/>
          <w:szCs w:val="24"/>
        </w:rPr>
        <w:t>peln</w:t>
      </w:r>
      <w:r w:rsidR="007B7A6B" w:rsidRPr="00EC1AB2">
        <w:rPr>
          <w:rFonts w:ascii="Times New Roman" w:hAnsi="Times New Roman" w:cs="Times New Roman"/>
          <w:sz w:val="24"/>
          <w:szCs w:val="24"/>
        </w:rPr>
        <w:t>as).</w:t>
      </w:r>
      <w:r w:rsidR="004218F2" w:rsidRPr="00EC1AB2">
        <w:rPr>
          <w:rFonts w:ascii="Times New Roman" w:hAnsi="Times New Roman" w:cs="Times New Roman"/>
          <w:sz w:val="24"/>
          <w:szCs w:val="24"/>
        </w:rPr>
        <w:t xml:space="preserve"> Taigi, t</w:t>
      </w:r>
      <w:r w:rsidR="00687340" w:rsidRPr="00EC1AB2">
        <w:rPr>
          <w:rFonts w:ascii="Times New Roman" w:hAnsi="Times New Roman" w:cs="Times New Roman"/>
          <w:sz w:val="24"/>
          <w:szCs w:val="24"/>
        </w:rPr>
        <w:t>radiciniais gamybos veiksniais grindžiamas ekonomikos augimas yra trumpalaikis, o aukštą produktyvumą ilguoju laikotarpiu užtikrina tik inovacijomis grindžiama į</w:t>
      </w:r>
      <w:r w:rsidR="009C4F26" w:rsidRPr="00EC1AB2">
        <w:rPr>
          <w:rFonts w:ascii="Times New Roman" w:hAnsi="Times New Roman" w:cs="Times New Roman"/>
          <w:sz w:val="24"/>
          <w:szCs w:val="24"/>
        </w:rPr>
        <w:t>monių</w:t>
      </w:r>
      <w:r w:rsidR="00687340" w:rsidRPr="00EC1AB2">
        <w:rPr>
          <w:rFonts w:ascii="Times New Roman" w:hAnsi="Times New Roman" w:cs="Times New Roman"/>
          <w:sz w:val="24"/>
          <w:szCs w:val="24"/>
        </w:rPr>
        <w:t xml:space="preserve"> veikla.</w:t>
      </w:r>
    </w:p>
    <w:p w:rsidR="00302416" w:rsidRPr="00EC1AB2" w:rsidRDefault="00004960"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Riboto biudžeto, didelių demografinių pokyčių ir didėjančios pasaulinės konkurencijos laikotarpiu ES </w:t>
      </w:r>
      <w:r w:rsidR="00536798" w:rsidRPr="00EC1AB2">
        <w:rPr>
          <w:rFonts w:ascii="Times New Roman" w:hAnsi="Times New Roman" w:cs="Times New Roman"/>
          <w:sz w:val="24"/>
          <w:szCs w:val="24"/>
        </w:rPr>
        <w:t xml:space="preserve">ypač didelį dėmesį skiria </w:t>
      </w:r>
      <w:r w:rsidRPr="00EC1AB2">
        <w:rPr>
          <w:rFonts w:ascii="Times New Roman" w:hAnsi="Times New Roman" w:cs="Times New Roman"/>
          <w:sz w:val="24"/>
          <w:szCs w:val="24"/>
        </w:rPr>
        <w:t>produktų, paslaugų, verslo ir socialinių procesų</w:t>
      </w:r>
      <w:r w:rsidR="00536798" w:rsidRPr="00EC1AB2">
        <w:rPr>
          <w:rFonts w:ascii="Times New Roman" w:hAnsi="Times New Roman" w:cs="Times New Roman"/>
          <w:sz w:val="24"/>
          <w:szCs w:val="24"/>
        </w:rPr>
        <w:t xml:space="preserve"> bei </w:t>
      </w:r>
      <w:r w:rsidRPr="00EC1AB2">
        <w:rPr>
          <w:rFonts w:ascii="Times New Roman" w:hAnsi="Times New Roman" w:cs="Times New Roman"/>
          <w:sz w:val="24"/>
          <w:szCs w:val="24"/>
        </w:rPr>
        <w:t>modelių</w:t>
      </w:r>
      <w:r w:rsidR="00536798" w:rsidRPr="00EC1AB2">
        <w:rPr>
          <w:rFonts w:ascii="Times New Roman" w:hAnsi="Times New Roman" w:cs="Times New Roman"/>
          <w:sz w:val="24"/>
          <w:szCs w:val="24"/>
        </w:rPr>
        <w:t xml:space="preserve"> inovacijų skatinimui</w:t>
      </w:r>
      <w:r w:rsidR="00302416" w:rsidRPr="00EC1AB2">
        <w:rPr>
          <w:rFonts w:ascii="Times New Roman" w:hAnsi="Times New Roman" w:cs="Times New Roman"/>
          <w:sz w:val="24"/>
          <w:szCs w:val="24"/>
        </w:rPr>
        <w:t>, todėl s</w:t>
      </w:r>
      <w:r w:rsidR="003A5FE3" w:rsidRPr="00EC1AB2">
        <w:rPr>
          <w:rFonts w:ascii="Times New Roman" w:hAnsi="Times New Roman" w:cs="Times New Roman"/>
          <w:sz w:val="24"/>
          <w:szCs w:val="24"/>
        </w:rPr>
        <w:t>trategijoje „Europa 2020“</w:t>
      </w:r>
      <w:r w:rsidR="0006174C" w:rsidRPr="00EC1AB2">
        <w:rPr>
          <w:rFonts w:ascii="Times New Roman" w:hAnsi="Times New Roman" w:cs="Times New Roman"/>
          <w:sz w:val="24"/>
          <w:szCs w:val="24"/>
        </w:rPr>
        <w:t xml:space="preserve"> </w:t>
      </w:r>
      <w:r w:rsidR="001F723C" w:rsidRPr="00EC1AB2">
        <w:rPr>
          <w:rFonts w:ascii="Times New Roman" w:hAnsi="Times New Roman" w:cs="Times New Roman"/>
          <w:sz w:val="24"/>
          <w:szCs w:val="24"/>
        </w:rPr>
        <w:t>viena iš pagri</w:t>
      </w:r>
      <w:r w:rsidR="009C4F26" w:rsidRPr="00EC1AB2">
        <w:rPr>
          <w:rFonts w:ascii="Times New Roman" w:hAnsi="Times New Roman" w:cs="Times New Roman"/>
          <w:sz w:val="24"/>
          <w:szCs w:val="24"/>
        </w:rPr>
        <w:t>n</w:t>
      </w:r>
      <w:r w:rsidR="001F723C" w:rsidRPr="00EC1AB2">
        <w:rPr>
          <w:rFonts w:ascii="Times New Roman" w:hAnsi="Times New Roman" w:cs="Times New Roman"/>
          <w:sz w:val="24"/>
          <w:szCs w:val="24"/>
        </w:rPr>
        <w:t>dinių</w:t>
      </w:r>
      <w:r w:rsidR="001C798E" w:rsidRPr="00EC1AB2">
        <w:rPr>
          <w:rFonts w:ascii="Times New Roman" w:hAnsi="Times New Roman" w:cs="Times New Roman"/>
          <w:sz w:val="24"/>
          <w:szCs w:val="24"/>
        </w:rPr>
        <w:t xml:space="preserve"> septynių</w:t>
      </w:r>
      <w:r w:rsidR="009C4F26" w:rsidRPr="00EC1AB2">
        <w:rPr>
          <w:rFonts w:ascii="Times New Roman" w:hAnsi="Times New Roman" w:cs="Times New Roman"/>
          <w:sz w:val="24"/>
          <w:szCs w:val="24"/>
        </w:rPr>
        <w:t xml:space="preserve"> inicia</w:t>
      </w:r>
      <w:r w:rsidR="001F723C" w:rsidRPr="00EC1AB2">
        <w:rPr>
          <w:rFonts w:ascii="Times New Roman" w:hAnsi="Times New Roman" w:cs="Times New Roman"/>
          <w:sz w:val="24"/>
          <w:szCs w:val="24"/>
        </w:rPr>
        <w:t xml:space="preserve">tyvų yra „Inovacijų sąjunga“. </w:t>
      </w:r>
    </w:p>
    <w:p w:rsidR="00DE1171" w:rsidRPr="00EC1AB2" w:rsidRDefault="00091CC5"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„Inovacijų sąjungos“ tikslas – pagerinti mokslinių tyrimų ir inovacijų finansavimo sąlygas bei galimybes ir užtikrinti, kad novatoriškos idėjos taptų produktais ir paslaugomis, kuriais skatinamas a</w:t>
      </w:r>
      <w:r w:rsidR="00733CAF" w:rsidRPr="00EC1AB2">
        <w:rPr>
          <w:rFonts w:ascii="Times New Roman" w:hAnsi="Times New Roman" w:cs="Times New Roman"/>
          <w:sz w:val="24"/>
          <w:szCs w:val="24"/>
        </w:rPr>
        <w:t xml:space="preserve">ugimas ir sukuriama darbo vietų. </w:t>
      </w:r>
    </w:p>
    <w:p w:rsidR="00D047FD" w:rsidRPr="00EC1AB2" w:rsidRDefault="00837BF2" w:rsidP="007A02A8">
      <w:pPr>
        <w:pStyle w:val="NormalWeb"/>
        <w:spacing w:line="360" w:lineRule="auto"/>
        <w:ind w:firstLine="567"/>
        <w:jc w:val="both"/>
      </w:pPr>
      <w:r w:rsidRPr="00EC1AB2">
        <w:t>Lietuvoje inovacijų politiką formuoja ir jos įgyvendinimą a</w:t>
      </w:r>
      <w:r w:rsidR="005F67F2" w:rsidRPr="00EC1AB2">
        <w:t>dministruoja Švietimo ir mokslo bei Ūkio ministerijos.</w:t>
      </w:r>
      <w:r w:rsidRPr="00EC1AB2">
        <w:t xml:space="preserve"> Švietimo ir mokslo ministerija atsakinga už mokslinių tyrimų ir eksperimentinės pl</w:t>
      </w:r>
      <w:r w:rsidR="00D262BA" w:rsidRPr="00EC1AB2">
        <w:t xml:space="preserve">ėtros politiką, </w:t>
      </w:r>
      <w:r w:rsidR="000F64C4" w:rsidRPr="00EC1AB2">
        <w:t xml:space="preserve">Ūkio ministerija savo ruožtu – </w:t>
      </w:r>
      <w:r w:rsidR="00D262BA" w:rsidRPr="00EC1AB2">
        <w:t>už inovacijų aplinkos gerinimo politiką</w:t>
      </w:r>
      <w:r w:rsidR="00DE1171" w:rsidRPr="00EC1AB2">
        <w:t>.</w:t>
      </w:r>
      <w:r w:rsidR="00D047FD" w:rsidRPr="00EC1AB2">
        <w:t xml:space="preserve"> </w:t>
      </w:r>
    </w:p>
    <w:p w:rsidR="00CB7CB5" w:rsidRPr="00EC1AB2" w:rsidRDefault="00F1404D" w:rsidP="007A02A8">
      <w:pPr>
        <w:pStyle w:val="NormalWeb"/>
        <w:spacing w:line="360" w:lineRule="auto"/>
        <w:ind w:firstLine="567"/>
        <w:jc w:val="both"/>
      </w:pPr>
      <w:r w:rsidRPr="00EC1AB2">
        <w:t>Atsižvelgiant į strategijos „Europa 2020</w:t>
      </w:r>
      <w:r w:rsidR="00AC099F" w:rsidRPr="00EC1AB2">
        <w:t xml:space="preserve">“ iniciatyvą „Inovacijų sąjunga“ Lietuvoje buvo parengta </w:t>
      </w:r>
      <w:hyperlink r:id="rId26" w:tgtFrame="_parent" w:history="1">
        <w:r w:rsidR="00837BF2" w:rsidRPr="00EC1AB2">
          <w:rPr>
            <w:rStyle w:val="Hyperlink"/>
            <w:color w:val="auto"/>
          </w:rPr>
          <w:t>Lietuvos inovacijų 2010–2020 metų strategija</w:t>
        </w:r>
      </w:hyperlink>
      <w:r w:rsidR="00DE1171" w:rsidRPr="00EC1AB2">
        <w:t>, o s</w:t>
      </w:r>
      <w:r w:rsidR="00883BAC" w:rsidRPr="00EC1AB2">
        <w:t xml:space="preserve">iekiant užtikrinti veiksmingą strategijos tikslų įgyvendinimą, patvirtintas </w:t>
      </w:r>
      <w:hyperlink r:id="rId27" w:tgtFrame="_parent" w:history="1">
        <w:r w:rsidR="00883BAC" w:rsidRPr="00EC1AB2">
          <w:rPr>
            <w:rStyle w:val="Hyperlink"/>
            <w:color w:val="auto"/>
          </w:rPr>
          <w:t>strategijos įgyvendinimo 2010–2013 metų priemonių planas</w:t>
        </w:r>
      </w:hyperlink>
      <w:r w:rsidR="00461EA7" w:rsidRPr="00EC1AB2">
        <w:t>.</w:t>
      </w:r>
      <w:r w:rsidR="004D6C53" w:rsidRPr="00EC1AB2">
        <w:t xml:space="preserve"> Pažymėtina, kad </w:t>
      </w:r>
      <w:r w:rsidR="00CB7CB5" w:rsidRPr="00EC1AB2">
        <w:t xml:space="preserve">Lietuvos strategijos įgyvendinimo rezultatai, kaip ir kitų </w:t>
      </w:r>
      <w:r w:rsidR="001E3C2B" w:rsidRPr="00EC1AB2">
        <w:t>šalių narių rezultatai inovacijų srityje</w:t>
      </w:r>
      <w:r w:rsidR="00EB600D" w:rsidRPr="00EC1AB2">
        <w:t>,</w:t>
      </w:r>
      <w:r w:rsidR="00CB7CB5" w:rsidRPr="00EC1AB2">
        <w:t xml:space="preserve"> vertinami</w:t>
      </w:r>
      <w:r w:rsidR="00EB600D" w:rsidRPr="00EC1AB2">
        <w:t xml:space="preserve"> pagal</w:t>
      </w:r>
      <w:r w:rsidR="00CB7CB5" w:rsidRPr="00EC1AB2">
        <w:t xml:space="preserve"> </w:t>
      </w:r>
      <w:hyperlink r:id="rId28" w:history="1">
        <w:r w:rsidR="00CB7CB5" w:rsidRPr="00EC1AB2">
          <w:rPr>
            <w:rStyle w:val="Hyperlink"/>
            <w:color w:val="auto"/>
          </w:rPr>
          <w:t>Inovacijų sąjungos švieslentės</w:t>
        </w:r>
        <w:r w:rsidR="009522A9" w:rsidRPr="00EC1AB2">
          <w:rPr>
            <w:rStyle w:val="Hyperlink"/>
            <w:color w:val="auto"/>
          </w:rPr>
          <w:t xml:space="preserve"> (</w:t>
        </w:r>
        <w:r w:rsidR="009522A9" w:rsidRPr="00EC1AB2">
          <w:t>rezultatų suvestinės)</w:t>
        </w:r>
        <w:r w:rsidR="00CB7CB5" w:rsidRPr="00EC1AB2">
          <w:rPr>
            <w:rStyle w:val="Hyperlink"/>
            <w:color w:val="auto"/>
          </w:rPr>
          <w:t xml:space="preserve"> </w:t>
        </w:r>
      </w:hyperlink>
      <w:r w:rsidR="00CC662F" w:rsidRPr="00EC1AB2">
        <w:t>rodiklius.</w:t>
      </w:r>
      <w:r w:rsidR="002B6BA0" w:rsidRPr="00EC1AB2">
        <w:t xml:space="preserve"> </w:t>
      </w:r>
      <w:r w:rsidR="00B05BEB" w:rsidRPr="00EC1AB2">
        <w:t xml:space="preserve"> </w:t>
      </w:r>
    </w:p>
    <w:p w:rsidR="004D6C53" w:rsidRPr="00EC1AB2" w:rsidRDefault="00F82D8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lastRenderedPageBreak/>
        <w:t>Nuo 2010 m. UNU-MERIT</w:t>
      </w:r>
      <w:r w:rsidR="000171BB"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kiekvienais metais rengia </w:t>
      </w:r>
      <w:r w:rsidR="00B05BEB" w:rsidRPr="00EC1AB2">
        <w:rPr>
          <w:rFonts w:ascii="Times New Roman" w:hAnsi="Times New Roman" w:cs="Times New Roman"/>
          <w:sz w:val="24"/>
          <w:szCs w:val="24"/>
        </w:rPr>
        <w:t>Inovac</w:t>
      </w:r>
      <w:r w:rsidRPr="00EC1AB2">
        <w:rPr>
          <w:rFonts w:ascii="Times New Roman" w:hAnsi="Times New Roman" w:cs="Times New Roman"/>
          <w:sz w:val="24"/>
          <w:szCs w:val="24"/>
        </w:rPr>
        <w:t>i</w:t>
      </w:r>
      <w:r w:rsidR="00ED7084" w:rsidRPr="00EC1AB2">
        <w:rPr>
          <w:rFonts w:ascii="Times New Roman" w:hAnsi="Times New Roman" w:cs="Times New Roman"/>
          <w:sz w:val="24"/>
          <w:szCs w:val="24"/>
        </w:rPr>
        <w:t>jų sąjungos rezultatų suvestinę, kuri pakeitė Europos inovacijų diegimo rezultatų suvestinę.</w:t>
      </w:r>
      <w:r w:rsidRPr="00EC1AB2">
        <w:rPr>
          <w:rFonts w:ascii="Times New Roman" w:hAnsi="Times New Roman" w:cs="Times New Roman"/>
          <w:sz w:val="24"/>
          <w:szCs w:val="24"/>
        </w:rPr>
        <w:t xml:space="preserve"> </w:t>
      </w:r>
      <w:r w:rsidR="00B05BEB" w:rsidRPr="00EC1AB2">
        <w:rPr>
          <w:rFonts w:ascii="Times New Roman" w:hAnsi="Times New Roman" w:cs="Times New Roman"/>
          <w:sz w:val="24"/>
          <w:szCs w:val="24"/>
        </w:rPr>
        <w:t xml:space="preserve"> </w:t>
      </w:r>
      <w:r w:rsidR="000171BB" w:rsidRPr="00EC1AB2">
        <w:rPr>
          <w:rFonts w:ascii="Times New Roman" w:hAnsi="Times New Roman" w:cs="Times New Roman"/>
          <w:sz w:val="24"/>
          <w:szCs w:val="24"/>
        </w:rPr>
        <w:t xml:space="preserve">2012 m. vasario 7 d. buvo paskelbta </w:t>
      </w:r>
      <w:r w:rsidR="00ED7084" w:rsidRPr="00EC1AB2">
        <w:rPr>
          <w:rFonts w:ascii="Times New Roman" w:hAnsi="Times New Roman" w:cs="Times New Roman"/>
          <w:sz w:val="24"/>
          <w:szCs w:val="24"/>
        </w:rPr>
        <w:t xml:space="preserve"> </w:t>
      </w:r>
      <w:r w:rsidR="000171BB" w:rsidRPr="00EC1AB2">
        <w:rPr>
          <w:rFonts w:ascii="Times New Roman" w:hAnsi="Times New Roman" w:cs="Times New Roman"/>
          <w:sz w:val="24"/>
          <w:szCs w:val="24"/>
        </w:rPr>
        <w:t>2011 m. Inovacijų sąju</w:t>
      </w:r>
      <w:r w:rsidR="009C4F26" w:rsidRPr="00EC1AB2">
        <w:rPr>
          <w:rFonts w:ascii="Times New Roman" w:hAnsi="Times New Roman" w:cs="Times New Roman"/>
          <w:sz w:val="24"/>
          <w:szCs w:val="24"/>
        </w:rPr>
        <w:t>n</w:t>
      </w:r>
      <w:r w:rsidR="000171BB" w:rsidRPr="00EC1AB2">
        <w:rPr>
          <w:rFonts w:ascii="Times New Roman" w:hAnsi="Times New Roman" w:cs="Times New Roman"/>
          <w:sz w:val="24"/>
          <w:szCs w:val="24"/>
        </w:rPr>
        <w:t xml:space="preserve">gos rezultatų suvestinė, kurioje viena iš pagrindinių išvadų buvo ta, kad </w:t>
      </w:r>
      <w:r w:rsidR="00995514" w:rsidRPr="00EC1AB2">
        <w:rPr>
          <w:rFonts w:ascii="Times New Roman" w:hAnsi="Times New Roman" w:cs="Times New Roman"/>
          <w:sz w:val="24"/>
          <w:szCs w:val="24"/>
        </w:rPr>
        <w:t>i</w:t>
      </w:r>
      <w:r w:rsidR="000171BB" w:rsidRPr="00EC1AB2">
        <w:rPr>
          <w:rFonts w:ascii="Times New Roman" w:hAnsi="Times New Roman" w:cs="Times New Roman"/>
          <w:sz w:val="24"/>
          <w:szCs w:val="24"/>
        </w:rPr>
        <w:t>novacijų srityje ES nesugeba padaryti tokios pažangos, kad pasivytų savo pagrindines tarptautines varžoves JAV ir Japoniją. Ir nors net per ekonomikos krizę daugelis ES valstybių narių ėmėsi tinkamų veiksmų, pažanga nepakankamai sparti. ES vis dar gerokai lenkia tokias besiformuojančios rinkos ekonomikos šalis kaip Indija ir Rusija, tačiau stabilią pažangą daro Brazilija, taip pat sparčiai gerėja Kinijos rodikliai.</w:t>
      </w:r>
    </w:p>
    <w:p w:rsidR="00D22FFD" w:rsidRPr="00EC1AB2" w:rsidRDefault="00995514"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Taigi, </w:t>
      </w:r>
      <w:r w:rsidR="004A6D7F" w:rsidRPr="00EC1AB2">
        <w:rPr>
          <w:rFonts w:ascii="Times New Roman" w:hAnsi="Times New Roman" w:cs="Times New Roman"/>
          <w:sz w:val="24"/>
          <w:szCs w:val="24"/>
        </w:rPr>
        <w:t>12</w:t>
      </w:r>
      <w:r w:rsidRPr="00EC1AB2">
        <w:rPr>
          <w:rFonts w:ascii="Times New Roman" w:hAnsi="Times New Roman" w:cs="Times New Roman"/>
          <w:sz w:val="24"/>
          <w:szCs w:val="24"/>
        </w:rPr>
        <w:t xml:space="preserve"> pav. matyti </w:t>
      </w:r>
      <w:r w:rsidR="00131F81" w:rsidRPr="00EC1AB2">
        <w:rPr>
          <w:rFonts w:ascii="Times New Roman" w:hAnsi="Times New Roman" w:cs="Times New Roman"/>
          <w:sz w:val="24"/>
          <w:szCs w:val="24"/>
        </w:rPr>
        <w:t>ki</w:t>
      </w:r>
      <w:r w:rsidRPr="00EC1AB2">
        <w:rPr>
          <w:rFonts w:ascii="Times New Roman" w:hAnsi="Times New Roman" w:cs="Times New Roman"/>
          <w:sz w:val="24"/>
          <w:szCs w:val="24"/>
        </w:rPr>
        <w:t>ekvienos šalies narės rezultatai bei indėlis</w:t>
      </w:r>
      <w:r w:rsidR="00131F81" w:rsidRPr="00EC1AB2">
        <w:rPr>
          <w:rFonts w:ascii="Times New Roman" w:hAnsi="Times New Roman" w:cs="Times New Roman"/>
          <w:sz w:val="24"/>
          <w:szCs w:val="24"/>
        </w:rPr>
        <w:t xml:space="preserve"> inovacijų srityje</w:t>
      </w:r>
      <w:r w:rsidRPr="00EC1AB2">
        <w:rPr>
          <w:rFonts w:ascii="Times New Roman" w:hAnsi="Times New Roman" w:cs="Times New Roman"/>
          <w:sz w:val="24"/>
          <w:szCs w:val="24"/>
        </w:rPr>
        <w:t>, pa</w:t>
      </w:r>
      <w:r w:rsidR="009C4F26" w:rsidRPr="00EC1AB2">
        <w:rPr>
          <w:rFonts w:ascii="Times New Roman" w:hAnsi="Times New Roman" w:cs="Times New Roman"/>
          <w:sz w:val="24"/>
          <w:szCs w:val="24"/>
        </w:rPr>
        <w:t>l</w:t>
      </w:r>
      <w:r w:rsidRPr="00EC1AB2">
        <w:rPr>
          <w:rFonts w:ascii="Times New Roman" w:hAnsi="Times New Roman" w:cs="Times New Roman"/>
          <w:sz w:val="24"/>
          <w:szCs w:val="24"/>
        </w:rPr>
        <w:t>yginti su kitomis šalimis 2011 m</w:t>
      </w:r>
      <w:r w:rsidR="00131F81" w:rsidRPr="00EC1AB2">
        <w:rPr>
          <w:rFonts w:ascii="Times New Roman" w:hAnsi="Times New Roman" w:cs="Times New Roman"/>
          <w:sz w:val="24"/>
          <w:szCs w:val="24"/>
        </w:rPr>
        <w:t>.</w:t>
      </w:r>
    </w:p>
    <w:p w:rsidR="00782239" w:rsidRPr="00EC1AB2" w:rsidRDefault="00782239" w:rsidP="007A02A8">
      <w:pPr>
        <w:autoSpaceDE w:val="0"/>
        <w:autoSpaceDN w:val="0"/>
        <w:adjustRightInd w:val="0"/>
        <w:spacing w:after="0" w:line="360" w:lineRule="auto"/>
        <w:ind w:firstLine="567"/>
        <w:jc w:val="both"/>
        <w:rPr>
          <w:rFonts w:ascii="Times New Roman" w:hAnsi="Times New Roman" w:cs="Times New Roman"/>
          <w:sz w:val="24"/>
          <w:szCs w:val="24"/>
        </w:rPr>
      </w:pPr>
    </w:p>
    <w:p w:rsidR="00C145D8" w:rsidRPr="00EC1AB2" w:rsidRDefault="0010732A"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653120" behindDoc="1" locked="0" layoutInCell="1" allowOverlap="1" wp14:anchorId="4CA6FF85" wp14:editId="3DA58229">
            <wp:simplePos x="0" y="0"/>
            <wp:positionH relativeFrom="column">
              <wp:posOffset>-71755</wp:posOffset>
            </wp:positionH>
            <wp:positionV relativeFrom="paragraph">
              <wp:posOffset>133985</wp:posOffset>
            </wp:positionV>
            <wp:extent cx="6120130" cy="2614295"/>
            <wp:effectExtent l="0" t="0" r="0" b="0"/>
            <wp:wrapTight wrapText="bothSides">
              <wp:wrapPolygon edited="0">
                <wp:start x="134" y="315"/>
                <wp:lineTo x="134" y="7870"/>
                <wp:lineTo x="471" y="8499"/>
                <wp:lineTo x="134" y="8499"/>
                <wp:lineTo x="134" y="12749"/>
                <wp:lineTo x="605" y="13379"/>
                <wp:lineTo x="471" y="13851"/>
                <wp:lineTo x="941" y="15740"/>
                <wp:lineTo x="538" y="16527"/>
                <wp:lineTo x="874" y="18258"/>
                <wp:lineTo x="4572" y="18573"/>
                <wp:lineTo x="4572" y="20304"/>
                <wp:lineTo x="4639" y="21406"/>
                <wp:lineTo x="4908" y="21406"/>
                <wp:lineTo x="4908" y="20776"/>
                <wp:lineTo x="21515" y="20776"/>
                <wp:lineTo x="21515" y="18415"/>
                <wp:lineTo x="16069" y="18258"/>
                <wp:lineTo x="21515" y="17156"/>
                <wp:lineTo x="21515" y="16999"/>
                <wp:lineTo x="20842" y="15740"/>
                <wp:lineTo x="21515" y="15582"/>
                <wp:lineTo x="21515" y="14953"/>
                <wp:lineTo x="10690" y="13221"/>
                <wp:lineTo x="874" y="10703"/>
                <wp:lineTo x="10757" y="8185"/>
                <wp:lineTo x="9480" y="8185"/>
                <wp:lineTo x="874" y="5981"/>
                <wp:lineTo x="874" y="315"/>
                <wp:lineTo x="134" y="315"/>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29920" behindDoc="0" locked="0" layoutInCell="1" allowOverlap="1" wp14:anchorId="117F2781" wp14:editId="561B33B6">
                <wp:simplePos x="0" y="0"/>
                <wp:positionH relativeFrom="column">
                  <wp:posOffset>1634490</wp:posOffset>
                </wp:positionH>
                <wp:positionV relativeFrom="paragraph">
                  <wp:posOffset>954405</wp:posOffset>
                </wp:positionV>
                <wp:extent cx="95250" cy="104775"/>
                <wp:effectExtent l="0" t="0" r="0" b="9525"/>
                <wp:wrapNone/>
                <wp:docPr id="34"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128.7pt;margin-top:75.15pt;width:7.5pt;height:8.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sQlAIAAKEFAAAOAAAAZHJzL2Uyb0RvYy54bWysVNtu2zAMfR+wfxD0vtrJkl6COkWQosOA&#10;ri3aDn1WZCkWIImapMTJvn6U7LhduwswLA8KJZKH5DHJ84ud0WQrfFBgKzo6KikRlkOt7LqiXx+v&#10;PpxSEiKzNdNgRUX3ItCL+ft3562biTE0oGvhCYLYMGtdRZsY3awoAm+EYeEInLColOANi3j166L2&#10;rEV0o4txWR4XLfjaeeAiBHy97JR0nvGlFDzeShlEJLqimFvMp8/nKp3F/JzN1p65RvE+DfYPWRim&#10;LAYdoC5ZZGTj1Rsoo7iHADIecTAFSKm4yDVgNaPyVTUPDXMi14LkBDfQFP4fLL/Z3nmi6op+nFBi&#10;mcFvdI+sMbvWghwnfloXZmj24O58fwsopmJ30pv0j2WQXeZ0P3AqdpFwfDybjqdIPEfNqJycnEwT&#10;ZPHs63yInwQYkoSKeoydiWTb6xA704NJChVAq/pKaZ0vqUvEUnuyZfh9GefCxlF21xvzBerufVri&#10;rw+bGyu55CR+QtM2YVpI6F3g9FKk8ruCsxT3WiQ7be+FROKwxHGOOCC/TSY0rBZ/yyUDJmSJ8Qfs&#10;rprfYHdZ9vbJVeSOH5zLPyXWOQ8eOTLYODgbZcH/CkAjxX3kzv5AUkdNYmkF9R7bykM3b8HxK4Wf&#10;95qFeMc8Dhh2BC6NeIuH1NBWlGvlKGnAf3/9luyw31FDSYuDWtHwbcO8oER/tjgJZ6PJJE12vkym&#10;J2O8+Jea1UuN3ZglYK+McC05nsVkH/VBlB7ME+6URYqKKmY5xq5oPIjL2K0P3ElcLBbZCGfZsXht&#10;HxxP0InL1LSPuyfmXd/ZESfiBg4jzWavGryzTZ4WFpsIUuXuf2azZxn3QG7dfmelRfPynq2eN+v8&#10;BwAAAP//AwBQSwMEFAAGAAgAAAAhANsjgD3eAAAACwEAAA8AAABkcnMvZG93bnJldi54bWxMj81O&#10;wzAQhO9IvIO1SFwQtQltUoU4VYvUM6JwyNGJlySqfyLbbcLbs5zguDOfZmeq3WINu2KIo3cSnlYC&#10;GLrO69H1Ej4/jo9bYDEpp5XxDiV8Y4RdfXtTqVL72b3j9ZR6RiEulkrCkNJUch67Aa2KKz+hI+/L&#10;B6sSnaHnOqiZwq3hmRA5t2p09GFQE74O2J1PFyvhrTkWQcRWH877zjcPtjmYeS3l/d2yfwGWcEl/&#10;MPzWp+pQU6fWX5yOzEjINsWaUDI24hkYEVmRkdKSkudb4HXF/2+ofwAAAP//AwBQSwECLQAUAAYA&#10;CAAAACEAtoM4kv4AAADhAQAAEwAAAAAAAAAAAAAAAAAAAAAAW0NvbnRlbnRfVHlwZXNdLnhtbFBL&#10;AQItABQABgAIAAAAIQA4/SH/1gAAAJQBAAALAAAAAAAAAAAAAAAAAC8BAABfcmVscy8ucmVsc1BL&#10;AQItABQABgAIAAAAIQDNQvsQlAIAAKEFAAAOAAAAAAAAAAAAAAAAAC4CAABkcnMvZTJvRG9jLnht&#10;bFBLAQItABQABgAIAAAAIQDbI4A93gAAAAsBAAAPAAAAAAAAAAAAAAAAAO4EAABkcnMvZG93bnJl&#10;di54bWxQSwUGAAAAAAQABADzAAAA+QUAAAAA&#10;" fillcolor="#243f60 [1604]"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27872" behindDoc="0" locked="0" layoutInCell="1" allowOverlap="1" wp14:anchorId="6C9BC1A1" wp14:editId="2E6028A3">
                <wp:simplePos x="0" y="0"/>
                <wp:positionH relativeFrom="column">
                  <wp:posOffset>1634490</wp:posOffset>
                </wp:positionH>
                <wp:positionV relativeFrom="paragraph">
                  <wp:posOffset>773430</wp:posOffset>
                </wp:positionV>
                <wp:extent cx="95250" cy="104775"/>
                <wp:effectExtent l="0" t="0" r="0" b="9525"/>
                <wp:wrapNone/>
                <wp:docPr id="27"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128.7pt;margin-top:60.9pt;width:7.5pt;height:8.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5AlQIAAHoFAAAOAAAAZHJzL2Uyb0RvYy54bWysVFFv2yAQfp+0/4B4X+1kybJGdaooXadJ&#10;1Vq1nfpMMMRImGNA4mS/fgfYbtdNe5iWBwLcd99xn+/u4vLYanIQziswFZ2clZQIw6FWZlfRb4/X&#10;7z5S4gMzNdNgREVPwtPL1ds3F51diik0oGvhCJIYv+xsRZsQ7LIoPG9Ey/wZWGHQKMG1LODR7Yra&#10;sQ7ZW11My/JD0YGrrQMuvMfbq2ykq8QvpeDhVkovAtEVxbeFtLq0buNarC7YcueYbRTvn8H+4RUt&#10;UwaDjlRXLDCyd+o3qlZxBx5kOOPQFiCl4iLlgNlMylfZPDTMipQLiuPtKJP/f7T86+HOEVVXdLqg&#10;xLAWv9E9qsbMTgsyi/p01i8R9mDvXH/yuI3JHqVr4z+mQY5J09OoqTgGwvHyfD6do/AcLZNytljM&#10;I2Xx7GudD58FtCRuKuowdhKSHW58yNABEkN50Kq+Vlqng9ttN9qRA8Ovuyk/zd5vevZfYNpEsIHo&#10;lhnjTRHzypmkXThpEXHa3AuJiuDbp+klqRbFGIdxLkyYZFPDapHDz0v8DdFj9UaPlGkijMwS44/c&#10;PcGAzCQDd35lj4+uIpXy6Fz+7WHZefRIkcGE0blVBtyfCDRm1UfO+EGkLE1UaQv1CevFQW4kb/m1&#10;wu92w3y4Yw47Bz81ToNwi4vU0FWUa2UpacD9eH0XcVjIaKGkww6sqP++Z05Qor8YLPHzyWwWWzYd&#10;ZvPFFA/upWX70mL27QawDCY4byxP24gPethKB+0TDot1jIomZjjGrmgYtpuQ5wIOGy7W6wTCJrUs&#10;3JgHyyN11DJW4+PxiTnbl2zAUv8KQ6+y5avKzdjoaWC9DyBVKutnNXuVscFTufTDKE6Ql+eEeh6Z&#10;q58AAAD//wMAUEsDBBQABgAIAAAAIQCSMevG4gAAAAsBAAAPAAAAZHJzL2Rvd25yZXYueG1sTI/B&#10;TsMwEETvSPyDtUjcqFMX2hDiVBWIQwVCkFIhbm5s4gh7HcVuG/h6lhMcd+ZpdqZcjt6xgxliF1DC&#10;dJIBM9gE3WEr4XVzf5EDi0mhVi6gkfBlIiyr05NSFToc8cUc6tQyCsFYKAk2pb7gPDbWeBUnoTdI&#10;3kcYvEp0Di3XgzpSuHdcZNmce9UhfbCqN7fWNJ/13kvY1tv10/zt+cHdbez198qu88f+Xcrzs3F1&#10;AyyZMf3B8FufqkNFnXZhjzoyJ0FcLS4JJUNMaQMRYiFI2ZEyy2fAq5L/31D9AAAA//8DAFBLAQIt&#10;ABQABgAIAAAAIQC2gziS/gAAAOEBAAATAAAAAAAAAAAAAAAAAAAAAABbQ29udGVudF9UeXBlc10u&#10;eG1sUEsBAi0AFAAGAAgAAAAhADj9If/WAAAAlAEAAAsAAAAAAAAAAAAAAAAALwEAAF9yZWxzLy5y&#10;ZWxzUEsBAi0AFAAGAAgAAAAhAAJgnkCVAgAAegUAAA4AAAAAAAAAAAAAAAAALgIAAGRycy9lMm9E&#10;b2MueG1sUEsBAi0AFAAGAAgAAAAhAJIx68biAAAACwEAAA8AAAAAAAAAAAAAAAAA7wQAAGRycy9k&#10;b3ducmV2LnhtbFBLBQYAAAAABAAEAPMAAAD+BQAAAAA=&#10;" fillcolor="#c0e43c" stroked="f" strokeweight="2pt"/>
            </w:pict>
          </mc:Fallback>
        </mc:AlternateContent>
      </w: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4"/>
          <w:szCs w:val="24"/>
        </w:rPr>
      </w:pPr>
    </w:p>
    <w:p w:rsidR="0010732A" w:rsidRPr="00EC1AB2" w:rsidRDefault="00090890" w:rsidP="007A02A8">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b/>
          <w:noProof/>
          <w:sz w:val="20"/>
          <w:szCs w:val="20"/>
          <w:lang w:eastAsia="lt-LT"/>
        </w:rPr>
        <mc:AlternateContent>
          <mc:Choice Requires="wps">
            <w:drawing>
              <wp:anchor distT="0" distB="0" distL="114300" distR="114300" simplePos="0" relativeHeight="251948032" behindDoc="0" locked="0" layoutInCell="1" allowOverlap="1" wp14:anchorId="3A03C577" wp14:editId="3DBB2E50">
                <wp:simplePos x="0" y="0"/>
                <wp:positionH relativeFrom="column">
                  <wp:posOffset>175895</wp:posOffset>
                </wp:positionH>
                <wp:positionV relativeFrom="paragraph">
                  <wp:posOffset>130175</wp:posOffset>
                </wp:positionV>
                <wp:extent cx="3286125" cy="857250"/>
                <wp:effectExtent l="0" t="0" r="0" b="0"/>
                <wp:wrapNone/>
                <wp:docPr id="177" name="TextBox 2"/>
                <wp:cNvGraphicFramePr/>
                <a:graphic xmlns:a="http://schemas.openxmlformats.org/drawingml/2006/main">
                  <a:graphicData uri="http://schemas.microsoft.com/office/word/2010/wordprocessingShape">
                    <wps:wsp>
                      <wps:cNvSpPr txBox="1"/>
                      <wps:spPr>
                        <a:xfrm>
                          <a:off x="0" y="0"/>
                          <a:ext cx="3286125" cy="8572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Default="00EC1AB2" w:rsidP="00090890">
                            <w:pPr>
                              <w:pStyle w:val="caps"/>
                              <w:spacing w:before="0" w:beforeAutospacing="0" w:after="0" w:afterAutospacing="0"/>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090890">
                            <w:pPr>
                              <w:pStyle w:val="caps"/>
                              <w:spacing w:before="0" w:beforeAutospacing="0" w:after="0" w:afterAutospacing="0"/>
                              <w:rPr>
                                <w:sz w:val="20"/>
                                <w:szCs w:val="20"/>
                              </w:rPr>
                            </w:pPr>
                            <w:r>
                              <w:rPr>
                                <w:color w:val="000000" w:themeColor="dark1"/>
                                <w:sz w:val="20"/>
                                <w:szCs w:val="20"/>
                              </w:rPr>
                              <w:t xml:space="preserve">     </w:t>
                            </w:r>
                            <w:r w:rsidRPr="00CB652D">
                              <w:rPr>
                                <w:color w:val="000000" w:themeColor="dark1"/>
                                <w:sz w:val="20"/>
                                <w:szCs w:val="20"/>
                              </w:rPr>
                              <w:t xml:space="preserve">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a:graphicData>
                </a:graphic>
                <wp14:sizeRelV relativeFrom="margin">
                  <wp14:pctHeight>0</wp14:pctHeight>
                </wp14:sizeRelV>
              </wp:anchor>
            </w:drawing>
          </mc:Choice>
          <mc:Fallback>
            <w:pict>
              <v:shape id="TextBox 2" o:spid="_x0000_s1044" type="#_x0000_t202" style="position:absolute;left:0;text-align:left;margin-left:13.85pt;margin-top:10.25pt;width:258.75pt;height:67.5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v3GgIAAIIEAAAOAAAAZHJzL2Uyb0RvYy54bWysVE1v2zAMvQ/YfxB0X5x4SJMFcYqtRXcZ&#10;1qHtfoAiS7YwSdQkJXb260fJHx26U4ddZJsiH/keSe+ve6PJWfigwFZ0tVhSIiyHWtmmot+f7t5t&#10;KQmR2ZppsKKiFxHo9eHtm33ndqKEFnQtPEEQG3adq2gbo9sVReCtMCwswAmLlxK8YRE/fVPUnnWI&#10;bnRRLpdXRQe+dh64CAGtt8MlPWR8KQWP91IGEYmuKNYW8+nzeUxncdizXeOZaxUfy2D/UIVhymLS&#10;GeqWRUZOXv0FZRT3EEDGBQdTgJSKi8wB2ayWL9g8tsyJzAXFCW6WKfw/WP71/M0TVWPvNhtKLDPY&#10;pCfRx0/QkzLJ07mwQ69Hh36xRzO6TvaAxsS6l96kJ/IheI9CX2ZxEYtwNL4vt1erck0Jx7vtelOu&#10;s/rFc7TzIX4WYEh6qajH5mVN2flLiFgJuk4uKZmFO6V1bqC2pKvoh3WGNw7ZBNvk2NkJg7VFjERn&#10;KDu/xYsWCUzbByFRh1x9MgTum+ON9mQYFpxmZDWNTAbDgOQosYhXxo4hKVrkGX1l/ByU84ONc7xR&#10;FnwmnjdIJAJnhrNf/8hNw8Ll4D9JMQiQtIj9sR8nYervEeoLth33O97jITWgzFwrR0kL/tdLW4d7&#10;hNL/PDEvKPFR38Cwdsxy9K/o0E8LH08RpMo9TZmHNGNFOOi51eNSpk368zt7Pf86Dr8BAAD//wMA&#10;UEsDBBQABgAIAAAAIQBK21Sw3QAAAAkBAAAPAAAAZHJzL2Rvd25yZXYueG1sTI/BTsMwDIbvSLxD&#10;ZCRuLKFa2OiaTgjEFcTYJnHLGq+t1jhVk63l7TEnOFnW/+n352I9+U5ccIhtIAP3MwUCqQqupdrA&#10;9vP1bgkiJkvOdoHQwDdGWJfXV4XNXRjpAy+bVAsuoZhbA01KfS5lrBr0Ns5Cj8TZMQzeJl6HWrrB&#10;jlzuO5kp9SC9bYkvNLbH5war0+bsDezejl/7uXqvX7zuxzApSf5RGnN7Mz2tQCSc0h8Mv/qsDiU7&#10;HcKZXBSdgWyxYJKn0iA413OdgTgwqLUGWRby/wflDwAAAP//AwBQSwECLQAUAAYACAAAACEAtoM4&#10;kv4AAADhAQAAEwAAAAAAAAAAAAAAAAAAAAAAW0NvbnRlbnRfVHlwZXNdLnhtbFBLAQItABQABgAI&#10;AAAAIQA4/SH/1gAAAJQBAAALAAAAAAAAAAAAAAAAAC8BAABfcmVscy8ucmVsc1BLAQItABQABgAI&#10;AAAAIQAK0Jv3GgIAAIIEAAAOAAAAAAAAAAAAAAAAAC4CAABkcnMvZTJvRG9jLnhtbFBLAQItABQA&#10;BgAIAAAAIQBK21Sw3QAAAAkBAAAPAAAAAAAAAAAAAAAAAHQEAABkcnMvZG93bnJldi54bWxQSwUG&#10;AAAAAAQABADzAAAAfgUAAAAA&#10;" filled="f" stroked="f">
                <v:textbox>
                  <w:txbxContent>
                    <w:p w:rsidR="00A03476" w:rsidRDefault="00A03476" w:rsidP="00090890">
                      <w:pPr>
                        <w:pStyle w:val="caps"/>
                        <w:spacing w:before="0" w:beforeAutospacing="0" w:after="0" w:afterAutospacing="0"/>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090890">
                      <w:pPr>
                        <w:pStyle w:val="caps"/>
                        <w:spacing w:before="0" w:beforeAutospacing="0" w:after="0" w:afterAutospacing="0"/>
                        <w:rPr>
                          <w:sz w:val="20"/>
                          <w:szCs w:val="20"/>
                        </w:rPr>
                      </w:pPr>
                      <w:r>
                        <w:rPr>
                          <w:color w:val="000000" w:themeColor="dark1"/>
                          <w:sz w:val="20"/>
                          <w:szCs w:val="20"/>
                        </w:rPr>
                        <w:t xml:space="preserve">     </w:t>
                      </w:r>
                      <w:r w:rsidRPr="00CB652D">
                        <w:rPr>
                          <w:color w:val="000000" w:themeColor="dark1"/>
                          <w:sz w:val="20"/>
                          <w:szCs w:val="20"/>
                        </w:rPr>
                        <w:t xml:space="preserve">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w:pict>
          </mc:Fallback>
        </mc:AlternateContent>
      </w:r>
      <w:r w:rsidRPr="00EC1AB2">
        <w:rPr>
          <w:rFonts w:ascii="Times New Roman" w:hAnsi="Times New Roman" w:cs="Times New Roman"/>
          <w:b/>
          <w:noProof/>
          <w:sz w:val="20"/>
          <w:szCs w:val="20"/>
          <w:lang w:eastAsia="lt-LT"/>
        </w:rPr>
        <mc:AlternateContent>
          <mc:Choice Requires="wps">
            <w:drawing>
              <wp:anchor distT="0" distB="0" distL="114300" distR="114300" simplePos="0" relativeHeight="251950080" behindDoc="0" locked="0" layoutInCell="1" allowOverlap="1" wp14:anchorId="50EC82DC" wp14:editId="1C651CEC">
                <wp:simplePos x="0" y="0"/>
                <wp:positionH relativeFrom="column">
                  <wp:posOffset>1727835</wp:posOffset>
                </wp:positionH>
                <wp:positionV relativeFrom="paragraph">
                  <wp:posOffset>158750</wp:posOffset>
                </wp:positionV>
                <wp:extent cx="95250" cy="104775"/>
                <wp:effectExtent l="0" t="0" r="0" b="9525"/>
                <wp:wrapNone/>
                <wp:docPr id="179"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136.05pt;margin-top:12.5pt;width:7.5pt;height:8.2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ZzlgIAAHsFAAAOAAAAZHJzL2Uyb0RvYy54bWysVFFv2yAQfp+0/4B4X+1kybJGdaooXadJ&#10;1Vq1nfpMMMRImGNA4mS/fgfYbtdNe5iWBwK+777jPu7u4vLYanIQziswFZ2clZQIw6FWZlfRb4/X&#10;7z5S4gMzNdNgREVPwtPL1ds3F51diik0oGvhCJIYv+xsRZsQ7LIoPG9Ey/wZWGHQKMG1LODR7Yra&#10;sQ7ZW11My/JD0YGrrQMuvMevV9lIV4lfSsHDrZReBKIrincLaXVp3ca1WF2w5c4x2yjeX4P9wy1a&#10;pgwGHamuWGBk79RvVK3iDjzIcMahLUBKxUXKAbOZlK+yeWiYFSkXFMfbUSb//2j518OdI6rGt1uc&#10;U2JYi490j7Ixs9OCzKJAnfVLxD3YO9efPG5jtkfp2viPeZBjEvU0iiqOgXD8eD6fzlF5jpZJOVss&#10;5pGyePa1zofPAloSNxV1GDspyQ43PmToAImhPGhVXyut08HtthvtyIHh827KT7P3m579F5g2EWwg&#10;umXG+KWIeeVM0i6ctIg4be6FREnw7tN0k1SMYozDOBcmTLKpYbXI4ecl/obosXyjR8o0EUZmifFH&#10;7p5gQGaSgTvfssdHV5FqeXQu/3ax7Dx6pMhgwujcKgPuTwQas+ojZ/wgUpYmqrSF+oQF4yB3krf8&#10;WuG73TAf7pjD1sGnxnEQbnGRGrqKcq0sJQ24H6+/RRxWMloo6bAFK+q/75kTlOgvBmv8fDKbxZ5N&#10;h9l8McWDe2nZvrSYfbsBLIMJDhzL0zbigx620kH7hNNiHaOiiRmOsSsahu0m5MGA04aL9TqBsEst&#10;CzfmwfJIHbWM1fh4fGLO9iUbsNS/wtCsbPmqcjM2ehpY7wNIlcr6Wc1eZezwVC79NIoj5OU5oZ5n&#10;5uonAAAA//8DAFBLAwQUAAYACAAAACEApnHMJOIAAAAJAQAADwAAAGRycy9kb3ducmV2LnhtbEyP&#10;zU7DMBCE70i8g7VI3KiTiLYhxKkqEIcKVNG0FeLmxksc4Z8odtvA07Oc4La7M5r9plyM1rATDqHz&#10;TkA6SYCha7zqXCtgt326yYGFKJ2SxjsU8IUBFtXlRSkL5c9ug6c6toxCXCikAB1jX3AeGo1Whonv&#10;0ZH24QcrI61Dy9UgzxRuDc+SZMat7Bx90LLHB43NZ320Avb1frWevb0+m8etvvte6lX+0r8LcX01&#10;Lu+BRRzjnxl+8QkdKmI6+KNTgRkB2TxLyUrDlDqRIcvndDgIuE2nwKuS/29Q/QAAAP//AwBQSwEC&#10;LQAUAAYACAAAACEAtoM4kv4AAADhAQAAEwAAAAAAAAAAAAAAAAAAAAAAW0NvbnRlbnRfVHlwZXNd&#10;LnhtbFBLAQItABQABgAIAAAAIQA4/SH/1gAAAJQBAAALAAAAAAAAAAAAAAAAAC8BAABfcmVscy8u&#10;cmVsc1BLAQItABQABgAIAAAAIQCkRCZzlgIAAHsFAAAOAAAAAAAAAAAAAAAAAC4CAABkcnMvZTJv&#10;RG9jLnhtbFBLAQItABQABgAIAAAAIQCmccwk4gAAAAkBAAAPAAAAAAAAAAAAAAAAAPAEAABkcnMv&#10;ZG93bnJldi54bWxQSwUGAAAAAAQABADzAAAA/wUAAAAA&#10;" fillcolor="#c0e43c" stroked="f" strokeweight="2pt"/>
            </w:pict>
          </mc:Fallback>
        </mc:AlternateContent>
      </w:r>
      <w:r w:rsidRPr="00EC1AB2">
        <w:rPr>
          <w:rFonts w:ascii="Times New Roman" w:hAnsi="Times New Roman" w:cs="Times New Roman"/>
          <w:b/>
          <w:noProof/>
          <w:sz w:val="20"/>
          <w:szCs w:val="20"/>
          <w:lang w:eastAsia="lt-LT"/>
        </w:rPr>
        <mc:AlternateContent>
          <mc:Choice Requires="wps">
            <w:drawing>
              <wp:anchor distT="0" distB="0" distL="114300" distR="114300" simplePos="0" relativeHeight="251949056" behindDoc="0" locked="0" layoutInCell="1" allowOverlap="1" wp14:anchorId="6E134BE5" wp14:editId="755378F0">
                <wp:simplePos x="0" y="0"/>
                <wp:positionH relativeFrom="column">
                  <wp:posOffset>289560</wp:posOffset>
                </wp:positionH>
                <wp:positionV relativeFrom="paragraph">
                  <wp:posOffset>155575</wp:posOffset>
                </wp:positionV>
                <wp:extent cx="95250" cy="104775"/>
                <wp:effectExtent l="0" t="0" r="0" b="9525"/>
                <wp:wrapNone/>
                <wp:docPr id="178" name="Rectangle 3"/>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3" o:spid="_x0000_s1026" style="position:absolute;margin-left:22.8pt;margin-top:12.25pt;width:7.5pt;height:8.2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FWmgIAAKIFAAAOAAAAZHJzL2Uyb0RvYy54bWysVMFu2zAMvQ/YPwi6r7azpFmDOkXQosOA&#10;bi3aDj2rshQLkERNUuJkXz9KdtysK3YYdrFFkXwkn0ieX+yMJlvhgwJb0+qkpERYDo2y65p+f7z+&#10;8ImSEJltmAYraroXgV4s378779xCTKAF3QhPEMSGRedq2sboFkUReCsMCyfghEWlBG9YRNGvi8az&#10;DtGNLiZleVp04BvngYsQ8PaqV9JlxpdS8HgrZRCR6JpibjF/ff4+p2+xPGeLtWeuVXxIg/1DFoYp&#10;i0FHqCsWGdl49QeUUdxDABlPOJgCpFRc5Bqwmqp8Vc1Dy5zItSA5wY00hf8Hy79t7zxRDb7dHJ/K&#10;MoOPdI+0MbvWgnxMBHUuLNDuwd35QQp4TNXupDfpj3WQXSZ1P5IqdpFwvDybTWbIPEdNVU7n81mC&#10;LF58nQ/xswBD0qGmHmNnJtn2JsTe9GCSQgXQqrlWWmchtYm41J5sGT4w41zYeJrd9cZ8haa/n8/K&#10;Mj81hs2dlVxyEr+haZswLST0PnC6KVL5fcH5FPdaJDtt74VE5rDESY44Ih8nU/WqljWiv06pvJ1L&#10;BkzIEuOP2APAW4VWA5ODfXIVueVH5/JvifUljh45Mtg4Ohtlwb8FoOMYubc/kNRTk1h6hmaPfeWh&#10;H7jg+LXC571hId4xjxOGHYFbI97iR2roasq1cpS04H++vkt22PCooaTDSa1p+LFhXlCiv1gchbNq&#10;Ok2jnYXpbD5BwR9rno81dmMuAXulwr3keD4m+6gPR+nBPOFSWaWoqGKWY+yaxsPxMvb7A5cSF6tV&#10;NsJhdize2AfHE3TiMjXt4+6JeTd0dsSJ+AaHmWaLVw3e2yZPC6tNBKly97+wObCMiyC37rC00qY5&#10;lrPVy2pd/gIAAP//AwBQSwMEFAAGAAgAAAAhAJJ17hLcAAAABwEAAA8AAABkcnMvZG93bnJldi54&#10;bWxMjs1OwzAQhO9IvIO1SNyo3aqJIMSp2krNBSFEAgdubrwkEfE6it02vD3LCY7zo5kv38xuEGec&#10;Qu9Jw3KhQCA13vbUanirD3f3IEI0ZM3gCTV8Y4BNcX2Vm8z6C73iuYqt4BEKmdHQxThmUoamQ2fC&#10;wo9InH36yZnIcmqlncyFx90gV0ql0pme+KEzI+47bL6qk9PwVMfd7qUsDx9Jad8fnst9LbeV1rc3&#10;8/YRRMQ5/pXhF5/RoWCmoz+RDWLQsE5SbmpYrRMQnKeK9ZH9pQJZ5PI/f/EDAAD//wMAUEsBAi0A&#10;FAAGAAgAAAAhALaDOJL+AAAA4QEAABMAAAAAAAAAAAAAAAAAAAAAAFtDb250ZW50X1R5cGVzXS54&#10;bWxQSwECLQAUAAYACAAAACEAOP0h/9YAAACUAQAACwAAAAAAAAAAAAAAAAAvAQAAX3JlbHMvLnJl&#10;bHNQSwECLQAUAAYACAAAACEAgmCxVpoCAACiBQAADgAAAAAAAAAAAAAAAAAuAgAAZHJzL2Uyb0Rv&#10;Yy54bWxQSwECLQAUAAYACAAAACEAknXuEtwAAAAHAQAADwAAAAAAAAAAAAAAAAD0BAAAZHJzL2Rv&#10;d25yZXYueG1sUEsFBgAAAAAEAAQA8wAAAP0FAAAAAA==&#10;" fillcolor="#e36c0a [2409]" stroked="f" strokeweight="2pt"/>
            </w:pict>
          </mc:Fallback>
        </mc:AlternateContent>
      </w:r>
    </w:p>
    <w:p w:rsidR="00090890" w:rsidRPr="00EC1AB2" w:rsidRDefault="00090890" w:rsidP="007A02A8">
      <w:pPr>
        <w:autoSpaceDE w:val="0"/>
        <w:autoSpaceDN w:val="0"/>
        <w:adjustRightInd w:val="0"/>
        <w:spacing w:after="0" w:line="360" w:lineRule="auto"/>
        <w:ind w:firstLine="1296"/>
        <w:jc w:val="both"/>
        <w:rPr>
          <w:rFonts w:ascii="Times New Roman" w:hAnsi="Times New Roman" w:cs="Times New Roman"/>
          <w:b/>
          <w:sz w:val="20"/>
          <w:szCs w:val="20"/>
        </w:rPr>
      </w:pPr>
      <w:r w:rsidRPr="00EC1AB2">
        <w:rPr>
          <w:rFonts w:ascii="Times New Roman" w:hAnsi="Times New Roman" w:cs="Times New Roman"/>
          <w:b/>
          <w:noProof/>
          <w:sz w:val="20"/>
          <w:szCs w:val="20"/>
          <w:lang w:eastAsia="lt-LT"/>
        </w:rPr>
        <mc:AlternateContent>
          <mc:Choice Requires="wps">
            <w:drawing>
              <wp:anchor distT="0" distB="0" distL="114300" distR="114300" simplePos="0" relativeHeight="251952128" behindDoc="0" locked="0" layoutInCell="1" allowOverlap="1" wp14:anchorId="1E538CFF" wp14:editId="0654C538">
                <wp:simplePos x="0" y="0"/>
                <wp:positionH relativeFrom="column">
                  <wp:posOffset>1727835</wp:posOffset>
                </wp:positionH>
                <wp:positionV relativeFrom="paragraph">
                  <wp:posOffset>56515</wp:posOffset>
                </wp:positionV>
                <wp:extent cx="95250" cy="104775"/>
                <wp:effectExtent l="0" t="0" r="0" b="9525"/>
                <wp:wrapNone/>
                <wp:docPr id="181"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136.05pt;margin-top:4.45pt;width:7.5pt;height:8.2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20lAIAAKIFAAAOAAAAZHJzL2Uyb0RvYy54bWysVNtu2zAMfR+wfxD0vtoJkl6COkXQosOA&#10;ri3aDn1WZCkWIImapMTJvn6U7LhtugswzA+yJJKH5BHJ84ut0WQjfFBgKzo6KikRlkOt7Kqi356u&#10;P51SEiKzNdNgRUV3ItCL+ccP562biTE0oGvhCYLYMGtdRZsY3awoAm+EYeEInLAolOANi3j0q6L2&#10;rEV0o4txWR4XLfjaeeAiBLy96oR0nvGlFDzeSRlEJLqiGFvMq8/rMq3F/JzNVp65RvE+DPYPURim&#10;LDodoK5YZGTt1Tsoo7iHADIecTAFSKm4yDlgNqPyIJvHhjmRc0FyghtoCv8Plt9u7j1RNb7d6YgS&#10;yww+0gPSxuxKC3KcCGpdmKHeo7v3/SngNmW7ld6kP+ZBtpnU3UCq2EbC8fJsOp4i8xwlo3JycjJN&#10;kMWLrfMhfhZgSNpU1KPvzCTb3ITYqe5VkqsAWtXXSut8SGUiLrUnG4YPzDgXNo6yuV6br1B399MS&#10;v95trqxkkoN4g6ZtwrSQ0DvH6aZI6XcJ513caZH0tH0QEpnDFMfZ44D8PpjQsFr8LZYMmJAl+h+w&#10;u2x+g91F2esnU5FLfjAu/xRYZzxYZM9g42BslAX/KwCNFPeeO/09SR01iaUl1DusKw9dwwXHrxU+&#10;7w0L8Z557DCsCJwa8Q4XqaGtKNfKUdKA/3F4l/Sw4FFCSYudWtHwfc28oER/sdgKZ6PJJLV2Pkym&#10;J2M8+NeS5WuJXZtLwFrBYseo8jbpR73fSg/mGYfKInlFEbMcfVc07reXsZsfOJS4WCyyEjazY/HG&#10;PjqeoBOXqWifts/Mu76yI3bELex7ms0OCrzTTZYWFusIUuXqf2GzZxkHQS7dfmilSfP6nLVeRuv8&#10;JwAAAP//AwBQSwMEFAAGAAgAAAAhABTy6wLcAAAACAEAAA8AAABkcnMvZG93bnJldi54bWxMj8FO&#10;wzAQRO9I/IO1SFwQdRoVEkKcqkXqGdFyyNGJlySqvY5itwl/z3KC245mNPum3C7OiitOYfCkYL1K&#10;QCC13gzUKfg8HR5zECFqMtp6QgXfGGBb3d6UujB+pg+8HmMnuIRCoRX0MY6FlKHt0emw8iMSe19+&#10;cjqynDppJj1zubMyTZJn6fRA/KHXI7712J6PF6fgvT5kUxIasz/vWl8/uHpv541S93fL7hVExCX+&#10;heEXn9GhYqbGX8gEYRWkWbrmqIL8BQT7aZ6xbvh42oCsSvl/QPUDAAD//wMAUEsBAi0AFAAGAAgA&#10;AAAhALaDOJL+AAAA4QEAABMAAAAAAAAAAAAAAAAAAAAAAFtDb250ZW50X1R5cGVzXS54bWxQSwEC&#10;LQAUAAYACAAAACEAOP0h/9YAAACUAQAACwAAAAAAAAAAAAAAAAAvAQAAX3JlbHMvLnJlbHNQSwEC&#10;LQAUAAYACAAAACEA3lsNtJQCAACiBQAADgAAAAAAAAAAAAAAAAAuAgAAZHJzL2Uyb0RvYy54bWxQ&#10;SwECLQAUAAYACAAAACEAFPLrAtwAAAAIAQAADwAAAAAAAAAAAAAAAADuBAAAZHJzL2Rvd25yZXYu&#10;eG1sUEsFBgAAAAAEAAQA8wAAAPcFAAAAAA==&#10;" fillcolor="#243f60 [1604]" stroked="f" strokeweight="2pt"/>
            </w:pict>
          </mc:Fallback>
        </mc:AlternateContent>
      </w:r>
      <w:r w:rsidRPr="00EC1AB2">
        <w:rPr>
          <w:rFonts w:ascii="Times New Roman" w:hAnsi="Times New Roman" w:cs="Times New Roman"/>
          <w:b/>
          <w:noProof/>
          <w:sz w:val="20"/>
          <w:szCs w:val="20"/>
          <w:lang w:eastAsia="lt-LT"/>
        </w:rPr>
        <mc:AlternateContent>
          <mc:Choice Requires="wps">
            <w:drawing>
              <wp:anchor distT="0" distB="0" distL="114300" distR="114300" simplePos="0" relativeHeight="251951104" behindDoc="0" locked="0" layoutInCell="1" allowOverlap="1" wp14:anchorId="7D1E99C1" wp14:editId="19FD8BF5">
                <wp:simplePos x="0" y="0"/>
                <wp:positionH relativeFrom="column">
                  <wp:posOffset>289560</wp:posOffset>
                </wp:positionH>
                <wp:positionV relativeFrom="paragraph">
                  <wp:posOffset>85090</wp:posOffset>
                </wp:positionV>
                <wp:extent cx="95250" cy="104775"/>
                <wp:effectExtent l="0" t="0" r="0" b="9525"/>
                <wp:wrapNone/>
                <wp:docPr id="180" name="Rectangle 5"/>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5" o:spid="_x0000_s1026" style="position:absolute;margin-left:22.8pt;margin-top:6.7pt;width:7.5pt;height:8.2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lwIAAHsFAAAOAAAAZHJzL2Uyb0RvYy54bWysVE1vGyEQvVfqf0Dcm11bdpNYWUduEleV&#10;oiZKUuWMWfAiAUMBe+3++g7sR9K06qGqDxh23ryZeQxzcXkwmuyFDwpsRScnJSXCcqiV3Vb029P6&#10;wxklITJbMw1WVPQoAr1cvn930bqFmEIDuhaeIIkNi9ZVtInRLYoi8EYYFk7ACYtGCd6wiEe/LWrP&#10;WmQ3upiW5ceiBV87D1yEgF+vOyNdZn4pBY93UgYRia4o5hbz6vO6SWuxvGCLrWeuUbxPg/1DFoYp&#10;i0FHqmsWGdl59RuVUdxDABlPOJgCpFRc5Bqwmkn5pprHhjmRa0FxghtlCv+Pln/d33uiary7M9TH&#10;MoOX9ICyMbvVgsyTQK0LC8Q9unvfnwJuU7UH6U36xzrIIYt6HEUVh0g4fjyfT+fIzNEyKWenp5my&#10;ePF1PsTPAgxJm4p6jJ2VZPvbEDEeQgdIChVAq3qttM4Hv91caU/2DK/3/NPN/GadEkaXX2DaJrCF&#10;5NaZ05ci1dVVknfxqEXCafsgJEqCuU9zJrkZxRiHcS5snHSmhtWiCz8v8TdET+2bPHIumTAxS4w/&#10;cvcEA7IjGbi7LHt8chW5l0fn8m+Jdc6jR44MNo7ORlnwfyLQWFUfucMPInXSJJU2UB+xYTx0Lyk4&#10;vlZ4b7csxHvm8engVeM4iHe4SA1tRblWjpIG/I+33xIOOxktlLT4BCsavu+YF5ToLxZ7/HwymyFd&#10;zIfZ/HSKB//asnltsTtzBdgGExw4judtwkc9bKUH84zTYpWioolZjrErGoftVewGA04bLlarDMJX&#10;6li8tY+OJ+qkZerGp8Mz865v2Yit/hWGx8oWbzq3wyZPC6tdBKlyW7+o2auMLzy3Sz+N0gh5fc6o&#10;l5m5/AkAAP//AwBQSwMEFAAGAAgAAAAhAFeaub/cAAAABwEAAA8AAABkcnMvZG93bnJldi54bWxM&#10;js1Kw0AUhfeC7zBcwZ2daRqDTTMpKnQlCLZC6W6auU1CM3dCZprGt/e6ssvzwzlfsZ5cJ0YcQutJ&#10;w3ymQCBV3rZUa/jebZ5eQIRoyJrOE2r4wQDr8v6uMLn1V/rCcRtrwSMUcqOhibHPpQxVg86Eme+R&#10;ODv5wZnIcqilHcyVx10nE6Uy6UxL/NCYHt8brM7bi9Owt+P+Y6FOyflzc3g77BTZLCWtHx+m1xWI&#10;iFP8L8MfPqNDyUxHfyEbRKchfc64yf4iBcF5plgfNSTLJciykLf85S8AAAD//wMAUEsBAi0AFAAG&#10;AAgAAAAhALaDOJL+AAAA4QEAABMAAAAAAAAAAAAAAAAAAAAAAFtDb250ZW50X1R5cGVzXS54bWxQ&#10;SwECLQAUAAYACAAAACEAOP0h/9YAAACUAQAACwAAAAAAAAAAAAAAAAAvAQAAX3JlbHMvLnJlbHNQ&#10;SwECLQAUAAYACAAAACEAxv2TPpcCAAB7BQAADgAAAAAAAAAAAAAAAAAuAgAAZHJzL2Uyb0RvYy54&#10;bWxQSwECLQAUAAYACAAAACEAV5q5v9wAAAAHAQAADwAAAAAAAAAAAAAAAADxBAAAZHJzL2Rvd25y&#10;ZXYueG1sUEsFBgAAAAAEAAQA8wAAAPoFAAAAAA==&#10;" fillcolor="#9be5ef" stroked="f" strokeweight="2pt"/>
            </w:pict>
          </mc:Fallback>
        </mc:AlternateContent>
      </w:r>
    </w:p>
    <w:p w:rsidR="00090890" w:rsidRPr="00EC1AB2" w:rsidRDefault="00090890" w:rsidP="007A02A8">
      <w:pPr>
        <w:autoSpaceDE w:val="0"/>
        <w:autoSpaceDN w:val="0"/>
        <w:adjustRightInd w:val="0"/>
        <w:spacing w:after="0" w:line="360" w:lineRule="auto"/>
        <w:ind w:firstLine="1296"/>
        <w:jc w:val="both"/>
        <w:rPr>
          <w:rFonts w:ascii="Times New Roman" w:hAnsi="Times New Roman" w:cs="Times New Roman"/>
          <w:b/>
          <w:sz w:val="20"/>
          <w:szCs w:val="20"/>
        </w:rPr>
      </w:pPr>
    </w:p>
    <w:p w:rsidR="0010732A" w:rsidRPr="00EC1AB2" w:rsidRDefault="0010732A" w:rsidP="007A02A8">
      <w:pPr>
        <w:autoSpaceDE w:val="0"/>
        <w:autoSpaceDN w:val="0"/>
        <w:adjustRightInd w:val="0"/>
        <w:spacing w:after="0" w:line="360" w:lineRule="auto"/>
        <w:ind w:firstLine="1296"/>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Innovation Union Scoreboard, 2011</w:t>
      </w:r>
    </w:p>
    <w:p w:rsidR="0010732A" w:rsidRPr="00EC1AB2" w:rsidRDefault="0010732A" w:rsidP="007A02A8">
      <w:pPr>
        <w:pStyle w:val="Heading5"/>
        <w:spacing w:before="0" w:line="360" w:lineRule="auto"/>
        <w:jc w:val="center"/>
        <w:rPr>
          <w:rFonts w:ascii="Times New Roman" w:hAnsi="Times New Roman" w:cs="Times New Roman"/>
          <w:b/>
          <w:color w:val="auto"/>
          <w:sz w:val="24"/>
          <w:szCs w:val="24"/>
        </w:rPr>
      </w:pPr>
      <w:bookmarkStart w:id="143" w:name="_Toc320761928"/>
      <w:bookmarkStart w:id="144" w:name="_Toc320762163"/>
      <w:bookmarkStart w:id="145" w:name="_Toc320762565"/>
      <w:r w:rsidRPr="00EC1AB2">
        <w:rPr>
          <w:rFonts w:ascii="Times New Roman" w:hAnsi="Times New Roman" w:cs="Times New Roman"/>
          <w:color w:val="auto"/>
          <w:sz w:val="24"/>
          <w:szCs w:val="24"/>
        </w:rPr>
        <w:t>1</w:t>
      </w:r>
      <w:r w:rsidR="004A6D7F" w:rsidRPr="00EC1AB2">
        <w:rPr>
          <w:rFonts w:ascii="Times New Roman" w:hAnsi="Times New Roman" w:cs="Times New Roman"/>
          <w:color w:val="auto"/>
          <w:sz w:val="24"/>
          <w:szCs w:val="24"/>
        </w:rPr>
        <w:t>2</w:t>
      </w:r>
      <w:r w:rsidRPr="00EC1AB2">
        <w:rPr>
          <w:rFonts w:ascii="Times New Roman" w:hAnsi="Times New Roman" w:cs="Times New Roman"/>
          <w:color w:val="auto"/>
          <w:sz w:val="24"/>
          <w:szCs w:val="24"/>
        </w:rPr>
        <w:t xml:space="preserve"> pav.</w:t>
      </w:r>
      <w:r w:rsidRPr="00EC1AB2">
        <w:rPr>
          <w:rFonts w:ascii="Times New Roman" w:hAnsi="Times New Roman" w:cs="Times New Roman"/>
          <w:b/>
          <w:color w:val="auto"/>
          <w:sz w:val="24"/>
          <w:szCs w:val="24"/>
        </w:rPr>
        <w:t xml:space="preserve"> Suminis inovatyvumo indeksas ES 2011 m.</w:t>
      </w:r>
      <w:bookmarkEnd w:id="143"/>
      <w:bookmarkEnd w:id="144"/>
      <w:bookmarkEnd w:id="145"/>
    </w:p>
    <w:p w:rsidR="00D22FFD" w:rsidRPr="00EC1AB2" w:rsidRDefault="00D22FFD" w:rsidP="007A02A8">
      <w:pPr>
        <w:pStyle w:val="Heading5"/>
        <w:spacing w:before="0" w:line="360" w:lineRule="auto"/>
        <w:jc w:val="center"/>
        <w:rPr>
          <w:rFonts w:ascii="Times New Roman" w:hAnsi="Times New Roman" w:cs="Times New Roman"/>
          <w:b/>
          <w:color w:val="auto"/>
          <w:sz w:val="24"/>
          <w:szCs w:val="24"/>
        </w:rPr>
      </w:pPr>
    </w:p>
    <w:p w:rsidR="00991A80" w:rsidRPr="00EC1AB2" w:rsidRDefault="00D22FF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iš 1</w:t>
      </w:r>
      <w:r w:rsidR="004A6D7F" w:rsidRPr="00EC1AB2">
        <w:rPr>
          <w:rFonts w:ascii="Times New Roman" w:hAnsi="Times New Roman" w:cs="Times New Roman"/>
          <w:sz w:val="24"/>
          <w:szCs w:val="24"/>
        </w:rPr>
        <w:t>2</w:t>
      </w:r>
      <w:r w:rsidRPr="00EC1AB2">
        <w:rPr>
          <w:rFonts w:ascii="Times New Roman" w:hAnsi="Times New Roman" w:cs="Times New Roman"/>
          <w:sz w:val="24"/>
          <w:szCs w:val="24"/>
        </w:rPr>
        <w:t xml:space="preserve"> pav. </w:t>
      </w:r>
      <w:r w:rsidR="00064480" w:rsidRPr="00EC1AB2">
        <w:rPr>
          <w:rFonts w:ascii="Times New Roman" w:hAnsi="Times New Roman" w:cs="Times New Roman"/>
          <w:sz w:val="24"/>
          <w:szCs w:val="24"/>
        </w:rPr>
        <w:t>š</w:t>
      </w:r>
      <w:r w:rsidR="00CD58F6" w:rsidRPr="00EC1AB2">
        <w:rPr>
          <w:rFonts w:ascii="Times New Roman" w:hAnsi="Times New Roman" w:cs="Times New Roman"/>
          <w:sz w:val="24"/>
          <w:szCs w:val="24"/>
        </w:rPr>
        <w:t xml:space="preserve">alys suskirstytos į keturias grupes, t.y. šalis nuosaikias </w:t>
      </w:r>
      <w:r w:rsidR="009C4F26" w:rsidRPr="00EC1AB2">
        <w:rPr>
          <w:rFonts w:ascii="Times New Roman" w:hAnsi="Times New Roman" w:cs="Times New Roman"/>
          <w:sz w:val="24"/>
          <w:szCs w:val="24"/>
        </w:rPr>
        <w:t>inovatores, vidutines inovatores</w:t>
      </w:r>
      <w:r w:rsidR="00CD58F6" w:rsidRPr="00EC1AB2">
        <w:rPr>
          <w:rFonts w:ascii="Times New Roman" w:hAnsi="Times New Roman" w:cs="Times New Roman"/>
          <w:sz w:val="24"/>
          <w:szCs w:val="24"/>
        </w:rPr>
        <w:t>, inovacijų šalininkes ir inovacijų lyderes.</w:t>
      </w:r>
      <w:r w:rsidR="00AE584E" w:rsidRPr="00EC1AB2">
        <w:rPr>
          <w:rFonts w:ascii="Times New Roman" w:hAnsi="Times New Roman" w:cs="Times New Roman"/>
          <w:sz w:val="24"/>
          <w:szCs w:val="24"/>
        </w:rPr>
        <w:t xml:space="preserve"> Geriausių</w:t>
      </w:r>
      <w:r w:rsidR="00577514" w:rsidRPr="00EC1AB2">
        <w:rPr>
          <w:rFonts w:ascii="Times New Roman" w:hAnsi="Times New Roman" w:cs="Times New Roman"/>
          <w:sz w:val="24"/>
          <w:szCs w:val="24"/>
        </w:rPr>
        <w:t xml:space="preserve"> rezultatų 2011 m. pasi</w:t>
      </w:r>
      <w:r w:rsidR="00561346" w:rsidRPr="00EC1AB2">
        <w:rPr>
          <w:rFonts w:ascii="Times New Roman" w:hAnsi="Times New Roman" w:cs="Times New Roman"/>
          <w:sz w:val="24"/>
          <w:szCs w:val="24"/>
        </w:rPr>
        <w:t xml:space="preserve">ekė Suomija, Vokietija, Danija ir </w:t>
      </w:r>
      <w:r w:rsidR="006625A8" w:rsidRPr="00EC1AB2">
        <w:rPr>
          <w:rFonts w:ascii="Times New Roman" w:hAnsi="Times New Roman" w:cs="Times New Roman"/>
          <w:sz w:val="24"/>
          <w:szCs w:val="24"/>
        </w:rPr>
        <w:t xml:space="preserve">Švedija. </w:t>
      </w:r>
      <w:r w:rsidR="00577514" w:rsidRPr="00EC1AB2">
        <w:rPr>
          <w:rFonts w:ascii="Times New Roman" w:hAnsi="Times New Roman" w:cs="Times New Roman"/>
          <w:sz w:val="24"/>
          <w:szCs w:val="24"/>
        </w:rPr>
        <w:t xml:space="preserve">Baltijos </w:t>
      </w:r>
      <w:r w:rsidR="006625A8" w:rsidRPr="00EC1AB2">
        <w:rPr>
          <w:rFonts w:ascii="Times New Roman" w:hAnsi="Times New Roman" w:cs="Times New Roman"/>
          <w:sz w:val="24"/>
          <w:szCs w:val="24"/>
        </w:rPr>
        <w:t>regione</w:t>
      </w:r>
      <w:r w:rsidR="00302FEC" w:rsidRPr="00EC1AB2">
        <w:rPr>
          <w:rFonts w:ascii="Times New Roman" w:hAnsi="Times New Roman" w:cs="Times New Roman"/>
          <w:sz w:val="24"/>
          <w:szCs w:val="24"/>
        </w:rPr>
        <w:t xml:space="preserve"> </w:t>
      </w:r>
      <w:r w:rsidR="008247A0" w:rsidRPr="00EC1AB2">
        <w:rPr>
          <w:rFonts w:ascii="Times New Roman" w:hAnsi="Times New Roman" w:cs="Times New Roman"/>
          <w:sz w:val="24"/>
          <w:szCs w:val="24"/>
        </w:rPr>
        <w:t>didžiausią pažangą</w:t>
      </w:r>
      <w:r w:rsidR="00577514" w:rsidRPr="00EC1AB2">
        <w:rPr>
          <w:rFonts w:ascii="Times New Roman" w:hAnsi="Times New Roman" w:cs="Times New Roman"/>
          <w:sz w:val="24"/>
          <w:szCs w:val="24"/>
        </w:rPr>
        <w:t xml:space="preserve"> pavyko pasiekti Estija</w:t>
      </w:r>
      <w:r w:rsidR="00302FEC" w:rsidRPr="00EC1AB2">
        <w:rPr>
          <w:rFonts w:ascii="Times New Roman" w:hAnsi="Times New Roman" w:cs="Times New Roman"/>
          <w:sz w:val="24"/>
          <w:szCs w:val="24"/>
        </w:rPr>
        <w:t>i</w:t>
      </w:r>
      <w:r w:rsidR="00611C89" w:rsidRPr="00EC1AB2">
        <w:rPr>
          <w:rFonts w:ascii="Times New Roman" w:hAnsi="Times New Roman" w:cs="Times New Roman"/>
          <w:sz w:val="24"/>
          <w:szCs w:val="24"/>
        </w:rPr>
        <w:t>. Ji pateko į š</w:t>
      </w:r>
      <w:r w:rsidR="00425D79" w:rsidRPr="00EC1AB2">
        <w:rPr>
          <w:rFonts w:ascii="Times New Roman" w:hAnsi="Times New Roman" w:cs="Times New Roman"/>
          <w:sz w:val="24"/>
          <w:szCs w:val="24"/>
        </w:rPr>
        <w:t xml:space="preserve">alių inovacijų šalininkių grupę ir palyginti nedaug atsiliko nuo ES vidurkio. </w:t>
      </w:r>
      <w:r w:rsidR="00577514" w:rsidRPr="00EC1AB2">
        <w:rPr>
          <w:rFonts w:ascii="Times New Roman" w:hAnsi="Times New Roman" w:cs="Times New Roman"/>
          <w:sz w:val="24"/>
          <w:szCs w:val="24"/>
        </w:rPr>
        <w:t xml:space="preserve"> Deja, </w:t>
      </w:r>
      <w:r w:rsidR="00DE50B5" w:rsidRPr="00EC1AB2">
        <w:rPr>
          <w:rFonts w:ascii="Times New Roman" w:hAnsi="Times New Roman" w:cs="Times New Roman"/>
          <w:sz w:val="24"/>
          <w:szCs w:val="24"/>
        </w:rPr>
        <w:t>Latvijos suminio inovatyvumo indeksas buvo mažiausias</w:t>
      </w:r>
      <w:r w:rsidR="000C5D41" w:rsidRPr="00EC1AB2">
        <w:rPr>
          <w:rFonts w:ascii="Times New Roman" w:hAnsi="Times New Roman" w:cs="Times New Roman"/>
          <w:sz w:val="24"/>
          <w:szCs w:val="24"/>
        </w:rPr>
        <w:t xml:space="preserve"> visoje ES, o Lietuv</w:t>
      </w:r>
      <w:r w:rsidR="00155078" w:rsidRPr="00EC1AB2">
        <w:rPr>
          <w:rFonts w:ascii="Times New Roman" w:hAnsi="Times New Roman" w:cs="Times New Roman"/>
          <w:sz w:val="24"/>
          <w:szCs w:val="24"/>
        </w:rPr>
        <w:t>a parodė</w:t>
      </w:r>
      <w:r w:rsidR="000C5D41" w:rsidRPr="00EC1AB2">
        <w:rPr>
          <w:rFonts w:ascii="Times New Roman" w:hAnsi="Times New Roman" w:cs="Times New Roman"/>
          <w:sz w:val="24"/>
          <w:szCs w:val="24"/>
        </w:rPr>
        <w:t xml:space="preserve"> nežymiai didesnę pažangą</w:t>
      </w:r>
      <w:r w:rsidR="00385DD2" w:rsidRPr="00EC1AB2">
        <w:rPr>
          <w:rFonts w:ascii="Times New Roman" w:hAnsi="Times New Roman" w:cs="Times New Roman"/>
          <w:sz w:val="24"/>
          <w:szCs w:val="24"/>
        </w:rPr>
        <w:t xml:space="preserve"> ir smarkiai atsiliko nuo ES vidurkio.</w:t>
      </w:r>
      <w:r w:rsidR="000C5D41" w:rsidRPr="00EC1AB2">
        <w:rPr>
          <w:rFonts w:ascii="Times New Roman" w:hAnsi="Times New Roman" w:cs="Times New Roman"/>
          <w:sz w:val="24"/>
          <w:szCs w:val="24"/>
        </w:rPr>
        <w:t xml:space="preserve"> </w:t>
      </w:r>
    </w:p>
    <w:p w:rsidR="00EC1D96" w:rsidRPr="00EC1AB2" w:rsidRDefault="00926F5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2011 m. </w:t>
      </w:r>
      <w:r w:rsidR="00B61357" w:rsidRPr="00EC1AB2">
        <w:rPr>
          <w:rFonts w:ascii="Times New Roman" w:hAnsi="Times New Roman" w:cs="Times New Roman"/>
          <w:sz w:val="24"/>
          <w:szCs w:val="24"/>
        </w:rPr>
        <w:t>Inovacijų sąjungos</w:t>
      </w:r>
      <w:r w:rsidR="00AF03DC" w:rsidRPr="00EC1AB2">
        <w:rPr>
          <w:rFonts w:ascii="Times New Roman" w:hAnsi="Times New Roman" w:cs="Times New Roman"/>
          <w:sz w:val="24"/>
          <w:szCs w:val="24"/>
        </w:rPr>
        <w:t xml:space="preserve"> rezultatų suvestinėje </w:t>
      </w:r>
      <w:r w:rsidR="004B6F64" w:rsidRPr="00EC1AB2">
        <w:rPr>
          <w:rFonts w:ascii="Times New Roman" w:hAnsi="Times New Roman" w:cs="Times New Roman"/>
          <w:sz w:val="24"/>
          <w:szCs w:val="24"/>
        </w:rPr>
        <w:t xml:space="preserve">taip pat </w:t>
      </w:r>
      <w:r w:rsidR="00B61357" w:rsidRPr="00EC1AB2">
        <w:rPr>
          <w:rFonts w:ascii="Times New Roman" w:hAnsi="Times New Roman" w:cs="Times New Roman"/>
          <w:sz w:val="24"/>
          <w:szCs w:val="24"/>
        </w:rPr>
        <w:t>pateikti</w:t>
      </w:r>
      <w:r w:rsidRPr="00EC1AB2">
        <w:rPr>
          <w:rFonts w:ascii="Times New Roman" w:hAnsi="Times New Roman" w:cs="Times New Roman"/>
          <w:sz w:val="24"/>
          <w:szCs w:val="24"/>
        </w:rPr>
        <w:t xml:space="preserve"> </w:t>
      </w:r>
      <w:r w:rsidR="004B6F64" w:rsidRPr="00EC1AB2">
        <w:rPr>
          <w:rFonts w:ascii="Times New Roman" w:hAnsi="Times New Roman" w:cs="Times New Roman"/>
          <w:sz w:val="24"/>
          <w:szCs w:val="24"/>
        </w:rPr>
        <w:t xml:space="preserve">ir </w:t>
      </w:r>
      <w:r w:rsidRPr="00EC1AB2">
        <w:rPr>
          <w:rFonts w:ascii="Times New Roman" w:hAnsi="Times New Roman" w:cs="Times New Roman"/>
          <w:sz w:val="24"/>
          <w:szCs w:val="24"/>
        </w:rPr>
        <w:t>suminiai in</w:t>
      </w:r>
      <w:r w:rsidR="00EF28B3" w:rsidRPr="00EC1AB2">
        <w:rPr>
          <w:rFonts w:ascii="Times New Roman" w:hAnsi="Times New Roman" w:cs="Times New Roman"/>
          <w:sz w:val="24"/>
          <w:szCs w:val="24"/>
        </w:rPr>
        <w:t>ovatyvumo indeksai už praėjusiu</w:t>
      </w:r>
      <w:r w:rsidRPr="00EC1AB2">
        <w:rPr>
          <w:rFonts w:ascii="Times New Roman" w:hAnsi="Times New Roman" w:cs="Times New Roman"/>
          <w:sz w:val="24"/>
          <w:szCs w:val="24"/>
        </w:rPr>
        <w:t>s laikotarpius, t.y. perskaičiuoti pagal naują metodiką.</w:t>
      </w:r>
      <w:r w:rsidR="00452979" w:rsidRPr="00EC1AB2">
        <w:rPr>
          <w:rFonts w:ascii="Times New Roman" w:hAnsi="Times New Roman" w:cs="Times New Roman"/>
          <w:sz w:val="24"/>
          <w:szCs w:val="24"/>
        </w:rPr>
        <w:t xml:space="preserve"> </w:t>
      </w:r>
    </w:p>
    <w:p w:rsidR="00111A5D" w:rsidRPr="00EC1AB2" w:rsidRDefault="00111A5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Lietuvos rezult</w:t>
      </w:r>
      <w:r w:rsidR="009C4F26" w:rsidRPr="00EC1AB2">
        <w:rPr>
          <w:rFonts w:ascii="Times New Roman" w:hAnsi="Times New Roman" w:cs="Times New Roman"/>
          <w:sz w:val="24"/>
          <w:szCs w:val="24"/>
        </w:rPr>
        <w:t>at</w:t>
      </w:r>
      <w:r w:rsidRPr="00EC1AB2">
        <w:rPr>
          <w:rFonts w:ascii="Times New Roman" w:hAnsi="Times New Roman" w:cs="Times New Roman"/>
          <w:sz w:val="24"/>
          <w:szCs w:val="24"/>
        </w:rPr>
        <w:t xml:space="preserve">ai laikotarpiu 2007-2011 m. </w:t>
      </w:r>
      <w:r w:rsidR="003979CC" w:rsidRPr="00EC1AB2">
        <w:rPr>
          <w:rFonts w:ascii="Times New Roman" w:hAnsi="Times New Roman" w:cs="Times New Roman"/>
          <w:sz w:val="24"/>
          <w:szCs w:val="24"/>
        </w:rPr>
        <w:t xml:space="preserve">kitų šalių atžvilgiu </w:t>
      </w:r>
      <w:r w:rsidRPr="00EC1AB2">
        <w:rPr>
          <w:rFonts w:ascii="Times New Roman" w:hAnsi="Times New Roman" w:cs="Times New Roman"/>
          <w:sz w:val="24"/>
          <w:szCs w:val="24"/>
        </w:rPr>
        <w:t xml:space="preserve">prastėjo (žr. 1 priedą.). </w:t>
      </w:r>
      <w:r w:rsidR="0018443E" w:rsidRPr="00EC1AB2">
        <w:rPr>
          <w:rFonts w:ascii="Times New Roman" w:hAnsi="Times New Roman" w:cs="Times New Roman"/>
          <w:sz w:val="24"/>
          <w:szCs w:val="24"/>
        </w:rPr>
        <w:t xml:space="preserve">2007 m. </w:t>
      </w:r>
      <w:r w:rsidR="001B7B43" w:rsidRPr="00EC1AB2">
        <w:rPr>
          <w:rFonts w:ascii="Times New Roman" w:hAnsi="Times New Roman" w:cs="Times New Roman"/>
          <w:sz w:val="24"/>
          <w:szCs w:val="24"/>
        </w:rPr>
        <w:t xml:space="preserve">Lietuva </w:t>
      </w:r>
      <w:r w:rsidR="0018443E" w:rsidRPr="00EC1AB2">
        <w:rPr>
          <w:rFonts w:ascii="Times New Roman" w:hAnsi="Times New Roman" w:cs="Times New Roman"/>
          <w:sz w:val="24"/>
          <w:szCs w:val="24"/>
        </w:rPr>
        <w:t>pagal suminio inovatyvumo indeksą buvo 23</w:t>
      </w:r>
      <w:r w:rsidR="00024B49" w:rsidRPr="00EC1AB2">
        <w:rPr>
          <w:rFonts w:ascii="Times New Roman" w:hAnsi="Times New Roman" w:cs="Times New Roman"/>
          <w:sz w:val="24"/>
          <w:szCs w:val="24"/>
        </w:rPr>
        <w:t>-oje</w:t>
      </w:r>
      <w:r w:rsidR="0018443E" w:rsidRPr="00EC1AB2">
        <w:rPr>
          <w:rFonts w:ascii="Times New Roman" w:hAnsi="Times New Roman" w:cs="Times New Roman"/>
          <w:sz w:val="24"/>
          <w:szCs w:val="24"/>
        </w:rPr>
        <w:t xml:space="preserve"> vietoje iš 27 šalių narių</w:t>
      </w:r>
      <w:r w:rsidR="001B7B43" w:rsidRPr="00EC1AB2">
        <w:rPr>
          <w:rFonts w:ascii="Times New Roman" w:hAnsi="Times New Roman" w:cs="Times New Roman"/>
          <w:sz w:val="24"/>
          <w:szCs w:val="24"/>
        </w:rPr>
        <w:t xml:space="preserve"> ir lenkė tokias</w:t>
      </w:r>
      <w:r w:rsidR="00024B49" w:rsidRPr="00EC1AB2">
        <w:rPr>
          <w:rFonts w:ascii="Times New Roman" w:hAnsi="Times New Roman" w:cs="Times New Roman"/>
          <w:sz w:val="24"/>
          <w:szCs w:val="24"/>
        </w:rPr>
        <w:t xml:space="preserve"> šalis, </w:t>
      </w:r>
      <w:r w:rsidR="00024B49" w:rsidRPr="00EC1AB2">
        <w:rPr>
          <w:rFonts w:ascii="Times New Roman" w:hAnsi="Times New Roman" w:cs="Times New Roman"/>
          <w:sz w:val="24"/>
          <w:szCs w:val="24"/>
        </w:rPr>
        <w:lastRenderedPageBreak/>
        <w:t>kaip Bulgarija, Latvija</w:t>
      </w:r>
      <w:r w:rsidR="001B7B43" w:rsidRPr="00EC1AB2">
        <w:rPr>
          <w:rFonts w:ascii="Times New Roman" w:hAnsi="Times New Roman" w:cs="Times New Roman"/>
          <w:sz w:val="24"/>
          <w:szCs w:val="24"/>
        </w:rPr>
        <w:t xml:space="preserve">, </w:t>
      </w:r>
      <w:r w:rsidR="00024B49" w:rsidRPr="00EC1AB2">
        <w:rPr>
          <w:rFonts w:ascii="Times New Roman" w:hAnsi="Times New Roman" w:cs="Times New Roman"/>
          <w:sz w:val="24"/>
          <w:szCs w:val="24"/>
        </w:rPr>
        <w:t>Rumunija bei Slovakija</w:t>
      </w:r>
      <w:r w:rsidR="001B7B43" w:rsidRPr="00EC1AB2">
        <w:rPr>
          <w:rFonts w:ascii="Times New Roman" w:hAnsi="Times New Roman" w:cs="Times New Roman"/>
          <w:sz w:val="24"/>
          <w:szCs w:val="24"/>
        </w:rPr>
        <w:t>.</w:t>
      </w:r>
      <w:r w:rsidR="00024B49" w:rsidRPr="00EC1AB2">
        <w:rPr>
          <w:rFonts w:ascii="Times New Roman" w:hAnsi="Times New Roman" w:cs="Times New Roman"/>
          <w:sz w:val="24"/>
          <w:szCs w:val="24"/>
        </w:rPr>
        <w:t xml:space="preserve"> Kiekvienais metais jos padėtis, lyginant su kitomis ES valstybėmis blogėjo </w:t>
      </w:r>
      <w:r w:rsidR="00C914F9" w:rsidRPr="00EC1AB2">
        <w:rPr>
          <w:rFonts w:ascii="Times New Roman" w:hAnsi="Times New Roman" w:cs="Times New Roman"/>
          <w:sz w:val="24"/>
          <w:szCs w:val="24"/>
        </w:rPr>
        <w:t xml:space="preserve">ir galiausiai 2011 m. ji </w:t>
      </w:r>
      <w:r w:rsidR="00BC4408" w:rsidRPr="00EC1AB2">
        <w:rPr>
          <w:rFonts w:ascii="Times New Roman" w:hAnsi="Times New Roman" w:cs="Times New Roman"/>
          <w:sz w:val="24"/>
          <w:szCs w:val="24"/>
        </w:rPr>
        <w:t>atsidūrė 25-oje vietoje ir parodė ger</w:t>
      </w:r>
      <w:r w:rsidR="00C914F9" w:rsidRPr="00EC1AB2">
        <w:rPr>
          <w:rFonts w:ascii="Times New Roman" w:hAnsi="Times New Roman" w:cs="Times New Roman"/>
          <w:sz w:val="24"/>
          <w:szCs w:val="24"/>
        </w:rPr>
        <w:t>esnius rezultatus tik už Latviją ir Bulgariją</w:t>
      </w:r>
      <w:r w:rsidR="00BC4408" w:rsidRPr="00EC1AB2">
        <w:rPr>
          <w:rFonts w:ascii="Times New Roman" w:hAnsi="Times New Roman" w:cs="Times New Roman"/>
          <w:sz w:val="24"/>
          <w:szCs w:val="24"/>
        </w:rPr>
        <w:t xml:space="preserve">. </w:t>
      </w:r>
      <w:r w:rsidR="0063481D" w:rsidRPr="00EC1AB2">
        <w:rPr>
          <w:rFonts w:ascii="Times New Roman" w:hAnsi="Times New Roman" w:cs="Times New Roman"/>
          <w:sz w:val="24"/>
          <w:szCs w:val="24"/>
        </w:rPr>
        <w:t>Paminėtina, kad nagrinėtu laikotarpiu Lietuvos suminis inovatyvumo indeksas didėjo, tačiau jo augimas buvo žymiai mažesnis nei kitų ES šalių, kas ir lėmė Lietuvo</w:t>
      </w:r>
      <w:r w:rsidR="004C2962" w:rsidRPr="00EC1AB2">
        <w:rPr>
          <w:rFonts w:ascii="Times New Roman" w:hAnsi="Times New Roman" w:cs="Times New Roman"/>
          <w:sz w:val="24"/>
          <w:szCs w:val="24"/>
        </w:rPr>
        <w:t>s padėties blog</w:t>
      </w:r>
      <w:r w:rsidR="00ED6EAB" w:rsidRPr="00EC1AB2">
        <w:rPr>
          <w:rFonts w:ascii="Times New Roman" w:hAnsi="Times New Roman" w:cs="Times New Roman"/>
          <w:sz w:val="24"/>
          <w:szCs w:val="24"/>
        </w:rPr>
        <w:t>ėjimą ES kontekste.</w:t>
      </w:r>
    </w:p>
    <w:p w:rsidR="004748E7" w:rsidRPr="00EC1AB2" w:rsidRDefault="00D60049" w:rsidP="007A02A8">
      <w:pPr>
        <w:autoSpaceDE w:val="0"/>
        <w:autoSpaceDN w:val="0"/>
        <w:adjustRightInd w:val="0"/>
        <w:spacing w:after="0" w:line="360" w:lineRule="auto"/>
        <w:ind w:firstLine="567"/>
        <w:contextualSpacing/>
        <w:jc w:val="both"/>
        <w:rPr>
          <w:rFonts w:ascii="Times New Roman" w:hAnsi="Times New Roman" w:cs="Times New Roman"/>
          <w:sz w:val="24"/>
          <w:szCs w:val="24"/>
        </w:rPr>
      </w:pPr>
      <w:r w:rsidRPr="00EC1AB2">
        <w:rPr>
          <w:rFonts w:ascii="Times New Roman" w:hAnsi="Times New Roman" w:cs="Times New Roman"/>
          <w:sz w:val="24"/>
          <w:szCs w:val="24"/>
        </w:rPr>
        <w:t xml:space="preserve">Rezultatų suvestinė grindžiama </w:t>
      </w:r>
      <w:r w:rsidRPr="00EC1AB2">
        <w:rPr>
          <w:rFonts w:ascii="Times New Roman" w:hAnsi="Times New Roman" w:cs="Times New Roman"/>
          <w:bCs/>
          <w:sz w:val="24"/>
          <w:szCs w:val="24"/>
        </w:rPr>
        <w:t>25 rodikliais</w:t>
      </w:r>
      <w:r w:rsidR="00B91ECD" w:rsidRPr="00EC1AB2">
        <w:rPr>
          <w:rFonts w:ascii="Times New Roman" w:hAnsi="Times New Roman" w:cs="Times New Roman"/>
          <w:bCs/>
          <w:sz w:val="24"/>
          <w:szCs w:val="24"/>
        </w:rPr>
        <w:t>, k</w:t>
      </w:r>
      <w:r w:rsidR="009C4F26" w:rsidRPr="00EC1AB2">
        <w:rPr>
          <w:rFonts w:ascii="Times New Roman" w:hAnsi="Times New Roman" w:cs="Times New Roman"/>
          <w:bCs/>
          <w:sz w:val="24"/>
          <w:szCs w:val="24"/>
        </w:rPr>
        <w:t>u</w:t>
      </w:r>
      <w:r w:rsidR="00B91ECD" w:rsidRPr="00EC1AB2">
        <w:rPr>
          <w:rFonts w:ascii="Times New Roman" w:hAnsi="Times New Roman" w:cs="Times New Roman"/>
          <w:bCs/>
          <w:sz w:val="24"/>
          <w:szCs w:val="24"/>
        </w:rPr>
        <w:t>rie yra suskirstyti</w:t>
      </w:r>
      <w:r w:rsidR="00B91ECD" w:rsidRPr="00EC1AB2">
        <w:rPr>
          <w:rFonts w:ascii="Times New Roman" w:hAnsi="Times New Roman" w:cs="Times New Roman"/>
          <w:sz w:val="24"/>
          <w:szCs w:val="24"/>
        </w:rPr>
        <w:t xml:space="preserve"> </w:t>
      </w:r>
      <w:r w:rsidR="005C6DFA" w:rsidRPr="00EC1AB2">
        <w:rPr>
          <w:rFonts w:ascii="Times New Roman" w:hAnsi="Times New Roman" w:cs="Times New Roman"/>
          <w:sz w:val="24"/>
          <w:szCs w:val="24"/>
        </w:rPr>
        <w:t xml:space="preserve">į </w:t>
      </w:r>
      <w:r w:rsidR="00B91ECD" w:rsidRPr="00EC1AB2">
        <w:rPr>
          <w:rFonts w:ascii="Times New Roman" w:hAnsi="Times New Roman" w:cs="Times New Roman"/>
          <w:sz w:val="24"/>
          <w:szCs w:val="24"/>
        </w:rPr>
        <w:t xml:space="preserve">tris </w:t>
      </w:r>
      <w:r w:rsidRPr="00EC1AB2">
        <w:rPr>
          <w:rFonts w:ascii="Times New Roman" w:hAnsi="Times New Roman" w:cs="Times New Roman"/>
          <w:sz w:val="24"/>
          <w:szCs w:val="24"/>
        </w:rPr>
        <w:t>pagrindines kategorijas:</w:t>
      </w:r>
    </w:p>
    <w:p w:rsidR="004748E7" w:rsidRPr="00EC1AB2" w:rsidRDefault="00D60049" w:rsidP="007A02A8">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Cs/>
          <w:sz w:val="24"/>
          <w:szCs w:val="24"/>
        </w:rPr>
        <w:t xml:space="preserve">Priemonės </w:t>
      </w:r>
      <w:r w:rsidRPr="00EC1AB2">
        <w:rPr>
          <w:rFonts w:ascii="Times New Roman" w:hAnsi="Times New Roman" w:cs="Times New Roman"/>
          <w:sz w:val="24"/>
          <w:szCs w:val="24"/>
        </w:rPr>
        <w:t>– pagrindiniai elementai, kurie padeda sud</w:t>
      </w:r>
      <w:r w:rsidR="00934FEA" w:rsidRPr="00EC1AB2">
        <w:rPr>
          <w:rFonts w:ascii="Times New Roman" w:hAnsi="Times New Roman" w:cs="Times New Roman"/>
          <w:sz w:val="24"/>
          <w:szCs w:val="24"/>
        </w:rPr>
        <w:t>aryti sąlygas diegti inovacijas;</w:t>
      </w:r>
    </w:p>
    <w:p w:rsidR="00934FEA" w:rsidRPr="00EC1AB2" w:rsidRDefault="00D60049" w:rsidP="007A02A8">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Cs/>
          <w:sz w:val="24"/>
          <w:szCs w:val="24"/>
        </w:rPr>
        <w:t xml:space="preserve">Verslo subjektų veikla </w:t>
      </w:r>
      <w:r w:rsidRPr="00EC1AB2">
        <w:rPr>
          <w:rFonts w:ascii="Times New Roman" w:hAnsi="Times New Roman" w:cs="Times New Roman"/>
          <w:sz w:val="24"/>
          <w:szCs w:val="24"/>
        </w:rPr>
        <w:t>– rodikliai, pagal kuriuos galima spręsti, kiek inovatyvūs yra Europos</w:t>
      </w:r>
      <w:r w:rsidR="004748E7" w:rsidRPr="00EC1AB2">
        <w:rPr>
          <w:rFonts w:ascii="Times New Roman" w:hAnsi="Times New Roman" w:cs="Times New Roman"/>
          <w:sz w:val="24"/>
          <w:szCs w:val="24"/>
        </w:rPr>
        <w:t xml:space="preserve"> </w:t>
      </w:r>
      <w:r w:rsidR="005C6DFA" w:rsidRPr="00EC1AB2">
        <w:rPr>
          <w:rFonts w:ascii="Times New Roman" w:hAnsi="Times New Roman" w:cs="Times New Roman"/>
          <w:sz w:val="24"/>
          <w:szCs w:val="24"/>
        </w:rPr>
        <w:t>verslo subjektai</w:t>
      </w:r>
      <w:r w:rsidR="00934FEA" w:rsidRPr="00EC1AB2">
        <w:rPr>
          <w:rFonts w:ascii="Times New Roman" w:hAnsi="Times New Roman" w:cs="Times New Roman"/>
          <w:sz w:val="24"/>
          <w:szCs w:val="24"/>
        </w:rPr>
        <w:t>;</w:t>
      </w:r>
    </w:p>
    <w:p w:rsidR="0010732A" w:rsidRPr="00EC1AB2" w:rsidRDefault="00D60049" w:rsidP="007A02A8">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Cs/>
          <w:sz w:val="24"/>
          <w:szCs w:val="24"/>
        </w:rPr>
        <w:t xml:space="preserve">Rezultatai </w:t>
      </w:r>
      <w:r w:rsidRPr="00EC1AB2">
        <w:rPr>
          <w:rFonts w:ascii="Times New Roman" w:hAnsi="Times New Roman" w:cs="Times New Roman"/>
          <w:sz w:val="24"/>
          <w:szCs w:val="24"/>
        </w:rPr>
        <w:t>– rodikliai, pagal kuriuos galima spręsti, kokią naudą iš to gauna ekonomika apskritai</w:t>
      </w:r>
      <w:r w:rsidR="002A347E" w:rsidRPr="00EC1AB2">
        <w:rPr>
          <w:rFonts w:ascii="Times New Roman" w:hAnsi="Times New Roman" w:cs="Times New Roman"/>
          <w:sz w:val="24"/>
          <w:szCs w:val="24"/>
        </w:rPr>
        <w:t xml:space="preserve"> </w:t>
      </w:r>
      <w:r w:rsidR="00CE4F9A" w:rsidRPr="00EC1AB2">
        <w:rPr>
          <w:rFonts w:ascii="Times New Roman" w:hAnsi="Times New Roman" w:cs="Times New Roman"/>
          <w:sz w:val="24"/>
          <w:szCs w:val="24"/>
        </w:rPr>
        <w:t xml:space="preserve"> (plačiau žr. 2 priedą).</w:t>
      </w:r>
    </w:p>
    <w:p w:rsidR="00D76904" w:rsidRPr="00EC1AB2" w:rsidRDefault="00167F49"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Siekiant išskirti Lietuvos silpnąsias ir stipriąsias puses verta panagrinėti suminio inovatyvumo indekso s</w:t>
      </w:r>
      <w:r w:rsidR="001E4726" w:rsidRPr="00EC1AB2">
        <w:rPr>
          <w:rFonts w:ascii="Times New Roman" w:hAnsi="Times New Roman" w:cs="Times New Roman"/>
          <w:sz w:val="24"/>
          <w:szCs w:val="24"/>
        </w:rPr>
        <w:t>u</w:t>
      </w:r>
      <w:r w:rsidR="00343E77" w:rsidRPr="00EC1AB2">
        <w:rPr>
          <w:rFonts w:ascii="Times New Roman" w:hAnsi="Times New Roman" w:cs="Times New Roman"/>
          <w:sz w:val="24"/>
          <w:szCs w:val="24"/>
        </w:rPr>
        <w:t xml:space="preserve">dedamąsias dalis. </w:t>
      </w:r>
    </w:p>
    <w:p w:rsidR="001E2637" w:rsidRPr="00EC1AB2" w:rsidRDefault="00167F49"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Žmogiškųjų išteklių</w:t>
      </w:r>
      <w:r w:rsidRPr="00EC1AB2">
        <w:rPr>
          <w:rFonts w:ascii="Times New Roman" w:hAnsi="Times New Roman" w:cs="Times New Roman"/>
          <w:sz w:val="24"/>
          <w:szCs w:val="24"/>
        </w:rPr>
        <w:t xml:space="preserve"> rodiklių </w:t>
      </w:r>
      <w:r w:rsidR="001E4726" w:rsidRPr="00EC1AB2">
        <w:rPr>
          <w:rFonts w:ascii="Times New Roman" w:hAnsi="Times New Roman" w:cs="Times New Roman"/>
          <w:sz w:val="24"/>
          <w:szCs w:val="24"/>
        </w:rPr>
        <w:t>grupėje, kuri priklauso priemonių kategorijai</w:t>
      </w:r>
      <w:r w:rsidR="00130E12" w:rsidRPr="00EC1AB2">
        <w:rPr>
          <w:rFonts w:ascii="Times New Roman" w:hAnsi="Times New Roman" w:cs="Times New Roman"/>
          <w:sz w:val="24"/>
          <w:szCs w:val="24"/>
        </w:rPr>
        <w:t xml:space="preserve"> </w:t>
      </w:r>
      <w:r w:rsidRPr="00EC1AB2">
        <w:rPr>
          <w:rFonts w:ascii="Times New Roman" w:hAnsi="Times New Roman" w:cs="Times New Roman"/>
          <w:sz w:val="24"/>
          <w:szCs w:val="24"/>
        </w:rPr>
        <w:t xml:space="preserve">Lietuva </w:t>
      </w:r>
      <w:r w:rsidR="00DD513D" w:rsidRPr="00EC1AB2">
        <w:rPr>
          <w:rFonts w:ascii="Times New Roman" w:hAnsi="Times New Roman" w:cs="Times New Roman"/>
          <w:sz w:val="24"/>
          <w:szCs w:val="24"/>
        </w:rPr>
        <w:t>užima geras pozicijas</w:t>
      </w:r>
      <w:r w:rsidR="001E4726" w:rsidRPr="00EC1AB2">
        <w:rPr>
          <w:rFonts w:ascii="Times New Roman" w:hAnsi="Times New Roman" w:cs="Times New Roman"/>
          <w:sz w:val="24"/>
          <w:szCs w:val="24"/>
        </w:rPr>
        <w:t xml:space="preserve"> ir smarkiai lenkia ES vidurkį (žr. 3 priedą).</w:t>
      </w:r>
      <w:r w:rsidR="003B5F54" w:rsidRPr="00EC1AB2">
        <w:rPr>
          <w:rFonts w:ascii="Times New Roman" w:hAnsi="Times New Roman" w:cs="Times New Roman"/>
          <w:sz w:val="24"/>
          <w:szCs w:val="24"/>
        </w:rPr>
        <w:t xml:space="preserve"> </w:t>
      </w:r>
      <w:r w:rsidR="00222F9E" w:rsidRPr="00EC1AB2">
        <w:rPr>
          <w:rFonts w:ascii="Times New Roman" w:hAnsi="Times New Roman" w:cs="Times New Roman"/>
          <w:sz w:val="24"/>
          <w:szCs w:val="24"/>
        </w:rPr>
        <w:t>Tai daugia</w:t>
      </w:r>
      <w:r w:rsidR="009C4F26" w:rsidRPr="00EC1AB2">
        <w:rPr>
          <w:rFonts w:ascii="Times New Roman" w:hAnsi="Times New Roman" w:cs="Times New Roman"/>
          <w:sz w:val="24"/>
          <w:szCs w:val="24"/>
        </w:rPr>
        <w:t>u</w:t>
      </w:r>
      <w:r w:rsidR="00222F9E" w:rsidRPr="00EC1AB2">
        <w:rPr>
          <w:rFonts w:ascii="Times New Roman" w:hAnsi="Times New Roman" w:cs="Times New Roman"/>
          <w:sz w:val="24"/>
          <w:szCs w:val="24"/>
        </w:rPr>
        <w:t>siai įtakojo rodikliai – aukštąjį išsilavinimą turinčių gyventojų, kurių amžius 25-34 m., procentinė dalis, bei 20-24 m. jaunuolių, įgijusių bent vidurinį išsilavinimą, procentinė dalis.</w:t>
      </w:r>
      <w:r w:rsidR="001E2637" w:rsidRPr="00EC1AB2">
        <w:rPr>
          <w:rFonts w:ascii="Times New Roman" w:hAnsi="Times New Roman" w:cs="Times New Roman"/>
          <w:sz w:val="24"/>
          <w:szCs w:val="24"/>
        </w:rPr>
        <w:t xml:space="preserve"> </w:t>
      </w:r>
      <w:r w:rsidR="00262184" w:rsidRPr="00EC1AB2">
        <w:rPr>
          <w:rFonts w:ascii="Times New Roman" w:hAnsi="Times New Roman" w:cs="Times New Roman"/>
          <w:sz w:val="24"/>
          <w:szCs w:val="24"/>
        </w:rPr>
        <w:t>Lietuvoje išsilavinusių žmonių skaičiaus augimą didžia dalimi lėmė tai, kad a</w:t>
      </w:r>
      <w:r w:rsidR="00CA23C7" w:rsidRPr="00EC1AB2">
        <w:rPr>
          <w:rFonts w:ascii="Times New Roman" w:hAnsi="Times New Roman" w:cs="Times New Roman"/>
          <w:sz w:val="24"/>
          <w:szCs w:val="24"/>
        </w:rPr>
        <w:t>u</w:t>
      </w:r>
      <w:r w:rsidR="00262184" w:rsidRPr="00EC1AB2">
        <w:rPr>
          <w:rFonts w:ascii="Times New Roman" w:hAnsi="Times New Roman" w:cs="Times New Roman"/>
          <w:sz w:val="24"/>
          <w:szCs w:val="24"/>
        </w:rPr>
        <w:t>kštasis išsilavinimas ilgą laikotarpį praktiškai buvo nemo</w:t>
      </w:r>
      <w:r w:rsidR="0055670E" w:rsidRPr="00EC1AB2">
        <w:rPr>
          <w:rFonts w:ascii="Times New Roman" w:hAnsi="Times New Roman" w:cs="Times New Roman"/>
          <w:sz w:val="24"/>
          <w:szCs w:val="24"/>
        </w:rPr>
        <w:t>kamas. V</w:t>
      </w:r>
      <w:r w:rsidR="00876206" w:rsidRPr="00EC1AB2">
        <w:rPr>
          <w:rFonts w:ascii="Times New Roman" w:hAnsi="Times New Roman" w:cs="Times New Roman"/>
          <w:sz w:val="24"/>
          <w:szCs w:val="24"/>
        </w:rPr>
        <w:t>alstybės politika didinant finansavimą šioje srityje</w:t>
      </w:r>
      <w:r w:rsidR="0055670E" w:rsidRPr="00EC1AB2">
        <w:rPr>
          <w:rFonts w:ascii="Times New Roman" w:hAnsi="Times New Roman" w:cs="Times New Roman"/>
          <w:sz w:val="24"/>
          <w:szCs w:val="24"/>
        </w:rPr>
        <w:t xml:space="preserve"> įtakojo jaunimą masiškai rinktis aukštąjį išsilavinimą, negalvojant apie profesinio išsilavinimo galimybę. </w:t>
      </w:r>
      <w:r w:rsidR="00934EC4" w:rsidRPr="00EC1AB2">
        <w:rPr>
          <w:rFonts w:ascii="Times New Roman" w:hAnsi="Times New Roman" w:cs="Times New Roman"/>
          <w:sz w:val="24"/>
          <w:szCs w:val="24"/>
        </w:rPr>
        <w:t xml:space="preserve"> </w:t>
      </w:r>
      <w:r w:rsidR="001248CF" w:rsidRPr="00EC1AB2">
        <w:rPr>
          <w:rFonts w:ascii="Times New Roman" w:hAnsi="Times New Roman" w:cs="Times New Roman"/>
          <w:sz w:val="24"/>
          <w:szCs w:val="24"/>
        </w:rPr>
        <w:t>Todėl galima tik svarstyti ar s</w:t>
      </w:r>
      <w:r w:rsidR="00876206" w:rsidRPr="00EC1AB2">
        <w:rPr>
          <w:rFonts w:ascii="Times New Roman" w:hAnsi="Times New Roman" w:cs="Times New Roman"/>
          <w:sz w:val="24"/>
          <w:szCs w:val="24"/>
        </w:rPr>
        <w:t>tatistik</w:t>
      </w:r>
      <w:r w:rsidR="001248CF" w:rsidRPr="00EC1AB2">
        <w:rPr>
          <w:rFonts w:ascii="Times New Roman" w:hAnsi="Times New Roman" w:cs="Times New Roman"/>
          <w:sz w:val="24"/>
          <w:szCs w:val="24"/>
        </w:rPr>
        <w:t>a iki galo</w:t>
      </w:r>
      <w:r w:rsidR="008C39CA" w:rsidRPr="00EC1AB2">
        <w:rPr>
          <w:rFonts w:ascii="Times New Roman" w:hAnsi="Times New Roman" w:cs="Times New Roman"/>
          <w:sz w:val="24"/>
          <w:szCs w:val="24"/>
        </w:rPr>
        <w:t xml:space="preserve"> atspindi</w:t>
      </w:r>
      <w:r w:rsidR="001248CF" w:rsidRPr="00EC1AB2">
        <w:rPr>
          <w:rFonts w:ascii="Times New Roman" w:hAnsi="Times New Roman" w:cs="Times New Roman"/>
          <w:sz w:val="24"/>
          <w:szCs w:val="24"/>
        </w:rPr>
        <w:t xml:space="preserve"> išsilavinimo kokybę</w:t>
      </w:r>
      <w:r w:rsidR="00A51D84" w:rsidRPr="00EC1AB2">
        <w:rPr>
          <w:rFonts w:ascii="Times New Roman" w:hAnsi="Times New Roman" w:cs="Times New Roman"/>
          <w:sz w:val="24"/>
          <w:szCs w:val="24"/>
        </w:rPr>
        <w:t xml:space="preserve"> bei </w:t>
      </w:r>
      <w:r w:rsidR="004C4C8D" w:rsidRPr="00EC1AB2">
        <w:rPr>
          <w:rFonts w:ascii="Times New Roman" w:hAnsi="Times New Roman" w:cs="Times New Roman"/>
          <w:sz w:val="24"/>
          <w:szCs w:val="24"/>
        </w:rPr>
        <w:t>įgūdžius, juolab, kad World Competitiveness Report 2010–2011 m. Lietuva pagal švietimo sistemos kokybę</w:t>
      </w:r>
      <w:r w:rsidR="00415D10" w:rsidRPr="00EC1AB2">
        <w:rPr>
          <w:rFonts w:ascii="Times New Roman" w:hAnsi="Times New Roman" w:cs="Times New Roman"/>
          <w:sz w:val="24"/>
          <w:szCs w:val="24"/>
        </w:rPr>
        <w:t xml:space="preserve"> užėmė</w:t>
      </w:r>
      <w:r w:rsidR="004C4C8D" w:rsidRPr="00EC1AB2">
        <w:rPr>
          <w:rFonts w:ascii="Times New Roman" w:hAnsi="Times New Roman" w:cs="Times New Roman"/>
          <w:sz w:val="24"/>
          <w:szCs w:val="24"/>
        </w:rPr>
        <w:t xml:space="preserve"> 70</w:t>
      </w:r>
      <w:r w:rsidR="00FF7B87" w:rsidRPr="00EC1AB2">
        <w:rPr>
          <w:rFonts w:ascii="Times New Roman" w:hAnsi="Times New Roman" w:cs="Times New Roman"/>
          <w:sz w:val="24"/>
          <w:szCs w:val="24"/>
        </w:rPr>
        <w:t xml:space="preserve"> vie</w:t>
      </w:r>
      <w:r w:rsidR="00415D10" w:rsidRPr="00EC1AB2">
        <w:rPr>
          <w:rFonts w:ascii="Times New Roman" w:hAnsi="Times New Roman" w:cs="Times New Roman"/>
          <w:sz w:val="24"/>
          <w:szCs w:val="24"/>
        </w:rPr>
        <w:t>tą iš 139 galimų</w:t>
      </w:r>
      <w:r w:rsidR="004C4C8D" w:rsidRPr="00EC1AB2">
        <w:rPr>
          <w:rFonts w:ascii="Times New Roman" w:hAnsi="Times New Roman" w:cs="Times New Roman"/>
          <w:sz w:val="24"/>
          <w:szCs w:val="24"/>
        </w:rPr>
        <w:t>, tačiau</w:t>
      </w:r>
      <w:r w:rsidR="00C16458" w:rsidRPr="00EC1AB2">
        <w:rPr>
          <w:rFonts w:ascii="Times New Roman" w:hAnsi="Times New Roman" w:cs="Times New Roman"/>
          <w:sz w:val="24"/>
          <w:szCs w:val="24"/>
        </w:rPr>
        <w:t>, reikia paminėti, kad</w:t>
      </w:r>
      <w:r w:rsidR="004C4C8D" w:rsidRPr="00EC1AB2">
        <w:rPr>
          <w:rFonts w:ascii="Times New Roman" w:hAnsi="Times New Roman" w:cs="Times New Roman"/>
          <w:sz w:val="24"/>
          <w:szCs w:val="24"/>
        </w:rPr>
        <w:t xml:space="preserve"> </w:t>
      </w:r>
      <w:r w:rsidR="00D46FBD" w:rsidRPr="00EC1AB2">
        <w:rPr>
          <w:rFonts w:ascii="Times New Roman" w:hAnsi="Times New Roman" w:cs="Times New Roman"/>
          <w:sz w:val="24"/>
          <w:szCs w:val="24"/>
        </w:rPr>
        <w:t>specialistų paruošimo kokybė</w:t>
      </w:r>
      <w:r w:rsidR="00C16458" w:rsidRPr="00EC1AB2">
        <w:rPr>
          <w:rFonts w:ascii="Times New Roman" w:hAnsi="Times New Roman" w:cs="Times New Roman"/>
          <w:sz w:val="24"/>
          <w:szCs w:val="24"/>
        </w:rPr>
        <w:t xml:space="preserve"> tiksliųjų mokslų srityje </w:t>
      </w:r>
      <w:r w:rsidR="00D46FBD" w:rsidRPr="00EC1AB2">
        <w:rPr>
          <w:rFonts w:ascii="Times New Roman" w:hAnsi="Times New Roman" w:cs="Times New Roman"/>
          <w:sz w:val="24"/>
          <w:szCs w:val="24"/>
        </w:rPr>
        <w:t xml:space="preserve">įvertinta </w:t>
      </w:r>
      <w:r w:rsidR="003B169F" w:rsidRPr="00EC1AB2">
        <w:rPr>
          <w:rFonts w:ascii="Times New Roman" w:hAnsi="Times New Roman" w:cs="Times New Roman"/>
          <w:sz w:val="24"/>
          <w:szCs w:val="24"/>
        </w:rPr>
        <w:t xml:space="preserve">29 </w:t>
      </w:r>
      <w:r w:rsidR="00D46FBD" w:rsidRPr="00EC1AB2">
        <w:rPr>
          <w:rFonts w:ascii="Times New Roman" w:hAnsi="Times New Roman" w:cs="Times New Roman"/>
          <w:sz w:val="24"/>
          <w:szCs w:val="24"/>
        </w:rPr>
        <w:t>vieta</w:t>
      </w:r>
      <w:r w:rsidR="00C16458" w:rsidRPr="00EC1AB2">
        <w:rPr>
          <w:rFonts w:ascii="Times New Roman" w:hAnsi="Times New Roman" w:cs="Times New Roman"/>
          <w:sz w:val="24"/>
          <w:szCs w:val="24"/>
        </w:rPr>
        <w:t>.</w:t>
      </w:r>
    </w:p>
    <w:p w:rsidR="00123E83" w:rsidRPr="00EC1AB2" w:rsidRDefault="00934EC4"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Naujų daktaro laipsnį (ISCED 6) įgijusių asmenų, kurių amžius 25–34 m., 1000 gyventojų skai</w:t>
      </w:r>
      <w:r w:rsidR="00082E41" w:rsidRPr="00EC1AB2">
        <w:rPr>
          <w:rFonts w:ascii="Times New Roman" w:hAnsi="Times New Roman" w:cs="Times New Roman"/>
          <w:sz w:val="24"/>
          <w:szCs w:val="24"/>
        </w:rPr>
        <w:t xml:space="preserve">čius </w:t>
      </w:r>
      <w:r w:rsidR="005F75C8" w:rsidRPr="00EC1AB2">
        <w:rPr>
          <w:rFonts w:ascii="Times New Roman" w:hAnsi="Times New Roman" w:cs="Times New Roman"/>
          <w:sz w:val="24"/>
          <w:szCs w:val="24"/>
        </w:rPr>
        <w:t xml:space="preserve">Lietuvoje </w:t>
      </w:r>
      <w:r w:rsidR="00082E41" w:rsidRPr="00EC1AB2">
        <w:rPr>
          <w:rFonts w:ascii="Times New Roman" w:hAnsi="Times New Roman" w:cs="Times New Roman"/>
          <w:sz w:val="24"/>
          <w:szCs w:val="24"/>
        </w:rPr>
        <w:t>yra 1,5 karto mažesnis už ES vidurkį</w:t>
      </w:r>
      <w:r w:rsidR="00082E41" w:rsidRPr="00EC1AB2">
        <w:rPr>
          <w:rFonts w:ascii="Times New Roman" w:hAnsi="Times New Roman" w:cs="Times New Roman"/>
          <w:sz w:val="20"/>
          <w:szCs w:val="20"/>
        </w:rPr>
        <w:t>.</w:t>
      </w:r>
      <w:r w:rsidR="00733B7D" w:rsidRPr="00EC1AB2">
        <w:rPr>
          <w:rFonts w:ascii="Times New Roman" w:hAnsi="Times New Roman" w:cs="Times New Roman"/>
          <w:sz w:val="24"/>
          <w:szCs w:val="24"/>
        </w:rPr>
        <w:t xml:space="preserve"> </w:t>
      </w:r>
      <w:r w:rsidR="005D063F" w:rsidRPr="00EC1AB2">
        <w:rPr>
          <w:rFonts w:ascii="Times New Roman" w:hAnsi="Times New Roman" w:cs="Times New Roman"/>
          <w:sz w:val="24"/>
          <w:szCs w:val="24"/>
        </w:rPr>
        <w:t xml:space="preserve">Reikia paminėti, kad </w:t>
      </w:r>
      <w:r w:rsidR="009C4F26" w:rsidRPr="00EC1AB2">
        <w:rPr>
          <w:rFonts w:ascii="Times New Roman" w:hAnsi="Times New Roman" w:cs="Times New Roman"/>
          <w:sz w:val="24"/>
          <w:szCs w:val="24"/>
        </w:rPr>
        <w:t>Lietuvoje daktaro lai</w:t>
      </w:r>
      <w:r w:rsidR="00934FEA" w:rsidRPr="00EC1AB2">
        <w:rPr>
          <w:rFonts w:ascii="Times New Roman" w:hAnsi="Times New Roman" w:cs="Times New Roman"/>
          <w:sz w:val="24"/>
          <w:szCs w:val="24"/>
        </w:rPr>
        <w:t xml:space="preserve">psnį turinčių asmenų atlyginimai išlieka vieni mažiausių (žr. </w:t>
      </w:r>
      <w:r w:rsidR="004A6D7F" w:rsidRPr="00EC1AB2">
        <w:rPr>
          <w:rFonts w:ascii="Times New Roman" w:hAnsi="Times New Roman" w:cs="Times New Roman"/>
          <w:sz w:val="24"/>
          <w:szCs w:val="24"/>
        </w:rPr>
        <w:t>13</w:t>
      </w:r>
      <w:r w:rsidR="00934FEA" w:rsidRPr="00EC1AB2">
        <w:rPr>
          <w:rFonts w:ascii="Times New Roman" w:hAnsi="Times New Roman" w:cs="Times New Roman"/>
          <w:sz w:val="24"/>
          <w:szCs w:val="24"/>
        </w:rPr>
        <w:t xml:space="preserve"> pav.).</w:t>
      </w:r>
    </w:p>
    <w:p w:rsidR="00123E83" w:rsidRPr="00EC1AB2" w:rsidRDefault="00123E8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noProof/>
          <w:lang w:eastAsia="lt-LT"/>
        </w:rPr>
        <w:lastRenderedPageBreak/>
        <w:drawing>
          <wp:anchor distT="0" distB="0" distL="114300" distR="114300" simplePos="0" relativeHeight="251736064" behindDoc="0" locked="0" layoutInCell="1" allowOverlap="1" wp14:anchorId="2EEEFFCF" wp14:editId="21D87ED2">
            <wp:simplePos x="0" y="0"/>
            <wp:positionH relativeFrom="column">
              <wp:posOffset>5715</wp:posOffset>
            </wp:positionH>
            <wp:positionV relativeFrom="paragraph">
              <wp:posOffset>91440</wp:posOffset>
            </wp:positionV>
            <wp:extent cx="6038850" cy="2871470"/>
            <wp:effectExtent l="0" t="0" r="0" b="508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435F48" w:rsidRPr="00EC1AB2" w:rsidRDefault="00EC3A83"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European University Institute skelbiamą informaciją</w:t>
      </w:r>
    </w:p>
    <w:p w:rsidR="00142EDF" w:rsidRPr="00EC1AB2" w:rsidRDefault="004A6D7F" w:rsidP="007A02A8">
      <w:pPr>
        <w:pStyle w:val="Heading5"/>
        <w:spacing w:before="0" w:line="360" w:lineRule="auto"/>
        <w:jc w:val="center"/>
        <w:rPr>
          <w:rFonts w:ascii="Times New Roman" w:hAnsi="Times New Roman" w:cs="Times New Roman"/>
          <w:b/>
          <w:color w:val="auto"/>
          <w:sz w:val="24"/>
          <w:szCs w:val="24"/>
        </w:rPr>
      </w:pPr>
      <w:bookmarkStart w:id="146" w:name="_Toc320761929"/>
      <w:bookmarkStart w:id="147" w:name="_Toc320762164"/>
      <w:bookmarkStart w:id="148" w:name="_Toc320762566"/>
      <w:r w:rsidRPr="00EC1AB2">
        <w:rPr>
          <w:rFonts w:ascii="Times New Roman" w:hAnsi="Times New Roman" w:cs="Times New Roman"/>
          <w:color w:val="auto"/>
          <w:sz w:val="24"/>
          <w:szCs w:val="24"/>
        </w:rPr>
        <w:t>13</w:t>
      </w:r>
      <w:r w:rsidR="00EC3A83" w:rsidRPr="00EC1AB2">
        <w:rPr>
          <w:rFonts w:ascii="Times New Roman" w:hAnsi="Times New Roman" w:cs="Times New Roman"/>
          <w:color w:val="auto"/>
          <w:sz w:val="24"/>
          <w:szCs w:val="24"/>
        </w:rPr>
        <w:t xml:space="preserve"> pav.</w:t>
      </w:r>
      <w:r w:rsidR="00EC3A83" w:rsidRPr="00EC1AB2">
        <w:rPr>
          <w:rFonts w:ascii="Times New Roman" w:hAnsi="Times New Roman" w:cs="Times New Roman"/>
          <w:b/>
          <w:color w:val="auto"/>
          <w:sz w:val="24"/>
          <w:szCs w:val="24"/>
        </w:rPr>
        <w:t xml:space="preserve"> </w:t>
      </w:r>
      <w:r w:rsidR="00142EDF" w:rsidRPr="00EC1AB2">
        <w:rPr>
          <w:rFonts w:ascii="Times New Roman" w:hAnsi="Times New Roman" w:cs="Times New Roman"/>
          <w:b/>
          <w:color w:val="auto"/>
          <w:sz w:val="24"/>
          <w:szCs w:val="24"/>
        </w:rPr>
        <w:t>Vidutinis metinis mokslininko atlyginimas</w:t>
      </w:r>
      <w:r w:rsidR="00B34AA6" w:rsidRPr="00EC1AB2">
        <w:rPr>
          <w:rFonts w:ascii="Times New Roman" w:hAnsi="Times New Roman" w:cs="Times New Roman"/>
          <w:b/>
          <w:color w:val="auto"/>
          <w:sz w:val="24"/>
          <w:szCs w:val="24"/>
        </w:rPr>
        <w:t xml:space="preserve"> išreikštas</w:t>
      </w:r>
      <w:r w:rsidR="00935B77" w:rsidRPr="00EC1AB2">
        <w:rPr>
          <w:rFonts w:ascii="Times New Roman" w:hAnsi="Times New Roman" w:cs="Times New Roman"/>
          <w:b/>
          <w:color w:val="auto"/>
          <w:sz w:val="24"/>
          <w:szCs w:val="24"/>
        </w:rPr>
        <w:t xml:space="preserve"> PGS,</w:t>
      </w:r>
      <w:r w:rsidR="00646935" w:rsidRPr="00EC1AB2">
        <w:rPr>
          <w:rFonts w:ascii="Times New Roman" w:hAnsi="Times New Roman" w:cs="Times New Roman"/>
          <w:b/>
          <w:color w:val="auto"/>
          <w:sz w:val="24"/>
          <w:szCs w:val="24"/>
        </w:rPr>
        <w:t xml:space="preserve"> 2006 m.</w:t>
      </w:r>
      <w:bookmarkEnd w:id="146"/>
      <w:bookmarkEnd w:id="147"/>
      <w:bookmarkEnd w:id="148"/>
    </w:p>
    <w:p w:rsidR="007D6F73" w:rsidRPr="00EC1AB2" w:rsidRDefault="007D6F73" w:rsidP="007A02A8">
      <w:pPr>
        <w:pStyle w:val="Heading5"/>
        <w:spacing w:before="0" w:line="360" w:lineRule="auto"/>
        <w:jc w:val="center"/>
        <w:rPr>
          <w:rFonts w:ascii="Times New Roman" w:hAnsi="Times New Roman" w:cs="Times New Roman"/>
          <w:b/>
          <w:color w:val="auto"/>
          <w:sz w:val="24"/>
          <w:szCs w:val="24"/>
        </w:rPr>
      </w:pPr>
    </w:p>
    <w:p w:rsidR="00435F48" w:rsidRPr="00EC1AB2" w:rsidRDefault="001074E1"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Lyginant Lietuvos m</w:t>
      </w:r>
      <w:r w:rsidR="00FC43BC" w:rsidRPr="00EC1AB2">
        <w:rPr>
          <w:rFonts w:ascii="Times New Roman" w:hAnsi="Times New Roman" w:cs="Times New Roman"/>
          <w:sz w:val="24"/>
          <w:szCs w:val="24"/>
        </w:rPr>
        <w:t xml:space="preserve">okslininkų </w:t>
      </w:r>
      <w:r w:rsidRPr="00EC1AB2">
        <w:rPr>
          <w:rFonts w:ascii="Times New Roman" w:hAnsi="Times New Roman" w:cs="Times New Roman"/>
          <w:sz w:val="24"/>
          <w:szCs w:val="24"/>
        </w:rPr>
        <w:t xml:space="preserve">atlyginimus su kitų šalių nuosaikių inovatorių </w:t>
      </w:r>
      <w:r w:rsidR="00FC43BC" w:rsidRPr="00EC1AB2">
        <w:rPr>
          <w:rFonts w:ascii="Times New Roman" w:hAnsi="Times New Roman" w:cs="Times New Roman"/>
          <w:sz w:val="24"/>
          <w:szCs w:val="24"/>
        </w:rPr>
        <w:t>(Bulgarija, Rumunija ir Latvija)</w:t>
      </w:r>
      <w:r w:rsidRPr="00EC1AB2">
        <w:rPr>
          <w:rFonts w:ascii="Times New Roman" w:hAnsi="Times New Roman" w:cs="Times New Roman"/>
          <w:sz w:val="24"/>
          <w:szCs w:val="24"/>
        </w:rPr>
        <w:t xml:space="preserve"> </w:t>
      </w:r>
      <w:r w:rsidR="00F60A0A" w:rsidRPr="00EC1AB2">
        <w:rPr>
          <w:rFonts w:ascii="Times New Roman" w:hAnsi="Times New Roman" w:cs="Times New Roman"/>
          <w:sz w:val="24"/>
          <w:szCs w:val="24"/>
        </w:rPr>
        <w:t>didesni skirt</w:t>
      </w:r>
      <w:r w:rsidR="009C4F26" w:rsidRPr="00EC1AB2">
        <w:rPr>
          <w:rFonts w:ascii="Times New Roman" w:hAnsi="Times New Roman" w:cs="Times New Roman"/>
          <w:sz w:val="24"/>
          <w:szCs w:val="24"/>
        </w:rPr>
        <w:t>u</w:t>
      </w:r>
      <w:r w:rsidR="00F60A0A" w:rsidRPr="00EC1AB2">
        <w:rPr>
          <w:rFonts w:ascii="Times New Roman" w:hAnsi="Times New Roman" w:cs="Times New Roman"/>
          <w:sz w:val="24"/>
          <w:szCs w:val="24"/>
        </w:rPr>
        <w:t xml:space="preserve">mai pastebimi tik Latvijos </w:t>
      </w:r>
      <w:r w:rsidR="009D512D" w:rsidRPr="00EC1AB2">
        <w:rPr>
          <w:rFonts w:ascii="Times New Roman" w:hAnsi="Times New Roman" w:cs="Times New Roman"/>
          <w:sz w:val="24"/>
          <w:szCs w:val="24"/>
        </w:rPr>
        <w:t>atžvilgiu. V</w:t>
      </w:r>
      <w:r w:rsidRPr="00EC1AB2">
        <w:rPr>
          <w:rFonts w:ascii="Times New Roman" w:hAnsi="Times New Roman" w:cs="Times New Roman"/>
          <w:sz w:val="24"/>
          <w:szCs w:val="24"/>
        </w:rPr>
        <w:t>isos šios</w:t>
      </w:r>
      <w:r w:rsidR="009D512D" w:rsidRPr="00EC1AB2">
        <w:rPr>
          <w:rFonts w:ascii="Times New Roman" w:hAnsi="Times New Roman" w:cs="Times New Roman"/>
          <w:sz w:val="24"/>
          <w:szCs w:val="24"/>
        </w:rPr>
        <w:t xml:space="preserve"> grupės</w:t>
      </w:r>
      <w:r w:rsidRPr="00EC1AB2">
        <w:rPr>
          <w:rFonts w:ascii="Times New Roman" w:hAnsi="Times New Roman" w:cs="Times New Roman"/>
          <w:sz w:val="24"/>
          <w:szCs w:val="24"/>
        </w:rPr>
        <w:t xml:space="preserve"> šalys </w:t>
      </w:r>
      <w:r w:rsidR="00C579FA" w:rsidRPr="00EC1AB2">
        <w:rPr>
          <w:rFonts w:ascii="Times New Roman" w:hAnsi="Times New Roman" w:cs="Times New Roman"/>
          <w:sz w:val="24"/>
          <w:szCs w:val="24"/>
        </w:rPr>
        <w:t>stipriai atsilieka nuo ES vidurkio, jau nekalbant apie šalis inovacijų lyderes</w:t>
      </w:r>
      <w:r w:rsidR="009D512D" w:rsidRPr="00EC1AB2">
        <w:rPr>
          <w:rFonts w:ascii="Times New Roman" w:hAnsi="Times New Roman" w:cs="Times New Roman"/>
          <w:sz w:val="24"/>
          <w:szCs w:val="24"/>
        </w:rPr>
        <w:t xml:space="preserve"> (Suomija, Danija, Vokietija, Švedija)</w:t>
      </w:r>
      <w:r w:rsidR="00C579FA" w:rsidRPr="00EC1AB2">
        <w:rPr>
          <w:rFonts w:ascii="Times New Roman" w:hAnsi="Times New Roman" w:cs="Times New Roman"/>
          <w:sz w:val="24"/>
          <w:szCs w:val="24"/>
        </w:rPr>
        <w:t xml:space="preserve">. </w:t>
      </w:r>
      <w:r w:rsidR="00F60A0A" w:rsidRPr="00EC1AB2">
        <w:rPr>
          <w:rFonts w:ascii="Times New Roman" w:hAnsi="Times New Roman" w:cs="Times New Roman"/>
          <w:sz w:val="24"/>
          <w:szCs w:val="24"/>
        </w:rPr>
        <w:t xml:space="preserve">Taip pat galima pastebėti, kad šalyse inovacijų lyderėse </w:t>
      </w:r>
      <w:r w:rsidR="001310BF" w:rsidRPr="00EC1AB2">
        <w:rPr>
          <w:rFonts w:ascii="Times New Roman" w:hAnsi="Times New Roman" w:cs="Times New Roman"/>
          <w:sz w:val="24"/>
          <w:szCs w:val="24"/>
        </w:rPr>
        <w:t>atlyginimo dydis</w:t>
      </w:r>
      <w:r w:rsidR="007229F0" w:rsidRPr="00EC1AB2">
        <w:rPr>
          <w:rFonts w:ascii="Times New Roman" w:hAnsi="Times New Roman" w:cs="Times New Roman"/>
          <w:sz w:val="24"/>
          <w:szCs w:val="24"/>
        </w:rPr>
        <w:t xml:space="preserve"> sparčiai</w:t>
      </w:r>
      <w:r w:rsidR="001310BF" w:rsidRPr="00EC1AB2">
        <w:rPr>
          <w:rFonts w:ascii="Times New Roman" w:hAnsi="Times New Roman" w:cs="Times New Roman"/>
          <w:sz w:val="24"/>
          <w:szCs w:val="24"/>
        </w:rPr>
        <w:t xml:space="preserve"> didėja augant patirčiai, kas nebūdinga Lietuvai</w:t>
      </w:r>
      <w:r w:rsidR="000C4C8C" w:rsidRPr="00EC1AB2">
        <w:rPr>
          <w:rFonts w:ascii="Times New Roman" w:hAnsi="Times New Roman" w:cs="Times New Roman"/>
          <w:sz w:val="24"/>
          <w:szCs w:val="24"/>
        </w:rPr>
        <w:t xml:space="preserve">. </w:t>
      </w:r>
      <w:r w:rsidR="005E073A" w:rsidRPr="00EC1AB2">
        <w:rPr>
          <w:rFonts w:ascii="Times New Roman" w:hAnsi="Times New Roman" w:cs="Times New Roman"/>
          <w:sz w:val="24"/>
          <w:szCs w:val="24"/>
        </w:rPr>
        <w:t>Verta paminėti</w:t>
      </w:r>
      <w:r w:rsidR="00934FEA" w:rsidRPr="00EC1AB2">
        <w:rPr>
          <w:rFonts w:ascii="Times New Roman" w:hAnsi="Times New Roman" w:cs="Times New Roman"/>
          <w:sz w:val="24"/>
          <w:szCs w:val="24"/>
        </w:rPr>
        <w:t xml:space="preserve">,  jog tik 7,5 </w:t>
      </w:r>
      <w:r w:rsidR="00B36950" w:rsidRPr="00EC1AB2">
        <w:rPr>
          <w:rFonts w:ascii="Times New Roman" w:hAnsi="Times New Roman" w:cs="Times New Roman"/>
          <w:sz w:val="24"/>
          <w:szCs w:val="24"/>
        </w:rPr>
        <w:t xml:space="preserve">proc. </w:t>
      </w:r>
      <w:r w:rsidR="00934FEA" w:rsidRPr="00EC1AB2">
        <w:rPr>
          <w:rFonts w:ascii="Times New Roman" w:hAnsi="Times New Roman" w:cs="Times New Roman"/>
          <w:sz w:val="24"/>
          <w:szCs w:val="24"/>
        </w:rPr>
        <w:t>daktaro laipsnį turinčių asmenų dirba verslo įmonių sektoriuje. Didžioji dalis šį išsilavinimą t</w:t>
      </w:r>
      <w:r w:rsidR="00B36950" w:rsidRPr="00EC1AB2">
        <w:rPr>
          <w:rFonts w:ascii="Times New Roman" w:hAnsi="Times New Roman" w:cs="Times New Roman"/>
          <w:sz w:val="24"/>
          <w:szCs w:val="24"/>
        </w:rPr>
        <w:t>u</w:t>
      </w:r>
      <w:r w:rsidR="00934FEA" w:rsidRPr="00EC1AB2">
        <w:rPr>
          <w:rFonts w:ascii="Times New Roman" w:hAnsi="Times New Roman" w:cs="Times New Roman"/>
          <w:sz w:val="24"/>
          <w:szCs w:val="24"/>
        </w:rPr>
        <w:t>rinčių žmonių dirba a</w:t>
      </w:r>
      <w:r w:rsidR="009C4F26" w:rsidRPr="00EC1AB2">
        <w:rPr>
          <w:rFonts w:ascii="Times New Roman" w:hAnsi="Times New Roman" w:cs="Times New Roman"/>
          <w:sz w:val="24"/>
          <w:szCs w:val="24"/>
        </w:rPr>
        <w:t>u</w:t>
      </w:r>
      <w:r w:rsidR="00934FEA" w:rsidRPr="00EC1AB2">
        <w:rPr>
          <w:rFonts w:ascii="Times New Roman" w:hAnsi="Times New Roman" w:cs="Times New Roman"/>
          <w:sz w:val="24"/>
          <w:szCs w:val="24"/>
        </w:rPr>
        <w:t xml:space="preserve">kštojo mokslo sektoriuje. </w:t>
      </w:r>
      <w:r w:rsidR="00B36950" w:rsidRPr="00EC1AB2">
        <w:rPr>
          <w:rFonts w:ascii="Times New Roman" w:hAnsi="Times New Roman" w:cs="Times New Roman"/>
          <w:sz w:val="24"/>
          <w:szCs w:val="24"/>
        </w:rPr>
        <w:t>Dėl minėtų priežasčių ja</w:t>
      </w:r>
      <w:r w:rsidR="009C4F26" w:rsidRPr="00EC1AB2">
        <w:rPr>
          <w:rFonts w:ascii="Times New Roman" w:hAnsi="Times New Roman" w:cs="Times New Roman"/>
          <w:sz w:val="24"/>
          <w:szCs w:val="24"/>
        </w:rPr>
        <w:t>u</w:t>
      </w:r>
      <w:r w:rsidR="00B36950" w:rsidRPr="00EC1AB2">
        <w:rPr>
          <w:rFonts w:ascii="Times New Roman" w:hAnsi="Times New Roman" w:cs="Times New Roman"/>
          <w:sz w:val="24"/>
          <w:szCs w:val="24"/>
        </w:rPr>
        <w:t xml:space="preserve">nimui nėra patraukli </w:t>
      </w:r>
      <w:r w:rsidR="00B65696" w:rsidRPr="00EC1AB2">
        <w:rPr>
          <w:rFonts w:ascii="Times New Roman" w:hAnsi="Times New Roman" w:cs="Times New Roman"/>
          <w:sz w:val="24"/>
          <w:szCs w:val="24"/>
        </w:rPr>
        <w:t>moks</w:t>
      </w:r>
      <w:r w:rsidR="009C4F26" w:rsidRPr="00EC1AB2">
        <w:rPr>
          <w:rFonts w:ascii="Times New Roman" w:hAnsi="Times New Roman" w:cs="Times New Roman"/>
          <w:sz w:val="24"/>
          <w:szCs w:val="24"/>
        </w:rPr>
        <w:t>l</w:t>
      </w:r>
      <w:r w:rsidR="00B65696" w:rsidRPr="00EC1AB2">
        <w:rPr>
          <w:rFonts w:ascii="Times New Roman" w:hAnsi="Times New Roman" w:cs="Times New Roman"/>
          <w:sz w:val="24"/>
          <w:szCs w:val="24"/>
        </w:rPr>
        <w:t>inė karjera.</w:t>
      </w:r>
    </w:p>
    <w:p w:rsidR="00DB2337" w:rsidRPr="00EC1AB2" w:rsidRDefault="00DB233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Rodiklių grupėje </w:t>
      </w:r>
      <w:r w:rsidRPr="00EC1AB2">
        <w:rPr>
          <w:rFonts w:ascii="Times New Roman" w:hAnsi="Times New Roman" w:cs="Times New Roman"/>
          <w:b/>
          <w:sz w:val="24"/>
          <w:szCs w:val="24"/>
        </w:rPr>
        <w:t xml:space="preserve">atviros, itin geros ir patrauklios mokslinių tyrimų sistemos </w:t>
      </w:r>
      <w:r w:rsidR="00537EA7" w:rsidRPr="00EC1AB2">
        <w:rPr>
          <w:rFonts w:ascii="Times New Roman" w:hAnsi="Times New Roman" w:cs="Times New Roman"/>
          <w:sz w:val="24"/>
          <w:szCs w:val="24"/>
        </w:rPr>
        <w:t>Lietuva lenkia ti</w:t>
      </w:r>
      <w:r w:rsidR="00DA471D" w:rsidRPr="00EC1AB2">
        <w:rPr>
          <w:rFonts w:ascii="Times New Roman" w:hAnsi="Times New Roman" w:cs="Times New Roman"/>
          <w:sz w:val="24"/>
          <w:szCs w:val="24"/>
        </w:rPr>
        <w:t>k Latviją, Lenkiją ir Rumuniją, tačiau lyginant su praėjusiais metais, šioje rodiklių grupėje pastebimas augimas.</w:t>
      </w:r>
    </w:p>
    <w:p w:rsidR="00777460" w:rsidRPr="00EC1AB2" w:rsidRDefault="004627EB"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Paskutinė</w:t>
      </w:r>
      <w:r w:rsidR="00F8492A" w:rsidRPr="00EC1AB2">
        <w:rPr>
          <w:rFonts w:ascii="Times New Roman" w:hAnsi="Times New Roman" w:cs="Times New Roman"/>
          <w:sz w:val="24"/>
          <w:szCs w:val="24"/>
        </w:rPr>
        <w:t xml:space="preserve">je priemonių kategorijoje esančioje rodiklių grupėje, t.y. </w:t>
      </w:r>
      <w:r w:rsidR="00F8492A" w:rsidRPr="00EC1AB2">
        <w:rPr>
          <w:rFonts w:ascii="Times New Roman" w:hAnsi="Times New Roman" w:cs="Times New Roman"/>
          <w:b/>
          <w:sz w:val="24"/>
          <w:szCs w:val="24"/>
        </w:rPr>
        <w:t>finansavime ir rėmime</w:t>
      </w:r>
      <w:r w:rsidR="00E93384" w:rsidRPr="00EC1AB2">
        <w:rPr>
          <w:rFonts w:ascii="Times New Roman" w:hAnsi="Times New Roman" w:cs="Times New Roman"/>
          <w:sz w:val="24"/>
          <w:szCs w:val="24"/>
        </w:rPr>
        <w:t xml:space="preserve"> Lietuva </w:t>
      </w:r>
      <w:r w:rsidR="00F8492A" w:rsidRPr="00EC1AB2">
        <w:rPr>
          <w:rFonts w:ascii="Times New Roman" w:hAnsi="Times New Roman" w:cs="Times New Roman"/>
          <w:sz w:val="24"/>
          <w:szCs w:val="24"/>
        </w:rPr>
        <w:t>atsilieka nuo ES vidurkio, tačiau</w:t>
      </w:r>
      <w:r w:rsidR="005B2EC4" w:rsidRPr="00EC1AB2">
        <w:rPr>
          <w:rFonts w:ascii="Times New Roman" w:hAnsi="Times New Roman" w:cs="Times New Roman"/>
          <w:sz w:val="24"/>
          <w:szCs w:val="24"/>
        </w:rPr>
        <w:t xml:space="preserve"> yra 15-oje vietoje iš 27 valstybių narių.</w:t>
      </w:r>
      <w:r w:rsidR="00A6487A" w:rsidRPr="00EC1AB2">
        <w:rPr>
          <w:rFonts w:ascii="Times New Roman" w:hAnsi="Times New Roman" w:cs="Times New Roman"/>
          <w:sz w:val="24"/>
          <w:szCs w:val="24"/>
        </w:rPr>
        <w:t xml:space="preserve"> Šią rodiklių grupę sudaro du rodikliai, t.y. v</w:t>
      </w:r>
      <w:r w:rsidR="00096D67" w:rsidRPr="00EC1AB2">
        <w:rPr>
          <w:rFonts w:ascii="Times New Roman" w:hAnsi="Times New Roman" w:cs="Times New Roman"/>
          <w:sz w:val="24"/>
          <w:szCs w:val="24"/>
        </w:rPr>
        <w:t>alstybės išlaidos MTE</w:t>
      </w:r>
      <w:r w:rsidR="00A6487A" w:rsidRPr="00EC1AB2">
        <w:rPr>
          <w:rFonts w:ascii="Times New Roman" w:hAnsi="Times New Roman" w:cs="Times New Roman"/>
          <w:sz w:val="24"/>
          <w:szCs w:val="24"/>
        </w:rPr>
        <w:t xml:space="preserve">P procentais nuo BVP ir </w:t>
      </w:r>
      <w:r w:rsidR="00FF66F8" w:rsidRPr="00EC1AB2">
        <w:rPr>
          <w:rFonts w:ascii="Times New Roman" w:hAnsi="Times New Roman" w:cs="Times New Roman"/>
          <w:sz w:val="24"/>
          <w:szCs w:val="24"/>
        </w:rPr>
        <w:t>r</w:t>
      </w:r>
      <w:r w:rsidR="00A6487A" w:rsidRPr="00EC1AB2">
        <w:rPr>
          <w:rFonts w:ascii="Times New Roman" w:hAnsi="Times New Roman" w:cs="Times New Roman"/>
          <w:sz w:val="24"/>
          <w:szCs w:val="24"/>
        </w:rPr>
        <w:t>izikos kapitalas</w:t>
      </w:r>
      <w:r w:rsidR="007D6F73" w:rsidRPr="00EC1AB2">
        <w:rPr>
          <w:rFonts w:ascii="Times New Roman" w:hAnsi="Times New Roman" w:cs="Times New Roman"/>
          <w:sz w:val="24"/>
          <w:szCs w:val="24"/>
        </w:rPr>
        <w:t xml:space="preserve"> </w:t>
      </w:r>
      <w:r w:rsidR="00A6487A" w:rsidRPr="00EC1AB2">
        <w:rPr>
          <w:rFonts w:ascii="Times New Roman" w:hAnsi="Times New Roman" w:cs="Times New Roman"/>
          <w:sz w:val="24"/>
          <w:szCs w:val="24"/>
        </w:rPr>
        <w:t>(ankstyvasis etapas, plėtra ir pakeitimas) procentais nuo BVP</w:t>
      </w:r>
      <w:r w:rsidR="001743EA" w:rsidRPr="00EC1AB2">
        <w:rPr>
          <w:rFonts w:ascii="Times New Roman" w:hAnsi="Times New Roman" w:cs="Times New Roman"/>
          <w:sz w:val="24"/>
          <w:szCs w:val="24"/>
        </w:rPr>
        <w:t xml:space="preserve">. </w:t>
      </w:r>
      <w:r w:rsidR="00484913" w:rsidRPr="00EC1AB2">
        <w:rPr>
          <w:rFonts w:ascii="Times New Roman" w:hAnsi="Times New Roman" w:cs="Times New Roman"/>
          <w:sz w:val="24"/>
          <w:szCs w:val="24"/>
        </w:rPr>
        <w:t>Taigi, finansavimo ir rėmimo rodiklių grupės rezultatus didž</w:t>
      </w:r>
      <w:r w:rsidR="002A1CD2" w:rsidRPr="00EC1AB2">
        <w:rPr>
          <w:rFonts w:ascii="Times New Roman" w:hAnsi="Times New Roman" w:cs="Times New Roman"/>
          <w:sz w:val="24"/>
          <w:szCs w:val="24"/>
        </w:rPr>
        <w:t>ia da</w:t>
      </w:r>
      <w:r w:rsidR="0046428A" w:rsidRPr="00EC1AB2">
        <w:rPr>
          <w:rFonts w:ascii="Times New Roman" w:hAnsi="Times New Roman" w:cs="Times New Roman"/>
          <w:sz w:val="24"/>
          <w:szCs w:val="24"/>
        </w:rPr>
        <w:t>lim įtakojo pirmasis i</w:t>
      </w:r>
      <w:r w:rsidR="00CB645A" w:rsidRPr="00EC1AB2">
        <w:rPr>
          <w:rFonts w:ascii="Times New Roman" w:hAnsi="Times New Roman" w:cs="Times New Roman"/>
          <w:sz w:val="24"/>
          <w:szCs w:val="24"/>
        </w:rPr>
        <w:t>š jų</w:t>
      </w:r>
      <w:r w:rsidR="005D063F" w:rsidRPr="00EC1AB2">
        <w:rPr>
          <w:rFonts w:ascii="Times New Roman" w:hAnsi="Times New Roman" w:cs="Times New Roman"/>
          <w:sz w:val="24"/>
          <w:szCs w:val="24"/>
        </w:rPr>
        <w:t>, nes kaip minėta ankstesniame skyriuje RKF investicijos Lietuvoje yra labai mažos.</w:t>
      </w:r>
      <w:r w:rsidR="004105F7" w:rsidRPr="00EC1AB2">
        <w:rPr>
          <w:rFonts w:ascii="Times New Roman" w:hAnsi="Times New Roman" w:cs="Times New Roman"/>
          <w:sz w:val="24"/>
          <w:szCs w:val="24"/>
        </w:rPr>
        <w:t xml:space="preserve"> </w:t>
      </w:r>
    </w:p>
    <w:p w:rsidR="007D6F73" w:rsidRPr="00EC1AB2" w:rsidRDefault="00096D6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2002 m. papildžius </w:t>
      </w:r>
      <w:r w:rsidR="00C743F9" w:rsidRPr="00EC1AB2">
        <w:rPr>
          <w:rFonts w:ascii="Times New Roman" w:hAnsi="Times New Roman" w:cs="Times New Roman"/>
          <w:sz w:val="24"/>
          <w:szCs w:val="24"/>
        </w:rPr>
        <w:t>Lisabonos</w:t>
      </w:r>
      <w:r w:rsidRPr="00EC1AB2">
        <w:rPr>
          <w:rFonts w:ascii="Times New Roman" w:hAnsi="Times New Roman" w:cs="Times New Roman"/>
          <w:sz w:val="24"/>
          <w:szCs w:val="24"/>
        </w:rPr>
        <w:t xml:space="preserve"> strategiją buvo</w:t>
      </w:r>
      <w:r w:rsidR="00C743F9" w:rsidRPr="00EC1AB2">
        <w:rPr>
          <w:rFonts w:ascii="Times New Roman" w:hAnsi="Times New Roman" w:cs="Times New Roman"/>
          <w:sz w:val="24"/>
          <w:szCs w:val="24"/>
        </w:rPr>
        <w:t xml:space="preserve"> įtvirtintas tikslas</w:t>
      </w:r>
      <w:r w:rsidR="003B52DA" w:rsidRPr="00EC1AB2">
        <w:rPr>
          <w:rFonts w:ascii="Times New Roman" w:hAnsi="Times New Roman" w:cs="Times New Roman"/>
          <w:sz w:val="24"/>
          <w:szCs w:val="24"/>
        </w:rPr>
        <w:t xml:space="preserve"> </w:t>
      </w:r>
      <w:r w:rsidRPr="00EC1AB2">
        <w:rPr>
          <w:rFonts w:ascii="Times New Roman" w:hAnsi="Times New Roman" w:cs="Times New Roman"/>
          <w:sz w:val="24"/>
          <w:szCs w:val="24"/>
        </w:rPr>
        <w:t>iki 2010 m. į MTE</w:t>
      </w:r>
      <w:r w:rsidR="003B52DA" w:rsidRPr="00EC1AB2">
        <w:rPr>
          <w:rFonts w:ascii="Times New Roman" w:hAnsi="Times New Roman" w:cs="Times New Roman"/>
          <w:sz w:val="24"/>
          <w:szCs w:val="24"/>
        </w:rPr>
        <w:t>P investuoti</w:t>
      </w:r>
      <w:r w:rsidR="0095098F" w:rsidRPr="00EC1AB2">
        <w:rPr>
          <w:rFonts w:ascii="Times New Roman" w:hAnsi="Times New Roman" w:cs="Times New Roman"/>
          <w:sz w:val="24"/>
          <w:szCs w:val="24"/>
        </w:rPr>
        <w:t xml:space="preserve"> 3 proc.</w:t>
      </w:r>
      <w:r w:rsidR="00E91147" w:rsidRPr="00EC1AB2">
        <w:rPr>
          <w:rFonts w:ascii="Times New Roman" w:hAnsi="Times New Roman" w:cs="Times New Roman"/>
          <w:sz w:val="24"/>
          <w:szCs w:val="24"/>
        </w:rPr>
        <w:t xml:space="preserve"> BVP. Daugeliui šalių </w:t>
      </w:r>
      <w:r w:rsidR="00FB0CA0" w:rsidRPr="00EC1AB2">
        <w:rPr>
          <w:rFonts w:ascii="Times New Roman" w:hAnsi="Times New Roman" w:cs="Times New Roman"/>
          <w:sz w:val="24"/>
          <w:szCs w:val="24"/>
        </w:rPr>
        <w:t>ne</w:t>
      </w:r>
      <w:r w:rsidR="00E91147" w:rsidRPr="00EC1AB2">
        <w:rPr>
          <w:rFonts w:ascii="Times New Roman" w:hAnsi="Times New Roman" w:cs="Times New Roman"/>
          <w:sz w:val="24"/>
          <w:szCs w:val="24"/>
        </w:rPr>
        <w:t>pavyko pasiekti šio tikslo</w:t>
      </w:r>
      <w:r w:rsidR="00235845" w:rsidRPr="00EC1AB2">
        <w:rPr>
          <w:rFonts w:ascii="Times New Roman" w:hAnsi="Times New Roman" w:cs="Times New Roman"/>
          <w:sz w:val="24"/>
          <w:szCs w:val="24"/>
        </w:rPr>
        <w:t xml:space="preserve">. </w:t>
      </w:r>
      <w:r w:rsidR="00011C18" w:rsidRPr="00EC1AB2">
        <w:rPr>
          <w:rFonts w:ascii="Times New Roman" w:hAnsi="Times New Roman" w:cs="Times New Roman"/>
          <w:sz w:val="24"/>
          <w:szCs w:val="24"/>
        </w:rPr>
        <w:t>S</w:t>
      </w:r>
      <w:r w:rsidR="00235845" w:rsidRPr="00EC1AB2">
        <w:rPr>
          <w:rFonts w:ascii="Times New Roman" w:hAnsi="Times New Roman" w:cs="Times New Roman"/>
          <w:sz w:val="24"/>
          <w:szCs w:val="24"/>
        </w:rPr>
        <w:t>trategijoje „Europa 2020“ v</w:t>
      </w:r>
      <w:r w:rsidR="00CA64D0" w:rsidRPr="00EC1AB2">
        <w:rPr>
          <w:rFonts w:ascii="Times New Roman" w:hAnsi="Times New Roman" w:cs="Times New Roman"/>
          <w:sz w:val="24"/>
          <w:szCs w:val="24"/>
        </w:rPr>
        <w:t xml:space="preserve">alstybės narės </w:t>
      </w:r>
      <w:r w:rsidR="00011C18" w:rsidRPr="00EC1AB2">
        <w:rPr>
          <w:rFonts w:ascii="Times New Roman" w:hAnsi="Times New Roman" w:cs="Times New Roman"/>
          <w:sz w:val="24"/>
          <w:szCs w:val="24"/>
        </w:rPr>
        <w:t xml:space="preserve">taip pat </w:t>
      </w:r>
      <w:r w:rsidR="00CA64D0" w:rsidRPr="00EC1AB2">
        <w:rPr>
          <w:rFonts w:ascii="Times New Roman" w:hAnsi="Times New Roman" w:cs="Times New Roman"/>
          <w:sz w:val="24"/>
          <w:szCs w:val="24"/>
        </w:rPr>
        <w:t>skatinamo</w:t>
      </w:r>
      <w:r w:rsidR="00011C18" w:rsidRPr="00EC1AB2">
        <w:rPr>
          <w:rFonts w:ascii="Times New Roman" w:hAnsi="Times New Roman" w:cs="Times New Roman"/>
          <w:sz w:val="24"/>
          <w:szCs w:val="24"/>
        </w:rPr>
        <w:t>s iki 2020 m. į MTEP</w:t>
      </w:r>
      <w:r w:rsidR="0095098F" w:rsidRPr="00EC1AB2">
        <w:rPr>
          <w:rFonts w:ascii="Times New Roman" w:hAnsi="Times New Roman" w:cs="Times New Roman"/>
          <w:sz w:val="24"/>
          <w:szCs w:val="24"/>
        </w:rPr>
        <w:t xml:space="preserve"> investuoti 3 proc.</w:t>
      </w:r>
      <w:r w:rsidR="00235845" w:rsidRPr="00EC1AB2">
        <w:rPr>
          <w:rFonts w:ascii="Times New Roman" w:hAnsi="Times New Roman" w:cs="Times New Roman"/>
          <w:sz w:val="24"/>
          <w:szCs w:val="24"/>
        </w:rPr>
        <w:t xml:space="preserve"> BVP.</w:t>
      </w:r>
      <w:r w:rsidR="002E09B1" w:rsidRPr="00EC1AB2">
        <w:rPr>
          <w:rFonts w:ascii="Times New Roman" w:hAnsi="Times New Roman" w:cs="Times New Roman"/>
          <w:sz w:val="24"/>
          <w:szCs w:val="24"/>
        </w:rPr>
        <w:t xml:space="preserve"> </w:t>
      </w:r>
      <w:r w:rsidR="003B52DA" w:rsidRPr="00EC1AB2">
        <w:rPr>
          <w:rFonts w:ascii="Times New Roman" w:hAnsi="Times New Roman" w:cs="Times New Roman"/>
          <w:sz w:val="24"/>
          <w:szCs w:val="24"/>
        </w:rPr>
        <w:t xml:space="preserve">Kai kurios valstybės </w:t>
      </w:r>
      <w:r w:rsidR="00C0151D" w:rsidRPr="00EC1AB2">
        <w:rPr>
          <w:rFonts w:ascii="Times New Roman" w:hAnsi="Times New Roman" w:cs="Times New Roman"/>
          <w:sz w:val="24"/>
          <w:szCs w:val="24"/>
        </w:rPr>
        <w:t xml:space="preserve">jau 2010 m. </w:t>
      </w:r>
      <w:r w:rsidR="003B52DA" w:rsidRPr="00EC1AB2">
        <w:rPr>
          <w:rFonts w:ascii="Times New Roman" w:hAnsi="Times New Roman" w:cs="Times New Roman"/>
          <w:sz w:val="24"/>
          <w:szCs w:val="24"/>
        </w:rPr>
        <w:t>įgyvendino šį tikslą</w:t>
      </w:r>
      <w:r w:rsidR="004A6D7F" w:rsidRPr="00EC1AB2">
        <w:rPr>
          <w:rFonts w:ascii="Times New Roman" w:hAnsi="Times New Roman" w:cs="Times New Roman"/>
          <w:sz w:val="24"/>
          <w:szCs w:val="24"/>
        </w:rPr>
        <w:t xml:space="preserve"> (žr. 14</w:t>
      </w:r>
      <w:r w:rsidR="00E93384" w:rsidRPr="00EC1AB2">
        <w:rPr>
          <w:rFonts w:ascii="Times New Roman" w:hAnsi="Times New Roman" w:cs="Times New Roman"/>
          <w:sz w:val="24"/>
          <w:szCs w:val="24"/>
        </w:rPr>
        <w:t xml:space="preserve"> pav.).</w:t>
      </w: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r w:rsidRPr="00EC1AB2">
        <w:rPr>
          <w:rFonts w:ascii="Times New Roman" w:hAnsi="Times New Roman" w:cs="Times New Roman"/>
          <w:noProof/>
          <w:lang w:eastAsia="lt-LT"/>
        </w:rPr>
        <w:lastRenderedPageBreak/>
        <w:drawing>
          <wp:anchor distT="0" distB="0" distL="114300" distR="114300" simplePos="0" relativeHeight="251742208" behindDoc="0" locked="0" layoutInCell="1" allowOverlap="1" wp14:anchorId="0985F0DF" wp14:editId="72763F6D">
            <wp:simplePos x="0" y="0"/>
            <wp:positionH relativeFrom="column">
              <wp:posOffset>91440</wp:posOffset>
            </wp:positionH>
            <wp:positionV relativeFrom="paragraph">
              <wp:posOffset>70485</wp:posOffset>
            </wp:positionV>
            <wp:extent cx="5891530" cy="2734945"/>
            <wp:effectExtent l="0" t="0" r="0" b="825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ind w:firstLine="360"/>
        <w:jc w:val="both"/>
        <w:rPr>
          <w:rFonts w:ascii="Times New Roman" w:hAnsi="Times New Roman" w:cs="Times New Roman"/>
          <w:sz w:val="24"/>
          <w:szCs w:val="24"/>
        </w:rPr>
      </w:pPr>
    </w:p>
    <w:p w:rsidR="00E93384" w:rsidRPr="00EC1AB2" w:rsidRDefault="00E93384" w:rsidP="007A02A8">
      <w:pPr>
        <w:autoSpaceDE w:val="0"/>
        <w:autoSpaceDN w:val="0"/>
        <w:adjustRightInd w:val="0"/>
        <w:spacing w:after="0" w:line="360" w:lineRule="auto"/>
        <w:jc w:val="both"/>
        <w:rPr>
          <w:rFonts w:ascii="Times New Roman" w:hAnsi="Times New Roman" w:cs="Times New Roman"/>
          <w:sz w:val="24"/>
          <w:szCs w:val="24"/>
        </w:rPr>
      </w:pPr>
    </w:p>
    <w:p w:rsidR="007D6F73" w:rsidRPr="00EC1AB2" w:rsidRDefault="007D6F73" w:rsidP="007A02A8">
      <w:pPr>
        <w:autoSpaceDE w:val="0"/>
        <w:autoSpaceDN w:val="0"/>
        <w:adjustRightInd w:val="0"/>
        <w:spacing w:after="0" w:line="360" w:lineRule="auto"/>
        <w:jc w:val="both"/>
        <w:rPr>
          <w:rFonts w:ascii="Times New Roman" w:hAnsi="Times New Roman" w:cs="Times New Roman"/>
          <w:b/>
          <w:sz w:val="20"/>
          <w:szCs w:val="20"/>
        </w:rPr>
      </w:pPr>
    </w:p>
    <w:p w:rsidR="007D6F73" w:rsidRPr="00EC1AB2" w:rsidRDefault="007D6F73" w:rsidP="007A02A8">
      <w:pPr>
        <w:autoSpaceDE w:val="0"/>
        <w:autoSpaceDN w:val="0"/>
        <w:adjustRightInd w:val="0"/>
        <w:spacing w:after="0" w:line="360" w:lineRule="auto"/>
        <w:jc w:val="both"/>
        <w:rPr>
          <w:rFonts w:ascii="Times New Roman" w:hAnsi="Times New Roman" w:cs="Times New Roman"/>
          <w:b/>
          <w:sz w:val="20"/>
          <w:szCs w:val="20"/>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32992" behindDoc="0" locked="0" layoutInCell="1" allowOverlap="1" wp14:anchorId="3D6C1D14" wp14:editId="77A45211">
                <wp:simplePos x="0" y="0"/>
                <wp:positionH relativeFrom="column">
                  <wp:posOffset>412115</wp:posOffset>
                </wp:positionH>
                <wp:positionV relativeFrom="paragraph">
                  <wp:posOffset>188595</wp:posOffset>
                </wp:positionV>
                <wp:extent cx="95250" cy="104775"/>
                <wp:effectExtent l="0" t="0" r="0" b="9525"/>
                <wp:wrapNone/>
                <wp:docPr id="10" name="Rectangle 12"/>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32.45pt;margin-top:14.85pt;width:7.5pt;height:8.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XaoQIAALkFAAAOAAAAZHJzL2Uyb0RvYy54bWysVN9P2zAQfp+0/8Hy+0hStTAqUlSBmCYx&#10;QMDEs3HsxpLj82y3affX72ynoTC2h2l9SO378d3d57s7O992mmyE8wpMTaujkhJhODTKrGr6/fHq&#10;02dKfGCmYRqMqOlOeHq++PjhrLdzMYEWdCMcQRDj572taRuCnReF563omD8CKwwqJbiOBby6VdE4&#10;1iN6p4tJWR4XPbjGOuDCe5ReZiVdJHwpBQ+3UnoRiK4p5hbS16Xvc/wWizM2XzlmW8WHNNg/ZNEx&#10;ZTDoCHXJAiNrp36D6hR34EGGIw5dAVIqLlINWE1VvqnmoWVWpFqQHG9Hmvz/g+U3mztHVINvh/QY&#10;1uEb3SNrzKy0INUkEtRbP0e7B3vnhpvHY6x2K10X/7EOsk2k7kZSxTYQjsLT2WSG0Bw1VTk9OZlF&#10;yOLF1zofvgjoSDzU1GHwxCTbXPuQTfcmMZQHrZorpXW6xDYRF9qRDcMHZpwLE46Tu15336DJ8uMS&#10;f/mpUYwNkcXTvRizSQ0XkVJur4JoE0MZiEFzPlFSRFYyD+kUdlpEO23uhURCsfJJSmREPsyxyqqW&#10;NSKLZ3/MJQFGZInxR+wB4L36q4HgwT66ijQJo3P5t8RyiaNHigwmjM6dMuDeA9BhjJzt9yRlaiJL&#10;z9DssN0c5Dn0ll8pfPVr5sMdczh42Ci4TMItfqSGvqZcK0tJC+7nW1m0wzlADSU9DnBN/Y81c4IS&#10;/dXghJxW0ynChXSZzk4meHGHmudDjVl3F4AtVOG6sjwdo33Q+6N00D3hrlnGqKhihmPsmob98SLk&#10;tYK7iovlMhnhjFsWrs2D5RE6chl7+XH7xJwdGj7goNzAftTZ/E3fZ9voaWC5DiBVGooXNgeWcT+k&#10;1h12WVxAh/dk9bJxF78AAAD//wMAUEsDBBQABgAIAAAAIQCuRdps3QAAAAcBAAAPAAAAZHJzL2Rv&#10;d25yZXYueG1sTI7BSsNAFEX3gv8wPMGdnRhCamImRYQIImit2m6nmWcSmnkTMtMm/r2vK11e7uXc&#10;U6xm24sTjr5zpOB2EYFAqp3pqFHw+VHd3IHwQZPRvSNU8IMeVuXlRaFz4yZ6x9MmNIIh5HOtoA1h&#10;yKX0dYtW+4UbkLj7dqPVgePYSDPqieG2l3EUpdLqjvih1QM+tlgfNker4Kl9rbZv2/VUTc/mJZnX&#10;Ozp87ZS6vpof7kEEnMPfGM76rA4lO+3dkYwXvYI0yXipIM6WILhfZpz3CpI0BlkW8r9/+QsAAP//&#10;AwBQSwECLQAUAAYACAAAACEAtoM4kv4AAADhAQAAEwAAAAAAAAAAAAAAAAAAAAAAW0NvbnRlbnRf&#10;VHlwZXNdLnhtbFBLAQItABQABgAIAAAAIQA4/SH/1gAAAJQBAAALAAAAAAAAAAAAAAAAAC8BAABf&#10;cmVscy8ucmVsc1BLAQItABQABgAIAAAAIQBys9XaoQIAALkFAAAOAAAAAAAAAAAAAAAAAC4CAABk&#10;cnMvZTJvRG9jLnhtbFBLAQItABQABgAIAAAAIQCuRdps3QAAAAcBAAAPAAAAAAAAAAAAAAAAAPsE&#10;AABkcnMvZG93bnJldi54bWxQSwUGAAAAAAQABADzAAAABQYAAAAA&#10;" fillcolor="#fabf8f [1945]"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31968" behindDoc="0" locked="0" layoutInCell="1" allowOverlap="1" wp14:anchorId="75ED5327" wp14:editId="2C9BFE79">
                <wp:simplePos x="0" y="0"/>
                <wp:positionH relativeFrom="column">
                  <wp:posOffset>310515</wp:posOffset>
                </wp:positionH>
                <wp:positionV relativeFrom="paragraph">
                  <wp:posOffset>118745</wp:posOffset>
                </wp:positionV>
                <wp:extent cx="2781300" cy="419100"/>
                <wp:effectExtent l="0" t="0" r="0" b="0"/>
                <wp:wrapNone/>
                <wp:docPr id="7" name="TextBox 4"/>
                <wp:cNvGraphicFramePr/>
                <a:graphic xmlns:a="http://schemas.openxmlformats.org/drawingml/2006/main">
                  <a:graphicData uri="http://schemas.microsoft.com/office/word/2010/wordprocessingShape">
                    <wps:wsp>
                      <wps:cNvSpPr txBox="1"/>
                      <wps:spPr>
                        <a:xfrm>
                          <a:off x="0" y="0"/>
                          <a:ext cx="2781300" cy="4191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805B87" w:rsidRDefault="00EC1AB2" w:rsidP="00A12A25">
                            <w:pPr>
                              <w:pStyle w:val="NormalWeb"/>
                              <w:rPr>
                                <w:sz w:val="20"/>
                                <w:szCs w:val="20"/>
                              </w:rPr>
                            </w:pPr>
                            <w:r w:rsidRPr="00805B87">
                              <w:rPr>
                                <w:rFonts w:asciiTheme="minorHAnsi" w:hAnsi="Calibri" w:cstheme="minorBidi"/>
                                <w:color w:val="000000" w:themeColor="dark1"/>
                                <w:sz w:val="20"/>
                                <w:szCs w:val="20"/>
                              </w:rPr>
                              <w:t xml:space="preserve">    </w:t>
                            </w:r>
                            <w:r>
                              <w:rPr>
                                <w:rFonts w:asciiTheme="minorHAnsi" w:hAnsi="Calibri" w:cstheme="minorBidi"/>
                                <w:color w:val="000000" w:themeColor="dark1"/>
                                <w:sz w:val="20"/>
                                <w:szCs w:val="20"/>
                              </w:rPr>
                              <w:t xml:space="preserve">  </w:t>
                            </w:r>
                            <w:r w:rsidRPr="00805B87">
                              <w:rPr>
                                <w:color w:val="000000" w:themeColor="dark1"/>
                                <w:sz w:val="20"/>
                                <w:szCs w:val="20"/>
                              </w:rPr>
                              <w:t>Išlaidų MTEP santykis su BVP, proc.</w:t>
                            </w:r>
                          </w:p>
                          <w:p w:rsidR="00EC1AB2" w:rsidRPr="00805B87" w:rsidRDefault="00EC1AB2" w:rsidP="00A12A25">
                            <w:pPr>
                              <w:pStyle w:val="NormalWeb"/>
                              <w:rPr>
                                <w:sz w:val="20"/>
                                <w:szCs w:val="20"/>
                              </w:rPr>
                            </w:pPr>
                            <w:r>
                              <w:rPr>
                                <w:color w:val="000000" w:themeColor="dark1"/>
                                <w:sz w:val="20"/>
                                <w:szCs w:val="20"/>
                              </w:rPr>
                              <w:t xml:space="preserve">     Strategijoje „Europa 2020“</w:t>
                            </w:r>
                            <w:r w:rsidRPr="00805B87">
                              <w:rPr>
                                <w:color w:val="000000" w:themeColor="dark1"/>
                                <w:sz w:val="20"/>
                                <w:szCs w:val="20"/>
                              </w:rPr>
                              <w:t xml:space="preserve"> numatytas tikslas</w:t>
                            </w:r>
                          </w:p>
                        </w:txbxContent>
                      </wps:txbx>
                      <wps:bodyPr vertOverflow="clip" horzOverflow="clip" wrap="square" rtlCol="0" anchor="t">
                        <a:noAutofit/>
                      </wps:bodyPr>
                    </wps:wsp>
                  </a:graphicData>
                </a:graphic>
                <wp14:sizeRelV relativeFrom="margin">
                  <wp14:pctHeight>0</wp14:pctHeight>
                </wp14:sizeRelV>
              </wp:anchor>
            </w:drawing>
          </mc:Choice>
          <mc:Fallback>
            <w:pict>
              <v:shape id="TextBox 4" o:spid="_x0000_s1045" type="#_x0000_t202" style="position:absolute;left:0;text-align:left;margin-left:24.45pt;margin-top:9.35pt;width:219pt;height:33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MiGwIAAIAEAAAOAAAAZHJzL2Uyb0RvYy54bWysVMFu2zAMvQ/YPwi6L46zdk2DOMXWorsM&#10;a7F2H6DIUixMEjVKjZ19/Sg5cYfu1GEXRabIR75HMuurwVm2VxgN+IbXszlnyktojd81/Pvj7bsl&#10;ZzEJ3woLXjX8oCK/2rx9s+7DSi2gA9sqZATi46oPDe9SCquqirJTTsQZBOXpUQM6kegTd1WLoid0&#10;Z6vFfP6h6gHbgCBVjGS9GR/5puBrrWS60zqqxGzDqbZUTiznNp/VZi1WOxShM/JYhviHKpwwnpJO&#10;UDciCfaE5i8oZyRCBJ1mElwFWhupCgdiU89fsHnoRFCFC4kTwyRT/H+w8uv+HplpG37BmReOWvSo&#10;hvQJBnaWxelDXJHPQyCvNJCZmnyyRzJmzoNGl3+JDaN3kvkwSUtYTJJxcbGs38/pSdLbWX1Z053g&#10;q+fogDF9VuBYvjQcqXVFUbH/EtPoenLJyTzcGmtL+6xnfcMvzxfnBO8CcYl+V2InJ8pjPaXLdMay&#10;yy0drMpg1n9TmlQo1WdDlLjbXltk46jQLFPpp4EpYBSQHTUV8crYY0iOVmVCXxk/BZX84NMU74wH&#10;LMTL/qhMYC9o8tsfpWlUuB79T1KMAmQt0rAdyhzUy1N/t9AeqO203emODm2BZJbWBM46wF8vbT1t&#10;EUn/80mg4gyTvYZx6YSX5N/wsZ8ePj4l0Kb0NGce0xwrojEvU3FcybxHf34Xr+c/js1vAAAA//8D&#10;AFBLAwQUAAYACAAAACEAhX7RmNwAAAAIAQAADwAAAGRycy9kb3ducmV2LnhtbEyPzU7DMBCE70i8&#10;g7VI3KhNFVo3xKkqEFcQ5Ufi5sbbJCJeR7HbpG/f5USPOzOa/aZYT74TRxxiG8jA/UyBQKqCa6k2&#10;8PnxcqdBxGTJ2S4QGjhhhHV5fVXY3IWR3vG4TbXgEoq5NdCk1OdSxqpBb+Ms9Ejs7cPgbeJzqKUb&#10;7MjlvpNzpRbS25b4Q2N7fGqw+t0evIGv1/3Pd6be6mf/0I9hUpL8ShpzezNtHkEknNJ/GP7wGR1K&#10;ZtqFA7koOgOZXnGSdb0EwX6mFyzsDOhsCbIs5OWA8gwAAP//AwBQSwECLQAUAAYACAAAACEAtoM4&#10;kv4AAADhAQAAEwAAAAAAAAAAAAAAAAAAAAAAW0NvbnRlbnRfVHlwZXNdLnhtbFBLAQItABQABgAI&#10;AAAAIQA4/SH/1gAAAJQBAAALAAAAAAAAAAAAAAAAAC8BAABfcmVscy8ucmVsc1BLAQItABQABgAI&#10;AAAAIQDz0oMiGwIAAIAEAAAOAAAAAAAAAAAAAAAAAC4CAABkcnMvZTJvRG9jLnhtbFBLAQItABQA&#10;BgAIAAAAIQCFftGY3AAAAAgBAAAPAAAAAAAAAAAAAAAAAHUEAABkcnMvZG93bnJldi54bWxQSwUG&#10;AAAAAAQABADzAAAAfgUAAAAA&#10;" filled="f" stroked="f">
                <v:textbox>
                  <w:txbxContent>
                    <w:p w:rsidR="00A03476" w:rsidRPr="00805B87" w:rsidRDefault="00A03476" w:rsidP="00A12A25">
                      <w:pPr>
                        <w:pStyle w:val="NormalWeb"/>
                        <w:rPr>
                          <w:sz w:val="20"/>
                          <w:szCs w:val="20"/>
                        </w:rPr>
                      </w:pPr>
                      <w:r w:rsidRPr="00805B87">
                        <w:rPr>
                          <w:rFonts w:asciiTheme="minorHAnsi" w:hAnsi="Calibri" w:cstheme="minorBidi"/>
                          <w:color w:val="000000" w:themeColor="dark1"/>
                          <w:sz w:val="20"/>
                          <w:szCs w:val="20"/>
                        </w:rPr>
                        <w:t xml:space="preserve">    </w:t>
                      </w:r>
                      <w:r>
                        <w:rPr>
                          <w:rFonts w:asciiTheme="minorHAnsi" w:hAnsi="Calibri" w:cstheme="minorBidi"/>
                          <w:color w:val="000000" w:themeColor="dark1"/>
                          <w:sz w:val="20"/>
                          <w:szCs w:val="20"/>
                        </w:rPr>
                        <w:t xml:space="preserve">  </w:t>
                      </w:r>
                      <w:r w:rsidRPr="00805B87">
                        <w:rPr>
                          <w:color w:val="000000" w:themeColor="dark1"/>
                          <w:sz w:val="20"/>
                          <w:szCs w:val="20"/>
                        </w:rPr>
                        <w:t>Išlaidų MTEP santykis su BVP, proc.</w:t>
                      </w:r>
                    </w:p>
                    <w:p w:rsidR="00A03476" w:rsidRPr="00805B87" w:rsidRDefault="00A03476" w:rsidP="00A12A25">
                      <w:pPr>
                        <w:pStyle w:val="NormalWeb"/>
                        <w:rPr>
                          <w:sz w:val="20"/>
                          <w:szCs w:val="20"/>
                        </w:rPr>
                      </w:pPr>
                      <w:r>
                        <w:rPr>
                          <w:color w:val="000000" w:themeColor="dark1"/>
                          <w:sz w:val="20"/>
                          <w:szCs w:val="20"/>
                        </w:rPr>
                        <w:t xml:space="preserve">     Strategijoje „Europa 2020“</w:t>
                      </w:r>
                      <w:r w:rsidRPr="00805B87">
                        <w:rPr>
                          <w:color w:val="000000" w:themeColor="dark1"/>
                          <w:sz w:val="20"/>
                          <w:szCs w:val="20"/>
                        </w:rPr>
                        <w:t xml:space="preserve"> numatytas tikslas</w:t>
                      </w:r>
                    </w:p>
                  </w:txbxContent>
                </v:textbox>
              </v:shape>
            </w:pict>
          </mc:Fallback>
        </mc:AlternateContent>
      </w:r>
    </w:p>
    <w:p w:rsidR="007D6F73" w:rsidRPr="00EC1AB2" w:rsidRDefault="007D6F73" w:rsidP="007A02A8">
      <w:pPr>
        <w:autoSpaceDE w:val="0"/>
        <w:autoSpaceDN w:val="0"/>
        <w:adjustRightInd w:val="0"/>
        <w:spacing w:after="0" w:line="360" w:lineRule="auto"/>
        <w:jc w:val="both"/>
        <w:rPr>
          <w:rFonts w:ascii="Times New Roman" w:hAnsi="Times New Roman" w:cs="Times New Roman"/>
          <w:b/>
          <w:sz w:val="20"/>
          <w:szCs w:val="20"/>
        </w:rPr>
      </w:pP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34016" behindDoc="0" locked="0" layoutInCell="1" allowOverlap="1" wp14:anchorId="777E32CF" wp14:editId="3F701AA6">
                <wp:simplePos x="0" y="0"/>
                <wp:positionH relativeFrom="column">
                  <wp:posOffset>429260</wp:posOffset>
                </wp:positionH>
                <wp:positionV relativeFrom="paragraph">
                  <wp:posOffset>151765</wp:posOffset>
                </wp:positionV>
                <wp:extent cx="85725" cy="0"/>
                <wp:effectExtent l="38100" t="38100" r="66675" b="95250"/>
                <wp:wrapNone/>
                <wp:docPr id="11" name="Straight Connector 16"/>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11.95pt" to="40.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1WuwEAAMMDAAAOAAAAZHJzL2Uyb0RvYy54bWysU8tu2zAQvBfIPxC815JcJA0Eyzk4aC9F&#10;azTNBzDU0iLAF5asJf99l7SsFEmAAEUvFJfcmd0ZrjZ3kzXsCBi1dx1vVjVn4KTvtTt0/PHXl4+3&#10;nMUkXC+Md9DxE0R+t736sBlDC2s/eNMDMiJxsR1Dx4eUQltVUQ5gRVz5AI4ulUcrEoV4qHoUI7Fb&#10;U63r+qYaPfYBvYQY6fT+fMm3hV8pkOmHUhESMx2n3lJZsaxPea22G9EeUIRBy7kN8Q9dWKEdFV2o&#10;7kUS7DfqV1RWS/TRq7SS3lZeKS2haCA1Tf1CzcMgAhQtZE4Mi03x/9HK78c9Mt3T2zWcOWHpjR4S&#10;Cn0YEtt558hBj6y5yU6NIbYE2Lk9zlEMe8yyJ4U2f0kQm4q7p8VdmBKTdHh7/Xl9zZm83FTPsIAx&#10;fQVvWd503GiXZYtWHL/FRKUo9ZJCQW7jXLjs0slATjbuJyiSQqXWBV2GCHYG2VHQ8wspwaVPWQjx&#10;lewMU9qYBVi/D5zzMxTKgC3g5n3wgiiVvUsL2Grn8S2CNDVzy+qcf3HgrDtb8OT7U3mSYg1NSlE4&#10;T3Uexb/jAn/+97Z/AAAA//8DAFBLAwQUAAYACAAAACEAP8wYOt0AAAAHAQAADwAAAGRycy9kb3du&#10;cmV2LnhtbEyOwU7DMBBE70j8g7VI3KiTAqGEOFVVqSAOHGjpobdtvE1S7HUUO234e4w4wHE0ozev&#10;mI/WiBP1vnWsIJ0kIIgrp1uuFXxsVjczED4gazSOScEXeZiXlxcF5tqd+Z1O61CLCGGfo4ImhC6X&#10;0lcNWfQT1xHH7uB6iyHGvpa6x3OEWyOnSZJJiy3HhwY7WjZUfa4Hq+D57pXuX3bDYbsw2B3t8vi2&#10;Chulrq/GxROIQGP4G8OPflSHMjrt3cDaC6Mge8jiUsH09hFE7GdpCmL/m2VZyP/+5TcAAAD//wMA&#10;UEsBAi0AFAAGAAgAAAAhALaDOJL+AAAA4QEAABMAAAAAAAAAAAAAAAAAAAAAAFtDb250ZW50X1R5&#10;cGVzXS54bWxQSwECLQAUAAYACAAAACEAOP0h/9YAAACUAQAACwAAAAAAAAAAAAAAAAAvAQAAX3Jl&#10;bHMvLnJlbHNQSwECLQAUAAYACAAAACEAenH9VrsBAADDAwAADgAAAAAAAAAAAAAAAAAuAgAAZHJz&#10;L2Uyb0RvYy54bWxQSwECLQAUAAYACAAAACEAP8wYOt0AAAAHAQAADwAAAAAAAAAAAAAAAAAVBAAA&#10;ZHJzL2Rvd25yZXYueG1sUEsFBgAAAAAEAAQA8wAAAB8FAAAAAA==&#10;" strokecolor="#9bbb59 [3206]" strokeweight="2pt">
                <v:shadow on="t" color="black" opacity="24903f" origin=",.5" offset="0,.55556mm"/>
              </v:line>
            </w:pict>
          </mc:Fallback>
        </mc:AlternateContent>
      </w:r>
    </w:p>
    <w:p w:rsidR="007D6F73" w:rsidRPr="00EC1AB2" w:rsidRDefault="007D6F73" w:rsidP="007A02A8">
      <w:pPr>
        <w:autoSpaceDE w:val="0"/>
        <w:autoSpaceDN w:val="0"/>
        <w:adjustRightInd w:val="0"/>
        <w:spacing w:after="0" w:line="360" w:lineRule="auto"/>
        <w:jc w:val="both"/>
        <w:rPr>
          <w:rFonts w:ascii="Times New Roman" w:hAnsi="Times New Roman" w:cs="Times New Roman"/>
          <w:b/>
          <w:sz w:val="20"/>
          <w:szCs w:val="20"/>
        </w:rPr>
      </w:pPr>
    </w:p>
    <w:p w:rsidR="00C72A8C" w:rsidRPr="00EC1AB2" w:rsidRDefault="00C72A8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w:t>
      </w:r>
      <w:r w:rsidR="00B71012" w:rsidRPr="00EC1AB2">
        <w:rPr>
          <w:rFonts w:ascii="Times New Roman" w:hAnsi="Times New Roman" w:cs="Times New Roman"/>
          <w:sz w:val="20"/>
          <w:szCs w:val="20"/>
        </w:rPr>
        <w:t>Eurostat duomenis</w:t>
      </w:r>
    </w:p>
    <w:p w:rsidR="00C72A8C" w:rsidRPr="00EC1AB2" w:rsidRDefault="00846CC0" w:rsidP="007A02A8">
      <w:pPr>
        <w:pStyle w:val="Heading5"/>
        <w:spacing w:before="0" w:line="360" w:lineRule="auto"/>
        <w:jc w:val="center"/>
        <w:rPr>
          <w:rFonts w:ascii="Times New Roman" w:hAnsi="Times New Roman" w:cs="Times New Roman"/>
          <w:b/>
          <w:color w:val="auto"/>
          <w:sz w:val="24"/>
          <w:szCs w:val="24"/>
        </w:rPr>
      </w:pPr>
      <w:bookmarkStart w:id="149" w:name="_Toc320761930"/>
      <w:bookmarkStart w:id="150" w:name="_Toc320762165"/>
      <w:bookmarkStart w:id="151" w:name="_Toc320762567"/>
      <w:r w:rsidRPr="00EC1AB2">
        <w:rPr>
          <w:rFonts w:ascii="Times New Roman" w:hAnsi="Times New Roman" w:cs="Times New Roman"/>
          <w:color w:val="auto"/>
          <w:sz w:val="24"/>
          <w:szCs w:val="24"/>
        </w:rPr>
        <w:t>14</w:t>
      </w:r>
      <w:r w:rsidR="00C72A8C" w:rsidRPr="00EC1AB2">
        <w:rPr>
          <w:rFonts w:ascii="Times New Roman" w:hAnsi="Times New Roman" w:cs="Times New Roman"/>
          <w:color w:val="auto"/>
          <w:sz w:val="24"/>
          <w:szCs w:val="24"/>
        </w:rPr>
        <w:t xml:space="preserve"> pav.</w:t>
      </w:r>
      <w:r w:rsidR="008E2F59" w:rsidRPr="00EC1AB2">
        <w:rPr>
          <w:rFonts w:ascii="Times New Roman" w:hAnsi="Times New Roman" w:cs="Times New Roman"/>
          <w:b/>
          <w:color w:val="auto"/>
          <w:sz w:val="24"/>
          <w:szCs w:val="24"/>
        </w:rPr>
        <w:t xml:space="preserve"> Išlaidų moksliniams tyrimams ir eksperimentinei plėtrai</w:t>
      </w:r>
      <w:r w:rsidR="00C72A8C" w:rsidRPr="00EC1AB2">
        <w:rPr>
          <w:rFonts w:ascii="Times New Roman" w:hAnsi="Times New Roman" w:cs="Times New Roman"/>
          <w:b/>
          <w:color w:val="auto"/>
          <w:sz w:val="24"/>
          <w:szCs w:val="24"/>
        </w:rPr>
        <w:t xml:space="preserve"> santykis su BVP </w:t>
      </w:r>
      <w:r w:rsidR="00B0279D" w:rsidRPr="00EC1AB2">
        <w:rPr>
          <w:rFonts w:ascii="Times New Roman" w:hAnsi="Times New Roman" w:cs="Times New Roman"/>
          <w:b/>
          <w:color w:val="auto"/>
          <w:sz w:val="24"/>
          <w:szCs w:val="24"/>
        </w:rPr>
        <w:t xml:space="preserve">ES </w:t>
      </w:r>
      <w:r w:rsidR="00331AB6" w:rsidRPr="00EC1AB2">
        <w:rPr>
          <w:rFonts w:ascii="Times New Roman" w:hAnsi="Times New Roman" w:cs="Times New Roman"/>
          <w:b/>
          <w:color w:val="auto"/>
          <w:sz w:val="24"/>
          <w:szCs w:val="24"/>
        </w:rPr>
        <w:t>2010</w:t>
      </w:r>
      <w:r w:rsidR="00C72A8C" w:rsidRPr="00EC1AB2">
        <w:rPr>
          <w:rFonts w:ascii="Times New Roman" w:hAnsi="Times New Roman" w:cs="Times New Roman"/>
          <w:b/>
          <w:color w:val="auto"/>
          <w:sz w:val="24"/>
          <w:szCs w:val="24"/>
        </w:rPr>
        <w:t xml:space="preserve"> m., proc.</w:t>
      </w:r>
      <w:bookmarkEnd w:id="149"/>
      <w:bookmarkEnd w:id="150"/>
      <w:bookmarkEnd w:id="151"/>
    </w:p>
    <w:p w:rsidR="00D22C0A" w:rsidRPr="00EC1AB2" w:rsidRDefault="00D22C0A" w:rsidP="007A02A8">
      <w:pPr>
        <w:pStyle w:val="Heading5"/>
        <w:spacing w:before="0" w:line="360" w:lineRule="auto"/>
        <w:jc w:val="center"/>
        <w:rPr>
          <w:rFonts w:ascii="Times New Roman" w:hAnsi="Times New Roman" w:cs="Times New Roman"/>
          <w:b/>
          <w:color w:val="auto"/>
          <w:sz w:val="24"/>
          <w:szCs w:val="24"/>
        </w:rPr>
      </w:pPr>
    </w:p>
    <w:p w:rsidR="00C54CE1" w:rsidRPr="00EC1AB2" w:rsidRDefault="00846CC0"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matyti iš 14</w:t>
      </w:r>
      <w:r w:rsidR="00D22C0A" w:rsidRPr="00EC1AB2">
        <w:rPr>
          <w:rFonts w:ascii="Times New Roman" w:hAnsi="Times New Roman" w:cs="Times New Roman"/>
          <w:sz w:val="24"/>
          <w:szCs w:val="24"/>
        </w:rPr>
        <w:t xml:space="preserve"> pav. </w:t>
      </w:r>
      <w:r w:rsidR="00D7605A" w:rsidRPr="00EC1AB2">
        <w:rPr>
          <w:rFonts w:ascii="Times New Roman" w:hAnsi="Times New Roman" w:cs="Times New Roman"/>
          <w:sz w:val="24"/>
          <w:szCs w:val="24"/>
        </w:rPr>
        <w:t>s</w:t>
      </w:r>
      <w:r w:rsidR="00F367EB" w:rsidRPr="00EC1AB2">
        <w:rPr>
          <w:rFonts w:ascii="Times New Roman" w:hAnsi="Times New Roman" w:cs="Times New Roman"/>
          <w:sz w:val="24"/>
          <w:szCs w:val="24"/>
        </w:rPr>
        <w:t xml:space="preserve">trategijoje „Europa 2020“ numatytą tikslą yra pasiekusios Danija, Švedija ir Suomija. </w:t>
      </w:r>
      <w:r w:rsidR="004F1EA8" w:rsidRPr="00EC1AB2">
        <w:rPr>
          <w:rFonts w:ascii="Times New Roman" w:hAnsi="Times New Roman" w:cs="Times New Roman"/>
          <w:sz w:val="24"/>
          <w:szCs w:val="24"/>
        </w:rPr>
        <w:t>Liet</w:t>
      </w:r>
      <w:r w:rsidR="00CD4273" w:rsidRPr="00EC1AB2">
        <w:rPr>
          <w:rFonts w:ascii="Times New Roman" w:hAnsi="Times New Roman" w:cs="Times New Roman"/>
          <w:sz w:val="24"/>
          <w:szCs w:val="24"/>
        </w:rPr>
        <w:t>uva</w:t>
      </w:r>
      <w:r w:rsidR="001E3407" w:rsidRPr="00EC1AB2">
        <w:rPr>
          <w:rFonts w:ascii="Times New Roman" w:hAnsi="Times New Roman" w:cs="Times New Roman"/>
          <w:sz w:val="24"/>
          <w:szCs w:val="24"/>
        </w:rPr>
        <w:t xml:space="preserve"> </w:t>
      </w:r>
      <w:r w:rsidR="00135528" w:rsidRPr="00EC1AB2">
        <w:rPr>
          <w:rFonts w:ascii="Times New Roman" w:hAnsi="Times New Roman" w:cs="Times New Roman"/>
          <w:sz w:val="24"/>
          <w:szCs w:val="24"/>
        </w:rPr>
        <w:t>nuo ES vidurkio atsilieka 2,5 karto.</w:t>
      </w:r>
      <w:r w:rsidR="00A871EF" w:rsidRPr="00EC1AB2">
        <w:rPr>
          <w:rFonts w:ascii="Times New Roman" w:hAnsi="Times New Roman" w:cs="Times New Roman"/>
          <w:sz w:val="24"/>
          <w:szCs w:val="24"/>
        </w:rPr>
        <w:t xml:space="preserve"> Taip pat verta paminėti</w:t>
      </w:r>
      <w:r w:rsidR="00D337D9" w:rsidRPr="00EC1AB2">
        <w:rPr>
          <w:rFonts w:ascii="Times New Roman" w:hAnsi="Times New Roman" w:cs="Times New Roman"/>
          <w:sz w:val="24"/>
          <w:szCs w:val="24"/>
        </w:rPr>
        <w:t xml:space="preserve">, kad </w:t>
      </w:r>
      <w:r w:rsidR="00E36C8D" w:rsidRPr="00EC1AB2">
        <w:rPr>
          <w:rFonts w:ascii="Times New Roman" w:hAnsi="Times New Roman" w:cs="Times New Roman"/>
          <w:sz w:val="24"/>
          <w:szCs w:val="24"/>
        </w:rPr>
        <w:t xml:space="preserve">viešojo sektoriaus </w:t>
      </w:r>
      <w:r w:rsidR="001E3407" w:rsidRPr="00EC1AB2">
        <w:rPr>
          <w:rFonts w:ascii="Times New Roman" w:hAnsi="Times New Roman" w:cs="Times New Roman"/>
          <w:sz w:val="24"/>
          <w:szCs w:val="24"/>
        </w:rPr>
        <w:t>išlai</w:t>
      </w:r>
      <w:r w:rsidR="00E36C8D" w:rsidRPr="00EC1AB2">
        <w:rPr>
          <w:rFonts w:ascii="Times New Roman" w:hAnsi="Times New Roman" w:cs="Times New Roman"/>
          <w:sz w:val="24"/>
          <w:szCs w:val="24"/>
        </w:rPr>
        <w:t>dų</w:t>
      </w:r>
      <w:r w:rsidR="001E3407" w:rsidRPr="00EC1AB2">
        <w:rPr>
          <w:rFonts w:ascii="Times New Roman" w:hAnsi="Times New Roman" w:cs="Times New Roman"/>
          <w:sz w:val="24"/>
          <w:szCs w:val="24"/>
        </w:rPr>
        <w:t xml:space="preserve"> MTEP </w:t>
      </w:r>
      <w:r w:rsidR="00E36C8D" w:rsidRPr="00EC1AB2">
        <w:rPr>
          <w:rFonts w:ascii="Times New Roman" w:hAnsi="Times New Roman" w:cs="Times New Roman"/>
          <w:sz w:val="24"/>
          <w:szCs w:val="24"/>
        </w:rPr>
        <w:t xml:space="preserve">santykis su BVP sudarė 0,56 </w:t>
      </w:r>
      <w:r w:rsidR="00006FE7" w:rsidRPr="00EC1AB2">
        <w:rPr>
          <w:rFonts w:ascii="Times New Roman" w:hAnsi="Times New Roman" w:cs="Times New Roman"/>
          <w:sz w:val="24"/>
          <w:szCs w:val="24"/>
        </w:rPr>
        <w:t>proc.</w:t>
      </w:r>
      <w:r w:rsidR="00E36C8D" w:rsidRPr="00EC1AB2">
        <w:rPr>
          <w:rFonts w:ascii="Times New Roman" w:hAnsi="Times New Roman" w:cs="Times New Roman"/>
          <w:sz w:val="24"/>
          <w:szCs w:val="24"/>
        </w:rPr>
        <w:t xml:space="preserve">, o privačiojo sektoriaus </w:t>
      </w:r>
      <w:r w:rsidR="00D310A4" w:rsidRPr="00EC1AB2">
        <w:rPr>
          <w:rFonts w:ascii="Times New Roman" w:hAnsi="Times New Roman" w:cs="Times New Roman"/>
          <w:sz w:val="24"/>
          <w:szCs w:val="24"/>
        </w:rPr>
        <w:t>investicijos tik</w:t>
      </w:r>
      <w:r w:rsidR="00E36C8D" w:rsidRPr="00EC1AB2">
        <w:rPr>
          <w:rFonts w:ascii="Times New Roman" w:hAnsi="Times New Roman" w:cs="Times New Roman"/>
          <w:sz w:val="24"/>
          <w:szCs w:val="24"/>
        </w:rPr>
        <w:t xml:space="preserve"> 0</w:t>
      </w:r>
      <w:r w:rsidR="00006FE7" w:rsidRPr="00EC1AB2">
        <w:rPr>
          <w:rFonts w:ascii="Times New Roman" w:hAnsi="Times New Roman" w:cs="Times New Roman"/>
          <w:sz w:val="24"/>
          <w:szCs w:val="24"/>
        </w:rPr>
        <w:t>,23 proc.</w:t>
      </w:r>
      <w:r w:rsidR="00FD12B0" w:rsidRPr="00EC1AB2">
        <w:rPr>
          <w:rFonts w:ascii="Times New Roman" w:hAnsi="Times New Roman" w:cs="Times New Roman"/>
          <w:sz w:val="24"/>
          <w:szCs w:val="24"/>
        </w:rPr>
        <w:t xml:space="preserve"> (siektini </w:t>
      </w:r>
      <w:r w:rsidR="00006FE7" w:rsidRPr="00EC1AB2">
        <w:rPr>
          <w:rFonts w:ascii="Times New Roman" w:hAnsi="Times New Roman" w:cs="Times New Roman"/>
          <w:sz w:val="24"/>
          <w:szCs w:val="24"/>
        </w:rPr>
        <w:t>dydžiai atitinkamai yra 1 ir 2 proc.</w:t>
      </w:r>
      <w:r w:rsidR="00FD12B0" w:rsidRPr="00EC1AB2">
        <w:rPr>
          <w:rFonts w:ascii="Times New Roman" w:hAnsi="Times New Roman" w:cs="Times New Roman"/>
          <w:sz w:val="24"/>
          <w:szCs w:val="24"/>
        </w:rPr>
        <w:t xml:space="preserve">). </w:t>
      </w:r>
      <w:r w:rsidR="008462F5" w:rsidRPr="00EC1AB2">
        <w:rPr>
          <w:rFonts w:ascii="Times New Roman" w:hAnsi="Times New Roman" w:cs="Times New Roman"/>
          <w:sz w:val="24"/>
          <w:szCs w:val="24"/>
        </w:rPr>
        <w:t xml:space="preserve"> </w:t>
      </w:r>
      <w:r w:rsidR="00D27CDF" w:rsidRPr="00EC1AB2">
        <w:rPr>
          <w:rFonts w:ascii="Times New Roman" w:hAnsi="Times New Roman" w:cs="Times New Roman"/>
          <w:sz w:val="24"/>
          <w:szCs w:val="24"/>
        </w:rPr>
        <w:t>K</w:t>
      </w:r>
      <w:r w:rsidR="00344E49" w:rsidRPr="00EC1AB2">
        <w:rPr>
          <w:rFonts w:ascii="Times New Roman" w:hAnsi="Times New Roman" w:cs="Times New Roman"/>
          <w:sz w:val="24"/>
          <w:szCs w:val="24"/>
        </w:rPr>
        <w:t xml:space="preserve">aip matyti, padėtis </w:t>
      </w:r>
      <w:r w:rsidR="009C4F26" w:rsidRPr="00EC1AB2">
        <w:rPr>
          <w:rFonts w:ascii="Times New Roman" w:hAnsi="Times New Roman" w:cs="Times New Roman"/>
          <w:sz w:val="24"/>
          <w:szCs w:val="24"/>
        </w:rPr>
        <w:t>vieša</w:t>
      </w:r>
      <w:r w:rsidR="00272EC2" w:rsidRPr="00EC1AB2">
        <w:rPr>
          <w:rFonts w:ascii="Times New Roman" w:hAnsi="Times New Roman" w:cs="Times New Roman"/>
          <w:sz w:val="24"/>
          <w:szCs w:val="24"/>
        </w:rPr>
        <w:t>jame sektoriuje</w:t>
      </w:r>
      <w:r w:rsidR="006C5561" w:rsidRPr="00EC1AB2">
        <w:rPr>
          <w:rFonts w:ascii="Times New Roman" w:hAnsi="Times New Roman" w:cs="Times New Roman"/>
          <w:sz w:val="24"/>
          <w:szCs w:val="24"/>
        </w:rPr>
        <w:t xml:space="preserve"> yra pakankamai nebloga, lyginant su privačiuoju</w:t>
      </w:r>
      <w:r w:rsidR="00272EC2" w:rsidRPr="00EC1AB2">
        <w:rPr>
          <w:rFonts w:ascii="Times New Roman" w:hAnsi="Times New Roman" w:cs="Times New Roman"/>
          <w:sz w:val="24"/>
          <w:szCs w:val="24"/>
        </w:rPr>
        <w:t xml:space="preserve">, tačiau </w:t>
      </w:r>
      <w:r w:rsidR="00272EC2" w:rsidRPr="00EC1AB2">
        <w:rPr>
          <w:rFonts w:ascii="Times New Roman" w:hAnsi="Times New Roman" w:cs="Times New Roman"/>
          <w:iCs/>
          <w:sz w:val="24"/>
          <w:szCs w:val="24"/>
        </w:rPr>
        <w:t>Mokslo ir studijų stebėsenos ir analizės centro</w:t>
      </w:r>
      <w:r w:rsidR="00343040" w:rsidRPr="00EC1AB2">
        <w:rPr>
          <w:rFonts w:ascii="Times New Roman" w:hAnsi="Times New Roman" w:cs="Times New Roman"/>
          <w:iCs/>
          <w:sz w:val="24"/>
          <w:szCs w:val="24"/>
        </w:rPr>
        <w:t xml:space="preserve"> 2008 m.</w:t>
      </w:r>
      <w:r w:rsidR="00272EC2" w:rsidRPr="00EC1AB2">
        <w:rPr>
          <w:rFonts w:ascii="Times New Roman" w:hAnsi="Times New Roman" w:cs="Times New Roman"/>
          <w:iCs/>
          <w:sz w:val="24"/>
          <w:szCs w:val="24"/>
        </w:rPr>
        <w:t xml:space="preserve"> atliktoje Lietuvos išlaidų MTEP </w:t>
      </w:r>
      <w:r w:rsidR="00343040" w:rsidRPr="00EC1AB2">
        <w:rPr>
          <w:rFonts w:ascii="Times New Roman" w:hAnsi="Times New Roman" w:cs="Times New Roman"/>
          <w:iCs/>
          <w:sz w:val="24"/>
          <w:szCs w:val="24"/>
        </w:rPr>
        <w:t xml:space="preserve">analizėje </w:t>
      </w:r>
      <w:r w:rsidR="006D12E4" w:rsidRPr="00EC1AB2">
        <w:rPr>
          <w:rFonts w:ascii="Times New Roman" w:hAnsi="Times New Roman" w:cs="Times New Roman"/>
          <w:iCs/>
          <w:sz w:val="24"/>
          <w:szCs w:val="24"/>
        </w:rPr>
        <w:t>pastebima</w:t>
      </w:r>
      <w:r w:rsidR="006C5561" w:rsidRPr="00EC1AB2">
        <w:rPr>
          <w:rFonts w:ascii="Times New Roman" w:hAnsi="Times New Roman" w:cs="Times New Roman"/>
          <w:iCs/>
          <w:sz w:val="24"/>
          <w:szCs w:val="24"/>
        </w:rPr>
        <w:t xml:space="preserve">, kad </w:t>
      </w:r>
      <w:r w:rsidR="006C5561" w:rsidRPr="00EC1AB2">
        <w:rPr>
          <w:rFonts w:ascii="Times New Roman" w:hAnsi="Times New Roman" w:cs="Times New Roman"/>
          <w:sz w:val="24"/>
          <w:szCs w:val="24"/>
        </w:rPr>
        <w:t>nemaža dalis mokslui skiriamų lėšų tenka ne konkretiems valstybei, visuomenei ir ūkiui reikalingiems tyrimams, bet institucijoms, kurios pačios sprendžia, kokiose tematikose tyrimus vykdyti</w:t>
      </w:r>
      <w:r w:rsidR="00A87AD2" w:rsidRPr="00EC1AB2">
        <w:rPr>
          <w:rFonts w:ascii="Times New Roman" w:hAnsi="Times New Roman" w:cs="Times New Roman"/>
          <w:sz w:val="24"/>
          <w:szCs w:val="24"/>
        </w:rPr>
        <w:t>.</w:t>
      </w:r>
      <w:r w:rsidR="00EA71F6" w:rsidRPr="00EC1AB2">
        <w:rPr>
          <w:rFonts w:ascii="Times New Roman" w:hAnsi="Times New Roman" w:cs="Times New Roman"/>
          <w:sz w:val="24"/>
          <w:szCs w:val="24"/>
        </w:rPr>
        <w:t xml:space="preserve">  </w:t>
      </w:r>
      <w:r w:rsidR="00703A52" w:rsidRPr="00EC1AB2">
        <w:rPr>
          <w:rFonts w:ascii="Times New Roman" w:hAnsi="Times New Roman" w:cs="Times New Roman"/>
          <w:sz w:val="24"/>
          <w:szCs w:val="24"/>
        </w:rPr>
        <w:t xml:space="preserve">Kaip pažymima Lietuvos inovacijų 2010-2020 m. strategijoje, pastaruoju metu šalies mokslinių tyrimų sistema įgijo ekstensyvios plėtros požymių. </w:t>
      </w:r>
      <w:r w:rsidR="00EA71F6" w:rsidRPr="00EC1AB2">
        <w:rPr>
          <w:rFonts w:ascii="Times New Roman" w:hAnsi="Times New Roman" w:cs="Times New Roman"/>
          <w:sz w:val="24"/>
          <w:szCs w:val="24"/>
        </w:rPr>
        <w:t>Anot Gečo, Jakubavičiaus ir kt. (2004) MTEP skirtas finansav</w:t>
      </w:r>
      <w:r w:rsidR="00777460" w:rsidRPr="00EC1AB2">
        <w:rPr>
          <w:rFonts w:ascii="Times New Roman" w:hAnsi="Times New Roman" w:cs="Times New Roman"/>
          <w:sz w:val="24"/>
          <w:szCs w:val="24"/>
        </w:rPr>
        <w:t>imas nėra pakankamai kokybiškai ir efektyviai panaudojamas</w:t>
      </w:r>
      <w:r w:rsidR="00EA71F6" w:rsidRPr="00EC1AB2">
        <w:rPr>
          <w:rFonts w:ascii="Times New Roman" w:hAnsi="Times New Roman" w:cs="Times New Roman"/>
          <w:sz w:val="24"/>
          <w:szCs w:val="24"/>
        </w:rPr>
        <w:t xml:space="preserve">, kitaip tariant, nepakankamai pritaikytas rinkos ekonomikai. </w:t>
      </w:r>
    </w:p>
    <w:p w:rsidR="00413413" w:rsidRPr="00EC1AB2" w:rsidRDefault="00CF2F91"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Verslo išlaidų</w:t>
      </w:r>
      <w:r w:rsidR="00413413" w:rsidRPr="00EC1AB2">
        <w:rPr>
          <w:rFonts w:ascii="Times New Roman" w:hAnsi="Times New Roman" w:cs="Times New Roman"/>
          <w:sz w:val="24"/>
          <w:szCs w:val="24"/>
        </w:rPr>
        <w:t xml:space="preserve"> MT</w:t>
      </w:r>
      <w:r w:rsidR="00E01A15" w:rsidRPr="00EC1AB2">
        <w:rPr>
          <w:rFonts w:ascii="Times New Roman" w:hAnsi="Times New Roman" w:cs="Times New Roman"/>
          <w:sz w:val="24"/>
          <w:szCs w:val="24"/>
        </w:rPr>
        <w:t>E</w:t>
      </w:r>
      <w:r w:rsidRPr="00EC1AB2">
        <w:rPr>
          <w:rFonts w:ascii="Times New Roman" w:hAnsi="Times New Roman" w:cs="Times New Roman"/>
          <w:sz w:val="24"/>
          <w:szCs w:val="24"/>
        </w:rPr>
        <w:t>P santykis su</w:t>
      </w:r>
      <w:r w:rsidR="00413413" w:rsidRPr="00EC1AB2">
        <w:rPr>
          <w:rFonts w:ascii="Times New Roman" w:hAnsi="Times New Roman" w:cs="Times New Roman"/>
          <w:sz w:val="24"/>
          <w:szCs w:val="24"/>
        </w:rPr>
        <w:t xml:space="preserve"> BVP</w:t>
      </w:r>
      <w:r w:rsidR="00B81C0B" w:rsidRPr="00EC1AB2">
        <w:rPr>
          <w:rFonts w:ascii="Times New Roman" w:hAnsi="Times New Roman" w:cs="Times New Roman"/>
          <w:sz w:val="24"/>
          <w:szCs w:val="24"/>
        </w:rPr>
        <w:t xml:space="preserve"> prikla</w:t>
      </w:r>
      <w:r w:rsidR="0030513C" w:rsidRPr="00EC1AB2">
        <w:rPr>
          <w:rFonts w:ascii="Times New Roman" w:hAnsi="Times New Roman" w:cs="Times New Roman"/>
          <w:sz w:val="24"/>
          <w:szCs w:val="24"/>
        </w:rPr>
        <w:t>u</w:t>
      </w:r>
      <w:r w:rsidR="0000106D" w:rsidRPr="00EC1AB2">
        <w:rPr>
          <w:rFonts w:ascii="Times New Roman" w:hAnsi="Times New Roman" w:cs="Times New Roman"/>
          <w:sz w:val="24"/>
          <w:szCs w:val="24"/>
        </w:rPr>
        <w:t xml:space="preserve">so </w:t>
      </w:r>
      <w:r w:rsidR="00B81C0B" w:rsidRPr="00EC1AB2">
        <w:rPr>
          <w:rFonts w:ascii="Times New Roman" w:hAnsi="Times New Roman" w:cs="Times New Roman"/>
          <w:sz w:val="24"/>
          <w:szCs w:val="24"/>
        </w:rPr>
        <w:t xml:space="preserve">nuolatinės veiklos </w:t>
      </w:r>
      <w:r w:rsidR="002F0C84" w:rsidRPr="00EC1AB2">
        <w:rPr>
          <w:rFonts w:ascii="Times New Roman" w:hAnsi="Times New Roman" w:cs="Times New Roman"/>
          <w:sz w:val="24"/>
          <w:szCs w:val="24"/>
        </w:rPr>
        <w:t xml:space="preserve">rodiklių </w:t>
      </w:r>
      <w:r w:rsidR="00B81C0B" w:rsidRPr="00EC1AB2">
        <w:rPr>
          <w:rFonts w:ascii="Times New Roman" w:hAnsi="Times New Roman" w:cs="Times New Roman"/>
          <w:sz w:val="24"/>
          <w:szCs w:val="24"/>
        </w:rPr>
        <w:t>kategorijai</w:t>
      </w:r>
      <w:r w:rsidR="005F7991" w:rsidRPr="00EC1AB2">
        <w:rPr>
          <w:rFonts w:ascii="Times New Roman" w:hAnsi="Times New Roman" w:cs="Times New Roman"/>
          <w:sz w:val="24"/>
          <w:szCs w:val="24"/>
        </w:rPr>
        <w:t xml:space="preserve"> (</w:t>
      </w:r>
      <w:r w:rsidR="005F7991" w:rsidRPr="00EC1AB2">
        <w:rPr>
          <w:rFonts w:ascii="Times New Roman" w:hAnsi="Times New Roman" w:cs="Times New Roman"/>
          <w:b/>
          <w:sz w:val="24"/>
          <w:szCs w:val="24"/>
        </w:rPr>
        <w:t>nuolatinių i</w:t>
      </w:r>
      <w:r w:rsidR="00DC1D85" w:rsidRPr="00EC1AB2">
        <w:rPr>
          <w:rFonts w:ascii="Times New Roman" w:hAnsi="Times New Roman" w:cs="Times New Roman"/>
          <w:b/>
          <w:sz w:val="24"/>
          <w:szCs w:val="24"/>
        </w:rPr>
        <w:t>n</w:t>
      </w:r>
      <w:r w:rsidR="005F7991" w:rsidRPr="00EC1AB2">
        <w:rPr>
          <w:rFonts w:ascii="Times New Roman" w:hAnsi="Times New Roman" w:cs="Times New Roman"/>
          <w:b/>
          <w:sz w:val="24"/>
          <w:szCs w:val="24"/>
        </w:rPr>
        <w:t>vesticijų</w:t>
      </w:r>
      <w:r w:rsidR="00412CD6" w:rsidRPr="00EC1AB2">
        <w:rPr>
          <w:rFonts w:ascii="Times New Roman" w:hAnsi="Times New Roman" w:cs="Times New Roman"/>
          <w:b/>
          <w:sz w:val="24"/>
          <w:szCs w:val="24"/>
        </w:rPr>
        <w:t xml:space="preserve"> rodiklių grupei</w:t>
      </w:r>
      <w:r w:rsidR="00412CD6" w:rsidRPr="00EC1AB2">
        <w:rPr>
          <w:rFonts w:ascii="Times New Roman" w:hAnsi="Times New Roman" w:cs="Times New Roman"/>
          <w:sz w:val="24"/>
          <w:szCs w:val="24"/>
        </w:rPr>
        <w:t>)</w:t>
      </w:r>
      <w:r w:rsidR="00B81C0B" w:rsidRPr="00EC1AB2">
        <w:rPr>
          <w:rFonts w:ascii="Times New Roman" w:hAnsi="Times New Roman" w:cs="Times New Roman"/>
          <w:sz w:val="24"/>
          <w:szCs w:val="24"/>
        </w:rPr>
        <w:t xml:space="preserve">. </w:t>
      </w:r>
      <w:r w:rsidR="002F0C84" w:rsidRPr="00EC1AB2">
        <w:rPr>
          <w:rFonts w:ascii="Times New Roman" w:hAnsi="Times New Roman" w:cs="Times New Roman"/>
          <w:sz w:val="24"/>
          <w:szCs w:val="24"/>
        </w:rPr>
        <w:t>Kaip m</w:t>
      </w:r>
      <w:r w:rsidR="00797029" w:rsidRPr="00EC1AB2">
        <w:rPr>
          <w:rFonts w:ascii="Times New Roman" w:hAnsi="Times New Roman" w:cs="Times New Roman"/>
          <w:sz w:val="24"/>
          <w:szCs w:val="24"/>
        </w:rPr>
        <w:t xml:space="preserve">inėta, </w:t>
      </w:r>
      <w:r w:rsidR="00D32782" w:rsidRPr="00EC1AB2">
        <w:rPr>
          <w:rFonts w:ascii="Times New Roman" w:hAnsi="Times New Roman" w:cs="Times New Roman"/>
          <w:sz w:val="24"/>
          <w:szCs w:val="24"/>
        </w:rPr>
        <w:t xml:space="preserve">verslo </w:t>
      </w:r>
      <w:r w:rsidR="0030513C" w:rsidRPr="00EC1AB2">
        <w:rPr>
          <w:rFonts w:ascii="Times New Roman" w:hAnsi="Times New Roman" w:cs="Times New Roman"/>
          <w:sz w:val="24"/>
          <w:szCs w:val="24"/>
        </w:rPr>
        <w:t>įmonių sektoriaus</w:t>
      </w:r>
      <w:r w:rsidR="00797029" w:rsidRPr="00EC1AB2">
        <w:rPr>
          <w:rFonts w:ascii="Times New Roman" w:hAnsi="Times New Roman" w:cs="Times New Roman"/>
          <w:sz w:val="24"/>
          <w:szCs w:val="24"/>
        </w:rPr>
        <w:t xml:space="preserve"> išlaidų ir BVP santykis </w:t>
      </w:r>
      <w:r w:rsidR="0000106D" w:rsidRPr="00EC1AB2">
        <w:rPr>
          <w:rFonts w:ascii="Times New Roman" w:hAnsi="Times New Roman" w:cs="Times New Roman"/>
          <w:sz w:val="24"/>
          <w:szCs w:val="24"/>
        </w:rPr>
        <w:t xml:space="preserve">Lietuvoje </w:t>
      </w:r>
      <w:r w:rsidR="004B34A5" w:rsidRPr="00EC1AB2">
        <w:rPr>
          <w:rFonts w:ascii="Times New Roman" w:hAnsi="Times New Roman" w:cs="Times New Roman"/>
          <w:sz w:val="24"/>
          <w:szCs w:val="24"/>
        </w:rPr>
        <w:t xml:space="preserve">yra labai žemas, tačiau nominalia išraiška </w:t>
      </w:r>
      <w:r w:rsidR="009C4F26" w:rsidRPr="00EC1AB2">
        <w:rPr>
          <w:rFonts w:ascii="Times New Roman" w:hAnsi="Times New Roman" w:cs="Times New Roman"/>
          <w:sz w:val="24"/>
          <w:szCs w:val="24"/>
        </w:rPr>
        <w:t>verslo</w:t>
      </w:r>
      <w:r w:rsidR="004B34A5" w:rsidRPr="00EC1AB2">
        <w:rPr>
          <w:rFonts w:ascii="Times New Roman" w:hAnsi="Times New Roman" w:cs="Times New Roman"/>
          <w:sz w:val="24"/>
          <w:szCs w:val="24"/>
        </w:rPr>
        <w:t xml:space="preserve"> investicijos šioje srityje</w:t>
      </w:r>
      <w:r w:rsidR="00BF7D6C" w:rsidRPr="00EC1AB2">
        <w:rPr>
          <w:rFonts w:ascii="Times New Roman" w:hAnsi="Times New Roman" w:cs="Times New Roman"/>
          <w:sz w:val="24"/>
          <w:szCs w:val="24"/>
        </w:rPr>
        <w:t xml:space="preserve"> visu pateiktu</w:t>
      </w:r>
      <w:r w:rsidR="0030513C" w:rsidRPr="00EC1AB2">
        <w:rPr>
          <w:rFonts w:ascii="Times New Roman" w:hAnsi="Times New Roman" w:cs="Times New Roman"/>
          <w:sz w:val="24"/>
          <w:szCs w:val="24"/>
        </w:rPr>
        <w:t xml:space="preserve"> </w:t>
      </w:r>
      <w:r w:rsidR="00BF7D6C" w:rsidRPr="00EC1AB2">
        <w:rPr>
          <w:rFonts w:ascii="Times New Roman" w:hAnsi="Times New Roman" w:cs="Times New Roman"/>
          <w:sz w:val="24"/>
          <w:szCs w:val="24"/>
        </w:rPr>
        <w:t>laikotarpiu</w:t>
      </w:r>
      <w:r w:rsidR="005915B6" w:rsidRPr="00EC1AB2">
        <w:rPr>
          <w:rFonts w:ascii="Times New Roman" w:hAnsi="Times New Roman" w:cs="Times New Roman"/>
          <w:sz w:val="24"/>
          <w:szCs w:val="24"/>
        </w:rPr>
        <w:t xml:space="preserve"> turėjo tendenciją didėti</w:t>
      </w:r>
      <w:r w:rsidR="004B34A5" w:rsidRPr="00EC1AB2">
        <w:rPr>
          <w:rFonts w:ascii="Times New Roman" w:hAnsi="Times New Roman" w:cs="Times New Roman"/>
          <w:sz w:val="24"/>
          <w:szCs w:val="24"/>
        </w:rPr>
        <w:t xml:space="preserve"> (žr. </w:t>
      </w:r>
      <w:r w:rsidR="00846CC0" w:rsidRPr="00EC1AB2">
        <w:rPr>
          <w:rFonts w:ascii="Times New Roman" w:hAnsi="Times New Roman" w:cs="Times New Roman"/>
          <w:sz w:val="24"/>
          <w:szCs w:val="24"/>
        </w:rPr>
        <w:t>15</w:t>
      </w:r>
      <w:r w:rsidR="00BE65AC" w:rsidRPr="00EC1AB2">
        <w:rPr>
          <w:rFonts w:ascii="Times New Roman" w:hAnsi="Times New Roman" w:cs="Times New Roman"/>
          <w:sz w:val="24"/>
          <w:szCs w:val="24"/>
        </w:rPr>
        <w:t xml:space="preserve"> pav.).</w:t>
      </w:r>
      <w:r w:rsidR="00495E7F" w:rsidRPr="00EC1AB2">
        <w:rPr>
          <w:rFonts w:ascii="Times New Roman" w:hAnsi="Times New Roman" w:cs="Times New Roman"/>
          <w:sz w:val="24"/>
          <w:szCs w:val="24"/>
        </w:rPr>
        <w:t xml:space="preserve"> </w:t>
      </w:r>
    </w:p>
    <w:p w:rsidR="000D2AC2" w:rsidRPr="00EC1AB2" w:rsidRDefault="000D2AC2" w:rsidP="007A02A8">
      <w:pPr>
        <w:autoSpaceDE w:val="0"/>
        <w:autoSpaceDN w:val="0"/>
        <w:adjustRightInd w:val="0"/>
        <w:spacing w:after="0" w:line="360" w:lineRule="auto"/>
        <w:ind w:firstLine="567"/>
        <w:jc w:val="both"/>
        <w:rPr>
          <w:rFonts w:ascii="Times New Roman" w:hAnsi="Times New Roman" w:cs="Times New Roman"/>
          <w:sz w:val="24"/>
          <w:szCs w:val="24"/>
        </w:rPr>
      </w:pPr>
    </w:p>
    <w:p w:rsidR="000D2AC2" w:rsidRPr="00EC1AB2" w:rsidRDefault="000D2AC2" w:rsidP="007A02A8">
      <w:pPr>
        <w:autoSpaceDE w:val="0"/>
        <w:autoSpaceDN w:val="0"/>
        <w:adjustRightInd w:val="0"/>
        <w:spacing w:after="0" w:line="360" w:lineRule="auto"/>
        <w:ind w:firstLine="567"/>
        <w:jc w:val="both"/>
        <w:rPr>
          <w:rFonts w:ascii="Times New Roman" w:hAnsi="Times New Roman" w:cs="Times New Roman"/>
          <w:sz w:val="24"/>
          <w:szCs w:val="24"/>
        </w:rPr>
      </w:pPr>
    </w:p>
    <w:p w:rsidR="008E23FB" w:rsidRPr="00EC1AB2" w:rsidRDefault="008E23FB" w:rsidP="007A02A8">
      <w:pPr>
        <w:autoSpaceDE w:val="0"/>
        <w:autoSpaceDN w:val="0"/>
        <w:adjustRightInd w:val="0"/>
        <w:spacing w:after="0" w:line="360" w:lineRule="auto"/>
        <w:ind w:firstLine="567"/>
        <w:jc w:val="both"/>
        <w:rPr>
          <w:rFonts w:ascii="Times New Roman" w:hAnsi="Times New Roman" w:cs="Times New Roman"/>
          <w:sz w:val="24"/>
          <w:szCs w:val="24"/>
        </w:rPr>
      </w:pPr>
    </w:p>
    <w:p w:rsidR="008E23FB" w:rsidRPr="00EC1AB2" w:rsidRDefault="008E23FB" w:rsidP="007A02A8">
      <w:pPr>
        <w:autoSpaceDE w:val="0"/>
        <w:autoSpaceDN w:val="0"/>
        <w:adjustRightInd w:val="0"/>
        <w:spacing w:after="0" w:line="360" w:lineRule="auto"/>
        <w:ind w:firstLine="567"/>
        <w:jc w:val="both"/>
        <w:rPr>
          <w:rFonts w:ascii="Times New Roman" w:hAnsi="Times New Roman" w:cs="Times New Roman"/>
          <w:sz w:val="24"/>
          <w:szCs w:val="24"/>
        </w:rPr>
      </w:pPr>
    </w:p>
    <w:p w:rsidR="008E23FB" w:rsidRPr="00EC1AB2" w:rsidRDefault="008E23FB" w:rsidP="007A02A8">
      <w:pPr>
        <w:autoSpaceDE w:val="0"/>
        <w:autoSpaceDN w:val="0"/>
        <w:adjustRightInd w:val="0"/>
        <w:spacing w:after="0" w:line="360" w:lineRule="auto"/>
        <w:jc w:val="both"/>
        <w:rPr>
          <w:rFonts w:ascii="Times New Roman" w:hAnsi="Times New Roman" w:cs="Times New Roman"/>
          <w:sz w:val="24"/>
          <w:szCs w:val="24"/>
        </w:rPr>
      </w:pPr>
    </w:p>
    <w:p w:rsidR="008E23FB" w:rsidRPr="00EC1AB2" w:rsidRDefault="008E23FB" w:rsidP="007A02A8">
      <w:pPr>
        <w:autoSpaceDE w:val="0"/>
        <w:autoSpaceDN w:val="0"/>
        <w:adjustRightInd w:val="0"/>
        <w:spacing w:after="0" w:line="360" w:lineRule="auto"/>
        <w:ind w:firstLine="567"/>
        <w:jc w:val="both"/>
        <w:rPr>
          <w:rFonts w:ascii="Times New Roman" w:hAnsi="Times New Roman" w:cs="Times New Roman"/>
          <w:sz w:val="24"/>
          <w:szCs w:val="24"/>
        </w:rPr>
      </w:pPr>
    </w:p>
    <w:p w:rsidR="0076169F" w:rsidRPr="00EC1AB2" w:rsidRDefault="004C71E7" w:rsidP="007A02A8">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743232" behindDoc="0" locked="0" layoutInCell="1" allowOverlap="1" wp14:anchorId="4ABB1810" wp14:editId="0696FBC7">
            <wp:simplePos x="0" y="0"/>
            <wp:positionH relativeFrom="column">
              <wp:posOffset>710565</wp:posOffset>
            </wp:positionH>
            <wp:positionV relativeFrom="paragraph">
              <wp:posOffset>-365760</wp:posOffset>
            </wp:positionV>
            <wp:extent cx="4162425" cy="28575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76169F" w:rsidRPr="00EC1AB2" w:rsidRDefault="0076169F"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950562" w:rsidRPr="00EC1AB2" w:rsidRDefault="00950562" w:rsidP="007A02A8">
      <w:pPr>
        <w:autoSpaceDE w:val="0"/>
        <w:autoSpaceDN w:val="0"/>
        <w:adjustRightInd w:val="0"/>
        <w:spacing w:after="0" w:line="360" w:lineRule="auto"/>
        <w:ind w:firstLine="1296"/>
        <w:jc w:val="both"/>
        <w:rPr>
          <w:rFonts w:ascii="Times New Roman" w:hAnsi="Times New Roman" w:cs="Times New Roman"/>
          <w:sz w:val="24"/>
          <w:szCs w:val="24"/>
        </w:rPr>
      </w:pPr>
    </w:p>
    <w:p w:rsidR="008E23FB" w:rsidRPr="00EC1AB2" w:rsidRDefault="008E23FB" w:rsidP="007A02A8">
      <w:pPr>
        <w:autoSpaceDE w:val="0"/>
        <w:autoSpaceDN w:val="0"/>
        <w:adjustRightInd w:val="0"/>
        <w:spacing w:after="0" w:line="360" w:lineRule="auto"/>
        <w:ind w:firstLine="1296"/>
        <w:jc w:val="both"/>
        <w:rPr>
          <w:rFonts w:ascii="Times New Roman" w:hAnsi="Times New Roman" w:cs="Times New Roman"/>
          <w:b/>
          <w:sz w:val="20"/>
          <w:szCs w:val="20"/>
        </w:rPr>
      </w:pPr>
    </w:p>
    <w:p w:rsidR="008E23FB" w:rsidRPr="00EC1AB2" w:rsidRDefault="008E23FB" w:rsidP="007A02A8">
      <w:pPr>
        <w:autoSpaceDE w:val="0"/>
        <w:autoSpaceDN w:val="0"/>
        <w:adjustRightInd w:val="0"/>
        <w:spacing w:after="0" w:line="360" w:lineRule="auto"/>
        <w:ind w:firstLine="1296"/>
        <w:jc w:val="both"/>
        <w:rPr>
          <w:rFonts w:ascii="Times New Roman" w:hAnsi="Times New Roman" w:cs="Times New Roman"/>
          <w:b/>
          <w:sz w:val="20"/>
          <w:szCs w:val="20"/>
        </w:rPr>
      </w:pPr>
    </w:p>
    <w:p w:rsidR="0076169F" w:rsidRPr="00EC1AB2" w:rsidRDefault="0076169F"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Statistikos departamento duomenis</w:t>
      </w:r>
    </w:p>
    <w:p w:rsidR="00552661" w:rsidRPr="00EC1AB2" w:rsidRDefault="00846CC0" w:rsidP="00A03476">
      <w:pPr>
        <w:pStyle w:val="Heading5"/>
        <w:spacing w:before="0"/>
        <w:jc w:val="center"/>
        <w:rPr>
          <w:rFonts w:ascii="Times New Roman" w:hAnsi="Times New Roman" w:cs="Times New Roman"/>
          <w:b/>
          <w:color w:val="auto"/>
          <w:sz w:val="24"/>
          <w:szCs w:val="24"/>
        </w:rPr>
      </w:pPr>
      <w:bookmarkStart w:id="152" w:name="_Toc320761931"/>
      <w:bookmarkStart w:id="153" w:name="_Toc320762166"/>
      <w:bookmarkStart w:id="154" w:name="_Toc320762568"/>
      <w:r w:rsidRPr="00EC1AB2">
        <w:rPr>
          <w:rFonts w:ascii="Times New Roman" w:hAnsi="Times New Roman" w:cs="Times New Roman"/>
          <w:color w:val="auto"/>
          <w:sz w:val="24"/>
          <w:szCs w:val="24"/>
        </w:rPr>
        <w:t>15</w:t>
      </w:r>
      <w:r w:rsidR="009B6806" w:rsidRPr="00EC1AB2">
        <w:rPr>
          <w:rFonts w:ascii="Times New Roman" w:hAnsi="Times New Roman" w:cs="Times New Roman"/>
          <w:color w:val="auto"/>
          <w:sz w:val="24"/>
          <w:szCs w:val="24"/>
        </w:rPr>
        <w:t xml:space="preserve"> pav.</w:t>
      </w:r>
      <w:r w:rsidR="009B6806" w:rsidRPr="00EC1AB2">
        <w:rPr>
          <w:rFonts w:ascii="Times New Roman" w:hAnsi="Times New Roman" w:cs="Times New Roman"/>
          <w:b/>
          <w:color w:val="auto"/>
          <w:sz w:val="24"/>
          <w:szCs w:val="24"/>
        </w:rPr>
        <w:t xml:space="preserve"> Verslo</w:t>
      </w:r>
      <w:r w:rsidR="008E2F59" w:rsidRPr="00EC1AB2">
        <w:rPr>
          <w:rFonts w:ascii="Times New Roman" w:hAnsi="Times New Roman" w:cs="Times New Roman"/>
          <w:b/>
          <w:color w:val="auto"/>
          <w:sz w:val="24"/>
          <w:szCs w:val="24"/>
        </w:rPr>
        <w:t xml:space="preserve"> įmonių sektoriaus išlaidos moksliniams tyrimams ir eksperimentinei plėtrai</w:t>
      </w:r>
      <w:r w:rsidR="009B6806" w:rsidRPr="00EC1AB2">
        <w:rPr>
          <w:rFonts w:ascii="Times New Roman" w:hAnsi="Times New Roman" w:cs="Times New Roman"/>
          <w:b/>
          <w:color w:val="auto"/>
          <w:sz w:val="24"/>
          <w:szCs w:val="24"/>
        </w:rPr>
        <w:t xml:space="preserve"> 2002-2010, mln. Lt</w:t>
      </w:r>
      <w:bookmarkEnd w:id="152"/>
      <w:bookmarkEnd w:id="153"/>
      <w:bookmarkEnd w:id="154"/>
    </w:p>
    <w:p w:rsidR="009D2482" w:rsidRPr="00EC1AB2" w:rsidRDefault="009D2482" w:rsidP="00A03476">
      <w:pPr>
        <w:pStyle w:val="Heading5"/>
        <w:spacing w:before="0"/>
        <w:jc w:val="center"/>
        <w:rPr>
          <w:rFonts w:ascii="Times New Roman" w:hAnsi="Times New Roman" w:cs="Times New Roman"/>
          <w:b/>
          <w:color w:val="auto"/>
          <w:sz w:val="24"/>
          <w:szCs w:val="24"/>
        </w:rPr>
      </w:pPr>
    </w:p>
    <w:p w:rsidR="008C3934" w:rsidRPr="00EC1AB2" w:rsidRDefault="00552661" w:rsidP="00A03476">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846CC0" w:rsidRPr="00EC1AB2">
        <w:rPr>
          <w:rFonts w:ascii="Times New Roman" w:hAnsi="Times New Roman" w:cs="Times New Roman"/>
          <w:sz w:val="24"/>
          <w:szCs w:val="24"/>
        </w:rPr>
        <w:t>15</w:t>
      </w:r>
      <w:r w:rsidRPr="00EC1AB2">
        <w:rPr>
          <w:rFonts w:ascii="Times New Roman" w:hAnsi="Times New Roman" w:cs="Times New Roman"/>
          <w:sz w:val="24"/>
          <w:szCs w:val="24"/>
        </w:rPr>
        <w:t xml:space="preserve"> pav. privataus sektoriaus subjektų </w:t>
      </w:r>
      <w:r w:rsidR="00CE3288" w:rsidRPr="00EC1AB2">
        <w:rPr>
          <w:rFonts w:ascii="Times New Roman" w:hAnsi="Times New Roman" w:cs="Times New Roman"/>
          <w:sz w:val="24"/>
          <w:szCs w:val="24"/>
        </w:rPr>
        <w:t xml:space="preserve">išlaidos nuo 2002 m. iki 2010 m. </w:t>
      </w:r>
      <w:r w:rsidR="00EB2523" w:rsidRPr="00EC1AB2">
        <w:rPr>
          <w:rFonts w:ascii="Times New Roman" w:hAnsi="Times New Roman" w:cs="Times New Roman"/>
          <w:sz w:val="24"/>
          <w:szCs w:val="24"/>
        </w:rPr>
        <w:t>MTEP</w:t>
      </w:r>
      <w:r w:rsidR="00792243" w:rsidRPr="00EC1AB2">
        <w:rPr>
          <w:rFonts w:ascii="Times New Roman" w:hAnsi="Times New Roman" w:cs="Times New Roman"/>
          <w:sz w:val="24"/>
          <w:szCs w:val="24"/>
        </w:rPr>
        <w:t xml:space="preserve"> augo</w:t>
      </w:r>
      <w:r w:rsidR="00C95BFE" w:rsidRPr="00EC1AB2">
        <w:rPr>
          <w:rFonts w:ascii="Times New Roman" w:hAnsi="Times New Roman" w:cs="Times New Roman"/>
          <w:sz w:val="24"/>
          <w:szCs w:val="24"/>
        </w:rPr>
        <w:t>, tači</w:t>
      </w:r>
      <w:r w:rsidR="00792243" w:rsidRPr="00EC1AB2">
        <w:rPr>
          <w:rFonts w:ascii="Times New Roman" w:hAnsi="Times New Roman" w:cs="Times New Roman"/>
          <w:sz w:val="24"/>
          <w:szCs w:val="24"/>
        </w:rPr>
        <w:t xml:space="preserve">au </w:t>
      </w:r>
      <w:r w:rsidR="00CE3288" w:rsidRPr="00EC1AB2">
        <w:rPr>
          <w:rFonts w:ascii="Times New Roman" w:hAnsi="Times New Roman" w:cs="Times New Roman"/>
          <w:sz w:val="24"/>
          <w:szCs w:val="24"/>
        </w:rPr>
        <w:t xml:space="preserve">vertinant santykį tarp </w:t>
      </w:r>
      <w:r w:rsidR="00EB2523" w:rsidRPr="00EC1AB2">
        <w:rPr>
          <w:rFonts w:ascii="Times New Roman" w:hAnsi="Times New Roman" w:cs="Times New Roman"/>
          <w:sz w:val="24"/>
          <w:szCs w:val="24"/>
        </w:rPr>
        <w:t xml:space="preserve">investicijų šioje srityje ir BVP galima pastebėti, kad </w:t>
      </w:r>
      <w:r w:rsidR="00792243" w:rsidRPr="00EC1AB2">
        <w:rPr>
          <w:rFonts w:ascii="Times New Roman" w:hAnsi="Times New Roman" w:cs="Times New Roman"/>
          <w:sz w:val="24"/>
          <w:szCs w:val="24"/>
        </w:rPr>
        <w:t>augimas nėra</w:t>
      </w:r>
      <w:r w:rsidR="00C95BFE" w:rsidRPr="00EC1AB2">
        <w:rPr>
          <w:rFonts w:ascii="Times New Roman" w:hAnsi="Times New Roman" w:cs="Times New Roman"/>
          <w:sz w:val="24"/>
          <w:szCs w:val="24"/>
        </w:rPr>
        <w:t xml:space="preserve"> pakankama</w:t>
      </w:r>
      <w:r w:rsidR="00CC69E8" w:rsidRPr="00EC1AB2">
        <w:rPr>
          <w:rFonts w:ascii="Times New Roman" w:hAnsi="Times New Roman" w:cs="Times New Roman"/>
          <w:sz w:val="24"/>
          <w:szCs w:val="24"/>
        </w:rPr>
        <w:t>s</w:t>
      </w:r>
      <w:r w:rsidR="00525B27" w:rsidRPr="00EC1AB2">
        <w:rPr>
          <w:rFonts w:ascii="Times New Roman" w:hAnsi="Times New Roman" w:cs="Times New Roman"/>
          <w:sz w:val="24"/>
          <w:szCs w:val="24"/>
        </w:rPr>
        <w:t>. V</w:t>
      </w:r>
      <w:r w:rsidR="008C3934" w:rsidRPr="00EC1AB2">
        <w:rPr>
          <w:rFonts w:ascii="Times New Roman" w:hAnsi="Times New Roman" w:cs="Times New Roman"/>
          <w:sz w:val="24"/>
          <w:szCs w:val="24"/>
        </w:rPr>
        <w:t xml:space="preserve">erta paminėti, kad Lietuvos įmonės inovacijoms </w:t>
      </w:r>
      <w:r w:rsidR="00B974FC" w:rsidRPr="00EC1AB2">
        <w:rPr>
          <w:rFonts w:ascii="Times New Roman" w:hAnsi="Times New Roman" w:cs="Times New Roman"/>
          <w:sz w:val="24"/>
          <w:szCs w:val="24"/>
        </w:rPr>
        <w:t xml:space="preserve">diegti </w:t>
      </w:r>
      <w:r w:rsidR="008C3934" w:rsidRPr="00EC1AB2">
        <w:rPr>
          <w:rFonts w:ascii="Times New Roman" w:hAnsi="Times New Roman" w:cs="Times New Roman"/>
          <w:sz w:val="24"/>
          <w:szCs w:val="24"/>
        </w:rPr>
        <w:t xml:space="preserve">labiau naudoja jau sukurtas žinias (licencijų, patentų, </w:t>
      </w:r>
      <w:r w:rsidR="008C3934" w:rsidRPr="00EC1AB2">
        <w:rPr>
          <w:rFonts w:ascii="Times New Roman" w:hAnsi="Times New Roman" w:cs="Times New Roman"/>
          <w:i/>
          <w:sz w:val="24"/>
          <w:szCs w:val="24"/>
        </w:rPr>
        <w:t>know-how</w:t>
      </w:r>
      <w:r w:rsidR="008C3934" w:rsidRPr="00EC1AB2">
        <w:rPr>
          <w:rFonts w:ascii="Times New Roman" w:hAnsi="Times New Roman" w:cs="Times New Roman"/>
          <w:sz w:val="24"/>
          <w:szCs w:val="24"/>
        </w:rPr>
        <w:t xml:space="preserve">, integruotas į įrengimus ar kito pavidalo), nes išlaidos ne MTEP inovacijoms procentais nuo apyvartos netgi lenkia ES vidurkį. </w:t>
      </w:r>
    </w:p>
    <w:p w:rsidR="00D659AF" w:rsidRPr="00EC1AB2" w:rsidRDefault="0031140C" w:rsidP="00A03476">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Lietuvos statistikos departamentas kas dvejus metus atlieka įmoni</w:t>
      </w:r>
      <w:r w:rsidR="000C16F4" w:rsidRPr="00EC1AB2">
        <w:rPr>
          <w:rFonts w:ascii="Times New Roman" w:hAnsi="Times New Roman" w:cs="Times New Roman"/>
          <w:sz w:val="24"/>
          <w:szCs w:val="24"/>
        </w:rPr>
        <w:t xml:space="preserve">ų inovacinės veiklos tyrimus. Šie tyrimai pradėti vykdyti nuo 2002 m. </w:t>
      </w:r>
      <w:r w:rsidR="00894C8C" w:rsidRPr="00EC1AB2">
        <w:rPr>
          <w:rFonts w:ascii="Times New Roman" w:hAnsi="Times New Roman" w:cs="Times New Roman"/>
          <w:sz w:val="24"/>
          <w:szCs w:val="24"/>
        </w:rPr>
        <w:t>Visu tir</w:t>
      </w:r>
      <w:r w:rsidR="00A16EE7" w:rsidRPr="00EC1AB2">
        <w:rPr>
          <w:rFonts w:ascii="Times New Roman" w:hAnsi="Times New Roman" w:cs="Times New Roman"/>
          <w:sz w:val="24"/>
          <w:szCs w:val="24"/>
        </w:rPr>
        <w:t xml:space="preserve">tu laikotarpiu </w:t>
      </w:r>
      <w:r w:rsidR="00212905" w:rsidRPr="00EC1AB2">
        <w:rPr>
          <w:rFonts w:ascii="Times New Roman" w:hAnsi="Times New Roman" w:cs="Times New Roman"/>
          <w:sz w:val="24"/>
          <w:szCs w:val="24"/>
        </w:rPr>
        <w:t xml:space="preserve">Lietuvoje </w:t>
      </w:r>
      <w:r w:rsidR="00A16EE7" w:rsidRPr="00EC1AB2">
        <w:rPr>
          <w:rFonts w:ascii="Times New Roman" w:hAnsi="Times New Roman" w:cs="Times New Roman"/>
          <w:sz w:val="24"/>
          <w:szCs w:val="24"/>
        </w:rPr>
        <w:t>inovacinę veikl</w:t>
      </w:r>
      <w:r w:rsidR="00894C8C" w:rsidRPr="00EC1AB2">
        <w:rPr>
          <w:rFonts w:ascii="Times New Roman" w:hAnsi="Times New Roman" w:cs="Times New Roman"/>
          <w:sz w:val="24"/>
          <w:szCs w:val="24"/>
        </w:rPr>
        <w:t>ą vykdančių įmonių s</w:t>
      </w:r>
      <w:r w:rsidR="00A35F7C" w:rsidRPr="00EC1AB2">
        <w:rPr>
          <w:rFonts w:ascii="Times New Roman" w:hAnsi="Times New Roman" w:cs="Times New Roman"/>
          <w:sz w:val="24"/>
          <w:szCs w:val="24"/>
        </w:rPr>
        <w:t>kaičius turėjo tendenciją augti</w:t>
      </w:r>
      <w:r w:rsidR="00A16EE7" w:rsidRPr="00EC1AB2">
        <w:rPr>
          <w:rFonts w:ascii="Times New Roman" w:hAnsi="Times New Roman" w:cs="Times New Roman"/>
          <w:sz w:val="24"/>
          <w:szCs w:val="24"/>
        </w:rPr>
        <w:t xml:space="preserve"> (žr. </w:t>
      </w:r>
      <w:r w:rsidR="00846CC0" w:rsidRPr="00EC1AB2">
        <w:rPr>
          <w:rFonts w:ascii="Times New Roman" w:hAnsi="Times New Roman" w:cs="Times New Roman"/>
          <w:sz w:val="24"/>
          <w:szCs w:val="24"/>
        </w:rPr>
        <w:t>16</w:t>
      </w:r>
      <w:r w:rsidR="00A16EE7" w:rsidRPr="00EC1AB2">
        <w:rPr>
          <w:rFonts w:ascii="Times New Roman" w:hAnsi="Times New Roman" w:cs="Times New Roman"/>
          <w:sz w:val="24"/>
          <w:szCs w:val="24"/>
        </w:rPr>
        <w:t xml:space="preserve"> pav.).</w:t>
      </w:r>
    </w:p>
    <w:p w:rsidR="0010732A" w:rsidRPr="00EC1AB2" w:rsidRDefault="006F6BB1" w:rsidP="007A02A8">
      <w:pPr>
        <w:tabs>
          <w:tab w:val="left" w:pos="6662"/>
        </w:tabs>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847680" behindDoc="0" locked="0" layoutInCell="1" allowOverlap="1" wp14:anchorId="6945AC3A" wp14:editId="30ED09FC">
            <wp:simplePos x="0" y="0"/>
            <wp:positionH relativeFrom="column">
              <wp:posOffset>586740</wp:posOffset>
            </wp:positionH>
            <wp:positionV relativeFrom="paragraph">
              <wp:posOffset>139700</wp:posOffset>
            </wp:positionV>
            <wp:extent cx="4572000"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7A6C57" w:rsidRPr="00EC1AB2">
        <w:rPr>
          <w:rFonts w:ascii="Times New Roman" w:hAnsi="Times New Roman" w:cs="Times New Roman"/>
          <w:sz w:val="24"/>
          <w:szCs w:val="24"/>
        </w:rPr>
        <w:tab/>
      </w:r>
    </w:p>
    <w:p w:rsidR="00CB2711" w:rsidRPr="00EC1AB2" w:rsidRDefault="00CB271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rPr>
          <w:rFonts w:ascii="Times New Roman" w:hAnsi="Times New Roman" w:cs="Times New Roman"/>
          <w:sz w:val="24"/>
          <w:szCs w:val="24"/>
        </w:rPr>
      </w:pPr>
    </w:p>
    <w:p w:rsidR="006F6BB1" w:rsidRPr="00EC1AB2" w:rsidRDefault="006F6BB1" w:rsidP="007A02A8">
      <w:pPr>
        <w:autoSpaceDE w:val="0"/>
        <w:autoSpaceDN w:val="0"/>
        <w:adjustRightInd w:val="0"/>
        <w:spacing w:after="0" w:line="360" w:lineRule="auto"/>
        <w:ind w:firstLine="1296"/>
        <w:jc w:val="both"/>
        <w:rPr>
          <w:rFonts w:ascii="Times New Roman" w:hAnsi="Times New Roman" w:cs="Times New Roman"/>
          <w:b/>
          <w:sz w:val="20"/>
          <w:szCs w:val="20"/>
        </w:rPr>
      </w:pPr>
    </w:p>
    <w:p w:rsidR="0003719B" w:rsidRPr="00EC1AB2" w:rsidRDefault="00B43984"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Statistikos departamento duomenis</w:t>
      </w:r>
    </w:p>
    <w:p w:rsidR="006A6505" w:rsidRPr="00EC1AB2" w:rsidRDefault="00846CC0" w:rsidP="007A02A8">
      <w:pPr>
        <w:autoSpaceDE w:val="0"/>
        <w:autoSpaceDN w:val="0"/>
        <w:adjustRightInd w:val="0"/>
        <w:spacing w:after="0" w:line="360" w:lineRule="auto"/>
        <w:ind w:firstLine="567"/>
        <w:jc w:val="center"/>
        <w:rPr>
          <w:rFonts w:ascii="Times New Roman" w:hAnsi="Times New Roman" w:cs="Times New Roman"/>
          <w:sz w:val="20"/>
          <w:szCs w:val="20"/>
        </w:rPr>
      </w:pPr>
      <w:bookmarkStart w:id="155" w:name="_Toc320762569"/>
      <w:r w:rsidRPr="00EC1AB2">
        <w:rPr>
          <w:rStyle w:val="Heading5Char"/>
          <w:rFonts w:ascii="Times New Roman" w:hAnsi="Times New Roman" w:cs="Times New Roman"/>
          <w:color w:val="auto"/>
          <w:sz w:val="24"/>
          <w:szCs w:val="24"/>
        </w:rPr>
        <w:t>16</w:t>
      </w:r>
      <w:r w:rsidR="00B43984" w:rsidRPr="00EC1AB2">
        <w:rPr>
          <w:rStyle w:val="Heading5Char"/>
          <w:rFonts w:ascii="Times New Roman" w:hAnsi="Times New Roman" w:cs="Times New Roman"/>
          <w:color w:val="auto"/>
          <w:sz w:val="24"/>
          <w:szCs w:val="24"/>
        </w:rPr>
        <w:t xml:space="preserve"> pav.</w:t>
      </w:r>
      <w:r w:rsidR="00B43984" w:rsidRPr="00EC1AB2">
        <w:rPr>
          <w:rStyle w:val="Heading5Char"/>
          <w:rFonts w:ascii="Times New Roman" w:hAnsi="Times New Roman" w:cs="Times New Roman"/>
          <w:b/>
          <w:color w:val="auto"/>
          <w:sz w:val="24"/>
          <w:szCs w:val="24"/>
        </w:rPr>
        <w:t xml:space="preserve"> </w:t>
      </w:r>
      <w:r w:rsidR="00430802" w:rsidRPr="00EC1AB2">
        <w:rPr>
          <w:rStyle w:val="Heading5Char"/>
          <w:rFonts w:ascii="Times New Roman" w:hAnsi="Times New Roman" w:cs="Times New Roman"/>
          <w:b/>
          <w:color w:val="auto"/>
          <w:sz w:val="24"/>
          <w:szCs w:val="24"/>
        </w:rPr>
        <w:t>Inovacinių įmonių santykis su visomis įmonėmis</w:t>
      </w:r>
      <w:r w:rsidR="00B43984" w:rsidRPr="00EC1AB2">
        <w:rPr>
          <w:rStyle w:val="Heading5Char"/>
          <w:rFonts w:ascii="Times New Roman" w:hAnsi="Times New Roman" w:cs="Times New Roman"/>
          <w:b/>
          <w:color w:val="auto"/>
          <w:sz w:val="24"/>
          <w:szCs w:val="24"/>
        </w:rPr>
        <w:t xml:space="preserve"> Lietuvoje, proc</w:t>
      </w:r>
      <w:bookmarkEnd w:id="155"/>
      <w:r w:rsidR="00B43984" w:rsidRPr="00EC1AB2">
        <w:rPr>
          <w:rFonts w:ascii="Times New Roman" w:hAnsi="Times New Roman" w:cs="Times New Roman"/>
          <w:b/>
          <w:sz w:val="24"/>
          <w:szCs w:val="24"/>
        </w:rPr>
        <w:t>.</w:t>
      </w:r>
    </w:p>
    <w:p w:rsidR="00B36258" w:rsidRPr="00EC1AB2" w:rsidRDefault="00846CC0"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lastRenderedPageBreak/>
        <w:t>Kaip matyti iš 16</w:t>
      </w:r>
      <w:r w:rsidR="002543AE" w:rsidRPr="00EC1AB2">
        <w:rPr>
          <w:rFonts w:ascii="Times New Roman" w:eastAsia="Times New Roman" w:hAnsi="Times New Roman" w:cs="Times New Roman"/>
          <w:sz w:val="24"/>
          <w:szCs w:val="24"/>
          <w:lang w:eastAsia="lt-LT"/>
        </w:rPr>
        <w:t xml:space="preserve"> pav.</w:t>
      </w:r>
      <w:r w:rsidR="00B36258" w:rsidRPr="00EC1AB2">
        <w:rPr>
          <w:rFonts w:ascii="Times New Roman" w:eastAsia="Times New Roman" w:hAnsi="Times New Roman" w:cs="Times New Roman"/>
          <w:sz w:val="24"/>
          <w:szCs w:val="24"/>
          <w:lang w:eastAsia="lt-LT"/>
        </w:rPr>
        <w:t xml:space="preserve"> 2008–2010 m. Lietuvoje inovacinę veiklą vykdė 32,5 procento gamybos ir paslaugų įmonių, kuriose dirbo 10 ir daugiau darbuotojų. Daugiausia tokių buvo tarp informacijos ir ryšių įmonių (62,4 % visų tos veiklų rūšies įmonių) bei finansinių ir draudimo įmonių (53,4 %). Inovacinėse įmonėse dirbo 51,2 procento visų įmonių darbuotojų. Nors inovacijas diegė tik trečdalis įmonių, jų apyvarta sudarė daugiau kaip pusę visų įmonių apyvartos (2008 </w:t>
      </w:r>
      <w:r w:rsidR="00727F84" w:rsidRPr="00EC1AB2">
        <w:rPr>
          <w:rFonts w:ascii="Times New Roman" w:eastAsia="Times New Roman" w:hAnsi="Times New Roman" w:cs="Times New Roman"/>
          <w:sz w:val="24"/>
          <w:szCs w:val="24"/>
          <w:lang w:eastAsia="lt-LT"/>
        </w:rPr>
        <w:t xml:space="preserve">m. – 64,2 %, 2010 m. – 65,8 %), tai tik patvirtina didelį inovatyvių įmonių </w:t>
      </w:r>
      <w:r w:rsidR="00E30990" w:rsidRPr="00EC1AB2">
        <w:rPr>
          <w:rFonts w:ascii="Times New Roman" w:eastAsia="Times New Roman" w:hAnsi="Times New Roman" w:cs="Times New Roman"/>
          <w:sz w:val="24"/>
          <w:szCs w:val="24"/>
          <w:lang w:eastAsia="lt-LT"/>
        </w:rPr>
        <w:t xml:space="preserve">vaidmenį šiuolaikinėje ekonomikoje. </w:t>
      </w:r>
      <w:r w:rsidR="00B36258" w:rsidRPr="00EC1AB2">
        <w:rPr>
          <w:rFonts w:ascii="Times New Roman" w:eastAsia="Times New Roman" w:hAnsi="Times New Roman" w:cs="Times New Roman"/>
          <w:sz w:val="24"/>
          <w:szCs w:val="24"/>
          <w:lang w:eastAsia="lt-LT"/>
        </w:rPr>
        <w:t>2008–2010 m. laikotarpiu inovacinę veiklą vykdė 69,6 procento didelių įmonių, kuriose dirba 250 ir daugiau darbuotojų, 43,1 procento vidutinių (nuo 50 iki 249 darbuotojų) ir 27,9 procento mažų įmonių (nuo 10 iki 49 darbuotojų). Nors didžiosios įmonės sudarė tik 6,4 procento visų inovacinių įmonių, jų išlaidos inovacinei veiklai apėmė 55,2 procento visų inovacijoms skirtų išlaidų; įmonės, turinčios nuo 10 iki 49 darbuotojų, sudarė 64,8 procento, o jų išlaidos ino</w:t>
      </w:r>
      <w:r w:rsidR="00C11783" w:rsidRPr="00EC1AB2">
        <w:rPr>
          <w:rFonts w:ascii="Times New Roman" w:eastAsia="Times New Roman" w:hAnsi="Times New Roman" w:cs="Times New Roman"/>
          <w:sz w:val="24"/>
          <w:szCs w:val="24"/>
          <w:lang w:eastAsia="lt-LT"/>
        </w:rPr>
        <w:t xml:space="preserve">vacinei veiklai – 24,6 procento (Statistikos departamento </w:t>
      </w:r>
      <w:r w:rsidR="00C9647E" w:rsidRPr="00EC1AB2">
        <w:rPr>
          <w:rFonts w:ascii="Times New Roman" w:eastAsia="Times New Roman" w:hAnsi="Times New Roman" w:cs="Times New Roman"/>
          <w:sz w:val="24"/>
          <w:szCs w:val="24"/>
          <w:lang w:eastAsia="lt-LT"/>
        </w:rPr>
        <w:t>pranešimas spaudai</w:t>
      </w:r>
      <w:r w:rsidR="00372370" w:rsidRPr="00EC1AB2">
        <w:rPr>
          <w:rFonts w:ascii="Times New Roman" w:eastAsia="Times New Roman" w:hAnsi="Times New Roman" w:cs="Times New Roman"/>
          <w:sz w:val="24"/>
          <w:szCs w:val="24"/>
          <w:lang w:eastAsia="lt-LT"/>
        </w:rPr>
        <w:t xml:space="preserve"> „Įmonių inovacinė</w:t>
      </w:r>
      <w:r w:rsidR="00B6160C" w:rsidRPr="00EC1AB2">
        <w:rPr>
          <w:rFonts w:ascii="Times New Roman" w:eastAsia="Times New Roman" w:hAnsi="Times New Roman" w:cs="Times New Roman"/>
          <w:sz w:val="24"/>
          <w:szCs w:val="24"/>
          <w:lang w:eastAsia="lt-LT"/>
        </w:rPr>
        <w:t>s veiklos</w:t>
      </w:r>
      <w:r w:rsidR="00372370" w:rsidRPr="00EC1AB2">
        <w:rPr>
          <w:rFonts w:ascii="Times New Roman" w:eastAsia="Times New Roman" w:hAnsi="Times New Roman" w:cs="Times New Roman"/>
          <w:sz w:val="24"/>
          <w:szCs w:val="24"/>
          <w:lang w:eastAsia="lt-LT"/>
        </w:rPr>
        <w:t xml:space="preserve"> plėtra“, 2012). </w:t>
      </w:r>
    </w:p>
    <w:p w:rsidR="0077644B" w:rsidRPr="00EC1AB2" w:rsidRDefault="0077644B"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Verta paminėti, kad daugiau nei dešimtadalis (13,7 %) įmonių diegė technologinių procesų, 12,7 procento – produkto inovacijas. 8,3 procento visų įmonių diegė ir produkto, ir technologinio proceso inovacijas.</w:t>
      </w:r>
    </w:p>
    <w:p w:rsidR="0088155F" w:rsidRPr="00EC1AB2" w:rsidRDefault="0088155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eastAsia="Times New Roman" w:hAnsi="Times New Roman" w:cs="Times New Roman"/>
          <w:sz w:val="24"/>
          <w:szCs w:val="24"/>
          <w:lang w:eastAsia="lt-LT"/>
        </w:rPr>
        <w:t xml:space="preserve">Rodiklių grupėje </w:t>
      </w:r>
      <w:r w:rsidR="009C4F26" w:rsidRPr="00EC1AB2">
        <w:rPr>
          <w:rFonts w:ascii="Times New Roman" w:eastAsia="Times New Roman" w:hAnsi="Times New Roman" w:cs="Times New Roman"/>
          <w:b/>
          <w:sz w:val="24"/>
          <w:szCs w:val="24"/>
          <w:lang w:eastAsia="lt-LT"/>
        </w:rPr>
        <w:t>bendradarbiavimas</w:t>
      </w:r>
      <w:r w:rsidRPr="00EC1AB2">
        <w:rPr>
          <w:rFonts w:ascii="Times New Roman" w:eastAsia="Times New Roman" w:hAnsi="Times New Roman" w:cs="Times New Roman"/>
          <w:b/>
          <w:sz w:val="24"/>
          <w:szCs w:val="24"/>
          <w:lang w:eastAsia="lt-LT"/>
        </w:rPr>
        <w:t xml:space="preserve"> ir verslininkystė</w:t>
      </w:r>
      <w:r w:rsidR="00552B20" w:rsidRPr="00EC1AB2">
        <w:rPr>
          <w:rFonts w:ascii="Times New Roman" w:eastAsia="Times New Roman" w:hAnsi="Times New Roman" w:cs="Times New Roman"/>
          <w:sz w:val="24"/>
          <w:szCs w:val="24"/>
          <w:lang w:eastAsia="lt-LT"/>
        </w:rPr>
        <w:t xml:space="preserve"> Lietuva labiausiai atsilieka dėl rodiklio </w:t>
      </w:r>
      <w:r w:rsidRPr="00EC1AB2">
        <w:rPr>
          <w:rFonts w:ascii="Times New Roman" w:hAnsi="Times New Roman" w:cs="Times New Roman"/>
          <w:sz w:val="24"/>
          <w:szCs w:val="24"/>
        </w:rPr>
        <w:t>viešų ir privačių bendrų publikacijų 1 mln</w:t>
      </w:r>
      <w:r w:rsidR="00B974FC" w:rsidRPr="00EC1AB2">
        <w:rPr>
          <w:rFonts w:ascii="Times New Roman" w:hAnsi="Times New Roman" w:cs="Times New Roman"/>
          <w:sz w:val="24"/>
          <w:szCs w:val="24"/>
        </w:rPr>
        <w:t>.</w:t>
      </w:r>
      <w:r w:rsidRPr="00EC1AB2">
        <w:rPr>
          <w:rFonts w:ascii="Times New Roman" w:hAnsi="Times New Roman" w:cs="Times New Roman"/>
          <w:sz w:val="24"/>
          <w:szCs w:val="24"/>
        </w:rPr>
        <w:t xml:space="preserve"> gyventojų skaičius</w:t>
      </w:r>
      <w:r w:rsidR="00552B20" w:rsidRPr="00EC1AB2">
        <w:rPr>
          <w:rFonts w:ascii="Times New Roman" w:hAnsi="Times New Roman" w:cs="Times New Roman"/>
          <w:sz w:val="24"/>
          <w:szCs w:val="24"/>
        </w:rPr>
        <w:t xml:space="preserve">. Lietuvoje 1 mln. gyventojų tokių publikacijų tenka </w:t>
      </w:r>
      <w:r w:rsidR="00982F31" w:rsidRPr="00EC1AB2">
        <w:rPr>
          <w:rFonts w:ascii="Times New Roman" w:hAnsi="Times New Roman" w:cs="Times New Roman"/>
          <w:sz w:val="24"/>
          <w:szCs w:val="24"/>
        </w:rPr>
        <w:t xml:space="preserve">tik </w:t>
      </w:r>
      <w:r w:rsidR="00552B20" w:rsidRPr="00EC1AB2">
        <w:rPr>
          <w:rFonts w:ascii="Times New Roman" w:hAnsi="Times New Roman" w:cs="Times New Roman"/>
          <w:sz w:val="24"/>
          <w:szCs w:val="24"/>
        </w:rPr>
        <w:t xml:space="preserve">3, kai tuo tarpu ES vidurkis yra </w:t>
      </w:r>
      <w:r w:rsidR="00B075BD" w:rsidRPr="00EC1AB2">
        <w:rPr>
          <w:rFonts w:ascii="Times New Roman" w:hAnsi="Times New Roman" w:cs="Times New Roman"/>
          <w:sz w:val="24"/>
          <w:szCs w:val="24"/>
        </w:rPr>
        <w:t xml:space="preserve">36,2. </w:t>
      </w:r>
    </w:p>
    <w:p w:rsidR="00A71D17" w:rsidRPr="00EC1AB2" w:rsidRDefault="00C003F7"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
          <w:sz w:val="24"/>
          <w:szCs w:val="24"/>
        </w:rPr>
        <w:t>Intelektinės nuosavybės</w:t>
      </w:r>
      <w:r w:rsidRPr="00EC1AB2">
        <w:rPr>
          <w:rFonts w:ascii="Times New Roman" w:hAnsi="Times New Roman" w:cs="Times New Roman"/>
          <w:sz w:val="24"/>
          <w:szCs w:val="24"/>
        </w:rPr>
        <w:t xml:space="preserve"> rodiklių grup</w:t>
      </w:r>
      <w:r w:rsidR="00FA1970" w:rsidRPr="00EC1AB2">
        <w:rPr>
          <w:rFonts w:ascii="Times New Roman" w:hAnsi="Times New Roman" w:cs="Times New Roman"/>
          <w:sz w:val="24"/>
          <w:szCs w:val="24"/>
        </w:rPr>
        <w:t>ėje Lietuva lenkia tik Latviją, tačiau šioje rodiklių grupėje pastebimas augimas, lyginant su praėjusiais metais.</w:t>
      </w:r>
      <w:r w:rsidR="00BB0EB3" w:rsidRPr="00EC1AB2">
        <w:rPr>
          <w:rFonts w:ascii="Times New Roman" w:hAnsi="Times New Roman" w:cs="Times New Roman"/>
          <w:sz w:val="24"/>
          <w:szCs w:val="24"/>
        </w:rPr>
        <w:t xml:space="preserve"> Teigiamus pokyčius šioje srityje galėjo įtakoti </w:t>
      </w:r>
      <w:r w:rsidR="009D0FB0" w:rsidRPr="00EC1AB2">
        <w:rPr>
          <w:rFonts w:ascii="Times New Roman" w:hAnsi="Times New Roman" w:cs="Times New Roman"/>
          <w:sz w:val="24"/>
          <w:szCs w:val="24"/>
        </w:rPr>
        <w:t>Mokslo, inovacijų ir technologijų agentūros</w:t>
      </w:r>
      <w:r w:rsidR="006257E3" w:rsidRPr="00EC1AB2">
        <w:rPr>
          <w:rFonts w:ascii="Times New Roman" w:hAnsi="Times New Roman" w:cs="Times New Roman"/>
          <w:sz w:val="24"/>
          <w:szCs w:val="24"/>
        </w:rPr>
        <w:t xml:space="preserve"> (MITA)</w:t>
      </w:r>
      <w:r w:rsidR="009D0FB0" w:rsidRPr="00EC1AB2">
        <w:rPr>
          <w:rFonts w:ascii="Times New Roman" w:hAnsi="Times New Roman" w:cs="Times New Roman"/>
          <w:sz w:val="24"/>
          <w:szCs w:val="24"/>
        </w:rPr>
        <w:t xml:space="preserve"> administruoj</w:t>
      </w:r>
      <w:r w:rsidR="00A71D17" w:rsidRPr="00EC1AB2">
        <w:rPr>
          <w:rFonts w:ascii="Times New Roman" w:hAnsi="Times New Roman" w:cs="Times New Roman"/>
          <w:sz w:val="24"/>
          <w:szCs w:val="24"/>
        </w:rPr>
        <w:t xml:space="preserve">ama priemonė, </w:t>
      </w:r>
      <w:r w:rsidR="00A71D17" w:rsidRPr="00EC1AB2">
        <w:rPr>
          <w:rFonts w:ascii="Times New Roman" w:eastAsia="Times New Roman" w:hAnsi="Times New Roman" w:cs="Times New Roman"/>
          <w:sz w:val="24"/>
          <w:szCs w:val="24"/>
          <w:lang w:eastAsia="lt-LT"/>
        </w:rPr>
        <w:t>skatinanti pramoninės nuosavybės teisių apsaugą tarptautiniu mastu. Parama pagal šią priemonę skiriama pad</w:t>
      </w:r>
      <w:r w:rsidR="00C04A6E" w:rsidRPr="00EC1AB2">
        <w:rPr>
          <w:rFonts w:ascii="Times New Roman" w:eastAsia="Times New Roman" w:hAnsi="Times New Roman" w:cs="Times New Roman"/>
          <w:sz w:val="24"/>
          <w:szCs w:val="24"/>
          <w:lang w:eastAsia="lt-LT"/>
        </w:rPr>
        <w:t xml:space="preserve">engti išlaidoms, susijusioms su </w:t>
      </w:r>
      <w:r w:rsidR="00A71D17" w:rsidRPr="00EC1AB2">
        <w:rPr>
          <w:rFonts w:ascii="Times New Roman" w:eastAsia="Times New Roman" w:hAnsi="Times New Roman" w:cs="Times New Roman"/>
          <w:sz w:val="24"/>
          <w:szCs w:val="24"/>
          <w:lang w:eastAsia="lt-LT"/>
        </w:rPr>
        <w:t>išradimų patentavimu (Europos patento arba patento, išduodamo pagal Patentinė</w:t>
      </w:r>
      <w:r w:rsidR="00C04A6E" w:rsidRPr="00EC1AB2">
        <w:rPr>
          <w:rFonts w:ascii="Times New Roman" w:eastAsia="Times New Roman" w:hAnsi="Times New Roman" w:cs="Times New Roman"/>
          <w:sz w:val="24"/>
          <w:szCs w:val="24"/>
          <w:lang w:eastAsia="lt-LT"/>
        </w:rPr>
        <w:t xml:space="preserve">s kooperacijos sutartį, gavimu) bei </w:t>
      </w:r>
      <w:r w:rsidR="00A71D17" w:rsidRPr="00EC1AB2">
        <w:rPr>
          <w:rFonts w:ascii="Times New Roman" w:eastAsia="Times New Roman" w:hAnsi="Times New Roman" w:cs="Times New Roman"/>
          <w:sz w:val="24"/>
          <w:szCs w:val="24"/>
          <w:lang w:eastAsia="lt-LT"/>
        </w:rPr>
        <w:t>dizainų registravimu (Bendrijos dizaino arba dizaino, registruojamo pagal Ženevos aktą, gavimu).</w:t>
      </w:r>
      <w:r w:rsidR="00CF652D" w:rsidRPr="00EC1AB2">
        <w:rPr>
          <w:rFonts w:ascii="Times New Roman" w:eastAsia="Times New Roman" w:hAnsi="Times New Roman" w:cs="Times New Roman"/>
          <w:sz w:val="24"/>
          <w:szCs w:val="24"/>
          <w:lang w:eastAsia="lt-LT"/>
        </w:rPr>
        <w:t xml:space="preserve"> </w:t>
      </w:r>
      <w:r w:rsidR="00CF652D" w:rsidRPr="00EC1AB2">
        <w:rPr>
          <w:rFonts w:ascii="Times New Roman" w:hAnsi="Times New Roman" w:cs="Times New Roman"/>
          <w:sz w:val="24"/>
          <w:szCs w:val="24"/>
        </w:rPr>
        <w:t>2011 m. parama skirta 14 pramoninės nuosavybės teisių apsaugos projektų, kuriuos įgyvendina mokslo ir studijų institucijos bei įmonės</w:t>
      </w:r>
      <w:r w:rsidR="00867724" w:rsidRPr="00EC1AB2">
        <w:rPr>
          <w:rFonts w:ascii="Times New Roman" w:hAnsi="Times New Roman" w:cs="Times New Roman"/>
          <w:sz w:val="24"/>
          <w:szCs w:val="24"/>
        </w:rPr>
        <w:t xml:space="preserve"> (žr. 4 priedą). </w:t>
      </w:r>
    </w:p>
    <w:p w:rsidR="00954A44" w:rsidRPr="00EC1AB2" w:rsidRDefault="00B974F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Paskutinę</w:t>
      </w:r>
      <w:r w:rsidR="00A476E9" w:rsidRPr="00EC1AB2">
        <w:rPr>
          <w:rFonts w:ascii="Times New Roman" w:hAnsi="Times New Roman" w:cs="Times New Roman"/>
          <w:sz w:val="24"/>
          <w:szCs w:val="24"/>
        </w:rPr>
        <w:t xml:space="preserve"> suminio inovatyvumo </w:t>
      </w:r>
      <w:r w:rsidRPr="00EC1AB2">
        <w:rPr>
          <w:rFonts w:ascii="Times New Roman" w:hAnsi="Times New Roman" w:cs="Times New Roman"/>
          <w:sz w:val="24"/>
          <w:szCs w:val="24"/>
        </w:rPr>
        <w:t xml:space="preserve">indekso rodiklių kategoriją </w:t>
      </w:r>
      <w:r w:rsidR="00B708E6" w:rsidRPr="00EC1AB2">
        <w:rPr>
          <w:rFonts w:ascii="Times New Roman" w:hAnsi="Times New Roman" w:cs="Times New Roman"/>
          <w:sz w:val="24"/>
          <w:szCs w:val="24"/>
        </w:rPr>
        <w:t xml:space="preserve">sudaro dvi rodiklių grupės, t.y. inovacijų kūrėjai bei ekonominis poveikis. </w:t>
      </w:r>
      <w:r w:rsidR="006610F4" w:rsidRPr="00EC1AB2">
        <w:rPr>
          <w:rFonts w:ascii="Times New Roman" w:hAnsi="Times New Roman" w:cs="Times New Roman"/>
          <w:sz w:val="24"/>
          <w:szCs w:val="24"/>
        </w:rPr>
        <w:t xml:space="preserve">Nors Statistikos departamento pranešime spaudai (2012) teigiama, kad 2010 m. </w:t>
      </w:r>
      <w:r w:rsidR="006610F4" w:rsidRPr="00EC1AB2">
        <w:rPr>
          <w:rFonts w:ascii="Times New Roman" w:eastAsia="Times New Roman" w:hAnsi="Times New Roman" w:cs="Times New Roman"/>
          <w:sz w:val="24"/>
          <w:szCs w:val="24"/>
          <w:lang w:eastAsia="lt-LT"/>
        </w:rPr>
        <w:t>daugiau nei dešimtadalis (13,7 %) įmonių diegė technologinių procesų, 12,7 procento – produkto inovacijas,</w:t>
      </w:r>
      <w:r w:rsidR="009C4F26" w:rsidRPr="00EC1AB2">
        <w:rPr>
          <w:rFonts w:ascii="Times New Roman" w:eastAsia="Times New Roman" w:hAnsi="Times New Roman" w:cs="Times New Roman"/>
          <w:sz w:val="24"/>
          <w:szCs w:val="24"/>
          <w:lang w:eastAsia="lt-LT"/>
        </w:rPr>
        <w:t xml:space="preserve"> </w:t>
      </w:r>
      <w:r w:rsidR="006610F4" w:rsidRPr="00EC1AB2">
        <w:rPr>
          <w:rFonts w:ascii="Times New Roman" w:eastAsia="Times New Roman" w:hAnsi="Times New Roman" w:cs="Times New Roman"/>
          <w:sz w:val="24"/>
          <w:szCs w:val="24"/>
          <w:lang w:eastAsia="lt-LT"/>
        </w:rPr>
        <w:t>o 8,3 procento visų įmonių diegė ir produkto, ir t</w:t>
      </w:r>
      <w:r w:rsidR="00A501BD" w:rsidRPr="00EC1AB2">
        <w:rPr>
          <w:rFonts w:ascii="Times New Roman" w:eastAsia="Times New Roman" w:hAnsi="Times New Roman" w:cs="Times New Roman"/>
          <w:sz w:val="24"/>
          <w:szCs w:val="24"/>
          <w:lang w:eastAsia="lt-LT"/>
        </w:rPr>
        <w:t>echnologinio proceso inovacijas, t</w:t>
      </w:r>
      <w:r w:rsidR="00265C83" w:rsidRPr="00EC1AB2">
        <w:rPr>
          <w:rFonts w:ascii="Times New Roman" w:eastAsia="Times New Roman" w:hAnsi="Times New Roman" w:cs="Times New Roman"/>
          <w:sz w:val="24"/>
          <w:szCs w:val="24"/>
          <w:lang w:eastAsia="lt-LT"/>
        </w:rPr>
        <w:t xml:space="preserve">oks inovacijų diegimo lygis ES kontekste yra nepakankamas, tai atsispindi </w:t>
      </w:r>
      <w:r w:rsidR="00026108" w:rsidRPr="00EC1AB2">
        <w:rPr>
          <w:rFonts w:ascii="Times New Roman" w:eastAsia="Times New Roman" w:hAnsi="Times New Roman" w:cs="Times New Roman"/>
          <w:b/>
          <w:sz w:val="24"/>
          <w:szCs w:val="24"/>
          <w:lang w:eastAsia="lt-LT"/>
        </w:rPr>
        <w:t>inovacijų kūrėjų</w:t>
      </w:r>
      <w:r w:rsidR="00026108" w:rsidRPr="00EC1AB2">
        <w:rPr>
          <w:rFonts w:ascii="Times New Roman" w:eastAsia="Times New Roman" w:hAnsi="Times New Roman" w:cs="Times New Roman"/>
          <w:sz w:val="24"/>
          <w:szCs w:val="24"/>
          <w:lang w:eastAsia="lt-LT"/>
        </w:rPr>
        <w:t xml:space="preserve"> rodiklių grupės rez</w:t>
      </w:r>
      <w:r w:rsidR="00856CCE" w:rsidRPr="00EC1AB2">
        <w:rPr>
          <w:rFonts w:ascii="Times New Roman" w:eastAsia="Times New Roman" w:hAnsi="Times New Roman" w:cs="Times New Roman"/>
          <w:sz w:val="24"/>
          <w:szCs w:val="24"/>
          <w:lang w:eastAsia="lt-LT"/>
        </w:rPr>
        <w:t xml:space="preserve">ultatai (žr. </w:t>
      </w:r>
      <w:r w:rsidR="00FB684B" w:rsidRPr="00EC1AB2">
        <w:rPr>
          <w:rFonts w:ascii="Times New Roman" w:eastAsia="Times New Roman" w:hAnsi="Times New Roman" w:cs="Times New Roman"/>
          <w:sz w:val="24"/>
          <w:szCs w:val="24"/>
          <w:lang w:eastAsia="lt-LT"/>
        </w:rPr>
        <w:t xml:space="preserve">3 priedą). </w:t>
      </w:r>
    </w:p>
    <w:p w:rsidR="0088155F" w:rsidRPr="00EC1AB2" w:rsidRDefault="00EF5705"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Lietuvos rezultatai </w:t>
      </w:r>
      <w:r w:rsidR="0000430D" w:rsidRPr="00EC1AB2">
        <w:rPr>
          <w:rFonts w:ascii="Times New Roman" w:hAnsi="Times New Roman" w:cs="Times New Roman"/>
          <w:b/>
          <w:sz w:val="24"/>
          <w:szCs w:val="24"/>
        </w:rPr>
        <w:t>ekonominio poveikio</w:t>
      </w:r>
      <w:r w:rsidR="00C4442A" w:rsidRPr="00EC1AB2">
        <w:rPr>
          <w:rFonts w:ascii="Times New Roman" w:hAnsi="Times New Roman" w:cs="Times New Roman"/>
          <w:sz w:val="24"/>
          <w:szCs w:val="24"/>
        </w:rPr>
        <w:t xml:space="preserve"> rodiklių grupėje yra žemiausi</w:t>
      </w:r>
      <w:r w:rsidR="003465BD" w:rsidRPr="00EC1AB2">
        <w:rPr>
          <w:rFonts w:ascii="Times New Roman" w:hAnsi="Times New Roman" w:cs="Times New Roman"/>
          <w:sz w:val="24"/>
          <w:szCs w:val="24"/>
        </w:rPr>
        <w:t xml:space="preserve"> visoje </w:t>
      </w:r>
      <w:r w:rsidR="002A6B8B" w:rsidRPr="00EC1AB2">
        <w:rPr>
          <w:rFonts w:ascii="Times New Roman" w:hAnsi="Times New Roman" w:cs="Times New Roman"/>
          <w:sz w:val="24"/>
          <w:szCs w:val="24"/>
        </w:rPr>
        <w:t>ES</w:t>
      </w:r>
      <w:r w:rsidR="001D2BE6" w:rsidRPr="00EC1AB2">
        <w:rPr>
          <w:rFonts w:ascii="Times New Roman" w:hAnsi="Times New Roman" w:cs="Times New Roman"/>
          <w:sz w:val="24"/>
          <w:szCs w:val="24"/>
        </w:rPr>
        <w:t xml:space="preserve">. </w:t>
      </w:r>
      <w:r w:rsidR="00FE58A0" w:rsidRPr="00EC1AB2">
        <w:rPr>
          <w:rFonts w:ascii="Times New Roman" w:hAnsi="Times New Roman" w:cs="Times New Roman"/>
          <w:sz w:val="24"/>
          <w:szCs w:val="24"/>
        </w:rPr>
        <w:t>Blogiausia tai, kad visi rodikliai šioje grupėje, išskyrus užimtumo daug žinių reikalaujančiuose sektoriuose (ŽRS) (gamyba ir paslaugos) procentinė dalis, palyginti su visu užimtumu</w:t>
      </w:r>
      <w:r w:rsidR="00492982" w:rsidRPr="00EC1AB2">
        <w:rPr>
          <w:rFonts w:ascii="Times New Roman" w:hAnsi="Times New Roman" w:cs="Times New Roman"/>
          <w:sz w:val="24"/>
          <w:szCs w:val="24"/>
        </w:rPr>
        <w:t>, blogėjo</w:t>
      </w:r>
      <w:r w:rsidR="00FE58A0" w:rsidRPr="00EC1AB2">
        <w:rPr>
          <w:rFonts w:ascii="Times New Roman" w:hAnsi="Times New Roman" w:cs="Times New Roman"/>
          <w:sz w:val="24"/>
          <w:szCs w:val="24"/>
        </w:rPr>
        <w:t xml:space="preserve">, lyginant su praėjusiais </w:t>
      </w:r>
      <w:r w:rsidR="00FE58A0" w:rsidRPr="00EC1AB2">
        <w:rPr>
          <w:rFonts w:ascii="Times New Roman" w:hAnsi="Times New Roman" w:cs="Times New Roman"/>
          <w:sz w:val="24"/>
          <w:szCs w:val="24"/>
        </w:rPr>
        <w:lastRenderedPageBreak/>
        <w:t xml:space="preserve">metais. </w:t>
      </w:r>
      <w:r w:rsidR="006B5684" w:rsidRPr="00EC1AB2">
        <w:rPr>
          <w:rFonts w:ascii="Times New Roman" w:hAnsi="Times New Roman" w:cs="Times New Roman"/>
          <w:sz w:val="24"/>
          <w:szCs w:val="24"/>
        </w:rPr>
        <w:t xml:space="preserve">Paminėtina ir tai, kad užimtumo </w:t>
      </w:r>
      <w:r w:rsidR="006964EF" w:rsidRPr="00EC1AB2">
        <w:rPr>
          <w:rFonts w:ascii="Times New Roman" w:hAnsi="Times New Roman" w:cs="Times New Roman"/>
          <w:sz w:val="24"/>
          <w:szCs w:val="24"/>
        </w:rPr>
        <w:t>ŽRS procentinė dalis, palygin</w:t>
      </w:r>
      <w:r w:rsidR="0090012C" w:rsidRPr="00EC1AB2">
        <w:rPr>
          <w:rFonts w:ascii="Times New Roman" w:hAnsi="Times New Roman" w:cs="Times New Roman"/>
          <w:sz w:val="24"/>
          <w:szCs w:val="24"/>
        </w:rPr>
        <w:t>ti su visu užimtumu augo greičiausiai dėl to, kad didėjo</w:t>
      </w:r>
      <w:r w:rsidR="006964EF" w:rsidRPr="00EC1AB2">
        <w:rPr>
          <w:rFonts w:ascii="Times New Roman" w:hAnsi="Times New Roman" w:cs="Times New Roman"/>
          <w:sz w:val="24"/>
          <w:szCs w:val="24"/>
        </w:rPr>
        <w:t xml:space="preserve"> </w:t>
      </w:r>
      <w:r w:rsidR="009C4F26" w:rsidRPr="00EC1AB2">
        <w:rPr>
          <w:rFonts w:ascii="Times New Roman" w:hAnsi="Times New Roman" w:cs="Times New Roman"/>
          <w:sz w:val="24"/>
          <w:szCs w:val="24"/>
        </w:rPr>
        <w:t>nedarbo</w:t>
      </w:r>
      <w:r w:rsidR="006964EF" w:rsidRPr="00EC1AB2">
        <w:rPr>
          <w:rFonts w:ascii="Times New Roman" w:hAnsi="Times New Roman" w:cs="Times New Roman"/>
          <w:sz w:val="24"/>
          <w:szCs w:val="24"/>
        </w:rPr>
        <w:t xml:space="preserve"> lygis</w:t>
      </w:r>
      <w:r w:rsidR="006F3694" w:rsidRPr="00EC1AB2">
        <w:rPr>
          <w:rFonts w:ascii="Times New Roman" w:hAnsi="Times New Roman" w:cs="Times New Roman"/>
          <w:sz w:val="24"/>
          <w:szCs w:val="24"/>
        </w:rPr>
        <w:t xml:space="preserve">. </w:t>
      </w:r>
    </w:p>
    <w:p w:rsidR="00DF2713" w:rsidRPr="00EC1AB2" w:rsidRDefault="0038717F"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Lietuvoje daug žinių reikalaujančių paslaugų (ŽRP) eksporto procentinė dalis, </w:t>
      </w:r>
      <w:r w:rsidR="00044C4E" w:rsidRPr="00EC1AB2">
        <w:rPr>
          <w:rFonts w:ascii="Times New Roman" w:hAnsi="Times New Roman" w:cs="Times New Roman"/>
          <w:sz w:val="24"/>
          <w:szCs w:val="24"/>
        </w:rPr>
        <w:t>lyginant su visų</w:t>
      </w:r>
      <w:r w:rsidR="00C32CFE" w:rsidRPr="00EC1AB2">
        <w:rPr>
          <w:rFonts w:ascii="Times New Roman" w:hAnsi="Times New Roman" w:cs="Times New Roman"/>
          <w:sz w:val="24"/>
          <w:szCs w:val="24"/>
        </w:rPr>
        <w:t xml:space="preserve"> paslaugų eksportu buvo net 64 proc. mažesnė nei ES vidurkis. </w:t>
      </w:r>
      <w:r w:rsidRPr="00EC1AB2">
        <w:rPr>
          <w:rFonts w:ascii="Times New Roman" w:hAnsi="Times New Roman" w:cs="Times New Roman"/>
          <w:sz w:val="24"/>
          <w:szCs w:val="24"/>
        </w:rPr>
        <w:t xml:space="preserve"> </w:t>
      </w:r>
      <w:r w:rsidR="00183564" w:rsidRPr="00EC1AB2">
        <w:rPr>
          <w:rFonts w:ascii="Times New Roman" w:hAnsi="Times New Roman" w:cs="Times New Roman"/>
          <w:sz w:val="24"/>
          <w:szCs w:val="24"/>
        </w:rPr>
        <w:t>Vidutinių ir pažangiųjų technologijų gamybos eksp</w:t>
      </w:r>
      <w:r w:rsidR="003F2703" w:rsidRPr="00EC1AB2">
        <w:rPr>
          <w:rFonts w:ascii="Times New Roman" w:hAnsi="Times New Roman" w:cs="Times New Roman"/>
          <w:sz w:val="24"/>
          <w:szCs w:val="24"/>
        </w:rPr>
        <w:t xml:space="preserve">orte atsilikome per pus mažiau, tačiau </w:t>
      </w:r>
      <w:r w:rsidR="002A0E5B" w:rsidRPr="00EC1AB2">
        <w:rPr>
          <w:rFonts w:ascii="Times New Roman" w:hAnsi="Times New Roman" w:cs="Times New Roman"/>
          <w:sz w:val="24"/>
          <w:szCs w:val="24"/>
        </w:rPr>
        <w:t>Lietuva vienintelė ES neturėjo su licencijomis ir patentais susijusių pajamų</w:t>
      </w:r>
      <w:r w:rsidR="000C0A0B" w:rsidRPr="00EC1AB2">
        <w:rPr>
          <w:rFonts w:ascii="Times New Roman" w:hAnsi="Times New Roman" w:cs="Times New Roman"/>
          <w:sz w:val="24"/>
          <w:szCs w:val="24"/>
        </w:rPr>
        <w:t xml:space="preserve"> iš užsienio. </w:t>
      </w:r>
    </w:p>
    <w:p w:rsidR="003B169F" w:rsidRPr="00EC1AB2" w:rsidRDefault="00DF2713"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Naujų inovacijų pardavimas rinkai ir įmonėms procentais nuo apyvartos</w:t>
      </w:r>
      <w:r w:rsidR="0022504B" w:rsidRPr="00EC1AB2">
        <w:rPr>
          <w:rFonts w:ascii="Times New Roman" w:hAnsi="Times New Roman" w:cs="Times New Roman"/>
          <w:sz w:val="24"/>
          <w:szCs w:val="24"/>
        </w:rPr>
        <w:t xml:space="preserve"> palyginti su praėjusiais metais mažėjo ir </w:t>
      </w:r>
      <w:r w:rsidR="0012780E" w:rsidRPr="00EC1AB2">
        <w:rPr>
          <w:rFonts w:ascii="Times New Roman" w:hAnsi="Times New Roman" w:cs="Times New Roman"/>
          <w:sz w:val="24"/>
          <w:szCs w:val="24"/>
        </w:rPr>
        <w:t xml:space="preserve">nuo ES vidurkio atsiliko </w:t>
      </w:r>
      <w:r w:rsidR="00031F3E" w:rsidRPr="00EC1AB2">
        <w:rPr>
          <w:rFonts w:ascii="Times New Roman" w:hAnsi="Times New Roman" w:cs="Times New Roman"/>
          <w:sz w:val="24"/>
          <w:szCs w:val="24"/>
        </w:rPr>
        <w:t xml:space="preserve">beveik 1,5 karto. </w:t>
      </w:r>
      <w:r w:rsidR="00985E85" w:rsidRPr="00EC1AB2">
        <w:rPr>
          <w:rFonts w:ascii="Times New Roman" w:hAnsi="Times New Roman" w:cs="Times New Roman"/>
          <w:sz w:val="24"/>
          <w:szCs w:val="24"/>
        </w:rPr>
        <w:t>Tai didžia dalimi galėjo lemti, kaip jau minėta anksčiau</w:t>
      </w:r>
      <w:r w:rsidR="00016CDE" w:rsidRPr="00EC1AB2">
        <w:rPr>
          <w:rFonts w:ascii="Times New Roman" w:hAnsi="Times New Roman" w:cs="Times New Roman"/>
          <w:sz w:val="24"/>
          <w:szCs w:val="24"/>
        </w:rPr>
        <w:t>,</w:t>
      </w:r>
      <w:r w:rsidR="00985E85" w:rsidRPr="00EC1AB2">
        <w:rPr>
          <w:rFonts w:ascii="Times New Roman" w:hAnsi="Times New Roman" w:cs="Times New Roman"/>
          <w:sz w:val="24"/>
          <w:szCs w:val="24"/>
        </w:rPr>
        <w:t xml:space="preserve"> </w:t>
      </w:r>
      <w:r w:rsidR="007863AE" w:rsidRPr="00EC1AB2">
        <w:rPr>
          <w:rFonts w:ascii="Times New Roman" w:hAnsi="Times New Roman" w:cs="Times New Roman"/>
          <w:sz w:val="24"/>
          <w:szCs w:val="24"/>
        </w:rPr>
        <w:t xml:space="preserve">valstybės </w:t>
      </w:r>
      <w:r w:rsidR="0063297E" w:rsidRPr="00EC1AB2">
        <w:rPr>
          <w:rFonts w:ascii="Times New Roman" w:hAnsi="Times New Roman" w:cs="Times New Roman"/>
          <w:sz w:val="24"/>
          <w:szCs w:val="24"/>
        </w:rPr>
        <w:t>išlaidų MTEP</w:t>
      </w:r>
      <w:r w:rsidR="00D43CA4" w:rsidRPr="00EC1AB2">
        <w:rPr>
          <w:rFonts w:ascii="Times New Roman" w:hAnsi="Times New Roman" w:cs="Times New Roman"/>
          <w:sz w:val="24"/>
          <w:szCs w:val="24"/>
        </w:rPr>
        <w:t xml:space="preserve"> nepritaikymas rinkai reikalingoms inovacijoms sukurti</w:t>
      </w:r>
      <w:r w:rsidR="007863AE" w:rsidRPr="00EC1AB2">
        <w:rPr>
          <w:rFonts w:ascii="Times New Roman" w:hAnsi="Times New Roman" w:cs="Times New Roman"/>
          <w:sz w:val="24"/>
          <w:szCs w:val="24"/>
        </w:rPr>
        <w:t>, nes išlaidų dydis MTEP negarantuoja inovacijų pardavi</w:t>
      </w:r>
      <w:r w:rsidR="001F556B" w:rsidRPr="00EC1AB2">
        <w:rPr>
          <w:rFonts w:ascii="Times New Roman" w:hAnsi="Times New Roman" w:cs="Times New Roman"/>
          <w:sz w:val="24"/>
          <w:szCs w:val="24"/>
        </w:rPr>
        <w:t>mo rinkai</w:t>
      </w:r>
      <w:r w:rsidR="007863AE" w:rsidRPr="00EC1AB2">
        <w:rPr>
          <w:rFonts w:ascii="Times New Roman" w:hAnsi="Times New Roman" w:cs="Times New Roman"/>
          <w:sz w:val="24"/>
          <w:szCs w:val="24"/>
        </w:rPr>
        <w:t xml:space="preserve"> ir įmonėms (žr</w:t>
      </w:r>
      <w:r w:rsidR="00846CC0" w:rsidRPr="00EC1AB2">
        <w:rPr>
          <w:rFonts w:ascii="Times New Roman" w:hAnsi="Times New Roman" w:cs="Times New Roman"/>
          <w:sz w:val="24"/>
          <w:szCs w:val="24"/>
        </w:rPr>
        <w:t>. 17</w:t>
      </w:r>
      <w:r w:rsidR="007863AE" w:rsidRPr="00EC1AB2">
        <w:rPr>
          <w:rFonts w:ascii="Times New Roman" w:hAnsi="Times New Roman" w:cs="Times New Roman"/>
          <w:sz w:val="24"/>
          <w:szCs w:val="24"/>
        </w:rPr>
        <w:t xml:space="preserve"> pav.).</w:t>
      </w:r>
    </w:p>
    <w:p w:rsidR="002A6B8B" w:rsidRPr="00EC1AB2" w:rsidRDefault="002A6B8B" w:rsidP="007A02A8">
      <w:pPr>
        <w:autoSpaceDE w:val="0"/>
        <w:autoSpaceDN w:val="0"/>
        <w:adjustRightInd w:val="0"/>
        <w:spacing w:after="0" w:line="360" w:lineRule="auto"/>
        <w:ind w:firstLine="567"/>
        <w:jc w:val="both"/>
        <w:rPr>
          <w:rFonts w:ascii="Times New Roman" w:hAnsi="Times New Roman" w:cs="Times New Roman"/>
          <w:sz w:val="24"/>
          <w:szCs w:val="24"/>
        </w:rPr>
      </w:pPr>
    </w:p>
    <w:p w:rsidR="00EA7073" w:rsidRPr="00EC1AB2" w:rsidRDefault="002E199D"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848704" behindDoc="0" locked="0" layoutInCell="1" allowOverlap="1" wp14:anchorId="10A4C504" wp14:editId="1C26F456">
            <wp:simplePos x="0" y="0"/>
            <wp:positionH relativeFrom="column">
              <wp:posOffset>15241</wp:posOffset>
            </wp:positionH>
            <wp:positionV relativeFrom="paragraph">
              <wp:posOffset>59055</wp:posOffset>
            </wp:positionV>
            <wp:extent cx="6000750" cy="3962400"/>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EA7073" w:rsidRPr="00EC1AB2" w:rsidRDefault="00EA7073" w:rsidP="007A02A8">
      <w:pPr>
        <w:autoSpaceDE w:val="0"/>
        <w:autoSpaceDN w:val="0"/>
        <w:adjustRightInd w:val="0"/>
        <w:spacing w:after="0" w:line="360" w:lineRule="auto"/>
        <w:ind w:firstLine="1298"/>
        <w:jc w:val="both"/>
        <w:rPr>
          <w:rFonts w:ascii="Times New Roman" w:hAnsi="Times New Roman" w:cs="Times New Roman"/>
          <w:sz w:val="24"/>
          <w:szCs w:val="24"/>
        </w:rPr>
      </w:pPr>
    </w:p>
    <w:p w:rsidR="00582745" w:rsidRPr="00EC1AB2" w:rsidRDefault="00582745" w:rsidP="007A02A8">
      <w:pPr>
        <w:autoSpaceDE w:val="0"/>
        <w:autoSpaceDN w:val="0"/>
        <w:adjustRightInd w:val="0"/>
        <w:spacing w:after="0" w:line="360" w:lineRule="auto"/>
        <w:ind w:firstLine="1298"/>
        <w:jc w:val="both"/>
        <w:rPr>
          <w:rFonts w:ascii="Times New Roman" w:hAnsi="Times New Roman" w:cs="Times New Roman"/>
          <w:bCs/>
          <w:sz w:val="24"/>
          <w:szCs w:val="24"/>
        </w:rPr>
      </w:pPr>
    </w:p>
    <w:p w:rsidR="00582745" w:rsidRPr="00EC1AB2" w:rsidRDefault="00582745" w:rsidP="007A02A8">
      <w:pPr>
        <w:autoSpaceDE w:val="0"/>
        <w:autoSpaceDN w:val="0"/>
        <w:adjustRightInd w:val="0"/>
        <w:spacing w:after="0" w:line="360" w:lineRule="auto"/>
        <w:ind w:firstLine="1298"/>
        <w:jc w:val="both"/>
        <w:rPr>
          <w:rFonts w:ascii="Times New Roman" w:hAnsi="Times New Roman" w:cs="Times New Roman"/>
          <w:bCs/>
          <w:sz w:val="24"/>
          <w:szCs w:val="24"/>
        </w:rPr>
      </w:pPr>
    </w:p>
    <w:p w:rsidR="00582745" w:rsidRPr="00EC1AB2" w:rsidRDefault="00582745" w:rsidP="007A02A8">
      <w:pPr>
        <w:autoSpaceDE w:val="0"/>
        <w:autoSpaceDN w:val="0"/>
        <w:adjustRightInd w:val="0"/>
        <w:spacing w:after="0" w:line="360" w:lineRule="auto"/>
        <w:ind w:firstLine="1298"/>
        <w:jc w:val="both"/>
        <w:rPr>
          <w:rFonts w:ascii="Times New Roman" w:hAnsi="Times New Roman" w:cs="Times New Roman"/>
          <w:bCs/>
          <w:sz w:val="24"/>
          <w:szCs w:val="24"/>
        </w:rPr>
      </w:pPr>
    </w:p>
    <w:p w:rsidR="00582745" w:rsidRPr="00EC1AB2" w:rsidRDefault="009853F8" w:rsidP="007A02A8">
      <w:pPr>
        <w:autoSpaceDE w:val="0"/>
        <w:autoSpaceDN w:val="0"/>
        <w:adjustRightInd w:val="0"/>
        <w:spacing w:after="0" w:line="360" w:lineRule="auto"/>
        <w:ind w:firstLine="1298"/>
        <w:jc w:val="both"/>
        <w:rPr>
          <w:rFonts w:ascii="Times New Roman" w:hAnsi="Times New Roman" w:cs="Times New Roman"/>
          <w:bCs/>
          <w:sz w:val="24"/>
          <w:szCs w:val="24"/>
        </w:rPr>
      </w:pPr>
      <w:r w:rsidRPr="00EC1AB2">
        <w:rPr>
          <w:rFonts w:ascii="Times New Roman" w:hAnsi="Times New Roman" w:cs="Times New Roman"/>
          <w:bCs/>
          <w:noProof/>
          <w:sz w:val="24"/>
          <w:szCs w:val="24"/>
          <w:lang w:eastAsia="lt-LT"/>
        </w:rPr>
        <mc:AlternateContent>
          <mc:Choice Requires="wps">
            <w:drawing>
              <wp:anchor distT="0" distB="0" distL="114300" distR="114300" simplePos="0" relativeHeight="251851776" behindDoc="0" locked="0" layoutInCell="1" allowOverlap="1" wp14:anchorId="1D783E77" wp14:editId="2901300D">
                <wp:simplePos x="0" y="0"/>
                <wp:positionH relativeFrom="column">
                  <wp:posOffset>384810</wp:posOffset>
                </wp:positionH>
                <wp:positionV relativeFrom="paragraph">
                  <wp:posOffset>201295</wp:posOffset>
                </wp:positionV>
                <wp:extent cx="95250" cy="104775"/>
                <wp:effectExtent l="0" t="0" r="0" b="9525"/>
                <wp:wrapNone/>
                <wp:docPr id="24" name="Rectangle 3"/>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3" o:spid="_x0000_s1026" style="position:absolute;margin-left:30.3pt;margin-top:15.85pt;width:7.5pt;height:8.2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h8mgIAAKEFAAAOAAAAZHJzL2Uyb0RvYy54bWysVMFu2zAMvQ/YPwi6r7azpFmDOkXQosOA&#10;bi3aDj2rshQLkERNUuJkXz9KdtysK3YYdpFFkXwkn0meX+yMJlvhgwJb0+qkpERYDo2y65p+f7z+&#10;8ImSEJltmAYraroXgV4s378779xCTKAF3QhPEMSGRedq2sboFkUReCsMCyfghEWlBG9YRNGvi8az&#10;DtGNLiZleVp04BvngYsQ8PWqV9JlxpdS8HgrZRCR6JpibjGfPp/P6SyW52yx9sy1ig9psH/IwjBl&#10;MegIdcUiIxuv/oAyinsIIOMJB1OAlIqLXANWU5WvqnlomRO5FiQnuJGm8P9g+bftnSeqqelkSoll&#10;Bv/RPbLG7FoL8jHx07mwQLMHd+cHKeA1FbuT3qQvlkF2mdP9yKnYRcLx8Ww2mSHxHDVVOZ3PZwmy&#10;ePF1PsTPAgxJl5p6jJ2JZNubEHvTg0kKFUCr5lppnYXUJeJSe7Jl+H8Z58LG0+yuN+YrNP37fFaW&#10;+U9j2NxYySUn8RuatgnTQkLvA6eXIpXfF5xvca9FstP2XkgkDkuc5Igj8nEyVa9qWSP655TK27lk&#10;wIQsMf6IPQC8VWg1MDnYJ1eRO350Lv+WWF/i6JEjg42js1EW/FsAOo6Re/sDST01iaVnaPbYVh76&#10;eQuOXyv8vTcsxDvmccCwI3BpxFs8pIauplwrR0kL/ufrt2SH/Y4aSjoc1JqGHxvmBSX6i8VJOKum&#10;0zTZWZjO5hMU/LHm+VhjN+YSsFcqXEuO52uyj/pwlR7ME+6UVYqKKmY5xq5pPFwvY78+cCdxsVpl&#10;I5xlx+KNfXA8QScuU9M+7p6Yd0NnR5yIb3AYabZ41eC9bfK0sNpEkCp3/wubA8u4B3LrDjsrLZpj&#10;OVu9bNblLwAAAP//AwBQSwMEFAAGAAgAAAAhACVzy43eAAAABwEAAA8AAABkcnMvZG93bnJldi54&#10;bWxMjsFOwkAURfcm/sPkmbiTKSgFa18JkNCNIcZWFuyGztg2dt40nQHq3/tc6fLm3px70tVoO3Ex&#10;g28dIUwnEQhDldMt1Qgf5e5hCcIHRVp1jgzCt/Gwym5vUpVod6V3cylCLRhCPlEITQh9IqWvGmOV&#10;n7jeEHefbrAqcBxqqQd1Zbjt5CyKYmlVS/zQqN5sG1N9FWeL8FqGzeYtz3fHea4Pz/t8W8p1gXh/&#10;N65fQAQzhr8x/OqzOmTsdHJn0l50CHEU8xLhcboAwf1izvmE8LScgcxS+d8/+wEAAP//AwBQSwEC&#10;LQAUAAYACAAAACEAtoM4kv4AAADhAQAAEwAAAAAAAAAAAAAAAAAAAAAAW0NvbnRlbnRfVHlwZXNd&#10;LnhtbFBLAQItABQABgAIAAAAIQA4/SH/1gAAAJQBAAALAAAAAAAAAAAAAAAAAC8BAABfcmVscy8u&#10;cmVsc1BLAQItABQABgAIAAAAIQA6iuh8mgIAAKEFAAAOAAAAAAAAAAAAAAAAAC4CAABkcnMvZTJv&#10;RG9jLnhtbFBLAQItABQABgAIAAAAIQAlc8uN3gAAAAcBAAAPAAAAAAAAAAAAAAAAAPQEAABkcnMv&#10;ZG93bnJldi54bWxQSwUGAAAAAAQABADzAAAA/wUAAAAA&#10;" fillcolor="#e36c0a [2409]" stroked="f" strokeweight="2pt"/>
            </w:pict>
          </mc:Fallback>
        </mc:AlternateContent>
      </w:r>
      <w:r w:rsidRPr="00EC1AB2">
        <w:rPr>
          <w:rFonts w:ascii="Times New Roman" w:hAnsi="Times New Roman" w:cs="Times New Roman"/>
          <w:bCs/>
          <w:noProof/>
          <w:sz w:val="24"/>
          <w:szCs w:val="24"/>
          <w:lang w:eastAsia="lt-LT"/>
        </w:rPr>
        <mc:AlternateContent>
          <mc:Choice Requires="wps">
            <w:drawing>
              <wp:anchor distT="0" distB="0" distL="114300" distR="114300" simplePos="0" relativeHeight="251852800" behindDoc="0" locked="0" layoutInCell="1" allowOverlap="1" wp14:anchorId="2D9D2DE1" wp14:editId="01F5CB56">
                <wp:simplePos x="0" y="0"/>
                <wp:positionH relativeFrom="column">
                  <wp:posOffset>1823085</wp:posOffset>
                </wp:positionH>
                <wp:positionV relativeFrom="paragraph">
                  <wp:posOffset>204691</wp:posOffset>
                </wp:positionV>
                <wp:extent cx="95250" cy="104775"/>
                <wp:effectExtent l="0" t="0" r="0" b="9525"/>
                <wp:wrapNone/>
                <wp:docPr id="35"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143.55pt;margin-top:16.1pt;width:7.5pt;height:8.2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pBlQIAAHoFAAAOAAAAZHJzL2Uyb0RvYy54bWysVFFv2yAQfp+0/4B4X+2kybpGdaooXadJ&#10;VVu1nfpMMMRImGNA4mS/fgfYbtdNe5iWBwLcd99xn+/u4vLQarIXziswFZ2clJQIw6FWZlvRb0/X&#10;Hz5R4gMzNdNgREWPwtPL5ft3F51diCk0oGvhCJIYv+hsRZsQ7KIoPG9Ey/wJWGHQKMG1LODRbYva&#10;sQ7ZW11My/Jj0YGrrQMuvMfbq2yky8QvpeDhTkovAtEVxbeFtLq0buJaLC/YYuuYbRTvn8H+4RUt&#10;UwaDjlRXLDCyc+o3qlZxBx5kOOHQFiCl4iLlgNlMyjfZPDbMipQLiuPtKJP/f7T8dn/viKorejqn&#10;xLAWv9EDqsbMVgsyi/p01i8Q9mjvXX/yuI3JHqRr4z+mQQ5J0+OoqTgEwvHyfD6do/AcLZNydnY2&#10;j5TFi691PnwR0JK4qajD2ElItr/xIUMHSAzlQav6WmmdDm67WWtH9gy/7rr8PDtd9+y/wLSJYAPR&#10;LTPGmyLmlTNJu3DUIuK0eRASFcG3T9NLUi2KMQ7jXJgwyaaG1SKHn5f4G6LH6o0eKdNEGJklxh+5&#10;e4IBmUkG7vzKHh9dRSrl0bn828Oy8+iRIoMJo3OrDLg/EWjMqo+c8YNIWZqo0gbqI9aLg9xI3vJr&#10;hd/thvlwzxx2Dn5qnAbhDhepoaso18pS0oD78fYu4rCQ0UJJhx1YUf99x5ygRH81WOLnk9kstmw6&#10;zOZnUzy415bNa4vZtWvAMpjgvLE8bSM+6GErHbTPOCxWMSqamOEYu6Jh2K5Dngs4bLhYrRIIm9Sy&#10;cGMeLY/UUctYjU+HZ+ZsX7IBS/0Whl5lizeVm7HR08BqF0CqVNYvavYqY4OncumHUZwgr88J9TIy&#10;lz8BAAD//wMAUEsDBBQABgAIAAAAIQArGc7Z4gAAAAkBAAAPAAAAZHJzL2Rvd25yZXYueG1sTI/L&#10;TsMwEEX3SPyDNUjsqFMXtSFkUlUgFhWogpQKsXNjE0f4EcVuG/h6hhUsZ+bozrnlcnSWHfUQu+AR&#10;ppMMmPZNUJ1vEV63D1c5sJikV9IGrxG+dIRldX5WykKFk3/Rxzq1jEJ8LCSCSakvOI+N0U7GSei1&#10;p9tHGJxMNA4tV4M8UbizXGTZnDvZefpgZK/vjG4+64ND2NW79Wb+9vxo77fm5ntl1vlT/454eTGu&#10;boElPaY/GH71SR0qctqHg1eRWQSRL6aEIsyEAEbALBO02CNc5wvgVcn/N6h+AAAA//8DAFBLAQIt&#10;ABQABgAIAAAAIQC2gziS/gAAAOEBAAATAAAAAAAAAAAAAAAAAAAAAABbQ29udGVudF9UeXBlc10u&#10;eG1sUEsBAi0AFAAGAAgAAAAhADj9If/WAAAAlAEAAAsAAAAAAAAAAAAAAAAALwEAAF9yZWxzLy5y&#10;ZWxzUEsBAi0AFAAGAAgAAAAhAPWcykGVAgAAegUAAA4AAAAAAAAAAAAAAAAALgIAAGRycy9lMm9E&#10;b2MueG1sUEsBAi0AFAAGAAgAAAAhACsZztniAAAACQEAAA8AAAAAAAAAAAAAAAAA7wQAAGRycy9k&#10;b3ducmV2LnhtbFBLBQYAAAAABAAEAPMAAAD+BQAAAAA=&#10;" fillcolor="#c0e43c" stroked="f" strokeweight="2pt"/>
            </w:pict>
          </mc:Fallback>
        </mc:AlternateContent>
      </w:r>
      <w:r w:rsidRPr="00EC1AB2">
        <w:rPr>
          <w:rFonts w:ascii="Times New Roman" w:hAnsi="Times New Roman" w:cs="Times New Roman"/>
          <w:bCs/>
          <w:noProof/>
          <w:sz w:val="24"/>
          <w:szCs w:val="24"/>
          <w:lang w:eastAsia="lt-LT"/>
        </w:rPr>
        <mc:AlternateContent>
          <mc:Choice Requires="wps">
            <w:drawing>
              <wp:anchor distT="0" distB="0" distL="114300" distR="114300" simplePos="0" relativeHeight="251850752" behindDoc="0" locked="0" layoutInCell="1" allowOverlap="1" wp14:anchorId="4D86575E" wp14:editId="35D282AC">
                <wp:simplePos x="0" y="0"/>
                <wp:positionH relativeFrom="column">
                  <wp:posOffset>268605</wp:posOffset>
                </wp:positionH>
                <wp:positionV relativeFrom="paragraph">
                  <wp:posOffset>173355</wp:posOffset>
                </wp:positionV>
                <wp:extent cx="3286125" cy="495300"/>
                <wp:effectExtent l="0" t="0" r="0" b="0"/>
                <wp:wrapNone/>
                <wp:docPr id="23" name="TextBox 2"/>
                <wp:cNvGraphicFramePr/>
                <a:graphic xmlns:a="http://schemas.openxmlformats.org/drawingml/2006/main">
                  <a:graphicData uri="http://schemas.microsoft.com/office/word/2010/wordprocessingShape">
                    <wps:wsp>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2E199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2E199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a:graphicData>
                </a:graphic>
                <wp14:sizeRelV relativeFrom="margin">
                  <wp14:pctHeight>0</wp14:pctHeight>
                </wp14:sizeRelV>
              </wp:anchor>
            </w:drawing>
          </mc:Choice>
          <mc:Fallback>
            <w:pict>
              <v:shape id="_x0000_s1046" type="#_x0000_t202" style="position:absolute;left:0;text-align:left;margin-left:21.15pt;margin-top:13.65pt;width:258.75pt;height:39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6+ZGwIAAIEEAAAOAAAAZHJzL2Uyb0RvYy54bWysVMFu2zAMvQ/YPwi6L06cpWiCOMXWorsM&#10;67B2H6DIUiJMEjVJiZ19/Sg6cYfu1GEX2abIR75H0uub3ll2VDEZ8A2fTaacKS+hNX7X8O9P9++u&#10;OUtZ+FZY8KrhJ5X4zebtm3UXVqqGPdhWRYYgPq260PB9zmFVVUnulRNpAkF5vNQQncj4GXdVG0WH&#10;6M5W9XR6VXUQ2xBBqpTQejdc8g3ha61kftA6qcxsw7G2TGekc1vOarMWq10UYW/kuQzxD1U4YTwm&#10;HaHuRBbsEM1fUM7ICAl0nkhwFWhtpCIOyGY2fcHmcS+CIi4oTgqjTOn/wcovx6+Rmbbh9ZwzLxz2&#10;6En1+SP0rC7qdCGt0OkxoFvu0YxdvtgTGgvpXkdXnkiH4T3qfBq1RSwm0Tivr69m9YIziXfvl4v5&#10;lMSvnqNDTPmTAsfKS8Mj9o4kFcfPKWMl6HpxKck83BtrqX/Ws67hywXBu4Bkkt9R7OiEwdYjRqEz&#10;lE1v+WRVAbP+m9IoA1VfDEnG3fbWRjbMCg4zsrpMDIFhQHHUWMQrY88hJVrRiL4yfgyi/ODzGO+M&#10;h0jEaYFUIXAUOPrtD2oaFq4H/4sUgwBFi9xvexqE2fLS3y20J2w7rnd+wENbQJmlNYGzPcRfL20d&#10;rhFK//MgouIsZnsLw9YJL9G/4UM/PXw4ZNCGeloyD2nOFeGcU6vPO1kW6c9v8nr+c2x+AwAA//8D&#10;AFBLAwQUAAYACAAAACEAS+cV3d0AAAAJAQAADwAAAGRycy9kb3ducmV2LnhtbEyPzU7DMBCE70i8&#10;g7VI3KhN2gAN2VQIxBVE+ZG4ufE2iYjXUew24e1ZTnBajebT7Ey5mX2vjjTGLjDC5cKAIq6D67hB&#10;eHt9vLgBFZNlZ/vAhPBNETbV6UlpCxcmfqHjNjVKQjgWFqFNaSi0jnVL3sZFGIjF24fR2yRybLQb&#10;7SThvteZMVfa247lQ2sHum+p/toePML70/7zY2WemwefD1OYjWa/1ojnZ/PdLahEc/qD4be+VIdK&#10;Ou3CgV1UPcIqWwqJkF3LFT/P1zJlJ6DJl6CrUv9fUP0AAAD//wMAUEsBAi0AFAAGAAgAAAAhALaD&#10;OJL+AAAA4QEAABMAAAAAAAAAAAAAAAAAAAAAAFtDb250ZW50X1R5cGVzXS54bWxQSwECLQAUAAYA&#10;CAAAACEAOP0h/9YAAACUAQAACwAAAAAAAAAAAAAAAAAvAQAAX3JlbHMvLnJlbHNQSwECLQAUAAYA&#10;CAAAACEAsg+vmRsCAACBBAAADgAAAAAAAAAAAAAAAAAuAgAAZHJzL2Uyb0RvYy54bWxQSwECLQAU&#10;AAYACAAAACEAS+cV3d0AAAAJAQAADwAAAAAAAAAAAAAAAAB1BAAAZHJzL2Rvd25yZXYueG1sUEsF&#10;BgAAAAAEAAQA8wAAAH8FAAAAAA==&#10;" filled="f" stroked="f">
                <v:textbox>
                  <w:txbxContent>
                    <w:p w:rsidR="00A03476" w:rsidRPr="00CB652D" w:rsidRDefault="00A03476" w:rsidP="002E199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2E199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w:pict>
          </mc:Fallback>
        </mc:AlternateContent>
      </w:r>
    </w:p>
    <w:p w:rsidR="00582745" w:rsidRPr="00EC1AB2" w:rsidRDefault="009853F8" w:rsidP="007A02A8">
      <w:pPr>
        <w:autoSpaceDE w:val="0"/>
        <w:autoSpaceDN w:val="0"/>
        <w:adjustRightInd w:val="0"/>
        <w:spacing w:after="0" w:line="360" w:lineRule="auto"/>
        <w:ind w:firstLine="1298"/>
        <w:jc w:val="both"/>
        <w:rPr>
          <w:rFonts w:ascii="Times New Roman" w:hAnsi="Times New Roman" w:cs="Times New Roman"/>
          <w:bCs/>
          <w:sz w:val="24"/>
          <w:szCs w:val="24"/>
        </w:rPr>
      </w:pPr>
      <w:r w:rsidRPr="00EC1AB2">
        <w:rPr>
          <w:rFonts w:ascii="Times New Roman" w:hAnsi="Times New Roman" w:cs="Times New Roman"/>
          <w:bCs/>
          <w:noProof/>
          <w:sz w:val="24"/>
          <w:szCs w:val="24"/>
          <w:lang w:eastAsia="lt-LT"/>
        </w:rPr>
        <mc:AlternateContent>
          <mc:Choice Requires="wps">
            <w:drawing>
              <wp:anchor distT="0" distB="0" distL="114300" distR="114300" simplePos="0" relativeHeight="251854848" behindDoc="0" locked="0" layoutInCell="1" allowOverlap="1" wp14:anchorId="67EBE2F0" wp14:editId="5F6E04F3">
                <wp:simplePos x="0" y="0"/>
                <wp:positionH relativeFrom="column">
                  <wp:posOffset>1823085</wp:posOffset>
                </wp:positionH>
                <wp:positionV relativeFrom="paragraph">
                  <wp:posOffset>102235</wp:posOffset>
                </wp:positionV>
                <wp:extent cx="95250" cy="104775"/>
                <wp:effectExtent l="0" t="0" r="0" b="9525"/>
                <wp:wrapNone/>
                <wp:docPr id="71"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143.55pt;margin-top:8.05pt;width:7.5pt;height:8.2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0FkwIAAKEFAAAOAAAAZHJzL2Uyb0RvYy54bWysVE1v2zAMvQ/YfxB0X+0ESbMGcYqgRYcB&#10;XVu0HXpWZCkWIImapMTJfv0o2XG7dh/AsBwUSiQfyWeSi/O90WQnfFBgKzo6KSkRlkOt7KaiXx+v&#10;PnykJERma6bBiooeRKDny/fvFq2bizE0oGvhCYLYMG9dRZsY3bwoAm+EYeEEnLColOANi3j1m6L2&#10;rEV0o4txWZ4WLfjaeeAiBHy97JR0mfGlFDzeShlEJLqimFvMp8/nOp3FcsHmG89co3ifBvuHLAxT&#10;FoMOUJcsMrL16g2UUdxDABlPOJgCpFRc5BqwmlH5qpqHhjmRa0FyghtoCv8Plt/s7jxRdUVnI0os&#10;M/iN7pE1ZjdakNPET+vCHM0e3J3vbwHFVOxeepP+sQyyz5weBk7FPhKOj2fT8RSJ56gZlZPZbJog&#10;i2df50P8JMCQJFTUY+xMJNtdh9iZHk1SqABa1VdK63xJXSIutCc7ht+XcS5sHGV3vTVfoO7epyX+&#10;+rC5sZJLTuInNG0TpoWE3gVOL0Uqvys4S/GgRbLT9l5IJA5LHOeIA/LbZELDavG3XDJgQpYYf8Du&#10;qvkNdpdlb59cRe74wbn8U2Kd8+CRI4ONg7NRFvyvADRS3Efu7I8kddQkltZQH7CtPHTzFhy/Uvh5&#10;r1mId8zjgGFH4NKIt3hIDW1FuVaOkgb899dvyQ77HTWUtDioFQ3ftswLSvRni5NwNppM0mTny2Q6&#10;G+PFv9SsX2rs1lwA9go2O2aVxWQf9VGUHswT7pRViooqZjnGrmg8ihexWx+4k7hYrbIRzrJj8do+&#10;OJ6gE5epaR/3T8y7vrMjTsQNHEeazV81eGebPC2sthGkyt3/zGbPMu6B3Lr9zkqL5uU9Wz1v1uUP&#10;AAAA//8DAFBLAwQUAAYACAAAACEAnY+5BtwAAAAJAQAADwAAAGRycy9kb3ducmV2LnhtbEyPQU/D&#10;MAyF70j8h8hIXBBLVlA3labThrQzYnDoMW1MW61xqiRby7/HnODkZ72n58/lbnGjuGKIgycN65UC&#10;gdR6O1Cn4fPj+LgFEZMha0ZPqOEbI+yq25vSFNbP9I7XU+oEl1AsjIY+pamQMrY9OhNXfkJi78sH&#10;ZxKvoZM2mJnL3SgzpXLpzEB8oTcTvvbYnk8Xp+GtPm6Cio09nPetrx9cfRjnZ63v75b9C4iES/oL&#10;wy8+o0PFTI2/kI1i1JBtN2uOspHz5MCTylg0LLIcZFXK/x9UPwAAAP//AwBQSwECLQAUAAYACAAA&#10;ACEAtoM4kv4AAADhAQAAEwAAAAAAAAAAAAAAAAAAAAAAW0NvbnRlbnRfVHlwZXNdLnhtbFBLAQIt&#10;ABQABgAIAAAAIQA4/SH/1gAAAJQBAAALAAAAAAAAAAAAAAAAAC8BAABfcmVscy8ucmVsc1BLAQIt&#10;ABQABgAIAAAAIQCFO30FkwIAAKEFAAAOAAAAAAAAAAAAAAAAAC4CAABkcnMvZTJvRG9jLnhtbFBL&#10;AQItABQABgAIAAAAIQCdj7kG3AAAAAkBAAAPAAAAAAAAAAAAAAAAAO0EAABkcnMvZG93bnJldi54&#10;bWxQSwUGAAAAAAQABADzAAAA9gUAAAAA&#10;" fillcolor="#243f60 [1604]" stroked="f" strokeweight="2pt"/>
            </w:pict>
          </mc:Fallback>
        </mc:AlternateContent>
      </w:r>
      <w:r w:rsidRPr="00EC1AB2">
        <w:rPr>
          <w:rFonts w:ascii="Times New Roman" w:hAnsi="Times New Roman" w:cs="Times New Roman"/>
          <w:bCs/>
          <w:noProof/>
          <w:sz w:val="24"/>
          <w:szCs w:val="24"/>
          <w:lang w:eastAsia="lt-LT"/>
        </w:rPr>
        <mc:AlternateContent>
          <mc:Choice Requires="wps">
            <w:drawing>
              <wp:anchor distT="0" distB="0" distL="114300" distR="114300" simplePos="0" relativeHeight="251853824" behindDoc="0" locked="0" layoutInCell="1" allowOverlap="1" wp14:anchorId="1AC0D078" wp14:editId="720A5E89">
                <wp:simplePos x="0" y="0"/>
                <wp:positionH relativeFrom="column">
                  <wp:posOffset>384810</wp:posOffset>
                </wp:positionH>
                <wp:positionV relativeFrom="paragraph">
                  <wp:posOffset>102235</wp:posOffset>
                </wp:positionV>
                <wp:extent cx="95250" cy="104775"/>
                <wp:effectExtent l="0" t="0" r="0" b="9525"/>
                <wp:wrapNone/>
                <wp:docPr id="60" name="Rectangle 5"/>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5" o:spid="_x0000_s1026" style="position:absolute;margin-left:30.3pt;margin-top:8.05pt;width:7.5pt;height:8.2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kjlwIAAHoFAAAOAAAAZHJzL2Uyb0RvYy54bWysVE1vGyEQvVfqf0Dcm11bdtJYWUduEleV&#10;oiZKUuWMWfAiAUMBe+3++g7sR9K06qGqDxiYN29m3g5zcXkwmuyFDwpsRScnJSXCcqiV3Vb029P6&#10;w0dKQmS2ZhqsqOhRBHq5fP/uonULMYUGdC08QRIbFq2raBOjWxRF4I0wLJyAExaNErxhEY9+W9Se&#10;tchudDEty9OiBV87D1yEgLfXnZEuM7+Ugsc7KYOIRFcUc4t59XndpLVYXrDF1jPXKN6nwf4hC8OU&#10;xaAj1TWLjOy8+o3KKO4hgIwnHEwBUioucg1YzaR8U81jw5zItaA4wY0yhf9Hy7/u7z1RdUVPUR7L&#10;DH6jB1SN2a0WZJ70aV1YIOzR3fv+FHCbij1Ib9I/lkEOWdPjqKk4RMLx8nw+nSMzR8uknJ2dZcri&#10;xdf5ED8LMCRtKuoxdhaS7W9DxHgIHSApVACt6rXSOh/8dnOlPdkz/Lrnn27mN+uUMLr8AtM2gS0k&#10;t86cbopUV1dJ3sWjFgmn7YOQqAjmPs2Z5F4UYxzGubBx0pkaVosu/LzE3xA9dW/yyLlkwsQsMf7I&#10;3RMMyI5k4O6y7PHJVeRWHp3LvyXWOY8eOTLYODobZcH/iUBjVX3kDj+I1EmTVNpAfcR+8dA9pOD4&#10;WuF3u2Uh3jOPLwc/NU6DeIeL1NBWlGvlKGnA/3h7l3DYyGihpMUXWNHwfce8oER/sdji55PZDOli&#10;PszmZ1M8+NeWzWuL3ZkrwDaY4LxxPG8TPuphKz2YZxwWqxQVTcxyjF3ROGyvYjcXcNhwsVplED5S&#10;x+KtfXQ8USctUzc+HZ6Zd33LRmz1rzC8VbZ407kdNnlaWO0iSJXb+kXNXmV84Lld+mGUJsjrc0a9&#10;jMzlTwAAAP//AwBQSwMEFAAGAAgAAAAhAGmDGsHbAAAABwEAAA8AAABkcnMvZG93bnJldi54bWxM&#10;jl9LwzAUxd8Fv0O4A99csk6jdE2HCnsSBDdh7C1r7tqy5qY0WVe/vdcnfTx/OOdXrCffiRGH2AYy&#10;sJgrEEhVcC3VBr52m/tnEDFZcrYLhAa+McK6vL0pbO7ClT5x3KZa8AjF3BpoUupzKWPVoLdxHnok&#10;zk5h8DaxHGrpBnvlcd/JTCktvW2JHxrb41uD1Xl78Qb2bty/L9UpO39sDq+HnSKnH8iYu9n0sgKR&#10;cEp/ZfjFZ3QomekYLuSi6AxopbnJvl6A4PzpkfXRwDLTIMtC/ucvfwAAAP//AwBQSwECLQAUAAYA&#10;CAAAACEAtoM4kv4AAADhAQAAEwAAAAAAAAAAAAAAAAAAAAAAW0NvbnRlbnRfVHlwZXNdLnhtbFBL&#10;AQItABQABgAIAAAAIQA4/SH/1gAAAJQBAAALAAAAAAAAAAAAAAAAAC8BAABfcmVscy8ucmVsc1BL&#10;AQItABQABgAIAAAAIQDwq3kjlwIAAHoFAAAOAAAAAAAAAAAAAAAAAC4CAABkcnMvZTJvRG9jLnht&#10;bFBLAQItABQABgAIAAAAIQBpgxrB2wAAAAcBAAAPAAAAAAAAAAAAAAAAAPEEAABkcnMvZG93bnJl&#10;di54bWxQSwUGAAAAAAQABADzAAAA+QUAAAAA&#10;" fillcolor="#9be5ef" stroked="f" strokeweight="2pt"/>
            </w:pict>
          </mc:Fallback>
        </mc:AlternateContent>
      </w:r>
    </w:p>
    <w:p w:rsidR="00582745" w:rsidRPr="00EC1AB2" w:rsidRDefault="00582745" w:rsidP="007A02A8">
      <w:pPr>
        <w:autoSpaceDE w:val="0"/>
        <w:autoSpaceDN w:val="0"/>
        <w:adjustRightInd w:val="0"/>
        <w:spacing w:after="0" w:line="360" w:lineRule="auto"/>
        <w:jc w:val="both"/>
        <w:rPr>
          <w:rFonts w:ascii="Times New Roman" w:hAnsi="Times New Roman" w:cs="Times New Roman"/>
          <w:bCs/>
          <w:sz w:val="24"/>
          <w:szCs w:val="24"/>
        </w:rPr>
      </w:pPr>
    </w:p>
    <w:p w:rsidR="002E199D" w:rsidRPr="00EC1AB2" w:rsidRDefault="002E199D" w:rsidP="00812D85">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Innovation Union Scoreboard, 2011</w:t>
      </w:r>
    </w:p>
    <w:p w:rsidR="002E199D" w:rsidRPr="00EC1AB2" w:rsidRDefault="00846CC0" w:rsidP="007A02A8">
      <w:pPr>
        <w:pStyle w:val="Heading5"/>
        <w:spacing w:before="0" w:line="360" w:lineRule="auto"/>
        <w:jc w:val="center"/>
        <w:rPr>
          <w:rFonts w:ascii="Times New Roman" w:hAnsi="Times New Roman" w:cs="Times New Roman"/>
          <w:b/>
          <w:color w:val="auto"/>
          <w:sz w:val="24"/>
          <w:szCs w:val="24"/>
        </w:rPr>
      </w:pPr>
      <w:bookmarkStart w:id="156" w:name="_Toc320761932"/>
      <w:bookmarkStart w:id="157" w:name="_Toc320762167"/>
      <w:bookmarkStart w:id="158" w:name="_Toc320762570"/>
      <w:r w:rsidRPr="00EC1AB2">
        <w:rPr>
          <w:rFonts w:ascii="Times New Roman" w:hAnsi="Times New Roman" w:cs="Times New Roman"/>
          <w:color w:val="auto"/>
          <w:sz w:val="24"/>
          <w:szCs w:val="24"/>
        </w:rPr>
        <w:t>17</w:t>
      </w:r>
      <w:r w:rsidR="002E199D" w:rsidRPr="00EC1AB2">
        <w:rPr>
          <w:rFonts w:ascii="Times New Roman" w:hAnsi="Times New Roman" w:cs="Times New Roman"/>
          <w:color w:val="auto"/>
          <w:sz w:val="24"/>
          <w:szCs w:val="24"/>
        </w:rPr>
        <w:t xml:space="preserve"> pav.</w:t>
      </w:r>
      <w:r w:rsidR="002E199D" w:rsidRPr="00EC1AB2">
        <w:rPr>
          <w:rFonts w:ascii="Times New Roman" w:hAnsi="Times New Roman" w:cs="Times New Roman"/>
          <w:b/>
          <w:color w:val="auto"/>
          <w:sz w:val="24"/>
          <w:szCs w:val="24"/>
        </w:rPr>
        <w:t xml:space="preserve"> </w:t>
      </w:r>
      <w:r w:rsidR="0077102D" w:rsidRPr="00EC1AB2">
        <w:rPr>
          <w:rFonts w:ascii="Times New Roman" w:hAnsi="Times New Roman" w:cs="Times New Roman"/>
          <w:b/>
          <w:color w:val="auto"/>
          <w:sz w:val="24"/>
          <w:szCs w:val="24"/>
        </w:rPr>
        <w:t>Inovacijų pardavimai rinkai ir įmonėms bei išlaidos</w:t>
      </w:r>
      <w:bookmarkEnd w:id="156"/>
      <w:bookmarkEnd w:id="157"/>
      <w:bookmarkEnd w:id="158"/>
      <w:r w:rsidR="00E278FF" w:rsidRPr="00EC1AB2">
        <w:rPr>
          <w:rFonts w:ascii="Times New Roman" w:hAnsi="Times New Roman" w:cs="Times New Roman"/>
          <w:b/>
          <w:color w:val="auto"/>
          <w:sz w:val="24"/>
          <w:szCs w:val="24"/>
        </w:rPr>
        <w:t xml:space="preserve"> moksliniams tyrimams ir eksperimentinei plėtrai</w:t>
      </w:r>
    </w:p>
    <w:p w:rsidR="00DE30C9" w:rsidRPr="00EC1AB2" w:rsidRDefault="00DE30C9" w:rsidP="007A02A8">
      <w:pPr>
        <w:spacing w:after="0" w:line="360" w:lineRule="auto"/>
        <w:rPr>
          <w:rFonts w:ascii="Times New Roman" w:hAnsi="Times New Roman" w:cs="Times New Roman"/>
        </w:rPr>
      </w:pPr>
    </w:p>
    <w:p w:rsidR="00582745" w:rsidRPr="00EC1AB2" w:rsidRDefault="005C4E0F" w:rsidP="007A02A8">
      <w:pPr>
        <w:autoSpaceDE w:val="0"/>
        <w:autoSpaceDN w:val="0"/>
        <w:adjustRightInd w:val="0"/>
        <w:spacing w:after="0" w:line="360" w:lineRule="auto"/>
        <w:ind w:firstLine="567"/>
        <w:jc w:val="both"/>
        <w:rPr>
          <w:rFonts w:ascii="Times New Roman" w:hAnsi="Times New Roman" w:cs="Times New Roman"/>
          <w:bCs/>
          <w:sz w:val="24"/>
          <w:szCs w:val="24"/>
        </w:rPr>
      </w:pPr>
      <w:r w:rsidRPr="00EC1AB2">
        <w:rPr>
          <w:rFonts w:ascii="Times New Roman" w:hAnsi="Times New Roman" w:cs="Times New Roman"/>
          <w:bCs/>
          <w:sz w:val="24"/>
          <w:szCs w:val="24"/>
        </w:rPr>
        <w:t xml:space="preserve">Kaip matyti iš </w:t>
      </w:r>
      <w:r w:rsidR="00846CC0" w:rsidRPr="00EC1AB2">
        <w:rPr>
          <w:rFonts w:ascii="Times New Roman" w:hAnsi="Times New Roman" w:cs="Times New Roman"/>
          <w:bCs/>
          <w:sz w:val="24"/>
          <w:szCs w:val="24"/>
        </w:rPr>
        <w:t>17</w:t>
      </w:r>
      <w:r w:rsidRPr="00EC1AB2">
        <w:rPr>
          <w:rFonts w:ascii="Times New Roman" w:hAnsi="Times New Roman" w:cs="Times New Roman"/>
          <w:bCs/>
          <w:sz w:val="24"/>
          <w:szCs w:val="24"/>
        </w:rPr>
        <w:t xml:space="preserve"> pav. </w:t>
      </w:r>
      <w:r w:rsidR="00CC3D57" w:rsidRPr="00EC1AB2">
        <w:rPr>
          <w:rFonts w:ascii="Times New Roman" w:hAnsi="Times New Roman" w:cs="Times New Roman"/>
          <w:bCs/>
          <w:sz w:val="24"/>
          <w:szCs w:val="24"/>
        </w:rPr>
        <w:t>šalims daugiausiai išleidusio</w:t>
      </w:r>
      <w:r w:rsidR="00701CC6" w:rsidRPr="00EC1AB2">
        <w:rPr>
          <w:rFonts w:ascii="Times New Roman" w:hAnsi="Times New Roman" w:cs="Times New Roman"/>
          <w:bCs/>
          <w:sz w:val="24"/>
          <w:szCs w:val="24"/>
        </w:rPr>
        <w:t>m</w:t>
      </w:r>
      <w:r w:rsidR="00CC3D57" w:rsidRPr="00EC1AB2">
        <w:rPr>
          <w:rFonts w:ascii="Times New Roman" w:hAnsi="Times New Roman" w:cs="Times New Roman"/>
          <w:bCs/>
          <w:sz w:val="24"/>
          <w:szCs w:val="24"/>
        </w:rPr>
        <w:t xml:space="preserve">s MTEP, t.y. </w:t>
      </w:r>
      <w:r w:rsidR="00701CC6" w:rsidRPr="00EC1AB2">
        <w:rPr>
          <w:rFonts w:ascii="Times New Roman" w:hAnsi="Times New Roman" w:cs="Times New Roman"/>
          <w:bCs/>
          <w:sz w:val="24"/>
          <w:szCs w:val="24"/>
        </w:rPr>
        <w:t>Suomijai ir Švedijai nepavyko parduoti tiek inovacijų rinkai ir įmonėms, kaip Graikijai ar Čekijos Respublikai.</w:t>
      </w:r>
    </w:p>
    <w:p w:rsidR="003B169F" w:rsidRPr="00EC1AB2" w:rsidRDefault="00987B95"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noProof/>
          <w:sz w:val="24"/>
          <w:szCs w:val="24"/>
          <w:lang w:eastAsia="lt-LT"/>
        </w:rPr>
        <w:lastRenderedPageBreak/>
        <mc:AlternateContent>
          <mc:Choice Requires="wps">
            <w:drawing>
              <wp:anchor distT="0" distB="0" distL="114300" distR="114300" simplePos="0" relativeHeight="251756544" behindDoc="0" locked="0" layoutInCell="1" allowOverlap="1" wp14:anchorId="12D9B0E6" wp14:editId="4464163C">
                <wp:simplePos x="0" y="0"/>
                <wp:positionH relativeFrom="column">
                  <wp:posOffset>-3997325</wp:posOffset>
                </wp:positionH>
                <wp:positionV relativeFrom="paragraph">
                  <wp:posOffset>330835</wp:posOffset>
                </wp:positionV>
                <wp:extent cx="95250" cy="104775"/>
                <wp:effectExtent l="0" t="0" r="0" b="9525"/>
                <wp:wrapNone/>
                <wp:docPr id="67"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314.75pt;margin-top:26.05pt;width:7.5pt;height:8.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C+kwIAAKEFAAAOAAAAZHJzL2Uyb0RvYy54bWysVE1v2zAMvQ/YfxB0X+0ESbMGcYqgRYcB&#10;XVu0HXpWZCkWIImapMTJfv0o2XG7dh/AsBwUSiQfyWeSi/O90WQnfFBgKzo6KSkRlkOt7KaiXx+v&#10;PnykJERma6bBiooeRKDny/fvFq2bizE0oGvhCYLYMG9dRZsY3bwoAm+EYeEEnLColOANi3j1m6L2&#10;rEV0o4txWZ4WLfjaeeAiBHy97JR0mfGlFDzeShlEJLqimFvMp8/nOp3FcsHmG89co3ifBvuHLAxT&#10;FoMOUJcsMrL16g2UUdxDABlPOJgCpFRc5BqwmlH5qpqHhjmRa0FyghtoCv8Plt/s7jxRdUVPZ5RY&#10;ZvAb3SNrzG60IKeJn9aFOZo9uDvf3wKKqdi99Cb9Yxlknzk9DJyKfSQcH8+m4ykSz1EzKiez2TRB&#10;Fs++zof4SYAhSaiox9iZSLa7DrEzPZqkUAG0qq+U1vmSukRcaE92DL8v41zYOMruemu+QN29T0v8&#10;9WFzYyWXnMRPaNomTAsJvQucXopUfldwluJBi2Sn7b2QSByWOM4RB+S3yYSG1eJvuWTAhCwx/oDd&#10;VfMb7C7L3j65itzxg3P5p8Q658EjRwYbB2ejLPhfAWikuI/c2R9J6qhJLK2hPmBbeejmLTh+pfDz&#10;XrMQ75jHAcOOwKURb/GQGtqKcq0cJQ3476/fkh32O2ooaXFQKxq+bZkXlOjPFifhbDSZpMnOl8l0&#10;NsaLf6lZv9TYrbkA7JURriXHs5jsoz6K0oN5wp2ySlFRxSzH2BWNR/EidusDdxIXq1U2wll2LF7b&#10;B8cTdOIyNe3j/ol513d2xIm4geNIs/mrBu9sk6eF1TaCVLn7n9nsWcY9kFu331lp0by8Z6vnzbr8&#10;AQAA//8DAFBLAwQUAAYACAAAACEABKO4reAAAAALAQAADwAAAGRycy9kb3ducmV2LnhtbEyPwU7D&#10;MAyG70i8Q2QkLqhLW21hlKbThrQzYuPQY9qYtlrjVEm2lrcnnOBo+9Pv7y93ixnZDZ0fLEnIVikw&#10;pNbqgToJn+djsgXmgyKtRkso4Rs97Kr7u1IV2s70gbdT6FgMIV8oCX0IU8G5b3s0yq/shBRvX9YZ&#10;FeLoOq6dmmO4GXmepoIbNVD80KsJ33psL6erkfBeH59d6ht9uOxbWz+Z+jDOaykfH5b9K7CAS/iD&#10;4Vc/qkMVnRp7Je3ZKCER+csmshI2eQYsEonI1nHTSBBbAbwq+f8O1Q8AAAD//wMAUEsBAi0AFAAG&#10;AAgAAAAhALaDOJL+AAAA4QEAABMAAAAAAAAAAAAAAAAAAAAAAFtDb250ZW50X1R5cGVzXS54bWxQ&#10;SwECLQAUAAYACAAAACEAOP0h/9YAAACUAQAACwAAAAAAAAAAAAAAAAAvAQAAX3JlbHMvLnJlbHNQ&#10;SwECLQAUAAYACAAAACEAjO4wvpMCAAChBQAADgAAAAAAAAAAAAAAAAAuAgAAZHJzL2Uyb0RvYy54&#10;bWxQSwECLQAUAAYACAAAACEABKO4reAAAAALAQAADwAAAAAAAAAAAAAAAADtBAAAZHJzL2Rvd25y&#10;ZXYueG1sUEsFBgAAAAAEAAQA8wAAAPoFAAAAAA==&#10;" fillcolor="#243f60 [1604]"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55520" behindDoc="0" locked="0" layoutInCell="1" allowOverlap="1" wp14:anchorId="4EB5DBDB" wp14:editId="31C03527">
                <wp:simplePos x="0" y="0"/>
                <wp:positionH relativeFrom="column">
                  <wp:posOffset>-5407025</wp:posOffset>
                </wp:positionH>
                <wp:positionV relativeFrom="paragraph">
                  <wp:posOffset>330835</wp:posOffset>
                </wp:positionV>
                <wp:extent cx="95250" cy="104775"/>
                <wp:effectExtent l="0" t="0" r="0" b="9525"/>
                <wp:wrapNone/>
                <wp:docPr id="66" name="Rectangle 5"/>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5" o:spid="_x0000_s1026" style="position:absolute;margin-left:-425.75pt;margin-top:26.05pt;width:7.5pt;height:8.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dcmAIAAHoFAAAOAAAAZHJzL2Uyb0RvYy54bWysVFFv2yAQfp+0/4B4X+1ESbtGdaqsbaZJ&#10;1Vq1nfpMMMRImGNA4mS/fgfYbtdNe5iWBwLcd9/dfT7u4vLQarIXziswFZ2clJQIw6FWZlvRb0/r&#10;Dx8p8YGZmmkwoqJH4enl8v27i84uxBQa0LVwBEmMX3S2ok0IdlEUnjeiZf4ErDBolOBaFvDotkXt&#10;WIfsrS6mZXladOBq64AL7/H2OhvpMvFLKXi4k9KLQHRFMbeQVpfWTVyL5QVbbB2zjeJ9GuwfsmiZ&#10;Mhh0pLpmgZGdU79RtYo78CDDCYe2ACkVF6kGrGZSvqnmsWFWpFpQHG9Hmfz/o+Vf9/eOqLqip6eU&#10;GNbiN3pA1ZjZakHmUZ/O+gXCHu29608et7HYg3Rt/McyyCFpehw1FYdAOF6ez6dzFJ6jZVLOzs4S&#10;ZfHia50PnwW0JG4q6jB2EpLtb33AeAgdIDGUB63qtdI6Hdx2c6Ud2TP8uuefbuY365gwuvwC0yaC&#10;DUS3bI43RawrV5J24ahFxGnzICQqgrlPUyapF8UYh3EuTJhkU8NqkcPPS/wN0WP3Ro+USyKMzBLj&#10;j9w9wYDMJAN3zrLHR1eRWnl0Lv+WWHYePVJkMGF0bpUB9ycCjVX1kTN+EClLE1XaQH3EfnGQH5K3&#10;fK3wu90yH+6Zw5eDnxqnQbjDRWroKsq1spQ04H68vYs4bGS0UNLhC6yo/75jTlCivxhs8fPJbBaf&#10;bDrM5mdTPLjXls1ri9m1V4BtMMF5Y3naRnzQw1Y6aJ9xWKxiVDQxwzF2RcOwvQp5LuCw4WK1SiB8&#10;pJaFW/NoeaSOWsZufDo8M2f7lg3Y6l9heKts8aZzMzZ6GljtAkiV2vpFzV5lfOCpXfphFCfI63NC&#10;vYzM5U8AAAD//wMAUEsDBBQABgAIAAAAIQBIPvRO4QAAAAsBAAAPAAAAZHJzL2Rvd25yZXYueG1s&#10;TI/BasMwDIbvg72D0WC31E66mJBFKdugp8Fg7aD05sZuEhrLIXbT7O3nnbajpI9f319tFjuw2Uy+&#10;d4SQrgQwQ43TPbUIX/ttUgDzQZFWgyOD8G08bOr7u0qV2t3o08y70LIYQr5UCF0IY8m5bzpjlV+5&#10;0VC8nd1kVYjj1HI9qVsMtwPPhJDcqp7ih06N5q0zzWV3tQgHPR/e1+KcXT62x9fjXpCWT4T4+LC8&#10;PAMLZgl/MPzqR3Woo9PJXUl7NiAkRZ7mkUXIsxRYJJJiLePmhCALCbyu+P8O9Q8AAAD//wMAUEsB&#10;Ai0AFAAGAAgAAAAhALaDOJL+AAAA4QEAABMAAAAAAAAAAAAAAAAAAAAAAFtDb250ZW50X1R5cGVz&#10;XS54bWxQSwECLQAUAAYACAAAACEAOP0h/9YAAACUAQAACwAAAAAAAAAAAAAAAAAvAQAAX3JlbHMv&#10;LnJlbHNQSwECLQAUAAYACAAAACEAbM5nXJgCAAB6BQAADgAAAAAAAAAAAAAAAAAuAgAAZHJzL2Uy&#10;b0RvYy54bWxQSwECLQAUAAYACAAAACEASD70TuEAAAALAQAADwAAAAAAAAAAAAAAAADyBAAAZHJz&#10;L2Rvd25yZXYueG1sUEsFBgAAAAAEAAQA8wAAAAAGAAAAAA==&#10;" fillcolor="#9be5ef"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54496" behindDoc="0" locked="0" layoutInCell="1" allowOverlap="1" wp14:anchorId="35C3F5C8" wp14:editId="39B8C09D">
                <wp:simplePos x="0" y="0"/>
                <wp:positionH relativeFrom="column">
                  <wp:posOffset>-3997325</wp:posOffset>
                </wp:positionH>
                <wp:positionV relativeFrom="paragraph">
                  <wp:posOffset>149860</wp:posOffset>
                </wp:positionV>
                <wp:extent cx="95250" cy="104775"/>
                <wp:effectExtent l="0" t="0" r="0" b="9525"/>
                <wp:wrapNone/>
                <wp:docPr id="65"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314.75pt;margin-top:11.8pt;width:7.5pt;height:8.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ElQIAAHoFAAAOAAAAZHJzL2Uyb0RvYy54bWysVFFv2yAQfp+0/4B4X+1kSbtGdaooXadJ&#10;VVu1nfpMMMRImGNA4mS/fgfYbtdNe5iWBwLcd99xn+/u4vLQarIXziswFZ2clJQIw6FWZlvRb0/X&#10;Hz5R4gMzNdNgREWPwtPL5ft3F51diCk0oGvhCJIYv+hsRZsQ7KIoPG9Ey/wJWGHQKMG1LODRbYva&#10;sQ7ZW11My/K06MDV1gEX3uPtVTbSZeKXUvBwJ6UXgeiK4ttCWl1aN3EtlhdssXXMNor3z2D/8IqW&#10;KYNBR6orFhjZOfUbVau4Aw8ynHBoC5BScZFywGwm5ZtsHhtmRcoFxfF2lMn/P1p+u793RNUVPZ1T&#10;YliL3+gBVWNmqwWZRX066xcIe7T3rj953MZkD9K18R/TIIek6XHUVBwC4Xh5Pp/OUXiOlkk5Ozub&#10;R8rixdc6H74IaEncVNRh7CQk29/4kKEDJIbyoFV9rbROB7fdrLUje4Zfd11+nn1c9+y/wLSJYAPR&#10;LTPGmyLmlTNJu3DUIuK0eRASFcG3T9NLUi2KMQ7jXJgwyaaG1SKHn5f4G6LH6o0eKdNEGJklxh+5&#10;e4IBmUkG7vzKHh9dRSrl0bn828Oy8+iRIoMJo3OrDLg/EWjMqo+c8YNIWZqo0gbqI9aLg9xI3vJr&#10;hd/thvlwzxx2Dn5qnAbhDhepoaso18pS0oD78fYu4rCQ0UJJhx1YUf99x5ygRH81WOLnk9kstmw6&#10;zOZnUzy415bNa4vZtWvAMpjgvLE8bSM+6GErHbTPOCxWMSqamOEYu6Jh2K5Dngs4bLhYrRIIm9Sy&#10;cGMeLY/UUctYjU+HZ+ZsX7IBS/0Whl5lizeVm7HR08BqF0CqVNYvavYqY4OncumHUZwgr88J9TIy&#10;lz8BAAD//wMAUEsDBBQABgAIAAAAIQBmQSvp5AAAAAsBAAAPAAAAZHJzL2Rvd25yZXYueG1sTI/B&#10;TsMwDIbvSLxDZCRuXdoyqq00nSYQhwmEoGNC3LLGNBWJUzXZVnh6wgmOtj/9/v5qNVnDjjj63pGA&#10;bJYCQ2qd6qkT8Lq9TxbAfJCkpHGEAr7Qw6o+P6tkqdyJXvDYhI7FEPKlFKBDGErOfavRSj9zA1K8&#10;fbjRyhDHseNqlKcYbg3P07TgVvYUP2g54K3G9rM5WAG7Zrd5Kt6eH8zdVi+/13qzeBzehbi8mNY3&#10;wAJO4Q+GX/2oDnV02rsDKc+MgKTIl9eRFZBfFcAikRTZPG72AuZpBryu+P8O9Q8AAAD//wMAUEsB&#10;Ai0AFAAGAAgAAAAhALaDOJL+AAAA4QEAABMAAAAAAAAAAAAAAAAAAAAAAFtDb250ZW50X1R5cGVz&#10;XS54bWxQSwECLQAUAAYACAAAACEAOP0h/9YAAACUAQAACwAAAAAAAAAAAAAAAAAvAQAAX3JlbHMv&#10;LnJlbHNQSwECLQAUAAYACAAAACEAej3vxJUCAAB6BQAADgAAAAAAAAAAAAAAAAAuAgAAZHJzL2Uy&#10;b0RvYy54bWxQSwECLQAUAAYACAAAACEAZkEr6eQAAAALAQAADwAAAAAAAAAAAAAAAADvBAAAZHJz&#10;L2Rvd25yZXYueG1sUEsFBgAAAAAEAAQA8wAAAAAGAAAAAA==&#10;" fillcolor="#c0e43c"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53472" behindDoc="0" locked="0" layoutInCell="1" allowOverlap="1" wp14:anchorId="7FC22165" wp14:editId="55882224">
                <wp:simplePos x="0" y="0"/>
                <wp:positionH relativeFrom="column">
                  <wp:posOffset>-5407025</wp:posOffset>
                </wp:positionH>
                <wp:positionV relativeFrom="paragraph">
                  <wp:posOffset>149860</wp:posOffset>
                </wp:positionV>
                <wp:extent cx="95250" cy="104775"/>
                <wp:effectExtent l="0" t="0" r="0" b="9525"/>
                <wp:wrapNone/>
                <wp:docPr id="61" name="Rectangle 3"/>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3" o:spid="_x0000_s1026" style="position:absolute;margin-left:-425.75pt;margin-top:11.8pt;width:7.5pt;height:8.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5pmQIAAKEFAAAOAAAAZHJzL2Uyb0RvYy54bWysVMFu2zAMvQ/YPwi6r7azpFmDOkXQosOA&#10;bi3aDj2rshQLkERNUuJkXz9KdtysK3YYdpFFkXwkn0meX+yMJlvhgwJb0+qkpERYDo2y65p+f7z+&#10;8ImSEJltmAYraroXgV4s378779xCTKAF3QhPEMSGRedq2sboFkUReCsMCyfghEWlBG9YRNGvi8az&#10;DtGNLiZleVp04BvngYsQ8PWqV9JlxpdS8HgrZRCR6JpibjGfPp/P6SyW52yx9sy1ig9psH/IwjBl&#10;MegIdcUiIxuv/oAyinsIIOMJB1OAlIqLXANWU5WvqnlomRO5FiQnuJGm8P9g+bftnSeqqelpRYll&#10;Bv/RPbLG7FoL8jHx07mwQLMHd+cHKeA1FbuT3qQvlkF2mdP9yKnYRcLx8Ww2mSHxHDVVOZ3PZwmy&#10;ePF1PsTPAgxJl5p6jJ2JZNubEHvTg0kKFUCr5lppnYXUJeJSe7Jl+H8Z58LG0+yuN+YrNP37fFaW&#10;+U9j2NxYySUn8RuatgnTQkLvA6eXIpXfF5xvca9FstP2XkgkDkuc5Igj8nEyVa9qWSP655TK27lk&#10;wIQsMf6IPQC8VWg1MDnYJ1eRO350Lv+WWF/i6JEjg42js1EW/FsAOo6Re/sDST01iaVnaPbYVh76&#10;eQuOXyv8vTcsxDvmccCwI3BpxFs8pIauplwrR0kL/ufrt2SH/Y4aSjoc1JqGHxvmBSX6i8VJOKum&#10;0zTZWZjO5hMU/LHm+VhjN+YSsFew2TGrfE32UR+u0oN5wp2ySlFRxSzH2DWNh+tl7NcH7iQuVqts&#10;hLPsWLyxD44n6MRlatrH3RPzbujsiBPxDQ4jzRavGry3TZ4WVpsIUuXuf2FzYBn3QG7dYWelRXMs&#10;Z6uXzbr8BQAA//8DAFBLAwQUAAYACAAAACEANunwPeIAAAALAQAADwAAAGRycy9kb3ducmV2Lnht&#10;bEyPwU6DQBCG7ya+w2ZMvNGFVghFhqZtUi7GNIIeetuyIxDZXcJuW3x715MeZ+bLP9+fb2Y1sCtN&#10;tjcaIVqEwEg3Rva6RXivD0EKzDqhpRiMJoRvsrAp7u9ykUlz0290rVzLfIi2mUDonBszzm3TkRJ2&#10;YUbS/vZpJiWcH6eWy0ncfLga+DIME65Er/2HToy076j5qi4K4aV2u92xLA+nuJQf69dyX/Nthfj4&#10;MG+fgTma3R8Mv/peHQrvdDYXLS0bEII0jmLPIixXCTBPBOkq8ZszwlMYAS9y/r9D8QMAAP//AwBQ&#10;SwECLQAUAAYACAAAACEAtoM4kv4AAADhAQAAEwAAAAAAAAAAAAAAAAAAAAAAW0NvbnRlbnRfVHlw&#10;ZXNdLnhtbFBLAQItABQABgAIAAAAIQA4/SH/1gAAAJQBAAALAAAAAAAAAAAAAAAAAC8BAABfcmVs&#10;cy8ucmVsc1BLAQItABQABgAIAAAAIQBy825pmQIAAKEFAAAOAAAAAAAAAAAAAAAAAC4CAABkcnMv&#10;ZTJvRG9jLnhtbFBLAQItABQABgAIAAAAIQA26fA94gAAAAsBAAAPAAAAAAAAAAAAAAAAAPMEAABk&#10;cnMvZG93bnJldi54bWxQSwUGAAAAAAQABADzAAAAAgYAAAAA&#10;" fillcolor="#e36c0a [2409]" stroked="f" strokeweight="2pt"/>
            </w:pict>
          </mc:Fallback>
        </mc:AlternateContent>
      </w:r>
      <w:r w:rsidRPr="00EC1AB2">
        <w:rPr>
          <w:rFonts w:ascii="Times New Roman" w:hAnsi="Times New Roman" w:cs="Times New Roman"/>
          <w:noProof/>
          <w:sz w:val="24"/>
          <w:szCs w:val="24"/>
          <w:lang w:eastAsia="lt-LT"/>
        </w:rPr>
        <mc:AlternateContent>
          <mc:Choice Requires="wps">
            <w:drawing>
              <wp:anchor distT="0" distB="0" distL="114300" distR="114300" simplePos="0" relativeHeight="251752448" behindDoc="0" locked="0" layoutInCell="1" allowOverlap="1" wp14:anchorId="6292A20E" wp14:editId="2E5FF144">
                <wp:simplePos x="0" y="0"/>
                <wp:positionH relativeFrom="column">
                  <wp:posOffset>-5542280</wp:posOffset>
                </wp:positionH>
                <wp:positionV relativeFrom="paragraph">
                  <wp:posOffset>100965</wp:posOffset>
                </wp:positionV>
                <wp:extent cx="3286125" cy="495300"/>
                <wp:effectExtent l="0" t="0" r="0" b="0"/>
                <wp:wrapNone/>
                <wp:docPr id="12" name="TextBox 2"/>
                <wp:cNvGraphicFramePr/>
                <a:graphic xmlns:a="http://schemas.openxmlformats.org/drawingml/2006/main">
                  <a:graphicData uri="http://schemas.microsoft.com/office/word/2010/wordprocessingShape">
                    <wps:wsp>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987B95">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987B95">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a:graphicData>
                </a:graphic>
                <wp14:sizeRelV relativeFrom="margin">
                  <wp14:pctHeight>0</wp14:pctHeight>
                </wp14:sizeRelV>
              </wp:anchor>
            </w:drawing>
          </mc:Choice>
          <mc:Fallback>
            <w:pict>
              <v:shape id="_x0000_s1047" type="#_x0000_t202" style="position:absolute;left:0;text-align:left;margin-left:-436.4pt;margin-top:7.95pt;width:258.75pt;height:39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plGQIAAIEEAAAOAAAAZHJzL2Uyb0RvYy54bWysVMFu2zAMvQ/YPwi6L07cpWiDOsXWorsM&#10;67B2H6DIUixMEjVJiZ19/Sg6cYbu1GEXWaLIJ75H0je3g7Nsr2Iy4Bu+mM05U15Ca/y24d+fH95d&#10;cZay8K2w4FXDDyrx2/XbNzd9WKkaOrCtigxBfFr1oeFdzmFVVUl2yok0g6A8XmqITmQ8xm3VRtEj&#10;urNVPZ9fVj3ENkSQKiW03o+XfE34WiuZH7VOKjPbcMwt0xpp3ZS1Wt+I1TaK0Bl5TEP8QxZOGI+P&#10;TlD3Igu2i+YvKGdkhAQ6zyS4CrQ2UhEHZLOYv2Dz1ImgiAuKk8IkU/p/sPLL/mtkpsXa1Zx54bBG&#10;z2rIH2FgdVGnD2mFTk8B3fKAZvQ82RMaC+lBR1e+SIfhPep8mLRFLCbReFFfXS7qJWcS795fLy/m&#10;JH51jg4x5U8KHCubhkesHUkq9p9TxkzQ9eRSHvPwYKyl+lnP+oZfLwneBSST/JZiJycMth4xCp0x&#10;bdrlg1UFzPpvSqMMlH0xJBm3mzsb2dgr2MzI6tQxBIYBxVFjEq+MPYaUaEUt+sr4KYjeB5+neGc8&#10;RCJOA6QKgb3A1m9/UNEwcT36n6QYBSha5GEzUCPUVJhi2kB7wLLjeOdHXLQFlFlaEzjrIP56aetx&#10;jFD6nzsRFWcx2zsYp054if4NH+vp4cMugzZU0/Mzx4ywz6nUx5ksg/TnmbzOf471bwAAAP//AwBQ&#10;SwMEFAAGAAgAAAAhANhEB9XfAAAACwEAAA8AAABkcnMvZG93bnJldi54bWxMj8FOwzAQRO9I/IO1&#10;SNxSm4bQJsSpEIgrqIUicXPjbRIRr6PYbcLfs5zgOJrRzJtyM7tenHEMnScNNwsFAqn2tqNGw/vb&#10;c7IGEaIha3pPqOEbA2yqy4vSFNZPtMXzLjaCSygURkMb41BIGeoWnQkLPyCxd/SjM5Hl2Eg7monL&#10;XS+XSt1JZzrihdYM+Nhi/bU7OQ37l+Pnx616bZ5cNkx+VpJcLrW+vpof7kFEnONfGH7xGR0qZjr4&#10;E9kgeg3JerVk9shOloPgRJJmWQrioCFPc5BVKf9/qH4AAAD//wMAUEsBAi0AFAAGAAgAAAAhALaD&#10;OJL+AAAA4QEAABMAAAAAAAAAAAAAAAAAAAAAAFtDb250ZW50X1R5cGVzXS54bWxQSwECLQAUAAYA&#10;CAAAACEAOP0h/9YAAACUAQAACwAAAAAAAAAAAAAAAAAvAQAAX3JlbHMvLnJlbHNQSwECLQAUAAYA&#10;CAAAACEANGpKZRkCAACBBAAADgAAAAAAAAAAAAAAAAAuAgAAZHJzL2Uyb0RvYy54bWxQSwECLQAU&#10;AAYACAAAACEA2EQH1d8AAAALAQAADwAAAAAAAAAAAAAAAABzBAAAZHJzL2Rvd25yZXYueG1sUEsF&#10;BgAAAAAEAAQA8wAAAH8FAAAAAA==&#10;" filled="f" stroked="f">
                <v:textbox>
                  <w:txbxContent>
                    <w:p w:rsidR="00A03476" w:rsidRPr="00CB652D" w:rsidRDefault="00A03476" w:rsidP="00987B95">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987B95">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w:pict>
          </mc:Fallback>
        </mc:AlternateContent>
      </w:r>
      <w:r w:rsidR="006E65DD" w:rsidRPr="00EC1AB2">
        <w:rPr>
          <w:rFonts w:ascii="Times New Roman" w:hAnsi="Times New Roman" w:cs="Times New Roman"/>
          <w:bCs/>
          <w:sz w:val="24"/>
          <w:szCs w:val="24"/>
        </w:rPr>
        <w:t>Apibendrinant</w:t>
      </w:r>
      <w:r w:rsidR="00F243DE" w:rsidRPr="00EC1AB2">
        <w:rPr>
          <w:rFonts w:ascii="Times New Roman" w:hAnsi="Times New Roman" w:cs="Times New Roman"/>
          <w:bCs/>
          <w:sz w:val="24"/>
          <w:szCs w:val="24"/>
        </w:rPr>
        <w:t>,</w:t>
      </w:r>
      <w:r w:rsidR="00C21EE6" w:rsidRPr="00EC1AB2">
        <w:rPr>
          <w:rFonts w:ascii="Times New Roman" w:hAnsi="Times New Roman" w:cs="Times New Roman"/>
          <w:bCs/>
          <w:sz w:val="24"/>
          <w:szCs w:val="24"/>
        </w:rPr>
        <w:t xml:space="preserve"> norint </w:t>
      </w:r>
      <w:r w:rsidR="00B6053D" w:rsidRPr="00EC1AB2">
        <w:rPr>
          <w:rFonts w:ascii="Times New Roman" w:hAnsi="Times New Roman" w:cs="Times New Roman"/>
          <w:bCs/>
          <w:sz w:val="24"/>
          <w:szCs w:val="24"/>
        </w:rPr>
        <w:t>kad Lietuvos ekonomika</w:t>
      </w:r>
      <w:r w:rsidR="00A51B04" w:rsidRPr="00EC1AB2">
        <w:rPr>
          <w:rFonts w:ascii="Times New Roman" w:hAnsi="Times New Roman" w:cs="Times New Roman"/>
          <w:bCs/>
          <w:sz w:val="24"/>
          <w:szCs w:val="24"/>
        </w:rPr>
        <w:t xml:space="preserve"> būtų konkurencinga ir patraukli ne tik pigiais darbo ištekliais</w:t>
      </w:r>
      <w:r w:rsidR="004E75B9" w:rsidRPr="00EC1AB2">
        <w:rPr>
          <w:rFonts w:ascii="Times New Roman" w:hAnsi="Times New Roman" w:cs="Times New Roman"/>
          <w:bCs/>
          <w:sz w:val="24"/>
          <w:szCs w:val="24"/>
        </w:rPr>
        <w:t xml:space="preserve"> – </w:t>
      </w:r>
      <w:r w:rsidR="005C0DCB" w:rsidRPr="00EC1AB2">
        <w:rPr>
          <w:rFonts w:ascii="Times New Roman" w:hAnsi="Times New Roman" w:cs="Times New Roman"/>
          <w:bCs/>
          <w:sz w:val="24"/>
          <w:szCs w:val="24"/>
        </w:rPr>
        <w:t>t</w:t>
      </w:r>
      <w:r w:rsidR="004E75B9" w:rsidRPr="00EC1AB2">
        <w:rPr>
          <w:rFonts w:ascii="Times New Roman" w:hAnsi="Times New Roman" w:cs="Times New Roman"/>
          <w:bCs/>
          <w:sz w:val="24"/>
          <w:szCs w:val="24"/>
        </w:rPr>
        <w:t>rumpalaikiu</w:t>
      </w:r>
      <w:r w:rsidR="005C0DCB" w:rsidRPr="00EC1AB2">
        <w:rPr>
          <w:rFonts w:ascii="Times New Roman" w:hAnsi="Times New Roman" w:cs="Times New Roman"/>
          <w:bCs/>
          <w:sz w:val="24"/>
          <w:szCs w:val="24"/>
        </w:rPr>
        <w:t xml:space="preserve"> </w:t>
      </w:r>
      <w:r w:rsidR="004E75B9" w:rsidRPr="00EC1AB2">
        <w:rPr>
          <w:rFonts w:ascii="Times New Roman" w:hAnsi="Times New Roman" w:cs="Times New Roman"/>
          <w:bCs/>
          <w:sz w:val="24"/>
          <w:szCs w:val="24"/>
        </w:rPr>
        <w:t>ekonomikos augimo potencialu</w:t>
      </w:r>
      <w:r w:rsidR="005C0DCB" w:rsidRPr="00EC1AB2">
        <w:rPr>
          <w:rFonts w:ascii="Times New Roman" w:hAnsi="Times New Roman" w:cs="Times New Roman"/>
          <w:bCs/>
          <w:sz w:val="24"/>
          <w:szCs w:val="24"/>
        </w:rPr>
        <w:t>,</w:t>
      </w:r>
      <w:r w:rsidR="00B20723" w:rsidRPr="00EC1AB2">
        <w:rPr>
          <w:rFonts w:ascii="Times New Roman" w:hAnsi="Times New Roman" w:cs="Times New Roman"/>
          <w:bCs/>
          <w:sz w:val="24"/>
          <w:szCs w:val="24"/>
        </w:rPr>
        <w:t xml:space="preserve"> </w:t>
      </w:r>
      <w:r w:rsidR="00761A04" w:rsidRPr="00EC1AB2">
        <w:rPr>
          <w:rFonts w:ascii="Times New Roman" w:hAnsi="Times New Roman" w:cs="Times New Roman"/>
          <w:bCs/>
          <w:sz w:val="24"/>
          <w:szCs w:val="24"/>
        </w:rPr>
        <w:t xml:space="preserve">Lietuvoje </w:t>
      </w:r>
      <w:r w:rsidR="00DE4E78" w:rsidRPr="00EC1AB2">
        <w:rPr>
          <w:rFonts w:ascii="Times New Roman" w:hAnsi="Times New Roman" w:cs="Times New Roman"/>
          <w:bCs/>
          <w:sz w:val="24"/>
          <w:szCs w:val="24"/>
        </w:rPr>
        <w:t xml:space="preserve">reikia </w:t>
      </w:r>
      <w:r w:rsidR="00185408" w:rsidRPr="00EC1AB2">
        <w:rPr>
          <w:rFonts w:ascii="Times New Roman" w:hAnsi="Times New Roman" w:cs="Times New Roman"/>
          <w:sz w:val="24"/>
          <w:szCs w:val="24"/>
        </w:rPr>
        <w:t xml:space="preserve">sudaryti patrauklias sąlygas jaunimui siekti tyrėjo </w:t>
      </w:r>
      <w:r w:rsidR="005F4AF6" w:rsidRPr="00EC1AB2">
        <w:rPr>
          <w:rFonts w:ascii="Times New Roman" w:hAnsi="Times New Roman" w:cs="Times New Roman"/>
          <w:sz w:val="24"/>
          <w:szCs w:val="24"/>
        </w:rPr>
        <w:t xml:space="preserve">karjeros, t.y.  didinti </w:t>
      </w:r>
      <w:r w:rsidR="00185408" w:rsidRPr="00EC1AB2">
        <w:rPr>
          <w:rFonts w:ascii="Times New Roman" w:hAnsi="Times New Roman" w:cs="Times New Roman"/>
          <w:sz w:val="24"/>
          <w:szCs w:val="24"/>
        </w:rPr>
        <w:t>asmenų turi</w:t>
      </w:r>
      <w:r w:rsidR="005F4AF6" w:rsidRPr="00EC1AB2">
        <w:rPr>
          <w:rFonts w:ascii="Times New Roman" w:hAnsi="Times New Roman" w:cs="Times New Roman"/>
          <w:sz w:val="24"/>
          <w:szCs w:val="24"/>
        </w:rPr>
        <w:t xml:space="preserve">nčių </w:t>
      </w:r>
      <w:r w:rsidR="009C4F26" w:rsidRPr="00EC1AB2">
        <w:rPr>
          <w:rFonts w:ascii="Times New Roman" w:hAnsi="Times New Roman" w:cs="Times New Roman"/>
          <w:sz w:val="24"/>
          <w:szCs w:val="24"/>
        </w:rPr>
        <w:t>daktaro</w:t>
      </w:r>
      <w:r w:rsidR="005F4AF6" w:rsidRPr="00EC1AB2">
        <w:rPr>
          <w:rFonts w:ascii="Times New Roman" w:hAnsi="Times New Roman" w:cs="Times New Roman"/>
          <w:sz w:val="24"/>
          <w:szCs w:val="24"/>
        </w:rPr>
        <w:t xml:space="preserve"> laipsnį atlyginimus</w:t>
      </w:r>
      <w:r w:rsidR="003A3CAF" w:rsidRPr="00EC1AB2">
        <w:rPr>
          <w:rFonts w:ascii="Times New Roman" w:hAnsi="Times New Roman" w:cs="Times New Roman"/>
          <w:sz w:val="24"/>
          <w:szCs w:val="24"/>
        </w:rPr>
        <w:t xml:space="preserve"> </w:t>
      </w:r>
      <w:r w:rsidR="00185408" w:rsidRPr="00EC1AB2">
        <w:rPr>
          <w:rFonts w:ascii="Times New Roman" w:hAnsi="Times New Roman" w:cs="Times New Roman"/>
          <w:sz w:val="24"/>
          <w:szCs w:val="24"/>
        </w:rPr>
        <w:t>bei skatinti mo</w:t>
      </w:r>
      <w:r w:rsidR="003A3CAF" w:rsidRPr="00EC1AB2">
        <w:rPr>
          <w:rFonts w:ascii="Times New Roman" w:hAnsi="Times New Roman" w:cs="Times New Roman"/>
          <w:sz w:val="24"/>
          <w:szCs w:val="24"/>
        </w:rPr>
        <w:t>kslo ir verslo integraciją. Tai padėtų pasiekti geresnių rezultatų</w:t>
      </w:r>
      <w:r w:rsidR="00185408" w:rsidRPr="00EC1AB2">
        <w:rPr>
          <w:rFonts w:ascii="Times New Roman" w:hAnsi="Times New Roman" w:cs="Times New Roman"/>
          <w:sz w:val="24"/>
          <w:szCs w:val="24"/>
        </w:rPr>
        <w:t xml:space="preserve"> ne tik žmogiškųjų išteklių rodiklių</w:t>
      </w:r>
      <w:r w:rsidR="003A3CAF" w:rsidRPr="00EC1AB2">
        <w:rPr>
          <w:rFonts w:ascii="Times New Roman" w:hAnsi="Times New Roman" w:cs="Times New Roman"/>
          <w:sz w:val="24"/>
          <w:szCs w:val="24"/>
        </w:rPr>
        <w:t xml:space="preserve"> grupėje</w:t>
      </w:r>
      <w:r w:rsidR="00185408" w:rsidRPr="00EC1AB2">
        <w:rPr>
          <w:rFonts w:ascii="Times New Roman" w:hAnsi="Times New Roman" w:cs="Times New Roman"/>
          <w:sz w:val="24"/>
          <w:szCs w:val="24"/>
        </w:rPr>
        <w:t>,</w:t>
      </w:r>
      <w:r w:rsidR="00C26C87" w:rsidRPr="00EC1AB2">
        <w:rPr>
          <w:rFonts w:ascii="Times New Roman" w:hAnsi="Times New Roman" w:cs="Times New Roman"/>
          <w:sz w:val="24"/>
          <w:szCs w:val="24"/>
        </w:rPr>
        <w:t xml:space="preserve"> bet ir kuriant </w:t>
      </w:r>
      <w:r w:rsidR="00C26C87" w:rsidRPr="00EC1AB2">
        <w:rPr>
          <w:rFonts w:ascii="Times New Roman" w:hAnsi="Times New Roman" w:cs="Times New Roman"/>
          <w:bCs/>
          <w:sz w:val="24"/>
          <w:szCs w:val="24"/>
        </w:rPr>
        <w:t>atviras, itin geras ir patrauklias mokslinių tyrimų sistemas</w:t>
      </w:r>
      <w:r w:rsidR="005431C3" w:rsidRPr="00EC1AB2">
        <w:rPr>
          <w:rFonts w:ascii="Times New Roman" w:hAnsi="Times New Roman" w:cs="Times New Roman"/>
          <w:bCs/>
          <w:sz w:val="24"/>
          <w:szCs w:val="24"/>
        </w:rPr>
        <w:t>.</w:t>
      </w:r>
      <w:r w:rsidR="00185408" w:rsidRPr="00EC1AB2">
        <w:rPr>
          <w:rFonts w:ascii="Times New Roman" w:hAnsi="Times New Roman" w:cs="Times New Roman"/>
          <w:sz w:val="24"/>
          <w:szCs w:val="24"/>
        </w:rPr>
        <w:t xml:space="preserve"> </w:t>
      </w:r>
      <w:r w:rsidR="001E09CA" w:rsidRPr="00EC1AB2">
        <w:rPr>
          <w:rFonts w:ascii="Times New Roman" w:hAnsi="Times New Roman" w:cs="Times New Roman"/>
          <w:bCs/>
          <w:sz w:val="24"/>
          <w:szCs w:val="24"/>
        </w:rPr>
        <w:t>Kaip</w:t>
      </w:r>
      <w:r w:rsidR="00F243DE" w:rsidRPr="00EC1AB2">
        <w:rPr>
          <w:rFonts w:ascii="Times New Roman" w:hAnsi="Times New Roman" w:cs="Times New Roman"/>
          <w:bCs/>
          <w:sz w:val="24"/>
          <w:szCs w:val="24"/>
        </w:rPr>
        <w:t xml:space="preserve"> viena iš Lietuvos stipriųjų pusių, tikėtina </w:t>
      </w:r>
      <w:r w:rsidR="009C4F26" w:rsidRPr="00EC1AB2">
        <w:rPr>
          <w:rFonts w:ascii="Times New Roman" w:hAnsi="Times New Roman" w:cs="Times New Roman"/>
          <w:bCs/>
          <w:sz w:val="24"/>
          <w:szCs w:val="24"/>
        </w:rPr>
        <w:t>pagerinsianti</w:t>
      </w:r>
      <w:r w:rsidR="00F243DE" w:rsidRPr="00EC1AB2">
        <w:rPr>
          <w:rFonts w:ascii="Times New Roman" w:hAnsi="Times New Roman" w:cs="Times New Roman"/>
          <w:bCs/>
          <w:sz w:val="24"/>
          <w:szCs w:val="24"/>
        </w:rPr>
        <w:t xml:space="preserve"> ypač nuolatinės veiklos kategorijos rodiklius, įmonių skatinimas investuoti į MTEP taikant pelno mokesčio lengvatas.</w:t>
      </w:r>
      <w:r w:rsidR="007D2795" w:rsidRPr="00EC1AB2">
        <w:rPr>
          <w:rFonts w:ascii="Times New Roman" w:hAnsi="Times New Roman" w:cs="Times New Roman"/>
          <w:bCs/>
          <w:sz w:val="24"/>
          <w:szCs w:val="24"/>
        </w:rPr>
        <w:t xml:space="preserve"> Lengvatos pradėtos taikyti nuo 2008</w:t>
      </w:r>
      <w:r w:rsidR="00F32169" w:rsidRPr="00EC1AB2">
        <w:rPr>
          <w:rFonts w:ascii="Times New Roman" w:hAnsi="Times New Roman" w:cs="Times New Roman"/>
          <w:bCs/>
          <w:sz w:val="24"/>
          <w:szCs w:val="24"/>
        </w:rPr>
        <w:t xml:space="preserve"> m. ir pastebimas įmonių </w:t>
      </w:r>
      <w:r w:rsidR="009C4F26" w:rsidRPr="00EC1AB2">
        <w:rPr>
          <w:rFonts w:ascii="Times New Roman" w:hAnsi="Times New Roman" w:cs="Times New Roman"/>
          <w:bCs/>
          <w:sz w:val="24"/>
          <w:szCs w:val="24"/>
        </w:rPr>
        <w:t>aktyvėjimas</w:t>
      </w:r>
      <w:r w:rsidR="00F243DE" w:rsidRPr="00EC1AB2">
        <w:rPr>
          <w:rFonts w:ascii="Times New Roman" w:hAnsi="Times New Roman" w:cs="Times New Roman"/>
          <w:bCs/>
          <w:sz w:val="24"/>
          <w:szCs w:val="24"/>
        </w:rPr>
        <w:t xml:space="preserve"> (</w:t>
      </w:r>
      <w:r w:rsidR="00F243DE" w:rsidRPr="00EC1AB2">
        <w:rPr>
          <w:rFonts w:ascii="Times New Roman" w:hAnsi="Times New Roman" w:cs="Times New Roman"/>
          <w:sz w:val="24"/>
          <w:szCs w:val="24"/>
        </w:rPr>
        <w:t>VMI duomenimis, 2008 m. MTEP lengvata pasinaudojo 59 mokesčių mokėtojai, 2</w:t>
      </w:r>
      <w:r w:rsidR="00E94D35" w:rsidRPr="00EC1AB2">
        <w:rPr>
          <w:rFonts w:ascii="Times New Roman" w:hAnsi="Times New Roman" w:cs="Times New Roman"/>
          <w:sz w:val="24"/>
          <w:szCs w:val="24"/>
        </w:rPr>
        <w:t>009 m. – 206, o 2010 m. – 180), tačiau reikia pastebėti, kad išlaidų MTEP augimas, ne visada įta</w:t>
      </w:r>
      <w:r w:rsidR="00AA44A2" w:rsidRPr="00EC1AB2">
        <w:rPr>
          <w:rFonts w:ascii="Times New Roman" w:hAnsi="Times New Roman" w:cs="Times New Roman"/>
          <w:sz w:val="24"/>
          <w:szCs w:val="24"/>
        </w:rPr>
        <w:t>koja inovacijų pardavimą rinkai, reikalinga, kad atliekami MTEP bū</w:t>
      </w:r>
      <w:r w:rsidR="00D43B1B" w:rsidRPr="00EC1AB2">
        <w:rPr>
          <w:rFonts w:ascii="Times New Roman" w:hAnsi="Times New Roman" w:cs="Times New Roman"/>
          <w:sz w:val="24"/>
          <w:szCs w:val="24"/>
        </w:rPr>
        <w:t>tų pritaikyta rinkoms poreikiams, todėl</w:t>
      </w:r>
      <w:r w:rsidR="001031F5" w:rsidRPr="00EC1AB2">
        <w:rPr>
          <w:rFonts w:ascii="Times New Roman" w:hAnsi="Times New Roman" w:cs="Times New Roman"/>
          <w:sz w:val="24"/>
          <w:szCs w:val="24"/>
        </w:rPr>
        <w:t xml:space="preserve"> </w:t>
      </w:r>
      <w:r w:rsidR="00F243DE" w:rsidRPr="00EC1AB2">
        <w:rPr>
          <w:rFonts w:ascii="Times New Roman" w:hAnsi="Times New Roman" w:cs="Times New Roman"/>
          <w:sz w:val="24"/>
          <w:szCs w:val="24"/>
        </w:rPr>
        <w:t xml:space="preserve">SVV </w:t>
      </w:r>
      <w:r w:rsidR="00F243DE" w:rsidRPr="00EC1AB2">
        <w:rPr>
          <w:rFonts w:ascii="Times New Roman" w:hAnsi="Times New Roman" w:cs="Times New Roman"/>
          <w:bCs/>
          <w:sz w:val="24"/>
          <w:szCs w:val="24"/>
        </w:rPr>
        <w:t xml:space="preserve">bendradarbiavimo su </w:t>
      </w:r>
      <w:r w:rsidR="009C4F26" w:rsidRPr="00EC1AB2">
        <w:rPr>
          <w:rFonts w:ascii="Times New Roman" w:hAnsi="Times New Roman" w:cs="Times New Roman"/>
          <w:bCs/>
          <w:sz w:val="24"/>
          <w:szCs w:val="24"/>
        </w:rPr>
        <w:t>universitetais</w:t>
      </w:r>
      <w:r w:rsidR="00F243DE" w:rsidRPr="00EC1AB2">
        <w:rPr>
          <w:rFonts w:ascii="Times New Roman" w:hAnsi="Times New Roman" w:cs="Times New Roman"/>
          <w:bCs/>
          <w:sz w:val="24"/>
          <w:szCs w:val="24"/>
        </w:rPr>
        <w:t xml:space="preserve"> bei mokslo institutais</w:t>
      </w:r>
      <w:r w:rsidR="001031F5" w:rsidRPr="00EC1AB2">
        <w:rPr>
          <w:rFonts w:ascii="Times New Roman" w:hAnsi="Times New Roman" w:cs="Times New Roman"/>
          <w:bCs/>
          <w:sz w:val="24"/>
          <w:szCs w:val="24"/>
        </w:rPr>
        <w:t xml:space="preserve"> didinimui </w:t>
      </w:r>
      <w:r w:rsidR="00F243DE" w:rsidRPr="00EC1AB2">
        <w:rPr>
          <w:rFonts w:ascii="Times New Roman" w:hAnsi="Times New Roman" w:cs="Times New Roman"/>
          <w:bCs/>
          <w:sz w:val="24"/>
          <w:szCs w:val="24"/>
        </w:rPr>
        <w:t xml:space="preserve">pradėta taikyti priemonė – inovaciniai čekiai. Jeigu Lietuvos SVV aktyviai naudosis šia priemone, tai ateityje turėtų </w:t>
      </w:r>
      <w:r w:rsidR="00F243DE" w:rsidRPr="00EC1AB2">
        <w:rPr>
          <w:rFonts w:ascii="Times New Roman" w:hAnsi="Times New Roman" w:cs="Times New Roman"/>
          <w:sz w:val="24"/>
          <w:szCs w:val="24"/>
        </w:rPr>
        <w:t>pagreitėti žinių tarp mokslo</w:t>
      </w:r>
      <w:r w:rsidR="00D878AC" w:rsidRPr="00EC1AB2">
        <w:rPr>
          <w:rFonts w:ascii="Times New Roman" w:hAnsi="Times New Roman" w:cs="Times New Roman"/>
          <w:sz w:val="24"/>
          <w:szCs w:val="24"/>
        </w:rPr>
        <w:t xml:space="preserve"> institucijų</w:t>
      </w:r>
      <w:r w:rsidR="00F243DE" w:rsidRPr="00EC1AB2">
        <w:rPr>
          <w:rFonts w:ascii="Times New Roman" w:hAnsi="Times New Roman" w:cs="Times New Roman"/>
          <w:sz w:val="24"/>
          <w:szCs w:val="24"/>
        </w:rPr>
        <w:t xml:space="preserve"> ir verslo</w:t>
      </w:r>
      <w:r w:rsidR="00D878AC" w:rsidRPr="00EC1AB2">
        <w:rPr>
          <w:rFonts w:ascii="Times New Roman" w:hAnsi="Times New Roman" w:cs="Times New Roman"/>
          <w:sz w:val="24"/>
          <w:szCs w:val="24"/>
        </w:rPr>
        <w:t xml:space="preserve"> subjektų</w:t>
      </w:r>
      <w:r w:rsidR="00F243DE" w:rsidRPr="00EC1AB2">
        <w:rPr>
          <w:rFonts w:ascii="Times New Roman" w:hAnsi="Times New Roman" w:cs="Times New Roman"/>
          <w:sz w:val="24"/>
          <w:szCs w:val="24"/>
        </w:rPr>
        <w:t xml:space="preserve"> perdavimas, inovatyvių idėjų bei mokslinių tyrimų rezultatų komercializavimas, t.y. įmonės pradės naudotis mokslo pasiekimais ir naujausiais tyrimais, o mokslo institucijos – orientuos savo veiklą į verslo poreikius ir komercializuotus tyrimus.</w:t>
      </w:r>
      <w:r w:rsidR="00EA3BE8" w:rsidRPr="00EC1AB2">
        <w:rPr>
          <w:rFonts w:ascii="Times New Roman" w:hAnsi="Times New Roman" w:cs="Times New Roman"/>
          <w:sz w:val="24"/>
          <w:szCs w:val="24"/>
        </w:rPr>
        <w:t xml:space="preserve"> </w:t>
      </w:r>
      <w:r w:rsidR="001031F5" w:rsidRPr="00EC1AB2">
        <w:rPr>
          <w:rFonts w:ascii="Times New Roman" w:hAnsi="Times New Roman" w:cs="Times New Roman"/>
          <w:sz w:val="24"/>
          <w:szCs w:val="24"/>
        </w:rPr>
        <w:t>Taigi,</w:t>
      </w:r>
      <w:r w:rsidR="00F243DE" w:rsidRPr="00EC1AB2">
        <w:rPr>
          <w:rFonts w:ascii="Times New Roman" w:hAnsi="Times New Roman" w:cs="Times New Roman"/>
          <w:bCs/>
          <w:sz w:val="24"/>
          <w:szCs w:val="24"/>
        </w:rPr>
        <w:t xml:space="preserve"> Lietuvoje </w:t>
      </w:r>
      <w:r w:rsidR="00EA3BE8" w:rsidRPr="00EC1AB2">
        <w:rPr>
          <w:rFonts w:ascii="Times New Roman" w:hAnsi="Times New Roman" w:cs="Times New Roman"/>
          <w:bCs/>
          <w:sz w:val="24"/>
          <w:szCs w:val="24"/>
        </w:rPr>
        <w:t xml:space="preserve">žengiami pirmieji žingsniai skatinant </w:t>
      </w:r>
      <w:r w:rsidR="006334B0" w:rsidRPr="00EC1AB2">
        <w:rPr>
          <w:rFonts w:ascii="Times New Roman" w:hAnsi="Times New Roman" w:cs="Times New Roman"/>
          <w:bCs/>
          <w:sz w:val="24"/>
          <w:szCs w:val="24"/>
        </w:rPr>
        <w:t>i</w:t>
      </w:r>
      <w:r w:rsidR="00EA3BE8" w:rsidRPr="00EC1AB2">
        <w:rPr>
          <w:rFonts w:ascii="Times New Roman" w:hAnsi="Times New Roman" w:cs="Times New Roman"/>
          <w:bCs/>
          <w:sz w:val="24"/>
          <w:szCs w:val="24"/>
        </w:rPr>
        <w:t>novacijas.</w:t>
      </w:r>
    </w:p>
    <w:p w:rsidR="003221BF" w:rsidRPr="00EC1AB2" w:rsidRDefault="003B169F" w:rsidP="007A02A8">
      <w:pPr>
        <w:autoSpaceDE w:val="0"/>
        <w:autoSpaceDN w:val="0"/>
        <w:adjustRightInd w:val="0"/>
        <w:spacing w:after="0" w:line="360" w:lineRule="auto"/>
        <w:ind w:firstLine="567"/>
        <w:jc w:val="both"/>
        <w:rPr>
          <w:rFonts w:ascii="Times New Roman" w:hAnsi="Times New Roman" w:cs="Times New Roman"/>
          <w:bCs/>
          <w:sz w:val="24"/>
          <w:szCs w:val="24"/>
        </w:rPr>
      </w:pPr>
      <w:r w:rsidRPr="00EC1AB2">
        <w:rPr>
          <w:rFonts w:ascii="Times New Roman" w:hAnsi="Times New Roman" w:cs="Times New Roman"/>
          <w:bCs/>
          <w:sz w:val="24"/>
          <w:szCs w:val="24"/>
        </w:rPr>
        <w:t xml:space="preserve">Apibendrinant, </w:t>
      </w:r>
      <w:r w:rsidR="00C9090A" w:rsidRPr="00EC1AB2">
        <w:rPr>
          <w:rFonts w:ascii="Times New Roman" w:hAnsi="Times New Roman" w:cs="Times New Roman"/>
          <w:bCs/>
          <w:sz w:val="24"/>
          <w:szCs w:val="24"/>
        </w:rPr>
        <w:t xml:space="preserve">pasiektus </w:t>
      </w:r>
      <w:r w:rsidRPr="00EC1AB2">
        <w:rPr>
          <w:rFonts w:ascii="Times New Roman" w:hAnsi="Times New Roman" w:cs="Times New Roman"/>
          <w:bCs/>
          <w:sz w:val="24"/>
          <w:szCs w:val="24"/>
        </w:rPr>
        <w:t>Lietuvos rezultatu</w:t>
      </w:r>
      <w:r w:rsidR="0016355B" w:rsidRPr="00EC1AB2">
        <w:rPr>
          <w:rFonts w:ascii="Times New Roman" w:hAnsi="Times New Roman" w:cs="Times New Roman"/>
          <w:bCs/>
          <w:sz w:val="24"/>
          <w:szCs w:val="24"/>
        </w:rPr>
        <w:t>s</w:t>
      </w:r>
      <w:r w:rsidRPr="00EC1AB2">
        <w:rPr>
          <w:rFonts w:ascii="Times New Roman" w:hAnsi="Times New Roman" w:cs="Times New Roman"/>
          <w:bCs/>
          <w:sz w:val="24"/>
          <w:szCs w:val="24"/>
        </w:rPr>
        <w:t xml:space="preserve"> diegiant inovacijas, </w:t>
      </w:r>
      <w:r w:rsidR="00EA3BE8" w:rsidRPr="00EC1AB2">
        <w:rPr>
          <w:rFonts w:ascii="Times New Roman" w:hAnsi="Times New Roman" w:cs="Times New Roman"/>
          <w:bCs/>
          <w:sz w:val="24"/>
          <w:szCs w:val="24"/>
        </w:rPr>
        <w:t xml:space="preserve">vis dėlto </w:t>
      </w:r>
      <w:r w:rsidRPr="00EC1AB2">
        <w:rPr>
          <w:rFonts w:ascii="Times New Roman" w:hAnsi="Times New Roman" w:cs="Times New Roman"/>
          <w:bCs/>
          <w:sz w:val="24"/>
          <w:szCs w:val="24"/>
        </w:rPr>
        <w:t xml:space="preserve">prie stipriųjų pusių šiuo metu galima priskirti </w:t>
      </w:r>
      <w:r w:rsidR="0016355B" w:rsidRPr="00EC1AB2">
        <w:rPr>
          <w:rFonts w:ascii="Times New Roman" w:hAnsi="Times New Roman" w:cs="Times New Roman"/>
          <w:bCs/>
          <w:sz w:val="24"/>
          <w:szCs w:val="24"/>
        </w:rPr>
        <w:t>tik žmogiškuosiu</w:t>
      </w:r>
      <w:r w:rsidR="00922D9C" w:rsidRPr="00EC1AB2">
        <w:rPr>
          <w:rFonts w:ascii="Times New Roman" w:hAnsi="Times New Roman" w:cs="Times New Roman"/>
          <w:bCs/>
          <w:sz w:val="24"/>
          <w:szCs w:val="24"/>
        </w:rPr>
        <w:t>s išteklius, o kitose srityse yra</w:t>
      </w:r>
      <w:r w:rsidR="0016355B" w:rsidRPr="00EC1AB2">
        <w:rPr>
          <w:rFonts w:ascii="Times New Roman" w:hAnsi="Times New Roman" w:cs="Times New Roman"/>
          <w:bCs/>
          <w:sz w:val="24"/>
          <w:szCs w:val="24"/>
        </w:rPr>
        <w:t xml:space="preserve"> pastebimas dide</w:t>
      </w:r>
      <w:r w:rsidR="00922D9C" w:rsidRPr="00EC1AB2">
        <w:rPr>
          <w:rFonts w:ascii="Times New Roman" w:hAnsi="Times New Roman" w:cs="Times New Roman"/>
          <w:bCs/>
          <w:sz w:val="24"/>
          <w:szCs w:val="24"/>
        </w:rPr>
        <w:t>l</w:t>
      </w:r>
      <w:r w:rsidR="006141D5" w:rsidRPr="00EC1AB2">
        <w:rPr>
          <w:rFonts w:ascii="Times New Roman" w:hAnsi="Times New Roman" w:cs="Times New Roman"/>
          <w:bCs/>
          <w:sz w:val="24"/>
          <w:szCs w:val="24"/>
        </w:rPr>
        <w:t xml:space="preserve">is atsilikimas nuo ES vidurkio. </w:t>
      </w:r>
    </w:p>
    <w:p w:rsidR="00EA3BE8" w:rsidRPr="00EC1AB2" w:rsidRDefault="00EA3BE8" w:rsidP="007A02A8">
      <w:pPr>
        <w:autoSpaceDE w:val="0"/>
        <w:autoSpaceDN w:val="0"/>
        <w:adjustRightInd w:val="0"/>
        <w:spacing w:after="0" w:line="360" w:lineRule="auto"/>
        <w:ind w:firstLine="1298"/>
        <w:jc w:val="both"/>
        <w:rPr>
          <w:rFonts w:ascii="Times New Roman" w:hAnsi="Times New Roman" w:cs="Times New Roman"/>
          <w:bCs/>
          <w:sz w:val="24"/>
          <w:szCs w:val="24"/>
        </w:rPr>
      </w:pPr>
    </w:p>
    <w:p w:rsidR="00F243DE" w:rsidRPr="00EC1AB2" w:rsidRDefault="00FA5DFA" w:rsidP="00812D85">
      <w:pPr>
        <w:pStyle w:val="Heading2"/>
        <w:numPr>
          <w:ilvl w:val="1"/>
          <w:numId w:val="32"/>
        </w:numPr>
        <w:spacing w:before="0" w:after="0" w:line="360" w:lineRule="auto"/>
        <w:jc w:val="both"/>
        <w:rPr>
          <w:i w:val="0"/>
          <w:sz w:val="24"/>
          <w:szCs w:val="24"/>
        </w:rPr>
      </w:pPr>
      <w:bookmarkStart w:id="159" w:name="_Toc320567001"/>
      <w:bookmarkStart w:id="160" w:name="_Toc320567041"/>
      <w:bookmarkStart w:id="161" w:name="_Toc320567188"/>
      <w:bookmarkStart w:id="162" w:name="_Toc320761771"/>
      <w:bookmarkStart w:id="163" w:name="_Toc320761933"/>
      <w:bookmarkStart w:id="164" w:name="_Toc320762168"/>
      <w:bookmarkStart w:id="165" w:name="_Toc320762571"/>
      <w:bookmarkStart w:id="166" w:name="_Toc321092704"/>
      <w:r w:rsidRPr="00EC1AB2">
        <w:rPr>
          <w:i w:val="0"/>
          <w:sz w:val="24"/>
          <w:szCs w:val="24"/>
        </w:rPr>
        <w:t xml:space="preserve">Rizikos kapitalo fondų </w:t>
      </w:r>
      <w:r w:rsidR="00C25E79" w:rsidRPr="00EC1AB2">
        <w:rPr>
          <w:i w:val="0"/>
          <w:sz w:val="24"/>
          <w:szCs w:val="24"/>
        </w:rPr>
        <w:t xml:space="preserve"> investicijų</w:t>
      </w:r>
      <w:r w:rsidR="003221BF" w:rsidRPr="00EC1AB2">
        <w:rPr>
          <w:i w:val="0"/>
          <w:sz w:val="24"/>
          <w:szCs w:val="24"/>
        </w:rPr>
        <w:t xml:space="preserve"> ir suminio inova</w:t>
      </w:r>
      <w:r w:rsidR="006141D5" w:rsidRPr="00EC1AB2">
        <w:rPr>
          <w:i w:val="0"/>
          <w:sz w:val="24"/>
          <w:szCs w:val="24"/>
        </w:rPr>
        <w:t xml:space="preserve">tyvumo indekso sudedamųjų dalių </w:t>
      </w:r>
      <w:r w:rsidR="003221BF" w:rsidRPr="00EC1AB2">
        <w:rPr>
          <w:i w:val="0"/>
          <w:sz w:val="24"/>
          <w:szCs w:val="24"/>
        </w:rPr>
        <w:t>koreliacinė analizė</w:t>
      </w:r>
      <w:bookmarkEnd w:id="159"/>
      <w:bookmarkEnd w:id="160"/>
      <w:bookmarkEnd w:id="161"/>
      <w:bookmarkEnd w:id="162"/>
      <w:bookmarkEnd w:id="163"/>
      <w:bookmarkEnd w:id="164"/>
      <w:bookmarkEnd w:id="165"/>
      <w:bookmarkEnd w:id="166"/>
    </w:p>
    <w:p w:rsidR="0078529A" w:rsidRPr="00EC1AB2" w:rsidRDefault="0078529A" w:rsidP="007A02A8">
      <w:pPr>
        <w:autoSpaceDE w:val="0"/>
        <w:autoSpaceDN w:val="0"/>
        <w:adjustRightInd w:val="0"/>
        <w:spacing w:after="0" w:line="360" w:lineRule="auto"/>
        <w:jc w:val="center"/>
        <w:rPr>
          <w:rFonts w:ascii="Times New Roman" w:hAnsi="Times New Roman" w:cs="Times New Roman"/>
          <w:b/>
          <w:sz w:val="28"/>
          <w:szCs w:val="28"/>
        </w:rPr>
      </w:pPr>
    </w:p>
    <w:p w:rsidR="00090DF6" w:rsidRPr="00EC1AB2" w:rsidRDefault="00090DF6" w:rsidP="007A02A8">
      <w:pPr>
        <w:autoSpaceDE w:val="0"/>
        <w:autoSpaceDN w:val="0"/>
        <w:adjustRightInd w:val="0"/>
        <w:spacing w:after="0" w:line="360" w:lineRule="auto"/>
        <w:ind w:firstLine="567"/>
        <w:jc w:val="both"/>
        <w:rPr>
          <w:rFonts w:ascii="Times New Roman" w:hAnsi="Times New Roman" w:cs="Times New Roman"/>
          <w:bCs/>
          <w:sz w:val="24"/>
          <w:szCs w:val="24"/>
        </w:rPr>
      </w:pPr>
      <w:r w:rsidRPr="00EC1AB2">
        <w:rPr>
          <w:rFonts w:ascii="Times New Roman" w:hAnsi="Times New Roman" w:cs="Times New Roman"/>
          <w:bCs/>
          <w:sz w:val="24"/>
          <w:szCs w:val="24"/>
        </w:rPr>
        <w:t xml:space="preserve">Pastebėjus Lietuvos stiprų atsilikimą nuo ES vidurkio diegiant inovacijas </w:t>
      </w:r>
      <w:r w:rsidR="0024142C" w:rsidRPr="00EC1AB2">
        <w:rPr>
          <w:rFonts w:ascii="Times New Roman" w:hAnsi="Times New Roman" w:cs="Times New Roman"/>
          <w:bCs/>
          <w:sz w:val="24"/>
          <w:szCs w:val="24"/>
        </w:rPr>
        <w:t>s</w:t>
      </w:r>
      <w:r w:rsidRPr="00EC1AB2">
        <w:rPr>
          <w:rFonts w:ascii="Times New Roman" w:hAnsi="Times New Roman" w:cs="Times New Roman"/>
          <w:bCs/>
          <w:sz w:val="24"/>
          <w:szCs w:val="24"/>
        </w:rPr>
        <w:t>varbu išsiaiškinti, kaip RKF investicijos – vienas iš elementų, padedančių diegti inovacijas, priklausantis priemonių kategorijai, įtakoja kitas suminio inovatyvumo rodiklių kategorij</w:t>
      </w:r>
      <w:r w:rsidR="00D35378" w:rsidRPr="00EC1AB2">
        <w:rPr>
          <w:rFonts w:ascii="Times New Roman" w:hAnsi="Times New Roman" w:cs="Times New Roman"/>
          <w:bCs/>
          <w:sz w:val="24"/>
          <w:szCs w:val="24"/>
        </w:rPr>
        <w:t>as.</w:t>
      </w:r>
      <w:r w:rsidRPr="00EC1AB2">
        <w:rPr>
          <w:rFonts w:ascii="Times New Roman" w:hAnsi="Times New Roman" w:cs="Times New Roman"/>
          <w:bCs/>
          <w:sz w:val="24"/>
          <w:szCs w:val="24"/>
        </w:rPr>
        <w:t xml:space="preserve"> Šiam</w:t>
      </w:r>
      <w:r w:rsidR="0024142C" w:rsidRPr="00EC1AB2">
        <w:rPr>
          <w:rFonts w:ascii="Times New Roman" w:hAnsi="Times New Roman" w:cs="Times New Roman"/>
          <w:bCs/>
          <w:sz w:val="24"/>
          <w:szCs w:val="24"/>
        </w:rPr>
        <w:t xml:space="preserve"> tikslui pasiekti bus </w:t>
      </w:r>
      <w:r w:rsidRPr="00EC1AB2">
        <w:rPr>
          <w:rFonts w:ascii="Times New Roman" w:hAnsi="Times New Roman" w:cs="Times New Roman"/>
          <w:bCs/>
          <w:sz w:val="24"/>
          <w:szCs w:val="24"/>
        </w:rPr>
        <w:t>skaičiuojami koreliacijos koeficientai t</w:t>
      </w:r>
      <w:r w:rsidR="0078341B" w:rsidRPr="00EC1AB2">
        <w:rPr>
          <w:rFonts w:ascii="Times New Roman" w:hAnsi="Times New Roman" w:cs="Times New Roman"/>
          <w:bCs/>
          <w:sz w:val="24"/>
          <w:szCs w:val="24"/>
        </w:rPr>
        <w:t>arp RKF inves</w:t>
      </w:r>
      <w:r w:rsidR="00F37A93" w:rsidRPr="00EC1AB2">
        <w:rPr>
          <w:rFonts w:ascii="Times New Roman" w:hAnsi="Times New Roman" w:cs="Times New Roman"/>
          <w:bCs/>
          <w:sz w:val="24"/>
          <w:szCs w:val="24"/>
        </w:rPr>
        <w:t>ticijų proc.</w:t>
      </w:r>
      <w:r w:rsidR="0078341B" w:rsidRPr="00EC1AB2">
        <w:rPr>
          <w:rFonts w:ascii="Times New Roman" w:hAnsi="Times New Roman" w:cs="Times New Roman"/>
          <w:bCs/>
          <w:sz w:val="24"/>
          <w:szCs w:val="24"/>
        </w:rPr>
        <w:t xml:space="preserve"> nuo BVP</w:t>
      </w:r>
      <w:r w:rsidRPr="00EC1AB2">
        <w:rPr>
          <w:rFonts w:ascii="Times New Roman" w:hAnsi="Times New Roman" w:cs="Times New Roman"/>
          <w:bCs/>
          <w:sz w:val="24"/>
          <w:szCs w:val="24"/>
        </w:rPr>
        <w:t xml:space="preserve"> ir nuolatinės veiklos bei</w:t>
      </w:r>
      <w:r w:rsidR="003D6743" w:rsidRPr="00EC1AB2">
        <w:rPr>
          <w:rFonts w:ascii="Times New Roman" w:hAnsi="Times New Roman" w:cs="Times New Roman"/>
          <w:bCs/>
          <w:sz w:val="24"/>
          <w:szCs w:val="24"/>
        </w:rPr>
        <w:t xml:space="preserve"> rezultatų kategorijų rodiklių 2006-2011 m. tarp visų dabartinių ES šalių narių.</w:t>
      </w:r>
    </w:p>
    <w:p w:rsidR="00D35378" w:rsidRPr="00EC1AB2" w:rsidRDefault="0024142C" w:rsidP="007A02A8">
      <w:pPr>
        <w:autoSpaceDE w:val="0"/>
        <w:autoSpaceDN w:val="0"/>
        <w:adjustRightInd w:val="0"/>
        <w:spacing w:after="0" w:line="360" w:lineRule="auto"/>
        <w:ind w:firstLine="567"/>
        <w:jc w:val="both"/>
        <w:rPr>
          <w:rFonts w:ascii="Times New Roman" w:hAnsi="Times New Roman" w:cs="Times New Roman"/>
          <w:sz w:val="24"/>
          <w:szCs w:val="24"/>
        </w:rPr>
        <w:sectPr w:rsidR="00D35378" w:rsidRPr="00EC1AB2" w:rsidSect="007F1325">
          <w:headerReference w:type="default" r:id="rId35"/>
          <w:pgSz w:w="11906" w:h="16838"/>
          <w:pgMar w:top="1134" w:right="567" w:bottom="1134" w:left="1418" w:header="567" w:footer="567" w:gutter="0"/>
          <w:pgNumType w:start="3" w:chapStyle="1"/>
          <w:cols w:space="1296"/>
          <w:docGrid w:linePitch="360"/>
        </w:sectPr>
      </w:pPr>
      <w:r w:rsidRPr="00EC1AB2">
        <w:rPr>
          <w:rFonts w:ascii="Times New Roman" w:hAnsi="Times New Roman" w:cs="Times New Roman"/>
          <w:sz w:val="24"/>
          <w:szCs w:val="24"/>
        </w:rPr>
        <w:t>Koreliacijos koeficientas parodo ryšio tamprumą, o jo ženklas – ryšio pobūdį ir kryptį. Šio koeficiento reikšmė priklauso intervalui nuo -1 iki 1. Reikšmė</w:t>
      </w:r>
      <w:r w:rsidR="009D3DB0" w:rsidRPr="00EC1AB2">
        <w:rPr>
          <w:rFonts w:ascii="Times New Roman" w:hAnsi="Times New Roman" w:cs="Times New Roman"/>
          <w:sz w:val="24"/>
          <w:szCs w:val="24"/>
        </w:rPr>
        <w:t>s, artimos 1 ar -1, parodo, kad</w:t>
      </w:r>
    </w:p>
    <w:p w:rsidR="0024142C" w:rsidRPr="00EC1AB2" w:rsidRDefault="0024142C"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lastRenderedPageBreak/>
        <w:t>tarp dviejų kintamųjų egzistuoja stipri priklausomybė. Ir atvirkščiai, reikšmės artimos 0, parodo, kad priklausomybė yra labai silpna. Kai koreliacijos koeficientas lygus 0, ryšio tarp kintamųjų nėra.</w:t>
      </w:r>
    </w:p>
    <w:p w:rsidR="0024142C" w:rsidRPr="00EC1AB2" w:rsidRDefault="0078529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Koreliacijos koeficientų</w:t>
      </w:r>
      <w:r w:rsidR="0024142C" w:rsidRPr="00EC1AB2">
        <w:rPr>
          <w:rFonts w:ascii="Times New Roman" w:hAnsi="Times New Roman" w:cs="Times New Roman"/>
          <w:sz w:val="24"/>
          <w:szCs w:val="24"/>
        </w:rPr>
        <w:t xml:space="preserve"> skaičiavimai atlikti su </w:t>
      </w:r>
      <w:r w:rsidR="0024142C" w:rsidRPr="00EC1AB2">
        <w:rPr>
          <w:rFonts w:ascii="Times New Roman" w:hAnsi="Times New Roman" w:cs="Times New Roman"/>
          <w:i/>
          <w:sz w:val="24"/>
          <w:szCs w:val="24"/>
        </w:rPr>
        <w:t>Microsoft Excel</w:t>
      </w:r>
      <w:r w:rsidR="0024142C" w:rsidRPr="00EC1AB2">
        <w:rPr>
          <w:rFonts w:ascii="Times New Roman" w:hAnsi="Times New Roman" w:cs="Times New Roman"/>
          <w:sz w:val="24"/>
          <w:szCs w:val="24"/>
        </w:rPr>
        <w:t xml:space="preserve"> funkcija </w:t>
      </w:r>
      <w:r w:rsidR="0024142C" w:rsidRPr="00EC1AB2">
        <w:rPr>
          <w:rFonts w:ascii="Times New Roman" w:hAnsi="Times New Roman" w:cs="Times New Roman"/>
          <w:i/>
          <w:sz w:val="24"/>
          <w:szCs w:val="24"/>
        </w:rPr>
        <w:t>CORREL</w:t>
      </w:r>
      <w:r w:rsidR="0024142C" w:rsidRPr="00EC1AB2">
        <w:rPr>
          <w:rFonts w:ascii="Times New Roman" w:hAnsi="Times New Roman" w:cs="Times New Roman"/>
          <w:sz w:val="24"/>
          <w:szCs w:val="24"/>
        </w:rPr>
        <w:t xml:space="preserve">. Siekiant išsiaiškinti ar koreliacijos koeficientai </w:t>
      </w:r>
      <w:r w:rsidR="0078341B" w:rsidRPr="00EC1AB2">
        <w:rPr>
          <w:rFonts w:ascii="Times New Roman" w:hAnsi="Times New Roman" w:cs="Times New Roman"/>
          <w:sz w:val="24"/>
          <w:szCs w:val="24"/>
        </w:rPr>
        <w:t xml:space="preserve">statistiškai </w:t>
      </w:r>
      <w:r w:rsidRPr="00EC1AB2">
        <w:rPr>
          <w:rFonts w:ascii="Times New Roman" w:hAnsi="Times New Roman" w:cs="Times New Roman"/>
          <w:sz w:val="24"/>
          <w:szCs w:val="24"/>
        </w:rPr>
        <w:t xml:space="preserve">reikšmingi </w:t>
      </w:r>
      <w:r w:rsidR="0024142C" w:rsidRPr="00EC1AB2">
        <w:rPr>
          <w:rFonts w:ascii="Times New Roman" w:hAnsi="Times New Roman" w:cs="Times New Roman"/>
          <w:sz w:val="24"/>
          <w:szCs w:val="24"/>
        </w:rPr>
        <w:t>suformuluotos hipotezės:</w:t>
      </w:r>
    </w:p>
    <w:p w:rsidR="009D3DB0" w:rsidRPr="00EC1AB2" w:rsidRDefault="0024142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H</w:t>
      </w:r>
      <w:r w:rsidRPr="00EC1AB2">
        <w:rPr>
          <w:rFonts w:ascii="Times New Roman" w:hAnsi="Times New Roman" w:cs="Times New Roman"/>
          <w:sz w:val="24"/>
          <w:szCs w:val="24"/>
          <w:vertAlign w:val="subscript"/>
        </w:rPr>
        <w:t>0</w:t>
      </w:r>
      <w:r w:rsidRPr="00EC1AB2">
        <w:rPr>
          <w:rFonts w:ascii="Times New Roman" w:hAnsi="Times New Roman" w:cs="Times New Roman"/>
          <w:sz w:val="24"/>
          <w:szCs w:val="24"/>
        </w:rPr>
        <w:t xml:space="preserve"> - koreliacijos koeficientas lygus nuliui;</w:t>
      </w:r>
    </w:p>
    <w:p w:rsidR="0024142C" w:rsidRPr="00EC1AB2" w:rsidRDefault="0024142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H</w:t>
      </w:r>
      <w:r w:rsidRPr="00EC1AB2">
        <w:rPr>
          <w:rFonts w:ascii="Times New Roman" w:hAnsi="Times New Roman" w:cs="Times New Roman"/>
          <w:sz w:val="24"/>
          <w:szCs w:val="24"/>
          <w:vertAlign w:val="subscript"/>
        </w:rPr>
        <w:t>1</w:t>
      </w:r>
      <w:r w:rsidRPr="00EC1AB2">
        <w:rPr>
          <w:rFonts w:ascii="Times New Roman" w:hAnsi="Times New Roman" w:cs="Times New Roman"/>
          <w:sz w:val="24"/>
          <w:szCs w:val="24"/>
        </w:rPr>
        <w:t xml:space="preserve"> - koreliacijos koeficientas nelygus nuliui.</w:t>
      </w:r>
    </w:p>
    <w:p w:rsidR="00B93ABD" w:rsidRPr="00EC1AB2" w:rsidRDefault="00B93AB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Jeigu t (statistika) &gt; t, kuris apskaičiuotas pasinaudojus </w:t>
      </w:r>
      <w:r w:rsidRPr="00EC1AB2">
        <w:rPr>
          <w:rFonts w:ascii="Times New Roman" w:hAnsi="Times New Roman" w:cs="Times New Roman"/>
          <w:i/>
          <w:sz w:val="24"/>
          <w:szCs w:val="24"/>
        </w:rPr>
        <w:t>Microsoft Excel</w:t>
      </w:r>
      <w:r w:rsidRPr="00EC1AB2">
        <w:rPr>
          <w:rFonts w:ascii="Times New Roman" w:hAnsi="Times New Roman" w:cs="Times New Roman"/>
          <w:sz w:val="24"/>
          <w:szCs w:val="24"/>
        </w:rPr>
        <w:t xml:space="preserve"> funkcija </w:t>
      </w:r>
      <w:r w:rsidRPr="00EC1AB2">
        <w:rPr>
          <w:rFonts w:ascii="Times New Roman" w:hAnsi="Times New Roman" w:cs="Times New Roman"/>
          <w:i/>
          <w:sz w:val="24"/>
          <w:szCs w:val="24"/>
        </w:rPr>
        <w:t>TINV</w:t>
      </w:r>
      <w:r w:rsidRPr="00EC1AB2">
        <w:rPr>
          <w:rFonts w:ascii="Times New Roman" w:hAnsi="Times New Roman" w:cs="Times New Roman"/>
          <w:sz w:val="24"/>
          <w:szCs w:val="24"/>
        </w:rPr>
        <w:t>, tai nulinė hipotezė atmetama ir priimama alternatyvioji, tai reiškia, kad koreliacijos koeficientas yra statistiškai reikšmingas.</w:t>
      </w:r>
    </w:p>
    <w:p w:rsidR="000B345A" w:rsidRPr="00EC1AB2" w:rsidRDefault="000B345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Pirmiausiai koreliacija apskaičiuota tarp RKF i</w:t>
      </w:r>
      <w:r w:rsidR="0078341B" w:rsidRPr="00EC1AB2">
        <w:rPr>
          <w:rFonts w:ascii="Times New Roman" w:hAnsi="Times New Roman" w:cs="Times New Roman"/>
          <w:sz w:val="24"/>
          <w:szCs w:val="24"/>
        </w:rPr>
        <w:t xml:space="preserve">nvesticijų </w:t>
      </w:r>
      <w:r w:rsidR="00F37A93" w:rsidRPr="00EC1AB2">
        <w:rPr>
          <w:rFonts w:ascii="Times New Roman" w:hAnsi="Times New Roman" w:cs="Times New Roman"/>
          <w:sz w:val="24"/>
          <w:szCs w:val="24"/>
        </w:rPr>
        <w:t>proc.</w:t>
      </w:r>
      <w:r w:rsidR="0078341B" w:rsidRPr="00EC1AB2">
        <w:rPr>
          <w:rFonts w:ascii="Times New Roman" w:hAnsi="Times New Roman" w:cs="Times New Roman"/>
          <w:sz w:val="24"/>
          <w:szCs w:val="24"/>
        </w:rPr>
        <w:t xml:space="preserve"> nuo BVP</w:t>
      </w:r>
      <w:r w:rsidRPr="00EC1AB2">
        <w:rPr>
          <w:rFonts w:ascii="Times New Roman" w:hAnsi="Times New Roman" w:cs="Times New Roman"/>
          <w:sz w:val="24"/>
          <w:szCs w:val="24"/>
        </w:rPr>
        <w:t xml:space="preserve"> ir nuolatinės veiklos kategorij</w:t>
      </w:r>
      <w:r w:rsidR="00F37A93" w:rsidRPr="00EC1AB2">
        <w:rPr>
          <w:rFonts w:ascii="Times New Roman" w:hAnsi="Times New Roman" w:cs="Times New Roman"/>
          <w:sz w:val="24"/>
          <w:szCs w:val="24"/>
        </w:rPr>
        <w:t>os rodiklių</w:t>
      </w:r>
      <w:r w:rsidR="00C57B55" w:rsidRPr="00EC1AB2">
        <w:rPr>
          <w:rFonts w:ascii="Times New Roman" w:hAnsi="Times New Roman" w:cs="Times New Roman"/>
          <w:sz w:val="24"/>
          <w:szCs w:val="24"/>
        </w:rPr>
        <w:t xml:space="preserve"> (</w:t>
      </w:r>
      <w:r w:rsidR="006F6993" w:rsidRPr="00EC1AB2">
        <w:rPr>
          <w:rFonts w:ascii="Times New Roman" w:hAnsi="Times New Roman" w:cs="Times New Roman"/>
          <w:sz w:val="24"/>
          <w:szCs w:val="24"/>
        </w:rPr>
        <w:t>žr. 5</w:t>
      </w:r>
      <w:r w:rsidR="00C57B55" w:rsidRPr="00EC1AB2">
        <w:rPr>
          <w:rFonts w:ascii="Times New Roman" w:hAnsi="Times New Roman" w:cs="Times New Roman"/>
          <w:sz w:val="24"/>
          <w:szCs w:val="24"/>
        </w:rPr>
        <w:t xml:space="preserve"> lent.)</w:t>
      </w:r>
      <w:r w:rsidR="00F37A93" w:rsidRPr="00EC1AB2">
        <w:rPr>
          <w:rFonts w:ascii="Times New Roman" w:hAnsi="Times New Roman" w:cs="Times New Roman"/>
          <w:sz w:val="24"/>
          <w:szCs w:val="24"/>
        </w:rPr>
        <w:t>.</w:t>
      </w:r>
    </w:p>
    <w:p w:rsidR="0077224C" w:rsidRPr="00EC1AB2" w:rsidRDefault="0077224C" w:rsidP="007A02A8">
      <w:pPr>
        <w:autoSpaceDE w:val="0"/>
        <w:autoSpaceDN w:val="0"/>
        <w:adjustRightInd w:val="0"/>
        <w:spacing w:after="0" w:line="360" w:lineRule="auto"/>
        <w:jc w:val="both"/>
        <w:rPr>
          <w:rFonts w:ascii="Times New Roman" w:hAnsi="Times New Roman" w:cs="Times New Roman"/>
          <w:sz w:val="24"/>
          <w:szCs w:val="24"/>
        </w:rPr>
      </w:pPr>
    </w:p>
    <w:p w:rsidR="0077224C" w:rsidRPr="00EC1AB2" w:rsidRDefault="006F6993" w:rsidP="007A02A8">
      <w:pPr>
        <w:pStyle w:val="Heading4"/>
        <w:spacing w:before="0" w:line="360" w:lineRule="auto"/>
        <w:jc w:val="center"/>
        <w:rPr>
          <w:rFonts w:ascii="Times New Roman" w:hAnsi="Times New Roman" w:cs="Times New Roman"/>
          <w:i w:val="0"/>
          <w:color w:val="auto"/>
          <w:sz w:val="24"/>
          <w:szCs w:val="24"/>
        </w:rPr>
      </w:pPr>
      <w:bookmarkStart w:id="167" w:name="_Toc320761934"/>
      <w:bookmarkStart w:id="168" w:name="_Toc320762169"/>
      <w:bookmarkStart w:id="169" w:name="_Toc320762572"/>
      <w:r w:rsidRPr="00EC1AB2">
        <w:rPr>
          <w:rFonts w:ascii="Times New Roman" w:hAnsi="Times New Roman" w:cs="Times New Roman"/>
          <w:b w:val="0"/>
          <w:i w:val="0"/>
          <w:color w:val="auto"/>
          <w:sz w:val="24"/>
          <w:szCs w:val="24"/>
        </w:rPr>
        <w:t>5</w:t>
      </w:r>
      <w:r w:rsidR="0077224C" w:rsidRPr="00EC1AB2">
        <w:rPr>
          <w:rFonts w:ascii="Times New Roman" w:hAnsi="Times New Roman" w:cs="Times New Roman"/>
          <w:b w:val="0"/>
          <w:i w:val="0"/>
          <w:color w:val="auto"/>
          <w:sz w:val="24"/>
          <w:szCs w:val="24"/>
        </w:rPr>
        <w:t xml:space="preserve"> lentelė.</w:t>
      </w:r>
      <w:r w:rsidR="009F7CAA" w:rsidRPr="00EC1AB2">
        <w:rPr>
          <w:rFonts w:ascii="Times New Roman" w:hAnsi="Times New Roman" w:cs="Times New Roman"/>
          <w:i w:val="0"/>
          <w:color w:val="auto"/>
          <w:sz w:val="24"/>
          <w:szCs w:val="24"/>
        </w:rPr>
        <w:t xml:space="preserve"> Rizikos kapitalo fondų</w:t>
      </w:r>
      <w:r w:rsidR="00F60D64" w:rsidRPr="00EC1AB2">
        <w:rPr>
          <w:rFonts w:ascii="Times New Roman" w:hAnsi="Times New Roman" w:cs="Times New Roman"/>
          <w:i w:val="0"/>
          <w:color w:val="auto"/>
          <w:sz w:val="24"/>
          <w:szCs w:val="24"/>
        </w:rPr>
        <w:t xml:space="preserve"> inv</w:t>
      </w:r>
      <w:r w:rsidR="007E27F7" w:rsidRPr="00EC1AB2">
        <w:rPr>
          <w:rFonts w:ascii="Times New Roman" w:hAnsi="Times New Roman" w:cs="Times New Roman"/>
          <w:i w:val="0"/>
          <w:color w:val="auto"/>
          <w:sz w:val="24"/>
          <w:szCs w:val="24"/>
        </w:rPr>
        <w:t>est</w:t>
      </w:r>
      <w:r w:rsidR="00A573C7" w:rsidRPr="00EC1AB2">
        <w:rPr>
          <w:rFonts w:ascii="Times New Roman" w:hAnsi="Times New Roman" w:cs="Times New Roman"/>
          <w:i w:val="0"/>
          <w:color w:val="auto"/>
          <w:sz w:val="24"/>
          <w:szCs w:val="24"/>
        </w:rPr>
        <w:t>icijų proc.</w:t>
      </w:r>
      <w:r w:rsidR="007E27F7" w:rsidRPr="00EC1AB2">
        <w:rPr>
          <w:rFonts w:ascii="Times New Roman" w:hAnsi="Times New Roman" w:cs="Times New Roman"/>
          <w:i w:val="0"/>
          <w:color w:val="auto"/>
          <w:sz w:val="24"/>
          <w:szCs w:val="24"/>
        </w:rPr>
        <w:t xml:space="preserve"> nuo BVP</w:t>
      </w:r>
      <w:r w:rsidR="00F60D64" w:rsidRPr="00EC1AB2">
        <w:rPr>
          <w:rFonts w:ascii="Times New Roman" w:hAnsi="Times New Roman" w:cs="Times New Roman"/>
          <w:i w:val="0"/>
          <w:color w:val="auto"/>
          <w:sz w:val="24"/>
          <w:szCs w:val="24"/>
        </w:rPr>
        <w:t xml:space="preserve"> ir suminio inovatyvumo indekso nuolatinės veiklos kategorijos rodiklių koreliacija</w:t>
      </w:r>
      <w:bookmarkEnd w:id="167"/>
      <w:bookmarkEnd w:id="168"/>
      <w:bookmarkEnd w:id="169"/>
    </w:p>
    <w:p w:rsidR="00D35378" w:rsidRPr="00EC1AB2" w:rsidRDefault="00D35378" w:rsidP="007A02A8">
      <w:pPr>
        <w:autoSpaceDE w:val="0"/>
        <w:autoSpaceDN w:val="0"/>
        <w:adjustRightInd w:val="0"/>
        <w:spacing w:after="0" w:line="360" w:lineRule="auto"/>
        <w:jc w:val="both"/>
        <w:rPr>
          <w:rFonts w:ascii="Times New Roman" w:hAnsi="Times New Roman" w:cs="Times New Roman"/>
          <w:sz w:val="24"/>
          <w:szCs w:val="24"/>
        </w:rPr>
      </w:pPr>
    </w:p>
    <w:tbl>
      <w:tblPr>
        <w:tblStyle w:val="TableGrid"/>
        <w:tblW w:w="4901" w:type="pct"/>
        <w:jc w:val="center"/>
        <w:tblInd w:w="392" w:type="dxa"/>
        <w:tblLook w:val="04A0" w:firstRow="1" w:lastRow="0" w:firstColumn="1" w:lastColumn="0" w:noHBand="0" w:noVBand="1"/>
      </w:tblPr>
      <w:tblGrid>
        <w:gridCol w:w="2338"/>
        <w:gridCol w:w="825"/>
        <w:gridCol w:w="825"/>
        <w:gridCol w:w="825"/>
        <w:gridCol w:w="823"/>
        <w:gridCol w:w="823"/>
        <w:gridCol w:w="823"/>
        <w:gridCol w:w="1043"/>
        <w:gridCol w:w="727"/>
        <w:gridCol w:w="884"/>
      </w:tblGrid>
      <w:tr w:rsidR="00087883" w:rsidRPr="00EC1AB2" w:rsidTr="00812D85">
        <w:trPr>
          <w:cantSplit/>
          <w:trHeight w:val="3515"/>
          <w:jc w:val="center"/>
        </w:trPr>
        <w:tc>
          <w:tcPr>
            <w:tcW w:w="1176" w:type="pct"/>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b/>
                <w:sz w:val="24"/>
                <w:szCs w:val="24"/>
              </w:rPr>
            </w:pPr>
          </w:p>
        </w:tc>
        <w:tc>
          <w:tcPr>
            <w:tcW w:w="415" w:type="pct"/>
            <w:textDirection w:val="btLr"/>
          </w:tcPr>
          <w:p w:rsidR="00D35378" w:rsidRPr="00EC1AB2" w:rsidRDefault="00DA0FF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Verslo išlaidos MTE</w:t>
            </w:r>
            <w:r w:rsidR="00A573C7" w:rsidRPr="00EC1AB2">
              <w:rPr>
                <w:rFonts w:ascii="Times New Roman" w:hAnsi="Times New Roman" w:cs="Times New Roman"/>
                <w:sz w:val="18"/>
                <w:szCs w:val="18"/>
              </w:rPr>
              <w:t>P proc.</w:t>
            </w:r>
            <w:r w:rsidR="00D35378" w:rsidRPr="00EC1AB2">
              <w:rPr>
                <w:rFonts w:ascii="Times New Roman" w:hAnsi="Times New Roman" w:cs="Times New Roman"/>
                <w:sz w:val="18"/>
                <w:szCs w:val="18"/>
              </w:rPr>
              <w:t xml:space="preserve"> nuo BVP</w:t>
            </w:r>
          </w:p>
        </w:tc>
        <w:tc>
          <w:tcPr>
            <w:tcW w:w="415" w:type="pct"/>
            <w:textDirection w:val="btLr"/>
          </w:tcPr>
          <w:p w:rsidR="00D35378" w:rsidRPr="00EC1AB2" w:rsidRDefault="00DA0FF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Išlaidos ne MTE</w:t>
            </w:r>
            <w:r w:rsidR="00A573C7" w:rsidRPr="00EC1AB2">
              <w:rPr>
                <w:rFonts w:ascii="Times New Roman" w:hAnsi="Times New Roman" w:cs="Times New Roman"/>
                <w:sz w:val="18"/>
                <w:szCs w:val="18"/>
              </w:rPr>
              <w:t>P inovacijoms proc.</w:t>
            </w:r>
            <w:r w:rsidR="00D35378" w:rsidRPr="00EC1AB2">
              <w:rPr>
                <w:rFonts w:ascii="Times New Roman" w:hAnsi="Times New Roman" w:cs="Times New Roman"/>
                <w:sz w:val="18"/>
                <w:szCs w:val="18"/>
              </w:rPr>
              <w:t xml:space="preserve"> nuo apyvartos</w:t>
            </w:r>
          </w:p>
        </w:tc>
        <w:tc>
          <w:tcPr>
            <w:tcW w:w="415" w:type="pct"/>
            <w:textDirection w:val="btLr"/>
          </w:tcPr>
          <w:p w:rsidR="00D35378" w:rsidRPr="00EC1AB2" w:rsidRDefault="00D35378"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Inovacijas vietoje diegiančių MVĮ procentinė dalis, palyginti su visomis MVĮ</w:t>
            </w:r>
          </w:p>
        </w:tc>
        <w:tc>
          <w:tcPr>
            <w:tcW w:w="414" w:type="pct"/>
            <w:textDirection w:val="btLr"/>
          </w:tcPr>
          <w:p w:rsidR="00D35378" w:rsidRPr="00EC1AB2" w:rsidRDefault="00D35378"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Novatoriškų bendradarbiaujančių MVĮ procentinė dalis, palyginti su visomis MVĮ</w:t>
            </w:r>
          </w:p>
        </w:tc>
        <w:tc>
          <w:tcPr>
            <w:tcW w:w="414" w:type="pct"/>
            <w:textDirection w:val="btLr"/>
          </w:tcPr>
          <w:p w:rsidR="00D35378" w:rsidRPr="00EC1AB2" w:rsidRDefault="006123CC"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 xml:space="preserve">Viešojo ir privačiojo </w:t>
            </w:r>
            <w:r w:rsidR="00D35378" w:rsidRPr="00EC1AB2">
              <w:rPr>
                <w:rFonts w:ascii="Times New Roman" w:hAnsi="Times New Roman" w:cs="Times New Roman"/>
                <w:sz w:val="18"/>
                <w:szCs w:val="18"/>
              </w:rPr>
              <w:t>sektoriaus bendrų publikacijų 1 mln. gyventojų skaičius</w:t>
            </w:r>
          </w:p>
        </w:tc>
        <w:tc>
          <w:tcPr>
            <w:tcW w:w="414" w:type="pct"/>
            <w:textDirection w:val="btLr"/>
          </w:tcPr>
          <w:p w:rsidR="00D35378" w:rsidRPr="00EC1AB2" w:rsidRDefault="00D35378"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 xml:space="preserve">Paraiškos patentui gauti pagal patentinės kooperacijos sutartį 1 mlrd. BVP </w:t>
            </w:r>
          </w:p>
        </w:tc>
        <w:tc>
          <w:tcPr>
            <w:tcW w:w="525" w:type="pct"/>
            <w:textDirection w:val="btLr"/>
          </w:tcPr>
          <w:p w:rsidR="00D35378" w:rsidRPr="00EC1AB2" w:rsidRDefault="00D35378"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Paraiškos dėl patentų, susijusių su visuomenės problemomis, pagal patentinės</w:t>
            </w:r>
          </w:p>
          <w:p w:rsidR="00D35378" w:rsidRPr="00EC1AB2" w:rsidRDefault="00D35378" w:rsidP="007A02A8">
            <w:pPr>
              <w:autoSpaceDE w:val="0"/>
              <w:autoSpaceDN w:val="0"/>
              <w:adjustRightInd w:val="0"/>
              <w:spacing w:line="360" w:lineRule="auto"/>
              <w:ind w:left="113" w:right="113"/>
              <w:contextualSpacing/>
              <w:rPr>
                <w:rFonts w:ascii="Times New Roman" w:hAnsi="Times New Roman" w:cs="Times New Roman"/>
                <w:sz w:val="18"/>
                <w:szCs w:val="18"/>
              </w:rPr>
            </w:pPr>
            <w:r w:rsidRPr="00EC1AB2">
              <w:rPr>
                <w:rFonts w:ascii="Times New Roman" w:hAnsi="Times New Roman" w:cs="Times New Roman"/>
                <w:sz w:val="18"/>
                <w:szCs w:val="18"/>
              </w:rPr>
              <w:t xml:space="preserve">kooperacijos sutartį 1 mlrd. BVP </w:t>
            </w:r>
          </w:p>
        </w:tc>
        <w:tc>
          <w:tcPr>
            <w:tcW w:w="366" w:type="pct"/>
            <w:textDirection w:val="btLr"/>
          </w:tcPr>
          <w:p w:rsidR="00D35378" w:rsidRPr="00EC1AB2" w:rsidRDefault="00D35378"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Bendrijos prekių ženklų 1 mlrd. BVP</w:t>
            </w:r>
          </w:p>
        </w:tc>
        <w:tc>
          <w:tcPr>
            <w:tcW w:w="445" w:type="pct"/>
            <w:textDirection w:val="btLr"/>
          </w:tcPr>
          <w:p w:rsidR="00D35378" w:rsidRPr="00EC1AB2" w:rsidRDefault="00D35378"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Bendrijos pramoninio dizaino registravimas 1 mlrd. BVP</w:t>
            </w:r>
          </w:p>
        </w:tc>
      </w:tr>
      <w:tr w:rsidR="00F300B1" w:rsidRPr="00EC1AB2" w:rsidTr="00707195">
        <w:trPr>
          <w:trHeight w:val="621"/>
          <w:jc w:val="center"/>
        </w:trPr>
        <w:tc>
          <w:tcPr>
            <w:tcW w:w="1176" w:type="pct"/>
            <w:vAlign w:val="center"/>
          </w:tcPr>
          <w:p w:rsidR="00D35378" w:rsidRPr="00EC1AB2" w:rsidRDefault="00D35378" w:rsidP="007A02A8">
            <w:pPr>
              <w:pStyle w:val="ListParagraph"/>
              <w:autoSpaceDE w:val="0"/>
              <w:autoSpaceDN w:val="0"/>
              <w:adjustRightInd w:val="0"/>
              <w:spacing w:line="360" w:lineRule="auto"/>
              <w:ind w:left="0"/>
              <w:jc w:val="center"/>
              <w:rPr>
                <w:rFonts w:ascii="Times New Roman" w:hAnsi="Times New Roman" w:cs="Times New Roman"/>
                <w:sz w:val="18"/>
                <w:szCs w:val="18"/>
              </w:rPr>
            </w:pPr>
            <w:r w:rsidRPr="00EC1AB2">
              <w:rPr>
                <w:rFonts w:ascii="Times New Roman" w:hAnsi="Times New Roman" w:cs="Times New Roman"/>
                <w:b/>
                <w:sz w:val="18"/>
                <w:szCs w:val="18"/>
              </w:rPr>
              <w:t xml:space="preserve">r </w:t>
            </w:r>
            <w:r w:rsidRPr="00EC1AB2">
              <w:rPr>
                <w:rFonts w:ascii="Times New Roman" w:hAnsi="Times New Roman" w:cs="Times New Roman"/>
                <w:sz w:val="18"/>
                <w:szCs w:val="18"/>
              </w:rPr>
              <w:t>(koreliacijos koeficientas)</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0,385</w:t>
            </w:r>
          </w:p>
        </w:tc>
        <w:tc>
          <w:tcPr>
            <w:tcW w:w="415" w:type="pct"/>
            <w:vAlign w:val="center"/>
          </w:tcPr>
          <w:p w:rsidR="00D35378" w:rsidRPr="00EC1AB2" w:rsidRDefault="00A87B75"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0,151</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0,378</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0,506</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0,414</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0,332</w:t>
            </w:r>
          </w:p>
        </w:tc>
        <w:tc>
          <w:tcPr>
            <w:tcW w:w="52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0,270</w:t>
            </w:r>
          </w:p>
        </w:tc>
        <w:tc>
          <w:tcPr>
            <w:tcW w:w="366"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0,709</w:t>
            </w:r>
          </w:p>
        </w:tc>
        <w:tc>
          <w:tcPr>
            <w:tcW w:w="44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0,242</w:t>
            </w:r>
          </w:p>
        </w:tc>
      </w:tr>
      <w:tr w:rsidR="00F300B1" w:rsidRPr="00EC1AB2" w:rsidTr="00707195">
        <w:trPr>
          <w:trHeight w:val="621"/>
          <w:jc w:val="center"/>
        </w:trPr>
        <w:tc>
          <w:tcPr>
            <w:tcW w:w="1176" w:type="pct"/>
            <w:vAlign w:val="center"/>
          </w:tcPr>
          <w:p w:rsidR="00D35378" w:rsidRPr="00EC1AB2" w:rsidRDefault="00D35378" w:rsidP="007A02A8">
            <w:pPr>
              <w:pStyle w:val="ListParagraph"/>
              <w:autoSpaceDE w:val="0"/>
              <w:autoSpaceDN w:val="0"/>
              <w:adjustRightInd w:val="0"/>
              <w:spacing w:line="360" w:lineRule="auto"/>
              <w:ind w:left="0"/>
              <w:jc w:val="center"/>
              <w:rPr>
                <w:rFonts w:ascii="Times New Roman" w:hAnsi="Times New Roman" w:cs="Times New Roman"/>
                <w:sz w:val="18"/>
                <w:szCs w:val="18"/>
              </w:rPr>
            </w:pPr>
            <w:r w:rsidRPr="00EC1AB2">
              <w:rPr>
                <w:rFonts w:ascii="Times New Roman" w:hAnsi="Times New Roman" w:cs="Times New Roman"/>
                <w:b/>
                <w:sz w:val="18"/>
                <w:szCs w:val="18"/>
              </w:rPr>
              <w:t xml:space="preserve">t </w:t>
            </w:r>
            <w:r w:rsidRPr="00EC1AB2">
              <w:rPr>
                <w:rFonts w:ascii="Times New Roman" w:hAnsi="Times New Roman" w:cs="Times New Roman"/>
                <w:sz w:val="18"/>
                <w:szCs w:val="18"/>
              </w:rPr>
              <w:t>(statistika)</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52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366"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44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r>
      <w:tr w:rsidR="00F300B1" w:rsidRPr="00EC1AB2" w:rsidTr="00707195">
        <w:trPr>
          <w:trHeight w:val="621"/>
          <w:jc w:val="center"/>
        </w:trPr>
        <w:tc>
          <w:tcPr>
            <w:tcW w:w="1176" w:type="pct"/>
            <w:vAlign w:val="center"/>
          </w:tcPr>
          <w:p w:rsidR="00D35378" w:rsidRPr="00EC1AB2" w:rsidRDefault="00D35378" w:rsidP="007A02A8">
            <w:pPr>
              <w:pStyle w:val="ListParagraph"/>
              <w:autoSpaceDE w:val="0"/>
              <w:autoSpaceDN w:val="0"/>
              <w:adjustRightInd w:val="0"/>
              <w:spacing w:line="360" w:lineRule="auto"/>
              <w:ind w:left="0"/>
              <w:jc w:val="center"/>
              <w:rPr>
                <w:rFonts w:ascii="Times New Roman" w:hAnsi="Times New Roman" w:cs="Times New Roman"/>
                <w:b/>
                <w:sz w:val="18"/>
                <w:szCs w:val="18"/>
              </w:rPr>
            </w:pPr>
            <w:r w:rsidRPr="00EC1AB2">
              <w:rPr>
                <w:rFonts w:ascii="Times New Roman" w:hAnsi="Times New Roman" w:cs="Times New Roman"/>
                <w:b/>
                <w:sz w:val="18"/>
                <w:szCs w:val="18"/>
              </w:rPr>
              <w:t>t</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2,644</w:t>
            </w:r>
          </w:p>
        </w:tc>
        <w:tc>
          <w:tcPr>
            <w:tcW w:w="415" w:type="pct"/>
            <w:vAlign w:val="center"/>
          </w:tcPr>
          <w:p w:rsidR="00D35378" w:rsidRPr="00EC1AB2" w:rsidRDefault="00A87B75"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0,954</w:t>
            </w:r>
          </w:p>
        </w:tc>
        <w:tc>
          <w:tcPr>
            <w:tcW w:w="41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2,546</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3,663</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2,840</w:t>
            </w:r>
          </w:p>
        </w:tc>
        <w:tc>
          <w:tcPr>
            <w:tcW w:w="414"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2,198</w:t>
            </w:r>
          </w:p>
        </w:tc>
        <w:tc>
          <w:tcPr>
            <w:tcW w:w="52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1,751</w:t>
            </w:r>
          </w:p>
        </w:tc>
        <w:tc>
          <w:tcPr>
            <w:tcW w:w="366"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6,395</w:t>
            </w:r>
          </w:p>
        </w:tc>
        <w:tc>
          <w:tcPr>
            <w:tcW w:w="445" w:type="pct"/>
            <w:vAlign w:val="center"/>
          </w:tcPr>
          <w:p w:rsidR="00D35378" w:rsidRPr="00EC1AB2" w:rsidRDefault="00D35378"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1,557</w:t>
            </w:r>
          </w:p>
        </w:tc>
      </w:tr>
    </w:tbl>
    <w:p w:rsidR="00933119" w:rsidRPr="00EC1AB2" w:rsidRDefault="00933119" w:rsidP="007A02A8">
      <w:pPr>
        <w:autoSpaceDE w:val="0"/>
        <w:autoSpaceDN w:val="0"/>
        <w:adjustRightInd w:val="0"/>
        <w:spacing w:after="0" w:line="360" w:lineRule="auto"/>
        <w:jc w:val="both"/>
        <w:rPr>
          <w:rFonts w:ascii="Times New Roman" w:hAnsi="Times New Roman" w:cs="Times New Roman"/>
          <w:sz w:val="24"/>
          <w:szCs w:val="24"/>
        </w:rPr>
      </w:pPr>
    </w:p>
    <w:p w:rsidR="0077224C" w:rsidRPr="00EC1AB2" w:rsidRDefault="0077224C" w:rsidP="007A02A8">
      <w:pPr>
        <w:autoSpaceDE w:val="0"/>
        <w:autoSpaceDN w:val="0"/>
        <w:adjustRightInd w:val="0"/>
        <w:spacing w:after="0" w:line="360" w:lineRule="auto"/>
        <w:ind w:firstLine="567"/>
        <w:jc w:val="both"/>
        <w:rPr>
          <w:rFonts w:ascii="Times New Roman" w:hAnsi="Times New Roman" w:cs="Times New Roman"/>
          <w:b/>
          <w:sz w:val="20"/>
          <w:szCs w:val="20"/>
        </w:rPr>
      </w:pPr>
      <w:r w:rsidRPr="00EC1AB2">
        <w:rPr>
          <w:rFonts w:ascii="Times New Roman" w:hAnsi="Times New Roman" w:cs="Times New Roman"/>
          <w:b/>
          <w:sz w:val="20"/>
          <w:szCs w:val="20"/>
        </w:rPr>
        <w:t xml:space="preserve">Šaltinis: </w:t>
      </w:r>
      <w:r w:rsidRPr="00EC1AB2">
        <w:rPr>
          <w:rFonts w:ascii="Times New Roman" w:hAnsi="Times New Roman" w:cs="Times New Roman"/>
          <w:sz w:val="20"/>
          <w:szCs w:val="20"/>
        </w:rPr>
        <w:t>sudaryta autorės</w:t>
      </w:r>
    </w:p>
    <w:p w:rsidR="00933119" w:rsidRPr="00EC1AB2" w:rsidRDefault="00933119" w:rsidP="007A02A8">
      <w:pPr>
        <w:autoSpaceDE w:val="0"/>
        <w:autoSpaceDN w:val="0"/>
        <w:adjustRightInd w:val="0"/>
        <w:spacing w:after="0" w:line="360" w:lineRule="auto"/>
        <w:contextualSpacing/>
        <w:rPr>
          <w:rFonts w:ascii="Times New Roman" w:hAnsi="Times New Roman" w:cs="Times New Roman"/>
          <w:sz w:val="24"/>
          <w:szCs w:val="24"/>
        </w:rPr>
      </w:pPr>
    </w:p>
    <w:p w:rsidR="003D1D0C" w:rsidRPr="00EC1AB2" w:rsidRDefault="00A87B75"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Kaip matyti iš </w:t>
      </w:r>
      <w:r w:rsidR="006F6993" w:rsidRPr="00EC1AB2">
        <w:rPr>
          <w:rFonts w:ascii="Times New Roman" w:hAnsi="Times New Roman" w:cs="Times New Roman"/>
          <w:sz w:val="24"/>
          <w:szCs w:val="24"/>
        </w:rPr>
        <w:t>5</w:t>
      </w:r>
      <w:r w:rsidRPr="00EC1AB2">
        <w:rPr>
          <w:rFonts w:ascii="Times New Roman" w:hAnsi="Times New Roman" w:cs="Times New Roman"/>
          <w:sz w:val="24"/>
          <w:szCs w:val="24"/>
        </w:rPr>
        <w:t xml:space="preserve"> lent. </w:t>
      </w:r>
      <w:r w:rsidR="00506CE1" w:rsidRPr="00EC1AB2">
        <w:rPr>
          <w:rFonts w:ascii="Times New Roman" w:hAnsi="Times New Roman" w:cs="Times New Roman"/>
          <w:sz w:val="24"/>
          <w:szCs w:val="24"/>
        </w:rPr>
        <w:t xml:space="preserve">tarp </w:t>
      </w:r>
      <w:r w:rsidR="00F37A93" w:rsidRPr="00EC1AB2">
        <w:rPr>
          <w:rFonts w:ascii="Times New Roman" w:hAnsi="Times New Roman" w:cs="Times New Roman"/>
          <w:sz w:val="24"/>
          <w:szCs w:val="24"/>
        </w:rPr>
        <w:t>RKF investicijų proc.</w:t>
      </w:r>
      <w:r w:rsidR="00506CE1" w:rsidRPr="00EC1AB2">
        <w:rPr>
          <w:rFonts w:ascii="Times New Roman" w:hAnsi="Times New Roman" w:cs="Times New Roman"/>
          <w:sz w:val="24"/>
          <w:szCs w:val="24"/>
        </w:rPr>
        <w:t xml:space="preserve"> nuo BVP ir visų nuolatinės veiklos kategorijos rodiklių</w:t>
      </w:r>
      <w:r w:rsidR="004877A6" w:rsidRPr="00EC1AB2">
        <w:rPr>
          <w:rFonts w:ascii="Times New Roman" w:hAnsi="Times New Roman" w:cs="Times New Roman"/>
          <w:sz w:val="24"/>
          <w:szCs w:val="24"/>
        </w:rPr>
        <w:t xml:space="preserve"> egzistuoja teigiamas ryšys, tačiau </w:t>
      </w:r>
      <w:r w:rsidR="0078529A" w:rsidRPr="00EC1AB2">
        <w:rPr>
          <w:rFonts w:ascii="Times New Roman" w:hAnsi="Times New Roman" w:cs="Times New Roman"/>
          <w:sz w:val="24"/>
          <w:szCs w:val="24"/>
        </w:rPr>
        <w:t>rodiklių  i</w:t>
      </w:r>
      <w:r w:rsidR="00230B95" w:rsidRPr="00EC1AB2">
        <w:rPr>
          <w:rFonts w:ascii="Times New Roman" w:hAnsi="Times New Roman" w:cs="Times New Roman"/>
          <w:sz w:val="24"/>
          <w:szCs w:val="24"/>
        </w:rPr>
        <w:t>šlaidų</w:t>
      </w:r>
      <w:r w:rsidR="0078529A" w:rsidRPr="00EC1AB2">
        <w:rPr>
          <w:rFonts w:ascii="Times New Roman" w:hAnsi="Times New Roman" w:cs="Times New Roman"/>
          <w:sz w:val="24"/>
          <w:szCs w:val="24"/>
        </w:rPr>
        <w:t xml:space="preserve"> ne MTEP inovacijoms procentais nuo apyvartos, p</w:t>
      </w:r>
      <w:r w:rsidR="00230B95" w:rsidRPr="00EC1AB2">
        <w:rPr>
          <w:rFonts w:ascii="Times New Roman" w:hAnsi="Times New Roman" w:cs="Times New Roman"/>
          <w:sz w:val="24"/>
          <w:szCs w:val="24"/>
        </w:rPr>
        <w:t>araiškų</w:t>
      </w:r>
      <w:r w:rsidR="0078529A" w:rsidRPr="00EC1AB2">
        <w:rPr>
          <w:rFonts w:ascii="Times New Roman" w:hAnsi="Times New Roman" w:cs="Times New Roman"/>
          <w:sz w:val="24"/>
          <w:szCs w:val="24"/>
        </w:rPr>
        <w:t xml:space="preserve"> patentui gauti pagal patentinės kooperacijos sutartį 1 mlrd. BVP, p</w:t>
      </w:r>
      <w:r w:rsidR="00230B95" w:rsidRPr="00EC1AB2">
        <w:rPr>
          <w:rFonts w:ascii="Times New Roman" w:hAnsi="Times New Roman" w:cs="Times New Roman"/>
          <w:sz w:val="24"/>
          <w:szCs w:val="24"/>
        </w:rPr>
        <w:t>araiškų</w:t>
      </w:r>
      <w:r w:rsidR="0078529A" w:rsidRPr="00EC1AB2">
        <w:rPr>
          <w:rFonts w:ascii="Times New Roman" w:hAnsi="Times New Roman" w:cs="Times New Roman"/>
          <w:sz w:val="24"/>
          <w:szCs w:val="24"/>
        </w:rPr>
        <w:t xml:space="preserve"> dėl patentų, susijusių su visuomenės problemomis, pagal patentinės kooperacijos sutartį 1 mlrd. BVP</w:t>
      </w:r>
      <w:r w:rsidR="00230B95" w:rsidRPr="00EC1AB2">
        <w:rPr>
          <w:rFonts w:ascii="Times New Roman" w:hAnsi="Times New Roman" w:cs="Times New Roman"/>
          <w:sz w:val="24"/>
          <w:szCs w:val="24"/>
        </w:rPr>
        <w:t xml:space="preserve"> ir</w:t>
      </w:r>
      <w:r w:rsidR="0078529A" w:rsidRPr="00EC1AB2">
        <w:rPr>
          <w:rFonts w:ascii="Times New Roman" w:hAnsi="Times New Roman" w:cs="Times New Roman"/>
          <w:sz w:val="24"/>
          <w:szCs w:val="24"/>
        </w:rPr>
        <w:t xml:space="preserve"> </w:t>
      </w:r>
      <w:r w:rsidR="0078529A" w:rsidRPr="00EC1AB2">
        <w:rPr>
          <w:rFonts w:ascii="Times New Roman" w:hAnsi="Times New Roman" w:cs="Times New Roman"/>
          <w:sz w:val="24"/>
          <w:szCs w:val="24"/>
        </w:rPr>
        <w:lastRenderedPageBreak/>
        <w:t xml:space="preserve">bendrijos </w:t>
      </w:r>
      <w:r w:rsidR="00230B95" w:rsidRPr="00EC1AB2">
        <w:rPr>
          <w:rFonts w:ascii="Times New Roman" w:hAnsi="Times New Roman" w:cs="Times New Roman"/>
          <w:sz w:val="24"/>
          <w:szCs w:val="24"/>
        </w:rPr>
        <w:t>pramoninio dizaino registravimo</w:t>
      </w:r>
      <w:r w:rsidR="0078529A" w:rsidRPr="00EC1AB2">
        <w:rPr>
          <w:rFonts w:ascii="Times New Roman" w:hAnsi="Times New Roman" w:cs="Times New Roman"/>
          <w:sz w:val="24"/>
          <w:szCs w:val="24"/>
        </w:rPr>
        <w:t xml:space="preserve"> 1 mlrd. BVP </w:t>
      </w:r>
      <w:r w:rsidR="006219EB" w:rsidRPr="00EC1AB2">
        <w:rPr>
          <w:rFonts w:ascii="Times New Roman" w:hAnsi="Times New Roman" w:cs="Times New Roman"/>
          <w:sz w:val="24"/>
          <w:szCs w:val="24"/>
        </w:rPr>
        <w:t>a</w:t>
      </w:r>
      <w:r w:rsidR="0078529A" w:rsidRPr="00EC1AB2">
        <w:rPr>
          <w:rFonts w:ascii="Times New Roman" w:hAnsi="Times New Roman" w:cs="Times New Roman"/>
          <w:sz w:val="24"/>
          <w:szCs w:val="24"/>
        </w:rPr>
        <w:t>pskaičiuoti Stjudento kriterijai</w:t>
      </w:r>
      <w:r w:rsidR="006219EB" w:rsidRPr="00EC1AB2">
        <w:rPr>
          <w:rFonts w:ascii="Times New Roman" w:hAnsi="Times New Roman" w:cs="Times New Roman"/>
          <w:sz w:val="24"/>
          <w:szCs w:val="24"/>
        </w:rPr>
        <w:t xml:space="preserve"> (t) yra </w:t>
      </w:r>
      <w:r w:rsidR="0078529A" w:rsidRPr="00EC1AB2">
        <w:rPr>
          <w:rFonts w:ascii="Times New Roman" w:hAnsi="Times New Roman" w:cs="Times New Roman"/>
          <w:sz w:val="24"/>
          <w:szCs w:val="24"/>
        </w:rPr>
        <w:t>mažesni</w:t>
      </w:r>
      <w:r w:rsidR="00CC307B" w:rsidRPr="00EC1AB2">
        <w:rPr>
          <w:rFonts w:ascii="Times New Roman" w:hAnsi="Times New Roman" w:cs="Times New Roman"/>
          <w:sz w:val="24"/>
          <w:szCs w:val="24"/>
        </w:rPr>
        <w:t xml:space="preserve"> už Stjudento kriterijaus reikšmę apskaičiuotą pasinaudojus </w:t>
      </w:r>
      <w:r w:rsidR="00CC307B" w:rsidRPr="00EC1AB2">
        <w:rPr>
          <w:rFonts w:ascii="Times New Roman" w:hAnsi="Times New Roman" w:cs="Times New Roman"/>
          <w:i/>
          <w:sz w:val="24"/>
          <w:szCs w:val="24"/>
        </w:rPr>
        <w:t xml:space="preserve">Microsoft Excel </w:t>
      </w:r>
      <w:r w:rsidR="00CC307B" w:rsidRPr="00EC1AB2">
        <w:rPr>
          <w:rFonts w:ascii="Times New Roman" w:hAnsi="Times New Roman" w:cs="Times New Roman"/>
          <w:sz w:val="24"/>
          <w:szCs w:val="24"/>
        </w:rPr>
        <w:t xml:space="preserve">funkcija </w:t>
      </w:r>
      <w:r w:rsidR="00CC307B" w:rsidRPr="00EC1AB2">
        <w:rPr>
          <w:rFonts w:ascii="Times New Roman" w:hAnsi="Times New Roman" w:cs="Times New Roman"/>
          <w:i/>
          <w:sz w:val="24"/>
          <w:szCs w:val="24"/>
        </w:rPr>
        <w:t>TINV</w:t>
      </w:r>
      <w:r w:rsidR="004877A6" w:rsidRPr="00EC1AB2">
        <w:rPr>
          <w:rFonts w:ascii="Times New Roman" w:hAnsi="Times New Roman" w:cs="Times New Roman"/>
          <w:sz w:val="24"/>
          <w:szCs w:val="24"/>
        </w:rPr>
        <w:t xml:space="preserve"> </w:t>
      </w:r>
      <w:r w:rsidR="003D1D0C" w:rsidRPr="00EC1AB2">
        <w:rPr>
          <w:rFonts w:ascii="Times New Roman" w:hAnsi="Times New Roman" w:cs="Times New Roman"/>
          <w:sz w:val="24"/>
          <w:szCs w:val="24"/>
        </w:rPr>
        <w:t xml:space="preserve">, tai reiškia, </w:t>
      </w:r>
      <w:r w:rsidR="00C97C29" w:rsidRPr="00EC1AB2">
        <w:rPr>
          <w:rFonts w:ascii="Times New Roman" w:hAnsi="Times New Roman" w:cs="Times New Roman"/>
          <w:sz w:val="24"/>
          <w:szCs w:val="24"/>
        </w:rPr>
        <w:t xml:space="preserve">kad </w:t>
      </w:r>
      <w:r w:rsidR="00F37A93" w:rsidRPr="00EC1AB2">
        <w:rPr>
          <w:rFonts w:ascii="Times New Roman" w:hAnsi="Times New Roman" w:cs="Times New Roman"/>
          <w:sz w:val="24"/>
          <w:szCs w:val="24"/>
        </w:rPr>
        <w:t>tarp RKF proc.</w:t>
      </w:r>
      <w:r w:rsidR="003D1D0C" w:rsidRPr="00EC1AB2">
        <w:rPr>
          <w:rFonts w:ascii="Times New Roman" w:hAnsi="Times New Roman" w:cs="Times New Roman"/>
          <w:sz w:val="24"/>
          <w:szCs w:val="24"/>
        </w:rPr>
        <w:t xml:space="preserve"> nuo BVP ir šių rodiklių </w:t>
      </w:r>
      <w:r w:rsidR="00C97C29" w:rsidRPr="00EC1AB2">
        <w:rPr>
          <w:rFonts w:ascii="Times New Roman" w:hAnsi="Times New Roman" w:cs="Times New Roman"/>
          <w:sz w:val="24"/>
          <w:szCs w:val="24"/>
        </w:rPr>
        <w:t xml:space="preserve">koreliacijos koeficientai nėra </w:t>
      </w:r>
      <w:r w:rsidR="001164CC" w:rsidRPr="00EC1AB2">
        <w:rPr>
          <w:rFonts w:ascii="Times New Roman" w:hAnsi="Times New Roman" w:cs="Times New Roman"/>
          <w:sz w:val="24"/>
          <w:szCs w:val="24"/>
        </w:rPr>
        <w:t xml:space="preserve">statistiškai </w:t>
      </w:r>
      <w:r w:rsidR="003D1D0C" w:rsidRPr="00EC1AB2">
        <w:rPr>
          <w:rFonts w:ascii="Times New Roman" w:hAnsi="Times New Roman" w:cs="Times New Roman"/>
          <w:sz w:val="24"/>
          <w:szCs w:val="24"/>
        </w:rPr>
        <w:t>reikšmingi.</w:t>
      </w:r>
    </w:p>
    <w:p w:rsidR="00933119" w:rsidRPr="00EC1AB2" w:rsidRDefault="0020052E" w:rsidP="007A02A8">
      <w:pPr>
        <w:autoSpaceDE w:val="0"/>
        <w:autoSpaceDN w:val="0"/>
        <w:adjustRightInd w:val="0"/>
        <w:spacing w:after="0" w:line="360" w:lineRule="auto"/>
        <w:ind w:firstLine="360"/>
        <w:jc w:val="both"/>
        <w:rPr>
          <w:rFonts w:ascii="Times New Roman" w:hAnsi="Times New Roman" w:cs="Times New Roman"/>
          <w:sz w:val="24"/>
          <w:szCs w:val="24"/>
        </w:rPr>
      </w:pPr>
      <w:r w:rsidRPr="00EC1AB2">
        <w:rPr>
          <w:rFonts w:ascii="Times New Roman" w:hAnsi="Times New Roman" w:cs="Times New Roman"/>
          <w:sz w:val="24"/>
          <w:szCs w:val="24"/>
        </w:rPr>
        <w:t>Tarp RKF investicijų proc.</w:t>
      </w:r>
      <w:r w:rsidR="00D913E3" w:rsidRPr="00EC1AB2">
        <w:rPr>
          <w:rFonts w:ascii="Times New Roman" w:hAnsi="Times New Roman" w:cs="Times New Roman"/>
          <w:sz w:val="24"/>
          <w:szCs w:val="24"/>
        </w:rPr>
        <w:t xml:space="preserve"> nuo BVP ir </w:t>
      </w:r>
      <w:r w:rsidR="00903C6A" w:rsidRPr="00EC1AB2">
        <w:rPr>
          <w:rFonts w:ascii="Times New Roman" w:hAnsi="Times New Roman" w:cs="Times New Roman"/>
          <w:sz w:val="24"/>
          <w:szCs w:val="24"/>
        </w:rPr>
        <w:t>išlaidų MTEP procentais nuo BVP, inovacijas vietoje diegiančių MVĮ procentinės dalies, palyginti su visomis MVĮ</w:t>
      </w:r>
      <w:r w:rsidR="001164CC" w:rsidRPr="00EC1AB2">
        <w:rPr>
          <w:rFonts w:ascii="Times New Roman" w:hAnsi="Times New Roman" w:cs="Times New Roman"/>
          <w:sz w:val="24"/>
          <w:szCs w:val="24"/>
        </w:rPr>
        <w:t xml:space="preserve"> egzistuoja s</w:t>
      </w:r>
      <w:r w:rsidR="00F67BDB" w:rsidRPr="00EC1AB2">
        <w:rPr>
          <w:rFonts w:ascii="Times New Roman" w:hAnsi="Times New Roman" w:cs="Times New Roman"/>
          <w:sz w:val="24"/>
          <w:szCs w:val="24"/>
        </w:rPr>
        <w:t>ilpnas teigiamas, tačiau statistiškai reikšmingas ryšys</w:t>
      </w:r>
      <w:r w:rsidRPr="00EC1AB2">
        <w:rPr>
          <w:rFonts w:ascii="Times New Roman" w:hAnsi="Times New Roman" w:cs="Times New Roman"/>
          <w:sz w:val="24"/>
          <w:szCs w:val="24"/>
        </w:rPr>
        <w:t xml:space="preserve">; tarp </w:t>
      </w:r>
      <w:r w:rsidR="00B97C13" w:rsidRPr="00EC1AB2">
        <w:rPr>
          <w:rFonts w:ascii="Times New Roman" w:hAnsi="Times New Roman" w:cs="Times New Roman"/>
          <w:sz w:val="24"/>
          <w:szCs w:val="24"/>
        </w:rPr>
        <w:t>novatoriškų bendradarbiaujančių MVĮ procentinės dalies palyginti su visomis MVĮ</w:t>
      </w:r>
      <w:r w:rsidR="00420918" w:rsidRPr="00EC1AB2">
        <w:rPr>
          <w:rFonts w:ascii="Times New Roman" w:hAnsi="Times New Roman" w:cs="Times New Roman"/>
          <w:sz w:val="24"/>
          <w:szCs w:val="24"/>
        </w:rPr>
        <w:t xml:space="preserve"> ir </w:t>
      </w:r>
      <w:r w:rsidR="00B97C13" w:rsidRPr="00EC1AB2">
        <w:rPr>
          <w:rFonts w:ascii="Times New Roman" w:hAnsi="Times New Roman" w:cs="Times New Roman"/>
          <w:sz w:val="24"/>
          <w:szCs w:val="24"/>
        </w:rPr>
        <w:t>viešojo ir privačiojo sektoriaus bendrų publi</w:t>
      </w:r>
      <w:r w:rsidR="00420918" w:rsidRPr="00EC1AB2">
        <w:rPr>
          <w:rFonts w:ascii="Times New Roman" w:hAnsi="Times New Roman" w:cs="Times New Roman"/>
          <w:sz w:val="24"/>
          <w:szCs w:val="24"/>
        </w:rPr>
        <w:t>kacijų 1 mln. gyventojų skaičiaus</w:t>
      </w:r>
      <w:r w:rsidRPr="00EC1AB2">
        <w:rPr>
          <w:rFonts w:ascii="Times New Roman" w:hAnsi="Times New Roman" w:cs="Times New Roman"/>
          <w:sz w:val="24"/>
          <w:szCs w:val="24"/>
        </w:rPr>
        <w:t xml:space="preserve"> – vidutinio stiprumo teigiamas ryšys; o </w:t>
      </w:r>
      <w:r w:rsidR="00D772A1" w:rsidRPr="00EC1AB2">
        <w:rPr>
          <w:rFonts w:ascii="Times New Roman" w:hAnsi="Times New Roman" w:cs="Times New Roman"/>
          <w:sz w:val="24"/>
          <w:szCs w:val="24"/>
        </w:rPr>
        <w:t>bendrijos prekių ženklų 1 mlrd. BVP</w:t>
      </w:r>
      <w:r w:rsidRPr="00EC1AB2">
        <w:rPr>
          <w:rFonts w:ascii="Times New Roman" w:hAnsi="Times New Roman" w:cs="Times New Roman"/>
          <w:sz w:val="24"/>
          <w:szCs w:val="24"/>
        </w:rPr>
        <w:t xml:space="preserve"> – stiprus teigiamas ryšys.</w:t>
      </w:r>
      <w:r w:rsidR="008C3F24" w:rsidRPr="00EC1AB2">
        <w:rPr>
          <w:rFonts w:ascii="Times New Roman" w:hAnsi="Times New Roman" w:cs="Times New Roman"/>
          <w:sz w:val="24"/>
          <w:szCs w:val="24"/>
        </w:rPr>
        <w:t xml:space="preserve"> </w:t>
      </w:r>
      <w:r w:rsidR="006F6993" w:rsidRPr="00EC1AB2">
        <w:rPr>
          <w:rFonts w:ascii="Times New Roman" w:hAnsi="Times New Roman" w:cs="Times New Roman"/>
          <w:sz w:val="24"/>
          <w:szCs w:val="24"/>
        </w:rPr>
        <w:t>6</w:t>
      </w:r>
      <w:r w:rsidR="00FB13AD" w:rsidRPr="00EC1AB2">
        <w:rPr>
          <w:rFonts w:ascii="Times New Roman" w:hAnsi="Times New Roman" w:cs="Times New Roman"/>
          <w:sz w:val="24"/>
          <w:szCs w:val="24"/>
        </w:rPr>
        <w:t xml:space="preserve"> lent. pateikti koreliacijos koeficientai tarp RKF investicijų santykio proc. nuo BVP ir rezultatų kategorijos rodiklių.</w:t>
      </w:r>
    </w:p>
    <w:p w:rsidR="002C563A" w:rsidRPr="00EC1AB2" w:rsidRDefault="002C563A" w:rsidP="007A02A8">
      <w:pPr>
        <w:autoSpaceDE w:val="0"/>
        <w:autoSpaceDN w:val="0"/>
        <w:adjustRightInd w:val="0"/>
        <w:spacing w:after="0" w:line="360" w:lineRule="auto"/>
        <w:jc w:val="both"/>
        <w:rPr>
          <w:rFonts w:ascii="Times New Roman" w:hAnsi="Times New Roman" w:cs="Times New Roman"/>
          <w:sz w:val="24"/>
          <w:szCs w:val="24"/>
        </w:rPr>
      </w:pPr>
    </w:p>
    <w:p w:rsidR="00E908B7" w:rsidRPr="00EC1AB2" w:rsidRDefault="006F6993" w:rsidP="007A02A8">
      <w:pPr>
        <w:pStyle w:val="Heading4"/>
        <w:spacing w:before="0" w:line="360" w:lineRule="auto"/>
        <w:jc w:val="center"/>
        <w:rPr>
          <w:rFonts w:ascii="Times New Roman" w:hAnsi="Times New Roman" w:cs="Times New Roman"/>
          <w:i w:val="0"/>
          <w:color w:val="auto"/>
          <w:sz w:val="24"/>
          <w:szCs w:val="24"/>
        </w:rPr>
      </w:pPr>
      <w:bookmarkStart w:id="170" w:name="_Toc320761935"/>
      <w:bookmarkStart w:id="171" w:name="_Toc320762170"/>
      <w:bookmarkStart w:id="172" w:name="_Toc320762573"/>
      <w:r w:rsidRPr="00EC1AB2">
        <w:rPr>
          <w:rFonts w:ascii="Times New Roman" w:hAnsi="Times New Roman" w:cs="Times New Roman"/>
          <w:b w:val="0"/>
          <w:i w:val="0"/>
          <w:color w:val="auto"/>
          <w:sz w:val="24"/>
          <w:szCs w:val="24"/>
        </w:rPr>
        <w:t>6</w:t>
      </w:r>
      <w:r w:rsidR="00E908B7" w:rsidRPr="00EC1AB2">
        <w:rPr>
          <w:rFonts w:ascii="Times New Roman" w:hAnsi="Times New Roman" w:cs="Times New Roman"/>
          <w:b w:val="0"/>
          <w:i w:val="0"/>
          <w:color w:val="auto"/>
          <w:sz w:val="24"/>
          <w:szCs w:val="24"/>
        </w:rPr>
        <w:t xml:space="preserve"> lentelė.</w:t>
      </w:r>
      <w:r w:rsidR="009F7CAA" w:rsidRPr="00EC1AB2">
        <w:rPr>
          <w:rFonts w:ascii="Times New Roman" w:hAnsi="Times New Roman" w:cs="Times New Roman"/>
          <w:i w:val="0"/>
          <w:color w:val="auto"/>
          <w:sz w:val="24"/>
          <w:szCs w:val="24"/>
        </w:rPr>
        <w:t xml:space="preserve"> Rizikos kapitalo fondų</w:t>
      </w:r>
      <w:r w:rsidR="00E908B7" w:rsidRPr="00EC1AB2">
        <w:rPr>
          <w:rFonts w:ascii="Times New Roman" w:hAnsi="Times New Roman" w:cs="Times New Roman"/>
          <w:i w:val="0"/>
          <w:color w:val="auto"/>
          <w:sz w:val="24"/>
          <w:szCs w:val="24"/>
        </w:rPr>
        <w:t xml:space="preserve"> investicijų apimties ir suminio inovatyvumo indekso rezultatų kategorijos rodiklių koreliacija</w:t>
      </w:r>
      <w:bookmarkEnd w:id="170"/>
      <w:bookmarkEnd w:id="171"/>
      <w:bookmarkEnd w:id="172"/>
    </w:p>
    <w:p w:rsidR="00E908B7" w:rsidRPr="00EC1AB2" w:rsidRDefault="00E908B7" w:rsidP="007A02A8">
      <w:pPr>
        <w:autoSpaceDE w:val="0"/>
        <w:autoSpaceDN w:val="0"/>
        <w:adjustRightInd w:val="0"/>
        <w:spacing w:after="0" w:line="360" w:lineRule="auto"/>
        <w:ind w:firstLine="360"/>
        <w:contextualSpacing/>
        <w:jc w:val="center"/>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1424"/>
        <w:gridCol w:w="1245"/>
        <w:gridCol w:w="1409"/>
        <w:gridCol w:w="1277"/>
        <w:gridCol w:w="1133"/>
        <w:gridCol w:w="1275"/>
        <w:gridCol w:w="1129"/>
        <w:gridCol w:w="1245"/>
      </w:tblGrid>
      <w:tr w:rsidR="00707195" w:rsidRPr="00EC1AB2" w:rsidTr="0024192E">
        <w:trPr>
          <w:cantSplit/>
          <w:trHeight w:val="3458"/>
          <w:jc w:val="center"/>
        </w:trPr>
        <w:tc>
          <w:tcPr>
            <w:tcW w:w="702" w:type="pct"/>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b/>
                <w:sz w:val="24"/>
                <w:szCs w:val="24"/>
              </w:rPr>
            </w:pPr>
          </w:p>
        </w:tc>
        <w:tc>
          <w:tcPr>
            <w:tcW w:w="614" w:type="pct"/>
            <w:textDirection w:val="btLr"/>
          </w:tcPr>
          <w:p w:rsidR="00E908B7" w:rsidRPr="00EC1AB2" w:rsidRDefault="00E908B7"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Daugiau nei 10 darbuotojų turinčių MVĮ, kuriančių novatoriškus produktus ar</w:t>
            </w:r>
          </w:p>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procesus, procentinė dalis, palyginti su visomis MVĮ</w:t>
            </w:r>
          </w:p>
        </w:tc>
        <w:tc>
          <w:tcPr>
            <w:tcW w:w="695" w:type="pct"/>
            <w:textDirection w:val="btLr"/>
          </w:tcPr>
          <w:p w:rsidR="00E908B7" w:rsidRPr="00EC1AB2" w:rsidRDefault="00E908B7"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Daugiau nei 10 darbuotojų turinčių MVĮ, diegiančių rinkodaros ar</w:t>
            </w:r>
          </w:p>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organizacines inovacijas, procentinė dalis, palyginti su visomis MVĮ</w:t>
            </w:r>
          </w:p>
        </w:tc>
        <w:tc>
          <w:tcPr>
            <w:tcW w:w="630" w:type="pct"/>
            <w:textDirection w:val="btLr"/>
          </w:tcPr>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Užimtumo daug žinių reik</w:t>
            </w:r>
            <w:r w:rsidR="003A0CA0" w:rsidRPr="00EC1AB2">
              <w:rPr>
                <w:rFonts w:ascii="Times New Roman" w:hAnsi="Times New Roman" w:cs="Times New Roman"/>
                <w:sz w:val="18"/>
                <w:szCs w:val="18"/>
              </w:rPr>
              <w:t xml:space="preserve">alaujančiuose sektoriuose </w:t>
            </w:r>
            <w:r w:rsidRPr="00EC1AB2">
              <w:rPr>
                <w:rFonts w:ascii="Times New Roman" w:hAnsi="Times New Roman" w:cs="Times New Roman"/>
                <w:sz w:val="18"/>
                <w:szCs w:val="18"/>
              </w:rPr>
              <w:t>(gamyba ir paslaugos) procentinė dalis, palyginti su visu užimtumu</w:t>
            </w:r>
          </w:p>
        </w:tc>
        <w:tc>
          <w:tcPr>
            <w:tcW w:w="559" w:type="pct"/>
            <w:textDirection w:val="btLr"/>
          </w:tcPr>
          <w:p w:rsidR="00E908B7" w:rsidRPr="00EC1AB2" w:rsidRDefault="00E908B7"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Vidutinių ir pažangiųjų technologijų gamybos eksporto procentinė dalis,</w:t>
            </w:r>
          </w:p>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palyginti su visu produktų eksportu</w:t>
            </w:r>
          </w:p>
        </w:tc>
        <w:tc>
          <w:tcPr>
            <w:tcW w:w="629" w:type="pct"/>
            <w:textDirection w:val="btLr"/>
          </w:tcPr>
          <w:p w:rsidR="00E908B7" w:rsidRPr="00EC1AB2" w:rsidRDefault="00E908B7"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Daug žini</w:t>
            </w:r>
            <w:r w:rsidR="003A0CA0" w:rsidRPr="00EC1AB2">
              <w:rPr>
                <w:rFonts w:ascii="Times New Roman" w:hAnsi="Times New Roman" w:cs="Times New Roman"/>
                <w:sz w:val="18"/>
                <w:szCs w:val="18"/>
              </w:rPr>
              <w:t xml:space="preserve">ų reikalaujančių paslaugų </w:t>
            </w:r>
            <w:r w:rsidRPr="00EC1AB2">
              <w:rPr>
                <w:rFonts w:ascii="Times New Roman" w:hAnsi="Times New Roman" w:cs="Times New Roman"/>
                <w:sz w:val="18"/>
                <w:szCs w:val="18"/>
              </w:rPr>
              <w:t>eksporto procentinė dalis, palyginti</w:t>
            </w:r>
          </w:p>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b/>
                <w:sz w:val="18"/>
                <w:szCs w:val="18"/>
              </w:rPr>
            </w:pPr>
            <w:r w:rsidRPr="00EC1AB2">
              <w:rPr>
                <w:rFonts w:ascii="Times New Roman" w:hAnsi="Times New Roman" w:cs="Times New Roman"/>
                <w:sz w:val="18"/>
                <w:szCs w:val="18"/>
              </w:rPr>
              <w:t>su visu paslaugų eksportu</w:t>
            </w:r>
          </w:p>
        </w:tc>
        <w:tc>
          <w:tcPr>
            <w:tcW w:w="557" w:type="pct"/>
            <w:textDirection w:val="btLr"/>
          </w:tcPr>
          <w:p w:rsidR="00E908B7" w:rsidRPr="00EC1AB2" w:rsidRDefault="00E908B7" w:rsidP="007A02A8">
            <w:pPr>
              <w:autoSpaceDE w:val="0"/>
              <w:autoSpaceDN w:val="0"/>
              <w:adjustRightInd w:val="0"/>
              <w:spacing w:line="360" w:lineRule="auto"/>
              <w:ind w:left="113" w:right="113"/>
              <w:contextualSpacing/>
              <w:rPr>
                <w:rFonts w:ascii="Times New Roman" w:hAnsi="Times New Roman" w:cs="Times New Roman"/>
                <w:sz w:val="18"/>
                <w:szCs w:val="18"/>
              </w:rPr>
            </w:pPr>
            <w:r w:rsidRPr="00EC1AB2">
              <w:rPr>
                <w:rFonts w:ascii="Times New Roman" w:hAnsi="Times New Roman" w:cs="Times New Roman"/>
                <w:sz w:val="18"/>
                <w:szCs w:val="18"/>
              </w:rPr>
              <w:t>Naujų inovacijų pardavimas rinkai ir įmonėms procentais nuo apyvartos</w:t>
            </w:r>
          </w:p>
        </w:tc>
        <w:tc>
          <w:tcPr>
            <w:tcW w:w="614" w:type="pct"/>
            <w:textDirection w:val="btLr"/>
          </w:tcPr>
          <w:p w:rsidR="00E908B7" w:rsidRPr="00EC1AB2" w:rsidRDefault="00E908B7" w:rsidP="007A02A8">
            <w:pPr>
              <w:autoSpaceDE w:val="0"/>
              <w:autoSpaceDN w:val="0"/>
              <w:adjustRightInd w:val="0"/>
              <w:spacing w:line="360" w:lineRule="auto"/>
              <w:ind w:left="113" w:right="113"/>
              <w:rPr>
                <w:rFonts w:ascii="Times New Roman" w:hAnsi="Times New Roman" w:cs="Times New Roman"/>
                <w:sz w:val="18"/>
                <w:szCs w:val="18"/>
              </w:rPr>
            </w:pPr>
            <w:r w:rsidRPr="00EC1AB2">
              <w:rPr>
                <w:rFonts w:ascii="Times New Roman" w:hAnsi="Times New Roman" w:cs="Times New Roman"/>
                <w:sz w:val="18"/>
                <w:szCs w:val="18"/>
              </w:rPr>
              <w:t>Su licencijomis ir patentais susijusios pajamos iš užsienio procentais nuo BVP</w:t>
            </w:r>
          </w:p>
        </w:tc>
      </w:tr>
      <w:tr w:rsidR="00707195" w:rsidRPr="00EC1AB2" w:rsidTr="0024192E">
        <w:trPr>
          <w:trHeight w:val="621"/>
          <w:jc w:val="center"/>
        </w:trPr>
        <w:tc>
          <w:tcPr>
            <w:tcW w:w="702" w:type="pct"/>
          </w:tcPr>
          <w:p w:rsidR="00E908B7" w:rsidRPr="00EC1AB2" w:rsidRDefault="00E908B7" w:rsidP="007A02A8">
            <w:pPr>
              <w:pStyle w:val="ListParagraph"/>
              <w:autoSpaceDE w:val="0"/>
              <w:autoSpaceDN w:val="0"/>
              <w:adjustRightInd w:val="0"/>
              <w:spacing w:line="360" w:lineRule="auto"/>
              <w:ind w:left="0"/>
              <w:rPr>
                <w:rFonts w:ascii="Times New Roman" w:hAnsi="Times New Roman" w:cs="Times New Roman"/>
                <w:sz w:val="18"/>
                <w:szCs w:val="18"/>
              </w:rPr>
            </w:pPr>
            <w:r w:rsidRPr="00EC1AB2">
              <w:rPr>
                <w:rFonts w:ascii="Times New Roman" w:hAnsi="Times New Roman" w:cs="Times New Roman"/>
                <w:b/>
                <w:sz w:val="18"/>
                <w:szCs w:val="18"/>
              </w:rPr>
              <w:t xml:space="preserve">r </w:t>
            </w:r>
            <w:r w:rsidRPr="00EC1AB2">
              <w:rPr>
                <w:rFonts w:ascii="Times New Roman" w:hAnsi="Times New Roman" w:cs="Times New Roman"/>
                <w:sz w:val="18"/>
                <w:szCs w:val="18"/>
              </w:rPr>
              <w:t>(koreliacijos koeficientas)</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0,276</w:t>
            </w:r>
          </w:p>
        </w:tc>
        <w:tc>
          <w:tcPr>
            <w:tcW w:w="695"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0,159</w:t>
            </w:r>
          </w:p>
        </w:tc>
        <w:tc>
          <w:tcPr>
            <w:tcW w:w="630"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0,658</w:t>
            </w:r>
          </w:p>
        </w:tc>
        <w:tc>
          <w:tcPr>
            <w:tcW w:w="55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-0,150</w:t>
            </w:r>
          </w:p>
        </w:tc>
        <w:tc>
          <w:tcPr>
            <w:tcW w:w="62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0,5106</w:t>
            </w:r>
          </w:p>
        </w:tc>
        <w:tc>
          <w:tcPr>
            <w:tcW w:w="557"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0,546</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0,445</w:t>
            </w:r>
          </w:p>
        </w:tc>
      </w:tr>
      <w:tr w:rsidR="00707195" w:rsidRPr="00EC1AB2" w:rsidTr="0024192E">
        <w:trPr>
          <w:trHeight w:val="621"/>
          <w:jc w:val="center"/>
        </w:trPr>
        <w:tc>
          <w:tcPr>
            <w:tcW w:w="702" w:type="pct"/>
          </w:tcPr>
          <w:p w:rsidR="00E908B7" w:rsidRPr="00EC1AB2" w:rsidRDefault="00E908B7" w:rsidP="007A02A8">
            <w:pPr>
              <w:pStyle w:val="ListParagraph"/>
              <w:autoSpaceDE w:val="0"/>
              <w:autoSpaceDN w:val="0"/>
              <w:adjustRightInd w:val="0"/>
              <w:spacing w:line="360" w:lineRule="auto"/>
              <w:ind w:left="0"/>
              <w:rPr>
                <w:rFonts w:ascii="Times New Roman" w:hAnsi="Times New Roman" w:cs="Times New Roman"/>
                <w:sz w:val="18"/>
                <w:szCs w:val="18"/>
              </w:rPr>
            </w:pPr>
            <w:r w:rsidRPr="00EC1AB2">
              <w:rPr>
                <w:rFonts w:ascii="Times New Roman" w:hAnsi="Times New Roman" w:cs="Times New Roman"/>
                <w:b/>
                <w:sz w:val="18"/>
                <w:szCs w:val="18"/>
              </w:rPr>
              <w:t xml:space="preserve">t </w:t>
            </w:r>
            <w:r w:rsidRPr="00EC1AB2">
              <w:rPr>
                <w:rFonts w:ascii="Times New Roman" w:hAnsi="Times New Roman" w:cs="Times New Roman"/>
                <w:sz w:val="18"/>
                <w:szCs w:val="18"/>
              </w:rPr>
              <w:t>(statistika)</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695"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630"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55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62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557"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2,331</w:t>
            </w:r>
          </w:p>
        </w:tc>
      </w:tr>
      <w:tr w:rsidR="00707195" w:rsidRPr="00EC1AB2" w:rsidTr="0024192E">
        <w:trPr>
          <w:trHeight w:val="621"/>
          <w:jc w:val="center"/>
        </w:trPr>
        <w:tc>
          <w:tcPr>
            <w:tcW w:w="702" w:type="pct"/>
          </w:tcPr>
          <w:p w:rsidR="00E908B7" w:rsidRPr="00EC1AB2" w:rsidRDefault="00E908B7" w:rsidP="007A02A8">
            <w:pPr>
              <w:pStyle w:val="ListParagraph"/>
              <w:autoSpaceDE w:val="0"/>
              <w:autoSpaceDN w:val="0"/>
              <w:adjustRightInd w:val="0"/>
              <w:spacing w:line="360" w:lineRule="auto"/>
              <w:ind w:left="0"/>
              <w:rPr>
                <w:rFonts w:ascii="Times New Roman" w:hAnsi="Times New Roman" w:cs="Times New Roman"/>
                <w:b/>
                <w:sz w:val="18"/>
                <w:szCs w:val="18"/>
              </w:rPr>
            </w:pPr>
            <w:r w:rsidRPr="00EC1AB2">
              <w:rPr>
                <w:rFonts w:ascii="Times New Roman" w:hAnsi="Times New Roman" w:cs="Times New Roman"/>
                <w:b/>
                <w:sz w:val="18"/>
                <w:szCs w:val="18"/>
              </w:rPr>
              <w:t>t</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1,792</w:t>
            </w:r>
          </w:p>
        </w:tc>
        <w:tc>
          <w:tcPr>
            <w:tcW w:w="695"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1,012</w:t>
            </w:r>
          </w:p>
        </w:tc>
        <w:tc>
          <w:tcPr>
            <w:tcW w:w="630"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5,486</w:t>
            </w:r>
          </w:p>
        </w:tc>
        <w:tc>
          <w:tcPr>
            <w:tcW w:w="55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0,948</w:t>
            </w:r>
          </w:p>
        </w:tc>
        <w:tc>
          <w:tcPr>
            <w:tcW w:w="629"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3,709</w:t>
            </w:r>
          </w:p>
        </w:tc>
        <w:tc>
          <w:tcPr>
            <w:tcW w:w="557"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4,073</w:t>
            </w:r>
          </w:p>
        </w:tc>
        <w:tc>
          <w:tcPr>
            <w:tcW w:w="614" w:type="pct"/>
            <w:vAlign w:val="center"/>
          </w:tcPr>
          <w:p w:rsidR="00E908B7" w:rsidRPr="00EC1AB2" w:rsidRDefault="00E908B7" w:rsidP="007A02A8">
            <w:pPr>
              <w:autoSpaceDE w:val="0"/>
              <w:autoSpaceDN w:val="0"/>
              <w:adjustRightInd w:val="0"/>
              <w:spacing w:line="360" w:lineRule="auto"/>
              <w:contextualSpacing/>
              <w:jc w:val="center"/>
              <w:rPr>
                <w:rFonts w:ascii="Times New Roman" w:hAnsi="Times New Roman" w:cs="Times New Roman"/>
                <w:sz w:val="20"/>
                <w:szCs w:val="20"/>
              </w:rPr>
            </w:pPr>
            <w:r w:rsidRPr="00EC1AB2">
              <w:rPr>
                <w:rFonts w:ascii="Times New Roman" w:hAnsi="Times New Roman" w:cs="Times New Roman"/>
                <w:sz w:val="20"/>
                <w:szCs w:val="20"/>
              </w:rPr>
              <w:t>3,104</w:t>
            </w:r>
          </w:p>
        </w:tc>
      </w:tr>
    </w:tbl>
    <w:p w:rsidR="00933119" w:rsidRPr="00EC1AB2" w:rsidRDefault="00933119" w:rsidP="007A02A8">
      <w:pPr>
        <w:autoSpaceDE w:val="0"/>
        <w:autoSpaceDN w:val="0"/>
        <w:adjustRightInd w:val="0"/>
        <w:spacing w:after="0" w:line="360" w:lineRule="auto"/>
        <w:jc w:val="both"/>
        <w:rPr>
          <w:rFonts w:ascii="Times New Roman" w:hAnsi="Times New Roman" w:cs="Times New Roman"/>
          <w:sz w:val="24"/>
          <w:szCs w:val="24"/>
        </w:rPr>
      </w:pPr>
    </w:p>
    <w:p w:rsidR="00933119" w:rsidRPr="00EC1AB2" w:rsidRDefault="00933119"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darbo autorės</w:t>
      </w:r>
    </w:p>
    <w:p w:rsidR="00087883" w:rsidRPr="00EC1AB2" w:rsidRDefault="00087883" w:rsidP="007A02A8">
      <w:pPr>
        <w:autoSpaceDE w:val="0"/>
        <w:autoSpaceDN w:val="0"/>
        <w:adjustRightInd w:val="0"/>
        <w:spacing w:after="0" w:line="360" w:lineRule="auto"/>
        <w:ind w:firstLine="567"/>
        <w:jc w:val="both"/>
        <w:rPr>
          <w:rFonts w:ascii="Times New Roman" w:hAnsi="Times New Roman" w:cs="Times New Roman"/>
          <w:sz w:val="24"/>
          <w:szCs w:val="24"/>
        </w:rPr>
      </w:pPr>
    </w:p>
    <w:p w:rsidR="001A31B3" w:rsidRPr="00EC1AB2" w:rsidRDefault="00390222"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 iš 6</w:t>
      </w:r>
      <w:r w:rsidR="001A31B3" w:rsidRPr="00EC1AB2">
        <w:rPr>
          <w:rFonts w:ascii="Times New Roman" w:hAnsi="Times New Roman" w:cs="Times New Roman"/>
          <w:sz w:val="24"/>
          <w:szCs w:val="24"/>
        </w:rPr>
        <w:t xml:space="preserve"> lent.</w:t>
      </w:r>
      <w:r w:rsidR="00F40E4F" w:rsidRPr="00EC1AB2">
        <w:rPr>
          <w:rFonts w:ascii="Times New Roman" w:hAnsi="Times New Roman" w:cs="Times New Roman"/>
          <w:sz w:val="24"/>
          <w:szCs w:val="24"/>
        </w:rPr>
        <w:t xml:space="preserve"> statistiškai reikšmingo ryšio nėra tarp RKF investicijų proc. nuo BVP ir </w:t>
      </w:r>
      <w:r w:rsidR="004E6438" w:rsidRPr="00EC1AB2">
        <w:rPr>
          <w:rFonts w:ascii="Times New Roman" w:hAnsi="Times New Roman" w:cs="Times New Roman"/>
          <w:sz w:val="24"/>
          <w:szCs w:val="24"/>
        </w:rPr>
        <w:t>d</w:t>
      </w:r>
      <w:r w:rsidR="00534F64" w:rsidRPr="00EC1AB2">
        <w:rPr>
          <w:rFonts w:ascii="Times New Roman" w:hAnsi="Times New Roman" w:cs="Times New Roman"/>
          <w:sz w:val="24"/>
          <w:szCs w:val="24"/>
        </w:rPr>
        <w:t xml:space="preserve">augiau nei 10 darbuotojų turinčių MVĮ, kuriančių novatoriškus produktus ar </w:t>
      </w:r>
      <w:r w:rsidR="004E6438" w:rsidRPr="00EC1AB2">
        <w:rPr>
          <w:rFonts w:ascii="Times New Roman" w:hAnsi="Times New Roman" w:cs="Times New Roman"/>
          <w:sz w:val="24"/>
          <w:szCs w:val="24"/>
        </w:rPr>
        <w:t>procesus, procentinės dalies</w:t>
      </w:r>
      <w:r w:rsidR="00534F64" w:rsidRPr="00EC1AB2">
        <w:rPr>
          <w:rFonts w:ascii="Times New Roman" w:hAnsi="Times New Roman" w:cs="Times New Roman"/>
          <w:sz w:val="24"/>
          <w:szCs w:val="24"/>
        </w:rPr>
        <w:t xml:space="preserve">, palyginti su visomis MVĮ, </w:t>
      </w:r>
      <w:r w:rsidR="004E6438" w:rsidRPr="00EC1AB2">
        <w:rPr>
          <w:rFonts w:ascii="Times New Roman" w:hAnsi="Times New Roman" w:cs="Times New Roman"/>
          <w:sz w:val="24"/>
          <w:szCs w:val="24"/>
        </w:rPr>
        <w:t>d</w:t>
      </w:r>
      <w:r w:rsidR="00534F64" w:rsidRPr="00EC1AB2">
        <w:rPr>
          <w:rFonts w:ascii="Times New Roman" w:hAnsi="Times New Roman" w:cs="Times New Roman"/>
          <w:sz w:val="24"/>
          <w:szCs w:val="24"/>
        </w:rPr>
        <w:t xml:space="preserve">augiau nei 10 darbuotojų turinčių MVĮ, diegiančių rinkodaros ar </w:t>
      </w:r>
      <w:r w:rsidR="00534F64" w:rsidRPr="00EC1AB2">
        <w:rPr>
          <w:rFonts w:ascii="Times New Roman" w:hAnsi="Times New Roman" w:cs="Times New Roman"/>
          <w:sz w:val="24"/>
          <w:szCs w:val="24"/>
        </w:rPr>
        <w:lastRenderedPageBreak/>
        <w:t>organizacines inovacijas, procentinė</w:t>
      </w:r>
      <w:r w:rsidR="004E6438" w:rsidRPr="00EC1AB2">
        <w:rPr>
          <w:rFonts w:ascii="Times New Roman" w:hAnsi="Times New Roman" w:cs="Times New Roman"/>
          <w:sz w:val="24"/>
          <w:szCs w:val="24"/>
        </w:rPr>
        <w:t>s dalies</w:t>
      </w:r>
      <w:r w:rsidR="00534F64" w:rsidRPr="00EC1AB2">
        <w:rPr>
          <w:rFonts w:ascii="Times New Roman" w:hAnsi="Times New Roman" w:cs="Times New Roman"/>
          <w:sz w:val="24"/>
          <w:szCs w:val="24"/>
        </w:rPr>
        <w:t>, palyginti su visomis MVĮ</w:t>
      </w:r>
      <w:r w:rsidR="004E6438" w:rsidRPr="00EC1AB2">
        <w:rPr>
          <w:rFonts w:ascii="Times New Roman" w:hAnsi="Times New Roman" w:cs="Times New Roman"/>
          <w:sz w:val="24"/>
          <w:szCs w:val="24"/>
        </w:rPr>
        <w:t xml:space="preserve"> bei</w:t>
      </w:r>
      <w:r w:rsidR="00534F64" w:rsidRPr="00EC1AB2">
        <w:rPr>
          <w:rFonts w:ascii="Times New Roman" w:hAnsi="Times New Roman" w:cs="Times New Roman"/>
          <w:sz w:val="24"/>
          <w:szCs w:val="24"/>
        </w:rPr>
        <w:t xml:space="preserve"> </w:t>
      </w:r>
      <w:r w:rsidR="004E6438" w:rsidRPr="00EC1AB2">
        <w:rPr>
          <w:rFonts w:ascii="Times New Roman" w:hAnsi="Times New Roman" w:cs="Times New Roman"/>
          <w:sz w:val="24"/>
          <w:szCs w:val="24"/>
        </w:rPr>
        <w:t>v</w:t>
      </w:r>
      <w:r w:rsidR="00534F64" w:rsidRPr="00EC1AB2">
        <w:rPr>
          <w:rFonts w:ascii="Times New Roman" w:hAnsi="Times New Roman" w:cs="Times New Roman"/>
          <w:sz w:val="24"/>
          <w:szCs w:val="24"/>
        </w:rPr>
        <w:t>idutinių ir pažangiųjų technologijų gamybos eksporto procentinė</w:t>
      </w:r>
      <w:r w:rsidR="004E6438" w:rsidRPr="00EC1AB2">
        <w:rPr>
          <w:rFonts w:ascii="Times New Roman" w:hAnsi="Times New Roman" w:cs="Times New Roman"/>
          <w:sz w:val="24"/>
          <w:szCs w:val="24"/>
        </w:rPr>
        <w:t>s dalies</w:t>
      </w:r>
      <w:r w:rsidR="00534F64" w:rsidRPr="00EC1AB2">
        <w:rPr>
          <w:rFonts w:ascii="Times New Roman" w:hAnsi="Times New Roman" w:cs="Times New Roman"/>
          <w:sz w:val="24"/>
          <w:szCs w:val="24"/>
        </w:rPr>
        <w:t>, pal</w:t>
      </w:r>
      <w:r w:rsidR="00EE18BE" w:rsidRPr="00EC1AB2">
        <w:rPr>
          <w:rFonts w:ascii="Times New Roman" w:hAnsi="Times New Roman" w:cs="Times New Roman"/>
          <w:sz w:val="24"/>
          <w:szCs w:val="24"/>
        </w:rPr>
        <w:t xml:space="preserve">yginti su visu produktų eksportu. </w:t>
      </w:r>
    </w:p>
    <w:p w:rsidR="00912A7C" w:rsidRPr="00EC1AB2" w:rsidRDefault="00912A7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RKF investicijoms didėjant didėja ir užimtumas daug  žinių rei</w:t>
      </w:r>
      <w:r w:rsidR="00281678" w:rsidRPr="00EC1AB2">
        <w:rPr>
          <w:rFonts w:ascii="Times New Roman" w:hAnsi="Times New Roman" w:cs="Times New Roman"/>
          <w:sz w:val="24"/>
          <w:szCs w:val="24"/>
        </w:rPr>
        <w:t>kalaujančiuose sektoriuose</w:t>
      </w:r>
      <w:r w:rsidRPr="00EC1AB2">
        <w:rPr>
          <w:rFonts w:ascii="Times New Roman" w:hAnsi="Times New Roman" w:cs="Times New Roman"/>
          <w:sz w:val="24"/>
          <w:szCs w:val="24"/>
        </w:rPr>
        <w:t xml:space="preserve"> (gamyba ir paslaugos), daug žin</w:t>
      </w:r>
      <w:r w:rsidR="00281678" w:rsidRPr="00EC1AB2">
        <w:rPr>
          <w:rFonts w:ascii="Times New Roman" w:hAnsi="Times New Roman" w:cs="Times New Roman"/>
          <w:sz w:val="24"/>
          <w:szCs w:val="24"/>
        </w:rPr>
        <w:t>ių reikalaujančių paslaugų</w:t>
      </w:r>
      <w:r w:rsidRPr="00EC1AB2">
        <w:rPr>
          <w:rFonts w:ascii="Times New Roman" w:hAnsi="Times New Roman" w:cs="Times New Roman"/>
          <w:sz w:val="24"/>
          <w:szCs w:val="24"/>
        </w:rPr>
        <w:t xml:space="preserve"> eksporto, naujų inovacijų pardavimas rinkai bei RKF investicijos teigiamai įtakoja su licencijomis ir patentais susi</w:t>
      </w:r>
      <w:r w:rsidR="00281678" w:rsidRPr="00EC1AB2">
        <w:rPr>
          <w:rFonts w:ascii="Times New Roman" w:hAnsi="Times New Roman" w:cs="Times New Roman"/>
          <w:sz w:val="24"/>
          <w:szCs w:val="24"/>
        </w:rPr>
        <w:t>jusių pajamų iš užsienio augimą, nes tarp minėtų rodiklių egzistuota</w:t>
      </w:r>
      <w:r w:rsidR="00390222" w:rsidRPr="00EC1AB2">
        <w:rPr>
          <w:rFonts w:ascii="Times New Roman" w:hAnsi="Times New Roman" w:cs="Times New Roman"/>
          <w:sz w:val="24"/>
          <w:szCs w:val="24"/>
        </w:rPr>
        <w:t xml:space="preserve"> vidutinio stiprumo statistiškai</w:t>
      </w:r>
      <w:r w:rsidR="00281678" w:rsidRPr="00EC1AB2">
        <w:rPr>
          <w:rFonts w:ascii="Times New Roman" w:hAnsi="Times New Roman" w:cs="Times New Roman"/>
          <w:sz w:val="24"/>
          <w:szCs w:val="24"/>
        </w:rPr>
        <w:t xml:space="preserve"> reikšmingas teigiamas ryšys. </w:t>
      </w:r>
    </w:p>
    <w:p w:rsidR="008E05F5" w:rsidRPr="00EC1AB2" w:rsidRDefault="00252C0C"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Taigi, RKF investicijos teigiamai įtakoja tiek nuolatinės veiklos, tiek rezultatų kategorijos rodiklius, </w:t>
      </w:r>
      <w:r w:rsidR="00900B8E" w:rsidRPr="00EC1AB2">
        <w:rPr>
          <w:rFonts w:ascii="Times New Roman" w:hAnsi="Times New Roman" w:cs="Times New Roman"/>
          <w:sz w:val="24"/>
          <w:szCs w:val="24"/>
        </w:rPr>
        <w:t xml:space="preserve">o ypač teigiamai įtakoja ekonominio poveikio grupės rodiklius, pagal kuriuos Lietuva yra paskutinėje vietoje lyginant su kitomis ES šalimis, todėl </w:t>
      </w:r>
      <w:r w:rsidR="004D201B" w:rsidRPr="00EC1AB2">
        <w:rPr>
          <w:rFonts w:ascii="Times New Roman" w:hAnsi="Times New Roman" w:cs="Times New Roman"/>
          <w:sz w:val="24"/>
          <w:szCs w:val="24"/>
        </w:rPr>
        <w:t>g</w:t>
      </w:r>
      <w:r w:rsidR="001C0E0C" w:rsidRPr="00EC1AB2">
        <w:rPr>
          <w:rFonts w:ascii="Times New Roman" w:hAnsi="Times New Roman" w:cs="Times New Roman"/>
          <w:sz w:val="24"/>
          <w:szCs w:val="24"/>
        </w:rPr>
        <w:t xml:space="preserve">aliama teigti, kad </w:t>
      </w:r>
      <w:r w:rsidR="00C13AD5" w:rsidRPr="00EC1AB2">
        <w:rPr>
          <w:rFonts w:ascii="Times New Roman" w:hAnsi="Times New Roman" w:cs="Times New Roman"/>
          <w:sz w:val="24"/>
          <w:szCs w:val="24"/>
        </w:rPr>
        <w:t>didelis Lietuvos atsilikimas diegiant i</w:t>
      </w:r>
      <w:r w:rsidR="0066567D" w:rsidRPr="00EC1AB2">
        <w:rPr>
          <w:rFonts w:ascii="Times New Roman" w:hAnsi="Times New Roman" w:cs="Times New Roman"/>
          <w:sz w:val="24"/>
          <w:szCs w:val="24"/>
        </w:rPr>
        <w:t xml:space="preserve">novacijas šalyje iš dalies yra susijęs su RKF nepaplitimu šalyje. </w:t>
      </w:r>
      <w:r w:rsidR="00E41EE9" w:rsidRPr="00EC1AB2">
        <w:rPr>
          <w:rFonts w:ascii="Times New Roman" w:hAnsi="Times New Roman" w:cs="Times New Roman"/>
          <w:sz w:val="24"/>
          <w:szCs w:val="24"/>
        </w:rPr>
        <w:t>Iškelta H</w:t>
      </w:r>
      <w:r w:rsidR="00E41EE9" w:rsidRPr="00EC1AB2">
        <w:rPr>
          <w:rFonts w:ascii="Times New Roman" w:hAnsi="Times New Roman" w:cs="Times New Roman"/>
          <w:sz w:val="24"/>
          <w:szCs w:val="24"/>
          <w:vertAlign w:val="subscript"/>
        </w:rPr>
        <w:t>0</w:t>
      </w:r>
      <w:r w:rsidR="00E41EE9" w:rsidRPr="00EC1AB2">
        <w:rPr>
          <w:rFonts w:ascii="Times New Roman" w:hAnsi="Times New Roman" w:cs="Times New Roman"/>
          <w:sz w:val="24"/>
          <w:szCs w:val="24"/>
        </w:rPr>
        <w:t xml:space="preserve"> - </w:t>
      </w:r>
      <w:r w:rsidR="00E57776" w:rsidRPr="00EC1AB2">
        <w:rPr>
          <w:rFonts w:ascii="Times New Roman" w:hAnsi="Times New Roman" w:cs="Times New Roman"/>
          <w:sz w:val="24"/>
          <w:szCs w:val="24"/>
        </w:rPr>
        <w:t>RKF investicijos neįtakoja šalies pasiekimų inovacijų srityje atmetama, todėl galima pereiti prie antrojo tyrimo etapo.</w:t>
      </w:r>
    </w:p>
    <w:p w:rsidR="00716A4B" w:rsidRPr="00EC1AB2" w:rsidRDefault="00716A4B" w:rsidP="007A02A8">
      <w:pPr>
        <w:autoSpaceDE w:val="0"/>
        <w:autoSpaceDN w:val="0"/>
        <w:adjustRightInd w:val="0"/>
        <w:spacing w:after="0" w:line="360" w:lineRule="auto"/>
        <w:contextualSpacing/>
        <w:jc w:val="both"/>
        <w:rPr>
          <w:rFonts w:ascii="Times New Roman" w:hAnsi="Times New Roman" w:cs="Times New Roman"/>
          <w:sz w:val="24"/>
          <w:szCs w:val="24"/>
        </w:rPr>
      </w:pPr>
    </w:p>
    <w:p w:rsidR="008E05F5" w:rsidRPr="00EC1AB2" w:rsidRDefault="004D17F7" w:rsidP="00812D85">
      <w:pPr>
        <w:pStyle w:val="Heading2"/>
        <w:numPr>
          <w:ilvl w:val="1"/>
          <w:numId w:val="32"/>
        </w:numPr>
        <w:spacing w:before="0" w:after="0" w:line="360" w:lineRule="auto"/>
        <w:jc w:val="both"/>
        <w:rPr>
          <w:i w:val="0"/>
          <w:sz w:val="24"/>
          <w:szCs w:val="24"/>
        </w:rPr>
      </w:pPr>
      <w:bookmarkStart w:id="173" w:name="_Toc320567002"/>
      <w:bookmarkStart w:id="174" w:name="_Toc320567042"/>
      <w:bookmarkStart w:id="175" w:name="_Toc320567189"/>
      <w:bookmarkStart w:id="176" w:name="_Toc320761772"/>
      <w:bookmarkStart w:id="177" w:name="_Toc320761936"/>
      <w:bookmarkStart w:id="178" w:name="_Toc320762171"/>
      <w:bookmarkStart w:id="179" w:name="_Toc320762574"/>
      <w:bookmarkStart w:id="180" w:name="_Toc321092705"/>
      <w:r w:rsidRPr="00EC1AB2">
        <w:rPr>
          <w:i w:val="0"/>
          <w:sz w:val="24"/>
          <w:szCs w:val="24"/>
        </w:rPr>
        <w:t>Rizikos kapitalo fondų</w:t>
      </w:r>
      <w:r w:rsidR="008E05F5" w:rsidRPr="00EC1AB2">
        <w:rPr>
          <w:i w:val="0"/>
          <w:sz w:val="24"/>
          <w:szCs w:val="24"/>
        </w:rPr>
        <w:t xml:space="preserve"> plėtros pr</w:t>
      </w:r>
      <w:r w:rsidR="004D7DAB" w:rsidRPr="00EC1AB2">
        <w:rPr>
          <w:i w:val="0"/>
          <w:sz w:val="24"/>
          <w:szCs w:val="24"/>
        </w:rPr>
        <w:t>oblem</w:t>
      </w:r>
      <w:r w:rsidR="009E73C1" w:rsidRPr="00EC1AB2">
        <w:rPr>
          <w:i w:val="0"/>
          <w:sz w:val="24"/>
          <w:szCs w:val="24"/>
        </w:rPr>
        <w:t>ų tyrimas</w:t>
      </w:r>
      <w:bookmarkEnd w:id="173"/>
      <w:bookmarkEnd w:id="174"/>
      <w:bookmarkEnd w:id="175"/>
      <w:bookmarkEnd w:id="176"/>
      <w:bookmarkEnd w:id="177"/>
      <w:bookmarkEnd w:id="178"/>
      <w:bookmarkEnd w:id="179"/>
      <w:bookmarkEnd w:id="180"/>
    </w:p>
    <w:p w:rsidR="00716A4B" w:rsidRPr="00EC1AB2" w:rsidRDefault="00716A4B" w:rsidP="007A02A8">
      <w:pPr>
        <w:autoSpaceDE w:val="0"/>
        <w:autoSpaceDN w:val="0"/>
        <w:adjustRightInd w:val="0"/>
        <w:spacing w:after="0" w:line="360" w:lineRule="auto"/>
        <w:contextualSpacing/>
        <w:rPr>
          <w:rFonts w:ascii="Times New Roman" w:hAnsi="Times New Roman" w:cs="Times New Roman"/>
          <w:b/>
          <w:sz w:val="28"/>
          <w:szCs w:val="28"/>
        </w:rPr>
      </w:pPr>
    </w:p>
    <w:p w:rsidR="00C828FD" w:rsidRPr="00EC1AB2" w:rsidRDefault="00DC63C0"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RKF plėtros problemoms identifikuoti pasirinktas plačiai sociologiniuose tyrimuose taikomas metodas – ekspertų vertinimo metodas. Siekiant panaudoti šį metodą pirmiausiai buvo suformuota kvalifikuotų ekspertų grupė  iš 5 asmenų, susijusių su RKF veikla L</w:t>
      </w:r>
      <w:r w:rsidR="00DE5CEE" w:rsidRPr="00EC1AB2">
        <w:rPr>
          <w:rFonts w:ascii="Times New Roman" w:eastAsia="Times New Roman" w:hAnsi="Times New Roman" w:cs="Times New Roman"/>
          <w:sz w:val="24"/>
          <w:szCs w:val="24"/>
          <w:lang w:eastAsia="lt-LT"/>
        </w:rPr>
        <w:t>ietuvoje. E</w:t>
      </w:r>
      <w:r w:rsidRPr="00EC1AB2">
        <w:rPr>
          <w:rFonts w:ascii="Times New Roman" w:eastAsia="Times New Roman" w:hAnsi="Times New Roman" w:cs="Times New Roman"/>
          <w:sz w:val="24"/>
          <w:szCs w:val="24"/>
          <w:lang w:eastAsia="lt-LT"/>
        </w:rPr>
        <w:t>kspertų vertinimo metodui dažniausiai pasirenkami 5-7 žmonės.</w:t>
      </w:r>
    </w:p>
    <w:p w:rsidR="00DC63C0" w:rsidRPr="00EC1AB2" w:rsidRDefault="00972A4B"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 xml:space="preserve"> Tyrime dalyvavusiems asmenims</w:t>
      </w:r>
      <w:r w:rsidR="00DC63C0" w:rsidRPr="00EC1AB2">
        <w:rPr>
          <w:rFonts w:ascii="Times New Roman" w:eastAsia="Times New Roman" w:hAnsi="Times New Roman" w:cs="Times New Roman"/>
          <w:sz w:val="24"/>
          <w:szCs w:val="24"/>
          <w:lang w:eastAsia="lt-LT"/>
        </w:rPr>
        <w:t xml:space="preserve"> </w:t>
      </w:r>
      <w:r w:rsidRPr="00EC1AB2">
        <w:rPr>
          <w:rFonts w:ascii="Times New Roman" w:eastAsia="Times New Roman" w:hAnsi="Times New Roman" w:cs="Times New Roman"/>
          <w:sz w:val="24"/>
          <w:szCs w:val="24"/>
          <w:lang w:eastAsia="lt-LT"/>
        </w:rPr>
        <w:t>buvo pateikta</w:t>
      </w:r>
      <w:r w:rsidR="00DC63C0" w:rsidRPr="00EC1AB2">
        <w:rPr>
          <w:rFonts w:ascii="Times New Roman" w:eastAsia="Times New Roman" w:hAnsi="Times New Roman" w:cs="Times New Roman"/>
          <w:sz w:val="24"/>
          <w:szCs w:val="24"/>
          <w:lang w:eastAsia="lt-LT"/>
        </w:rPr>
        <w:t xml:space="preserve"> </w:t>
      </w:r>
      <w:r w:rsidRPr="00EC1AB2">
        <w:rPr>
          <w:rFonts w:ascii="Times New Roman" w:eastAsia="Times New Roman" w:hAnsi="Times New Roman" w:cs="Times New Roman"/>
          <w:sz w:val="24"/>
          <w:szCs w:val="24"/>
          <w:lang w:eastAsia="lt-LT"/>
        </w:rPr>
        <w:t>Jankauskienės (2009) sudaryta</w:t>
      </w:r>
      <w:r w:rsidR="00DC63C0" w:rsidRPr="00EC1AB2">
        <w:rPr>
          <w:rFonts w:ascii="Times New Roman" w:eastAsia="Times New Roman" w:hAnsi="Times New Roman" w:cs="Times New Roman"/>
          <w:sz w:val="24"/>
          <w:szCs w:val="24"/>
          <w:lang w:eastAsia="lt-LT"/>
        </w:rPr>
        <w:t xml:space="preserve"> rizikos kapitalo sektoriaus plėtros veiksnių schemą (žr. 5 priedą), </w:t>
      </w:r>
      <w:r w:rsidR="00F853F0" w:rsidRPr="00EC1AB2">
        <w:rPr>
          <w:rFonts w:ascii="Times New Roman" w:eastAsia="Times New Roman" w:hAnsi="Times New Roman" w:cs="Times New Roman"/>
          <w:sz w:val="24"/>
          <w:szCs w:val="24"/>
          <w:lang w:eastAsia="lt-LT"/>
        </w:rPr>
        <w:t>kurioje išskirti tiek pasiūlos,</w:t>
      </w:r>
      <w:r w:rsidRPr="00EC1AB2">
        <w:rPr>
          <w:rFonts w:ascii="Times New Roman" w:eastAsia="Times New Roman" w:hAnsi="Times New Roman" w:cs="Times New Roman"/>
          <w:sz w:val="24"/>
          <w:szCs w:val="24"/>
          <w:lang w:eastAsia="lt-LT"/>
        </w:rPr>
        <w:t xml:space="preserve"> tiek paklausos veiksniai, </w:t>
      </w:r>
      <w:r w:rsidR="003B0CBB" w:rsidRPr="00EC1AB2">
        <w:rPr>
          <w:rFonts w:ascii="Times New Roman" w:eastAsia="Times New Roman" w:hAnsi="Times New Roman" w:cs="Times New Roman"/>
          <w:sz w:val="24"/>
          <w:szCs w:val="24"/>
          <w:lang w:eastAsia="lt-LT"/>
        </w:rPr>
        <w:t>suskirstyti į tris grupes, t.y. si</w:t>
      </w:r>
      <w:r w:rsidR="000725C0" w:rsidRPr="00EC1AB2">
        <w:rPr>
          <w:rFonts w:ascii="Times New Roman" w:eastAsia="Times New Roman" w:hAnsi="Times New Roman" w:cs="Times New Roman"/>
          <w:sz w:val="24"/>
          <w:szCs w:val="24"/>
          <w:lang w:eastAsia="lt-LT"/>
        </w:rPr>
        <w:t>s</w:t>
      </w:r>
      <w:r w:rsidRPr="00EC1AB2">
        <w:rPr>
          <w:rFonts w:ascii="Times New Roman" w:eastAsia="Times New Roman" w:hAnsi="Times New Roman" w:cs="Times New Roman"/>
          <w:sz w:val="24"/>
          <w:szCs w:val="24"/>
          <w:lang w:eastAsia="lt-LT"/>
        </w:rPr>
        <w:t>teminius (vienodai įtakoja</w:t>
      </w:r>
      <w:r w:rsidR="003B0CBB" w:rsidRPr="00EC1AB2">
        <w:rPr>
          <w:rFonts w:ascii="Times New Roman" w:eastAsia="Times New Roman" w:hAnsi="Times New Roman" w:cs="Times New Roman"/>
          <w:sz w:val="24"/>
          <w:szCs w:val="24"/>
          <w:lang w:eastAsia="lt-LT"/>
        </w:rPr>
        <w:t xml:space="preserve"> tiek pakl</w:t>
      </w:r>
      <w:r w:rsidR="000725C0" w:rsidRPr="00EC1AB2">
        <w:rPr>
          <w:rFonts w:ascii="Times New Roman" w:eastAsia="Times New Roman" w:hAnsi="Times New Roman" w:cs="Times New Roman"/>
          <w:sz w:val="24"/>
          <w:szCs w:val="24"/>
          <w:lang w:eastAsia="lt-LT"/>
        </w:rPr>
        <w:t>ausą, tiek pasiūlą), bendruosiu</w:t>
      </w:r>
      <w:r w:rsidRPr="00EC1AB2">
        <w:rPr>
          <w:rFonts w:ascii="Times New Roman" w:eastAsia="Times New Roman" w:hAnsi="Times New Roman" w:cs="Times New Roman"/>
          <w:sz w:val="24"/>
          <w:szCs w:val="24"/>
          <w:lang w:eastAsia="lt-LT"/>
        </w:rPr>
        <w:t>s (įtakoja</w:t>
      </w:r>
      <w:r w:rsidR="003B0CBB" w:rsidRPr="00EC1AB2">
        <w:rPr>
          <w:rFonts w:ascii="Times New Roman" w:eastAsia="Times New Roman" w:hAnsi="Times New Roman" w:cs="Times New Roman"/>
          <w:sz w:val="24"/>
          <w:szCs w:val="24"/>
          <w:lang w:eastAsia="lt-LT"/>
        </w:rPr>
        <w:t xml:space="preserve"> tiek pasiūlą, tiek paklausą, tačiau skirt</w:t>
      </w:r>
      <w:r w:rsidR="000725C0" w:rsidRPr="00EC1AB2">
        <w:rPr>
          <w:rFonts w:ascii="Times New Roman" w:eastAsia="Times New Roman" w:hAnsi="Times New Roman" w:cs="Times New Roman"/>
          <w:sz w:val="24"/>
          <w:szCs w:val="24"/>
          <w:lang w:eastAsia="lt-LT"/>
        </w:rPr>
        <w:t>ingais aspektais) ir specifinius</w:t>
      </w:r>
      <w:r w:rsidRPr="00EC1AB2">
        <w:rPr>
          <w:rFonts w:ascii="Times New Roman" w:eastAsia="Times New Roman" w:hAnsi="Times New Roman" w:cs="Times New Roman"/>
          <w:sz w:val="24"/>
          <w:szCs w:val="24"/>
          <w:lang w:eastAsia="lt-LT"/>
        </w:rPr>
        <w:t xml:space="preserve"> (įtakoja</w:t>
      </w:r>
      <w:r w:rsidR="003B0CBB" w:rsidRPr="00EC1AB2">
        <w:rPr>
          <w:rFonts w:ascii="Times New Roman" w:eastAsia="Times New Roman" w:hAnsi="Times New Roman" w:cs="Times New Roman"/>
          <w:sz w:val="24"/>
          <w:szCs w:val="24"/>
          <w:lang w:eastAsia="lt-LT"/>
        </w:rPr>
        <w:t xml:space="preserve"> t</w:t>
      </w:r>
      <w:r w:rsidRPr="00EC1AB2">
        <w:rPr>
          <w:rFonts w:ascii="Times New Roman" w:eastAsia="Times New Roman" w:hAnsi="Times New Roman" w:cs="Times New Roman"/>
          <w:sz w:val="24"/>
          <w:szCs w:val="24"/>
          <w:lang w:eastAsia="lt-LT"/>
        </w:rPr>
        <w:t>ik pasiūlą arba tik paklausą). Ekspertų buvo paprašyta</w:t>
      </w:r>
      <w:r w:rsidR="00241FFA" w:rsidRPr="00EC1AB2">
        <w:rPr>
          <w:rFonts w:ascii="Times New Roman" w:eastAsia="Times New Roman" w:hAnsi="Times New Roman" w:cs="Times New Roman"/>
          <w:sz w:val="24"/>
          <w:szCs w:val="24"/>
          <w:lang w:eastAsia="lt-LT"/>
        </w:rPr>
        <w:t>,</w:t>
      </w:r>
      <w:r w:rsidRPr="00EC1AB2">
        <w:rPr>
          <w:rFonts w:ascii="Times New Roman" w:eastAsia="Times New Roman" w:hAnsi="Times New Roman" w:cs="Times New Roman"/>
          <w:sz w:val="24"/>
          <w:szCs w:val="24"/>
          <w:lang w:eastAsia="lt-LT"/>
        </w:rPr>
        <w:t xml:space="preserve"> </w:t>
      </w:r>
      <w:r w:rsidR="00401069" w:rsidRPr="00EC1AB2">
        <w:rPr>
          <w:rFonts w:ascii="Times New Roman" w:eastAsia="Times New Roman" w:hAnsi="Times New Roman" w:cs="Times New Roman"/>
          <w:sz w:val="24"/>
          <w:szCs w:val="24"/>
          <w:lang w:eastAsia="lt-LT"/>
        </w:rPr>
        <w:t>remiantis pateikta schema</w:t>
      </w:r>
      <w:r w:rsidR="00241FFA" w:rsidRPr="00EC1AB2">
        <w:rPr>
          <w:rFonts w:ascii="Times New Roman" w:eastAsia="Times New Roman" w:hAnsi="Times New Roman" w:cs="Times New Roman"/>
          <w:sz w:val="24"/>
          <w:szCs w:val="24"/>
          <w:lang w:eastAsia="lt-LT"/>
        </w:rPr>
        <w:t>,</w:t>
      </w:r>
      <w:r w:rsidR="00401069" w:rsidRPr="00EC1AB2">
        <w:rPr>
          <w:rFonts w:ascii="Times New Roman" w:eastAsia="Times New Roman" w:hAnsi="Times New Roman" w:cs="Times New Roman"/>
          <w:sz w:val="24"/>
          <w:szCs w:val="24"/>
          <w:lang w:eastAsia="lt-LT"/>
        </w:rPr>
        <w:t xml:space="preserve"> </w:t>
      </w:r>
      <w:r w:rsidR="009A158F" w:rsidRPr="00EC1AB2">
        <w:rPr>
          <w:rFonts w:ascii="Times New Roman" w:eastAsia="Times New Roman" w:hAnsi="Times New Roman" w:cs="Times New Roman"/>
          <w:sz w:val="24"/>
          <w:szCs w:val="24"/>
          <w:lang w:eastAsia="lt-LT"/>
        </w:rPr>
        <w:t>įvardi</w:t>
      </w:r>
      <w:r w:rsidRPr="00EC1AB2">
        <w:rPr>
          <w:rFonts w:ascii="Times New Roman" w:eastAsia="Times New Roman" w:hAnsi="Times New Roman" w:cs="Times New Roman"/>
          <w:sz w:val="24"/>
          <w:szCs w:val="24"/>
          <w:lang w:eastAsia="lt-LT"/>
        </w:rPr>
        <w:t>nti</w:t>
      </w:r>
      <w:r w:rsidR="00413684" w:rsidRPr="00EC1AB2">
        <w:rPr>
          <w:rFonts w:ascii="Times New Roman" w:eastAsia="Times New Roman" w:hAnsi="Times New Roman" w:cs="Times New Roman"/>
          <w:sz w:val="24"/>
          <w:szCs w:val="24"/>
          <w:lang w:eastAsia="lt-LT"/>
        </w:rPr>
        <w:t xml:space="preserve"> </w:t>
      </w:r>
      <w:r w:rsidR="009A158F" w:rsidRPr="00EC1AB2">
        <w:rPr>
          <w:rFonts w:ascii="Times New Roman" w:eastAsia="Times New Roman" w:hAnsi="Times New Roman" w:cs="Times New Roman"/>
          <w:sz w:val="24"/>
          <w:szCs w:val="24"/>
          <w:lang w:eastAsia="lt-LT"/>
        </w:rPr>
        <w:t>keturis</w:t>
      </w:r>
      <w:r w:rsidR="00DC63C0" w:rsidRPr="00EC1AB2">
        <w:rPr>
          <w:rFonts w:ascii="Times New Roman" w:eastAsia="Times New Roman" w:hAnsi="Times New Roman" w:cs="Times New Roman"/>
          <w:sz w:val="24"/>
          <w:szCs w:val="24"/>
          <w:lang w:eastAsia="lt-LT"/>
        </w:rPr>
        <w:t xml:space="preserve"> pagal svarbumą veiksnius, jų nuomone, labiausiai neigiamai įtakojančius RKF plėtrą Lietuvoje. </w:t>
      </w:r>
    </w:p>
    <w:p w:rsidR="00F853F0" w:rsidRPr="00EC1AB2" w:rsidRDefault="00C90F38"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Taigi, e</w:t>
      </w:r>
      <w:r w:rsidR="0032750D" w:rsidRPr="00EC1AB2">
        <w:rPr>
          <w:rFonts w:ascii="Times New Roman" w:eastAsia="Times New Roman" w:hAnsi="Times New Roman" w:cs="Times New Roman"/>
          <w:sz w:val="24"/>
          <w:szCs w:val="24"/>
          <w:lang w:eastAsia="lt-LT"/>
        </w:rPr>
        <w:t>kspertai išskyrė šiuos veiksnius, neigiamai įtakojančius RKF plėtrą Lietuvoje:</w:t>
      </w:r>
    </w:p>
    <w:p w:rsidR="006C480F" w:rsidRPr="00EC1AB2" w:rsidRDefault="00F06375" w:rsidP="007A02A8">
      <w:pPr>
        <w:pStyle w:val="ListParagraph"/>
        <w:numPr>
          <w:ilvl w:val="0"/>
          <w:numId w:val="41"/>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 xml:space="preserve">Mažas </w:t>
      </w:r>
      <w:r w:rsidR="006C480F" w:rsidRPr="00EC1AB2">
        <w:rPr>
          <w:rFonts w:ascii="Times New Roman" w:eastAsia="Times New Roman" w:hAnsi="Times New Roman" w:cs="Times New Roman"/>
          <w:sz w:val="24"/>
          <w:szCs w:val="24"/>
          <w:lang w:eastAsia="lt-LT"/>
        </w:rPr>
        <w:t>VP rinkos efektyvumas (bendrasis pasiūlos veiksnys);</w:t>
      </w:r>
    </w:p>
    <w:p w:rsidR="006C480F" w:rsidRPr="00EC1AB2" w:rsidRDefault="006C480F" w:rsidP="007A02A8">
      <w:pPr>
        <w:pStyle w:val="ListParagraph"/>
        <w:numPr>
          <w:ilvl w:val="0"/>
          <w:numId w:val="41"/>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Mokestinių lengvatų jaunoms technologinėms įmonėms nebuvimas (bendrasis paklausos veiksnys);</w:t>
      </w:r>
    </w:p>
    <w:p w:rsidR="006C480F" w:rsidRPr="00EC1AB2" w:rsidRDefault="006C480F" w:rsidP="007A02A8">
      <w:pPr>
        <w:pStyle w:val="ListParagraph"/>
        <w:numPr>
          <w:ilvl w:val="0"/>
          <w:numId w:val="41"/>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Maža technologinių inovacijų sklaida (bendrasis pasiūlos veiksnys);</w:t>
      </w:r>
    </w:p>
    <w:p w:rsidR="00001704" w:rsidRPr="00EC1AB2" w:rsidRDefault="00001704" w:rsidP="007A02A8">
      <w:pPr>
        <w:pStyle w:val="ListParagraph"/>
        <w:numPr>
          <w:ilvl w:val="0"/>
          <w:numId w:val="41"/>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Mažas pensijų fondų ir draudimo įmonių dalyvavimas formuojant rizikos kapitalo investicijas (specifinis pasiūlos veiksnys).</w:t>
      </w:r>
    </w:p>
    <w:p w:rsidR="00F46268" w:rsidRPr="00EC1AB2" w:rsidRDefault="008E46C6"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Taigi</w:t>
      </w:r>
      <w:r w:rsidR="00EE5CA1" w:rsidRPr="00EC1AB2">
        <w:rPr>
          <w:rFonts w:ascii="Times New Roman" w:eastAsia="Times New Roman" w:hAnsi="Times New Roman" w:cs="Times New Roman"/>
          <w:sz w:val="24"/>
          <w:szCs w:val="24"/>
          <w:lang w:eastAsia="lt-LT"/>
        </w:rPr>
        <w:t>,</w:t>
      </w:r>
      <w:r w:rsidRPr="00EC1AB2">
        <w:rPr>
          <w:rFonts w:ascii="Times New Roman" w:eastAsia="Times New Roman" w:hAnsi="Times New Roman" w:cs="Times New Roman"/>
          <w:sz w:val="24"/>
          <w:szCs w:val="24"/>
          <w:lang w:eastAsia="lt-LT"/>
        </w:rPr>
        <w:t xml:space="preserve"> galima pastebėti,</w:t>
      </w:r>
      <w:r w:rsidR="00EE5CA1" w:rsidRPr="00EC1AB2">
        <w:rPr>
          <w:rFonts w:ascii="Times New Roman" w:eastAsia="Times New Roman" w:hAnsi="Times New Roman" w:cs="Times New Roman"/>
          <w:sz w:val="24"/>
          <w:szCs w:val="24"/>
          <w:lang w:eastAsia="lt-LT"/>
        </w:rPr>
        <w:t xml:space="preserve"> kad RKF plėtros problemos labiau susiję su p</w:t>
      </w:r>
      <w:r w:rsidR="00F46268" w:rsidRPr="00EC1AB2">
        <w:rPr>
          <w:rFonts w:ascii="Times New Roman" w:eastAsia="Times New Roman" w:hAnsi="Times New Roman" w:cs="Times New Roman"/>
          <w:sz w:val="24"/>
          <w:szCs w:val="24"/>
          <w:lang w:eastAsia="lt-LT"/>
        </w:rPr>
        <w:t>asi</w:t>
      </w:r>
      <w:r w:rsidR="00241FFA" w:rsidRPr="00EC1AB2">
        <w:rPr>
          <w:rFonts w:ascii="Times New Roman" w:eastAsia="Times New Roman" w:hAnsi="Times New Roman" w:cs="Times New Roman"/>
          <w:sz w:val="24"/>
          <w:szCs w:val="24"/>
          <w:lang w:eastAsia="lt-LT"/>
        </w:rPr>
        <w:t>ūlos veiksniais, nes iš paklausos</w:t>
      </w:r>
      <w:r w:rsidR="00F46268" w:rsidRPr="00EC1AB2">
        <w:rPr>
          <w:rFonts w:ascii="Times New Roman" w:eastAsia="Times New Roman" w:hAnsi="Times New Roman" w:cs="Times New Roman"/>
          <w:sz w:val="24"/>
          <w:szCs w:val="24"/>
          <w:lang w:eastAsia="lt-LT"/>
        </w:rPr>
        <w:t xml:space="preserve"> veiksnių yra nurodytas tik vienas </w:t>
      </w:r>
      <w:r w:rsidR="0066390F" w:rsidRPr="00EC1AB2">
        <w:rPr>
          <w:rFonts w:ascii="Times New Roman" w:eastAsia="Times New Roman" w:hAnsi="Times New Roman" w:cs="Times New Roman"/>
          <w:sz w:val="24"/>
          <w:szCs w:val="24"/>
          <w:lang w:eastAsia="lt-LT"/>
        </w:rPr>
        <w:t>–</w:t>
      </w:r>
      <w:r w:rsidR="00F46268" w:rsidRPr="00EC1AB2">
        <w:rPr>
          <w:rFonts w:ascii="Times New Roman" w:eastAsia="Times New Roman" w:hAnsi="Times New Roman" w:cs="Times New Roman"/>
          <w:sz w:val="24"/>
          <w:szCs w:val="24"/>
          <w:lang w:eastAsia="lt-LT"/>
        </w:rPr>
        <w:t xml:space="preserve"> </w:t>
      </w:r>
      <w:r w:rsidR="0066390F" w:rsidRPr="00EC1AB2">
        <w:rPr>
          <w:rFonts w:ascii="Times New Roman" w:eastAsia="Times New Roman" w:hAnsi="Times New Roman" w:cs="Times New Roman"/>
          <w:sz w:val="24"/>
          <w:szCs w:val="24"/>
          <w:lang w:eastAsia="lt-LT"/>
        </w:rPr>
        <w:t>mokestinės lengvatos jaunoms technologinėms įmonėms.</w:t>
      </w:r>
    </w:p>
    <w:p w:rsidR="00D93481" w:rsidRPr="00EC1AB2" w:rsidRDefault="00EB3B7A"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lastRenderedPageBreak/>
        <w:t xml:space="preserve">Tyrime dalyvavę asmenys įvardijo tuos pačius veiksnius, tačiau skirtinga prioritetų tvarka (žr. </w:t>
      </w:r>
      <w:r w:rsidR="00AF22EE" w:rsidRPr="00EC1AB2">
        <w:rPr>
          <w:rFonts w:ascii="Times New Roman" w:eastAsia="Times New Roman" w:hAnsi="Times New Roman" w:cs="Times New Roman"/>
          <w:sz w:val="24"/>
          <w:szCs w:val="24"/>
          <w:lang w:eastAsia="lt-LT"/>
        </w:rPr>
        <w:t>6</w:t>
      </w:r>
      <w:r w:rsidRPr="00EC1AB2">
        <w:rPr>
          <w:rFonts w:ascii="Times New Roman" w:eastAsia="Times New Roman" w:hAnsi="Times New Roman" w:cs="Times New Roman"/>
          <w:sz w:val="24"/>
          <w:szCs w:val="24"/>
          <w:lang w:eastAsia="lt-LT"/>
        </w:rPr>
        <w:t xml:space="preserve"> lent.)</w:t>
      </w:r>
    </w:p>
    <w:p w:rsidR="0016099D" w:rsidRPr="00EC1AB2" w:rsidRDefault="0016099D"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p>
    <w:p w:rsidR="00B24E03" w:rsidRPr="00EC1AB2" w:rsidRDefault="0016099D" w:rsidP="007A02A8">
      <w:pPr>
        <w:pStyle w:val="Heading4"/>
        <w:spacing w:before="0" w:line="360" w:lineRule="auto"/>
        <w:jc w:val="center"/>
        <w:rPr>
          <w:rFonts w:ascii="Times New Roman" w:eastAsia="Times New Roman" w:hAnsi="Times New Roman" w:cs="Times New Roman"/>
          <w:i w:val="0"/>
          <w:color w:val="auto"/>
          <w:sz w:val="24"/>
          <w:szCs w:val="24"/>
          <w:lang w:eastAsia="lt-LT"/>
        </w:rPr>
      </w:pPr>
      <w:bookmarkStart w:id="181" w:name="_Toc320761937"/>
      <w:bookmarkStart w:id="182" w:name="_Toc320762172"/>
      <w:bookmarkStart w:id="183" w:name="_Toc320762575"/>
      <w:r w:rsidRPr="00EC1AB2">
        <w:rPr>
          <w:rFonts w:ascii="Times New Roman" w:eastAsia="Times New Roman" w:hAnsi="Times New Roman" w:cs="Times New Roman"/>
          <w:b w:val="0"/>
          <w:i w:val="0"/>
          <w:color w:val="auto"/>
          <w:sz w:val="24"/>
          <w:szCs w:val="24"/>
          <w:lang w:eastAsia="lt-LT"/>
        </w:rPr>
        <w:t>7</w:t>
      </w:r>
      <w:r w:rsidR="0026687A" w:rsidRPr="00EC1AB2">
        <w:rPr>
          <w:rFonts w:ascii="Times New Roman" w:eastAsia="Times New Roman" w:hAnsi="Times New Roman" w:cs="Times New Roman"/>
          <w:b w:val="0"/>
          <w:i w:val="0"/>
          <w:color w:val="auto"/>
          <w:sz w:val="24"/>
          <w:szCs w:val="24"/>
          <w:lang w:eastAsia="lt-LT"/>
        </w:rPr>
        <w:t xml:space="preserve"> lentelė.</w:t>
      </w:r>
      <w:r w:rsidR="0026687A" w:rsidRPr="00EC1AB2">
        <w:rPr>
          <w:rFonts w:ascii="Times New Roman" w:eastAsia="Times New Roman" w:hAnsi="Times New Roman" w:cs="Times New Roman"/>
          <w:i w:val="0"/>
          <w:color w:val="auto"/>
          <w:sz w:val="24"/>
          <w:szCs w:val="24"/>
          <w:lang w:eastAsia="lt-LT"/>
        </w:rPr>
        <w:t xml:space="preserve"> </w:t>
      </w:r>
      <w:r w:rsidR="00504DCF" w:rsidRPr="00EC1AB2">
        <w:rPr>
          <w:rFonts w:ascii="Times New Roman" w:eastAsia="Times New Roman" w:hAnsi="Times New Roman" w:cs="Times New Roman"/>
          <w:i w:val="0"/>
          <w:color w:val="auto"/>
          <w:sz w:val="24"/>
          <w:szCs w:val="24"/>
          <w:lang w:eastAsia="lt-LT"/>
        </w:rPr>
        <w:t>Ekspertų vertinimo rangų lentelė</w:t>
      </w:r>
      <w:bookmarkEnd w:id="181"/>
      <w:bookmarkEnd w:id="182"/>
      <w:bookmarkEnd w:id="183"/>
    </w:p>
    <w:p w:rsidR="0016099D" w:rsidRPr="00EC1AB2" w:rsidRDefault="0016099D" w:rsidP="007A02A8">
      <w:pPr>
        <w:pStyle w:val="Heading4"/>
        <w:spacing w:before="0" w:line="360" w:lineRule="auto"/>
        <w:jc w:val="center"/>
        <w:rPr>
          <w:rFonts w:ascii="Times New Roman" w:eastAsia="Times New Roman" w:hAnsi="Times New Roman" w:cs="Times New Roman"/>
          <w:i w:val="0"/>
          <w:color w:val="auto"/>
          <w:sz w:val="24"/>
          <w:szCs w:val="24"/>
          <w:lang w:eastAsia="lt-LT"/>
        </w:rPr>
      </w:pPr>
    </w:p>
    <w:tbl>
      <w:tblPr>
        <w:tblW w:w="7264" w:type="dxa"/>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000" w:firstRow="0" w:lastRow="0" w:firstColumn="0" w:lastColumn="0" w:noHBand="0" w:noVBand="0"/>
      </w:tblPr>
      <w:tblGrid>
        <w:gridCol w:w="1507"/>
        <w:gridCol w:w="1720"/>
        <w:gridCol w:w="1483"/>
        <w:gridCol w:w="1238"/>
        <w:gridCol w:w="1316"/>
      </w:tblGrid>
      <w:tr w:rsidR="00F25E1F" w:rsidRPr="00EC1AB2" w:rsidTr="0096384F">
        <w:trPr>
          <w:trHeight w:val="476"/>
          <w:jc w:val="center"/>
        </w:trPr>
        <w:tc>
          <w:tcPr>
            <w:tcW w:w="1507" w:type="dxa"/>
            <w:vMerge w:val="restart"/>
            <w:noWrap/>
            <w:vAlign w:val="center"/>
          </w:tcPr>
          <w:p w:rsidR="0096384F" w:rsidRPr="00EC1AB2" w:rsidRDefault="0096384F" w:rsidP="007A02A8">
            <w:pPr>
              <w:spacing w:after="0" w:line="360" w:lineRule="auto"/>
              <w:jc w:val="center"/>
              <w:rPr>
                <w:rFonts w:ascii="Times New Roman" w:eastAsia="MS Mincho" w:hAnsi="Times New Roman" w:cs="Times New Roman"/>
                <w:bCs/>
              </w:rPr>
            </w:pPr>
            <w:r w:rsidRPr="00EC1AB2">
              <w:rPr>
                <w:rFonts w:ascii="Times New Roman" w:eastAsia="MS Mincho" w:hAnsi="Times New Roman" w:cs="Times New Roman"/>
                <w:bCs/>
              </w:rPr>
              <w:t>Ekspertų vertinimas</w:t>
            </w:r>
          </w:p>
        </w:tc>
        <w:tc>
          <w:tcPr>
            <w:tcW w:w="5757" w:type="dxa"/>
            <w:gridSpan w:val="4"/>
            <w:noWrap/>
            <w:vAlign w:val="center"/>
          </w:tcPr>
          <w:p w:rsidR="0096384F" w:rsidRPr="00EC1AB2" w:rsidRDefault="0096384F" w:rsidP="007A02A8">
            <w:pPr>
              <w:autoSpaceDE w:val="0"/>
              <w:autoSpaceDN w:val="0"/>
              <w:adjustRightInd w:val="0"/>
              <w:spacing w:after="0" w:line="360" w:lineRule="auto"/>
              <w:jc w:val="center"/>
              <w:rPr>
                <w:rFonts w:ascii="Times New Roman" w:eastAsia="MS Mincho" w:hAnsi="Times New Roman" w:cs="Times New Roman"/>
                <w:bCs/>
              </w:rPr>
            </w:pPr>
            <w:r w:rsidRPr="00EC1AB2">
              <w:rPr>
                <w:rFonts w:ascii="Times New Roman" w:eastAsia="MS Mincho" w:hAnsi="Times New Roman" w:cs="Times New Roman"/>
                <w:bCs/>
              </w:rPr>
              <w:t>Alternatyvos</w:t>
            </w:r>
          </w:p>
        </w:tc>
      </w:tr>
      <w:tr w:rsidR="00F25E1F" w:rsidRPr="00EC1AB2" w:rsidTr="00D500C3">
        <w:trPr>
          <w:trHeight w:val="475"/>
          <w:jc w:val="center"/>
        </w:trPr>
        <w:tc>
          <w:tcPr>
            <w:tcW w:w="1507" w:type="dxa"/>
            <w:vMerge/>
            <w:noWrap/>
            <w:vAlign w:val="center"/>
          </w:tcPr>
          <w:p w:rsidR="006C480F" w:rsidRPr="00EC1AB2" w:rsidRDefault="006C480F" w:rsidP="007A02A8">
            <w:pPr>
              <w:spacing w:after="0" w:line="360" w:lineRule="auto"/>
              <w:jc w:val="center"/>
              <w:rPr>
                <w:rFonts w:ascii="Times New Roman" w:eastAsia="MS Mincho" w:hAnsi="Times New Roman" w:cs="Times New Roman"/>
                <w:bCs/>
              </w:rPr>
            </w:pPr>
          </w:p>
        </w:tc>
        <w:tc>
          <w:tcPr>
            <w:tcW w:w="1720" w:type="dxa"/>
            <w:noWrap/>
          </w:tcPr>
          <w:p w:rsidR="006C480F" w:rsidRPr="00EC1AB2" w:rsidRDefault="0096384F" w:rsidP="007A02A8">
            <w:pPr>
              <w:spacing w:after="0" w:line="360" w:lineRule="auto"/>
              <w:jc w:val="right"/>
              <w:rPr>
                <w:rFonts w:ascii="Times New Roman" w:eastAsia="MS Mincho" w:hAnsi="Times New Roman" w:cs="Times New Roman"/>
                <w:b/>
                <w:bCs/>
                <w:sz w:val="24"/>
                <w:szCs w:val="24"/>
              </w:rPr>
            </w:pPr>
            <w:r w:rsidRPr="00EC1AB2">
              <w:rPr>
                <w:rFonts w:ascii="Times New Roman" w:eastAsia="MS Mincho" w:hAnsi="Times New Roman" w:cs="Times New Roman"/>
                <w:b/>
                <w:bCs/>
                <w:sz w:val="24"/>
                <w:szCs w:val="24"/>
              </w:rPr>
              <w:t>1</w:t>
            </w:r>
          </w:p>
        </w:tc>
        <w:tc>
          <w:tcPr>
            <w:tcW w:w="1483" w:type="dxa"/>
          </w:tcPr>
          <w:p w:rsidR="006C480F" w:rsidRPr="00EC1AB2" w:rsidRDefault="0096384F" w:rsidP="007A02A8">
            <w:pPr>
              <w:spacing w:after="0" w:line="360" w:lineRule="auto"/>
              <w:jc w:val="right"/>
              <w:rPr>
                <w:rFonts w:ascii="Times New Roman" w:eastAsia="MS Mincho" w:hAnsi="Times New Roman" w:cs="Times New Roman"/>
                <w:b/>
                <w:bCs/>
                <w:sz w:val="24"/>
                <w:szCs w:val="24"/>
              </w:rPr>
            </w:pPr>
            <w:r w:rsidRPr="00EC1AB2">
              <w:rPr>
                <w:rFonts w:ascii="Times New Roman" w:eastAsia="MS Mincho" w:hAnsi="Times New Roman" w:cs="Times New Roman"/>
                <w:b/>
                <w:bCs/>
                <w:sz w:val="24"/>
                <w:szCs w:val="24"/>
              </w:rPr>
              <w:t>2</w:t>
            </w:r>
          </w:p>
        </w:tc>
        <w:tc>
          <w:tcPr>
            <w:tcW w:w="1238" w:type="dxa"/>
          </w:tcPr>
          <w:p w:rsidR="006C480F" w:rsidRPr="00EC1AB2" w:rsidRDefault="0096384F" w:rsidP="007A02A8">
            <w:pPr>
              <w:spacing w:after="0" w:line="360" w:lineRule="auto"/>
              <w:jc w:val="right"/>
              <w:rPr>
                <w:rFonts w:ascii="Times New Roman" w:eastAsia="MS Mincho" w:hAnsi="Times New Roman" w:cs="Times New Roman"/>
                <w:b/>
                <w:bCs/>
                <w:sz w:val="24"/>
                <w:szCs w:val="24"/>
              </w:rPr>
            </w:pPr>
            <w:r w:rsidRPr="00EC1AB2">
              <w:rPr>
                <w:rFonts w:ascii="Times New Roman" w:eastAsia="MS Mincho" w:hAnsi="Times New Roman" w:cs="Times New Roman"/>
                <w:b/>
                <w:bCs/>
                <w:sz w:val="24"/>
                <w:szCs w:val="24"/>
              </w:rPr>
              <w:t>3</w:t>
            </w:r>
          </w:p>
        </w:tc>
        <w:tc>
          <w:tcPr>
            <w:tcW w:w="1316" w:type="dxa"/>
          </w:tcPr>
          <w:p w:rsidR="006C480F" w:rsidRPr="00EC1AB2" w:rsidRDefault="0096384F" w:rsidP="007A02A8">
            <w:pPr>
              <w:autoSpaceDE w:val="0"/>
              <w:autoSpaceDN w:val="0"/>
              <w:adjustRightInd w:val="0"/>
              <w:spacing w:after="0" w:line="360" w:lineRule="auto"/>
              <w:jc w:val="right"/>
              <w:rPr>
                <w:rFonts w:ascii="Times New Roman" w:eastAsia="MS Mincho" w:hAnsi="Times New Roman" w:cs="Times New Roman"/>
                <w:b/>
                <w:bCs/>
                <w:sz w:val="24"/>
                <w:szCs w:val="24"/>
              </w:rPr>
            </w:pPr>
            <w:r w:rsidRPr="00EC1AB2">
              <w:rPr>
                <w:rFonts w:ascii="Times New Roman" w:eastAsia="MS Mincho" w:hAnsi="Times New Roman" w:cs="Times New Roman"/>
                <w:b/>
                <w:bCs/>
                <w:sz w:val="24"/>
                <w:szCs w:val="24"/>
              </w:rPr>
              <w:t>4</w:t>
            </w:r>
          </w:p>
        </w:tc>
      </w:tr>
      <w:tr w:rsidR="00F25E1F" w:rsidRPr="00EC1AB2" w:rsidTr="00001704">
        <w:trPr>
          <w:trHeight w:val="270"/>
          <w:jc w:val="center"/>
        </w:trPr>
        <w:tc>
          <w:tcPr>
            <w:tcW w:w="1507" w:type="dxa"/>
            <w:noWrap/>
          </w:tcPr>
          <w:p w:rsidR="00B24E03" w:rsidRPr="00EC1AB2" w:rsidRDefault="00C16264" w:rsidP="007A02A8">
            <w:pPr>
              <w:spacing w:after="0" w:line="360" w:lineRule="auto"/>
              <w:rPr>
                <w:rFonts w:ascii="Times New Roman" w:eastAsia="MS Mincho" w:hAnsi="Times New Roman" w:cs="Times New Roman"/>
                <w:bCs/>
                <w:vertAlign w:val="subscript"/>
              </w:rPr>
            </w:pPr>
            <w:r w:rsidRPr="00EC1AB2">
              <w:rPr>
                <w:rFonts w:ascii="Times New Roman" w:eastAsia="MS Mincho" w:hAnsi="Times New Roman" w:cs="Times New Roman"/>
                <w:bCs/>
              </w:rPr>
              <w:t>E</w:t>
            </w:r>
            <w:r w:rsidR="00123742" w:rsidRPr="00EC1AB2">
              <w:rPr>
                <w:rFonts w:ascii="Times New Roman" w:eastAsia="MS Mincho" w:hAnsi="Times New Roman" w:cs="Times New Roman"/>
                <w:bCs/>
              </w:rPr>
              <w:t>kspertas</w:t>
            </w:r>
            <w:r w:rsidRPr="00EC1AB2">
              <w:rPr>
                <w:rFonts w:ascii="Times New Roman" w:eastAsia="MS Mincho" w:hAnsi="Times New Roman" w:cs="Times New Roman"/>
                <w:bCs/>
                <w:vertAlign w:val="subscript"/>
              </w:rPr>
              <w:t>1</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3</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2</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4</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1</w:t>
            </w:r>
          </w:p>
        </w:tc>
      </w:tr>
      <w:tr w:rsidR="00F25E1F" w:rsidRPr="00EC1AB2" w:rsidTr="00001704">
        <w:trPr>
          <w:trHeight w:val="270"/>
          <w:jc w:val="center"/>
        </w:trPr>
        <w:tc>
          <w:tcPr>
            <w:tcW w:w="1507" w:type="dxa"/>
            <w:noWrap/>
          </w:tcPr>
          <w:p w:rsidR="00B24E03" w:rsidRPr="00EC1AB2" w:rsidRDefault="00C16264" w:rsidP="007A02A8">
            <w:pPr>
              <w:spacing w:after="0" w:line="360" w:lineRule="auto"/>
              <w:rPr>
                <w:rFonts w:ascii="Times New Roman" w:eastAsia="MS Mincho" w:hAnsi="Times New Roman" w:cs="Times New Roman"/>
                <w:bCs/>
                <w:vertAlign w:val="subscript"/>
              </w:rPr>
            </w:pPr>
            <w:r w:rsidRPr="00EC1AB2">
              <w:rPr>
                <w:rFonts w:ascii="Times New Roman" w:eastAsia="MS Mincho" w:hAnsi="Times New Roman" w:cs="Times New Roman"/>
                <w:bCs/>
              </w:rPr>
              <w:t>E</w:t>
            </w:r>
            <w:r w:rsidR="00123742" w:rsidRPr="00EC1AB2">
              <w:rPr>
                <w:rFonts w:ascii="Times New Roman" w:eastAsia="MS Mincho" w:hAnsi="Times New Roman" w:cs="Times New Roman"/>
                <w:bCs/>
              </w:rPr>
              <w:t>kspertas</w:t>
            </w:r>
            <w:r w:rsidRPr="00EC1AB2">
              <w:rPr>
                <w:rFonts w:ascii="Times New Roman" w:eastAsia="MS Mincho" w:hAnsi="Times New Roman" w:cs="Times New Roman"/>
                <w:bCs/>
                <w:vertAlign w:val="subscript"/>
              </w:rPr>
              <w:t>2</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3</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2</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4</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 xml:space="preserve">    1</w:t>
            </w:r>
          </w:p>
        </w:tc>
      </w:tr>
      <w:tr w:rsidR="00F25E1F" w:rsidRPr="00EC1AB2" w:rsidTr="00001704">
        <w:trPr>
          <w:trHeight w:val="270"/>
          <w:jc w:val="center"/>
        </w:trPr>
        <w:tc>
          <w:tcPr>
            <w:tcW w:w="1507" w:type="dxa"/>
            <w:noWrap/>
          </w:tcPr>
          <w:p w:rsidR="00B24E03" w:rsidRPr="00EC1AB2" w:rsidRDefault="00C16264" w:rsidP="007A02A8">
            <w:pPr>
              <w:spacing w:after="0" w:line="360" w:lineRule="auto"/>
              <w:rPr>
                <w:rFonts w:ascii="Times New Roman" w:eastAsia="MS Mincho" w:hAnsi="Times New Roman" w:cs="Times New Roman"/>
                <w:bCs/>
              </w:rPr>
            </w:pPr>
            <w:r w:rsidRPr="00EC1AB2">
              <w:rPr>
                <w:rFonts w:ascii="Times New Roman" w:eastAsia="MS Mincho" w:hAnsi="Times New Roman" w:cs="Times New Roman"/>
                <w:bCs/>
              </w:rPr>
              <w:t>Ekspertas</w:t>
            </w:r>
            <w:r w:rsidRPr="00EC1AB2">
              <w:rPr>
                <w:rFonts w:ascii="Times New Roman" w:eastAsia="MS Mincho" w:hAnsi="Times New Roman" w:cs="Times New Roman"/>
                <w:bCs/>
                <w:vertAlign w:val="subscript"/>
              </w:rPr>
              <w:t>3</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2</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3</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4</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1</w:t>
            </w:r>
          </w:p>
        </w:tc>
      </w:tr>
      <w:tr w:rsidR="00F25E1F" w:rsidRPr="00EC1AB2" w:rsidTr="00001704">
        <w:trPr>
          <w:trHeight w:val="270"/>
          <w:jc w:val="center"/>
        </w:trPr>
        <w:tc>
          <w:tcPr>
            <w:tcW w:w="1507" w:type="dxa"/>
            <w:noWrap/>
          </w:tcPr>
          <w:p w:rsidR="00B24E03" w:rsidRPr="00EC1AB2" w:rsidRDefault="00C16264" w:rsidP="007A02A8">
            <w:pPr>
              <w:spacing w:after="0" w:line="360" w:lineRule="auto"/>
              <w:rPr>
                <w:rFonts w:ascii="Times New Roman" w:eastAsia="MS Mincho" w:hAnsi="Times New Roman" w:cs="Times New Roman"/>
                <w:bCs/>
              </w:rPr>
            </w:pPr>
            <w:r w:rsidRPr="00EC1AB2">
              <w:rPr>
                <w:rFonts w:ascii="Times New Roman" w:eastAsia="MS Mincho" w:hAnsi="Times New Roman" w:cs="Times New Roman"/>
                <w:bCs/>
              </w:rPr>
              <w:t>Ekspertas</w:t>
            </w:r>
            <w:r w:rsidRPr="00EC1AB2">
              <w:rPr>
                <w:rFonts w:ascii="Times New Roman" w:eastAsia="MS Mincho" w:hAnsi="Times New Roman" w:cs="Times New Roman"/>
                <w:bCs/>
                <w:vertAlign w:val="subscript"/>
              </w:rPr>
              <w:t>4</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2</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3</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4</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1</w:t>
            </w:r>
          </w:p>
        </w:tc>
      </w:tr>
      <w:tr w:rsidR="00F25E1F" w:rsidRPr="00EC1AB2" w:rsidTr="00001704">
        <w:trPr>
          <w:trHeight w:val="270"/>
          <w:jc w:val="center"/>
        </w:trPr>
        <w:tc>
          <w:tcPr>
            <w:tcW w:w="1507" w:type="dxa"/>
            <w:noWrap/>
          </w:tcPr>
          <w:p w:rsidR="00B24E03" w:rsidRPr="00EC1AB2" w:rsidRDefault="00C16264" w:rsidP="007A02A8">
            <w:pPr>
              <w:spacing w:after="0" w:line="360" w:lineRule="auto"/>
              <w:rPr>
                <w:rFonts w:ascii="Times New Roman" w:eastAsia="MS Mincho" w:hAnsi="Times New Roman" w:cs="Times New Roman"/>
                <w:bCs/>
              </w:rPr>
            </w:pPr>
            <w:r w:rsidRPr="00EC1AB2">
              <w:rPr>
                <w:rFonts w:ascii="Times New Roman" w:eastAsia="MS Mincho" w:hAnsi="Times New Roman" w:cs="Times New Roman"/>
                <w:bCs/>
              </w:rPr>
              <w:t>Ekspertas</w:t>
            </w:r>
            <w:r w:rsidRPr="00EC1AB2">
              <w:rPr>
                <w:rFonts w:ascii="Times New Roman" w:eastAsia="MS Mincho" w:hAnsi="Times New Roman" w:cs="Times New Roman"/>
                <w:bCs/>
                <w:vertAlign w:val="subscript"/>
              </w:rPr>
              <w:t>5</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1</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3</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2</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4</w:t>
            </w:r>
          </w:p>
        </w:tc>
      </w:tr>
      <w:tr w:rsidR="00B24E03" w:rsidRPr="00EC1AB2" w:rsidTr="00001704">
        <w:trPr>
          <w:trHeight w:val="270"/>
          <w:jc w:val="center"/>
        </w:trPr>
        <w:tc>
          <w:tcPr>
            <w:tcW w:w="1507" w:type="dxa"/>
            <w:noWrap/>
          </w:tcPr>
          <w:p w:rsidR="00B24E03" w:rsidRPr="00EC1AB2" w:rsidRDefault="00B24E03" w:rsidP="007A02A8">
            <w:pPr>
              <w:spacing w:after="0" w:line="360" w:lineRule="auto"/>
              <w:rPr>
                <w:rFonts w:ascii="Times New Roman" w:eastAsia="MS Mincho" w:hAnsi="Times New Roman" w:cs="Times New Roman"/>
                <w:b/>
                <w:bCs/>
                <w:sz w:val="24"/>
                <w:szCs w:val="24"/>
              </w:rPr>
            </w:pPr>
            <w:r w:rsidRPr="00EC1AB2">
              <w:rPr>
                <w:rFonts w:ascii="Times New Roman" w:eastAsia="MS Mincho" w:hAnsi="Times New Roman" w:cs="Times New Roman"/>
                <w:b/>
                <w:bCs/>
                <w:sz w:val="24"/>
                <w:szCs w:val="24"/>
              </w:rPr>
              <w:t>Rangų suma</w:t>
            </w:r>
          </w:p>
        </w:tc>
        <w:tc>
          <w:tcPr>
            <w:tcW w:w="1720" w:type="dxa"/>
            <w:noWrap/>
          </w:tcPr>
          <w:p w:rsidR="00B24E03" w:rsidRPr="00EC1AB2" w:rsidRDefault="00B24E03" w:rsidP="007A02A8">
            <w:pPr>
              <w:spacing w:after="0" w:line="360" w:lineRule="auto"/>
              <w:jc w:val="right"/>
              <w:rPr>
                <w:rFonts w:ascii="Times New Roman" w:eastAsia="MS Mincho" w:hAnsi="Times New Roman" w:cs="Times New Roman"/>
                <w:b/>
                <w:sz w:val="24"/>
                <w:szCs w:val="24"/>
              </w:rPr>
            </w:pPr>
            <w:r w:rsidRPr="00EC1AB2">
              <w:rPr>
                <w:rFonts w:ascii="Times New Roman" w:eastAsia="MS Mincho" w:hAnsi="Times New Roman" w:cs="Times New Roman"/>
                <w:b/>
                <w:sz w:val="24"/>
                <w:szCs w:val="24"/>
              </w:rPr>
              <w:t>11</w:t>
            </w:r>
          </w:p>
        </w:tc>
        <w:tc>
          <w:tcPr>
            <w:tcW w:w="1483" w:type="dxa"/>
            <w:noWrap/>
          </w:tcPr>
          <w:p w:rsidR="00B24E03" w:rsidRPr="00EC1AB2" w:rsidRDefault="00B24E03" w:rsidP="007A02A8">
            <w:pPr>
              <w:spacing w:after="0" w:line="360" w:lineRule="auto"/>
              <w:jc w:val="right"/>
              <w:rPr>
                <w:rFonts w:ascii="Times New Roman" w:eastAsia="MS Mincho" w:hAnsi="Times New Roman" w:cs="Times New Roman"/>
                <w:b/>
                <w:sz w:val="24"/>
                <w:szCs w:val="24"/>
              </w:rPr>
            </w:pPr>
            <w:r w:rsidRPr="00EC1AB2">
              <w:rPr>
                <w:rFonts w:ascii="Times New Roman" w:eastAsia="MS Mincho" w:hAnsi="Times New Roman" w:cs="Times New Roman"/>
                <w:b/>
                <w:sz w:val="24"/>
                <w:szCs w:val="24"/>
              </w:rPr>
              <w:t>13</w:t>
            </w:r>
          </w:p>
        </w:tc>
        <w:tc>
          <w:tcPr>
            <w:tcW w:w="1238" w:type="dxa"/>
            <w:noWrap/>
          </w:tcPr>
          <w:p w:rsidR="00B24E03" w:rsidRPr="00EC1AB2" w:rsidRDefault="00B24E03" w:rsidP="007A02A8">
            <w:pPr>
              <w:spacing w:after="0" w:line="360" w:lineRule="auto"/>
              <w:jc w:val="right"/>
              <w:rPr>
                <w:rFonts w:ascii="Times New Roman" w:eastAsia="MS Mincho" w:hAnsi="Times New Roman" w:cs="Times New Roman"/>
                <w:b/>
                <w:sz w:val="24"/>
                <w:szCs w:val="24"/>
              </w:rPr>
            </w:pPr>
            <w:r w:rsidRPr="00EC1AB2">
              <w:rPr>
                <w:rFonts w:ascii="Times New Roman" w:eastAsia="MS Mincho" w:hAnsi="Times New Roman" w:cs="Times New Roman"/>
                <w:b/>
                <w:sz w:val="24"/>
                <w:szCs w:val="24"/>
              </w:rPr>
              <w:t>18</w:t>
            </w:r>
          </w:p>
        </w:tc>
        <w:tc>
          <w:tcPr>
            <w:tcW w:w="1316" w:type="dxa"/>
            <w:noWrap/>
          </w:tcPr>
          <w:p w:rsidR="00B24E03" w:rsidRPr="00EC1AB2" w:rsidRDefault="00B24E03" w:rsidP="007A02A8">
            <w:pPr>
              <w:spacing w:after="0" w:line="360" w:lineRule="auto"/>
              <w:jc w:val="right"/>
              <w:rPr>
                <w:rFonts w:ascii="Times New Roman" w:eastAsia="MS Mincho" w:hAnsi="Times New Roman" w:cs="Times New Roman"/>
                <w:b/>
                <w:sz w:val="24"/>
                <w:szCs w:val="24"/>
              </w:rPr>
            </w:pPr>
            <w:r w:rsidRPr="00EC1AB2">
              <w:rPr>
                <w:rFonts w:ascii="Times New Roman" w:eastAsia="MS Mincho" w:hAnsi="Times New Roman" w:cs="Times New Roman"/>
                <w:b/>
                <w:sz w:val="24"/>
                <w:szCs w:val="24"/>
              </w:rPr>
              <w:t>8</w:t>
            </w:r>
          </w:p>
        </w:tc>
      </w:tr>
    </w:tbl>
    <w:p w:rsidR="00B24E03" w:rsidRPr="00EC1AB2" w:rsidRDefault="00B24E03" w:rsidP="007A02A8">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p>
    <w:p w:rsidR="00BA7653" w:rsidRPr="00EC1AB2" w:rsidRDefault="0082517D" w:rsidP="007A02A8">
      <w:pPr>
        <w:autoSpaceDE w:val="0"/>
        <w:autoSpaceDN w:val="0"/>
        <w:adjustRightInd w:val="0"/>
        <w:spacing w:after="0" w:line="360" w:lineRule="auto"/>
        <w:ind w:firstLine="567"/>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b/>
          <w:sz w:val="20"/>
          <w:szCs w:val="20"/>
          <w:lang w:eastAsia="lt-LT"/>
        </w:rPr>
        <w:t>Šaltinis:</w:t>
      </w:r>
      <w:r w:rsidRPr="00EC1AB2">
        <w:rPr>
          <w:rFonts w:ascii="Times New Roman" w:eastAsia="Times New Roman" w:hAnsi="Times New Roman" w:cs="Times New Roman"/>
          <w:sz w:val="20"/>
          <w:szCs w:val="20"/>
          <w:lang w:eastAsia="lt-LT"/>
        </w:rPr>
        <w:t xml:space="preserve"> sudaryta darbo autorės</w:t>
      </w:r>
    </w:p>
    <w:p w:rsidR="00BA7653" w:rsidRPr="00EC1AB2" w:rsidRDefault="00BA7653" w:rsidP="007A02A8">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p>
    <w:p w:rsidR="00A54BC9" w:rsidRPr="00EC1AB2" w:rsidRDefault="00272CD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bCs/>
          <w:iCs/>
          <w:sz w:val="24"/>
          <w:szCs w:val="24"/>
        </w:rPr>
        <w:t xml:space="preserve">Siekiant </w:t>
      </w:r>
      <w:r w:rsidR="00C6448E" w:rsidRPr="00EC1AB2">
        <w:rPr>
          <w:rFonts w:ascii="Times New Roman" w:hAnsi="Times New Roman" w:cs="Times New Roman"/>
          <w:sz w:val="24"/>
          <w:szCs w:val="24"/>
        </w:rPr>
        <w:t xml:space="preserve">patikrinti ar ekspertų vertinimai dera tarpusavyje </w:t>
      </w:r>
      <w:r w:rsidR="005439B8" w:rsidRPr="00EC1AB2">
        <w:rPr>
          <w:rFonts w:ascii="Times New Roman" w:hAnsi="Times New Roman" w:cs="Times New Roman"/>
          <w:sz w:val="24"/>
          <w:szCs w:val="24"/>
        </w:rPr>
        <w:t xml:space="preserve">yra skaičiuojamas Kendall‘o </w:t>
      </w:r>
      <w:r w:rsidR="00A54BC9" w:rsidRPr="00EC1AB2">
        <w:rPr>
          <w:rFonts w:ascii="Times New Roman" w:hAnsi="Times New Roman" w:cs="Times New Roman"/>
          <w:sz w:val="24"/>
          <w:szCs w:val="24"/>
        </w:rPr>
        <w:t>konkorda</w:t>
      </w:r>
      <w:r w:rsidR="005439B8" w:rsidRPr="00EC1AB2">
        <w:rPr>
          <w:rFonts w:ascii="Times New Roman" w:hAnsi="Times New Roman" w:cs="Times New Roman"/>
          <w:sz w:val="24"/>
          <w:szCs w:val="24"/>
        </w:rPr>
        <w:t xml:space="preserve">cijos </w:t>
      </w:r>
      <w:r w:rsidR="00A54BC9" w:rsidRPr="00EC1AB2">
        <w:rPr>
          <w:rFonts w:ascii="Times New Roman" w:hAnsi="Times New Roman" w:cs="Times New Roman"/>
          <w:sz w:val="24"/>
          <w:szCs w:val="24"/>
        </w:rPr>
        <w:t xml:space="preserve">W </w:t>
      </w:r>
      <w:r w:rsidR="005439B8" w:rsidRPr="00EC1AB2">
        <w:rPr>
          <w:rFonts w:ascii="Times New Roman" w:hAnsi="Times New Roman" w:cs="Times New Roman"/>
          <w:sz w:val="24"/>
          <w:szCs w:val="24"/>
        </w:rPr>
        <w:t>koeficientas</w:t>
      </w:r>
      <w:r w:rsidR="00B404DF" w:rsidRPr="00EC1AB2">
        <w:rPr>
          <w:rFonts w:ascii="Times New Roman" w:hAnsi="Times New Roman" w:cs="Times New Roman"/>
          <w:sz w:val="24"/>
          <w:szCs w:val="24"/>
        </w:rPr>
        <w:t xml:space="preserve">. </w:t>
      </w:r>
      <w:r w:rsidR="003363EA" w:rsidRPr="00EC1AB2">
        <w:rPr>
          <w:rFonts w:ascii="Times New Roman" w:hAnsi="Times New Roman" w:cs="Times New Roman"/>
          <w:sz w:val="24"/>
          <w:szCs w:val="24"/>
        </w:rPr>
        <w:t>Konkordacijos koeficientas W kinta nuo 0 iki 1 (0&lt;W</w:t>
      </w:r>
      <w:r w:rsidR="00A54BC9" w:rsidRPr="00EC1AB2">
        <w:rPr>
          <w:rFonts w:ascii="Times New Roman" w:hAnsi="Times New Roman" w:cs="Times New Roman"/>
          <w:sz w:val="24"/>
          <w:szCs w:val="24"/>
        </w:rPr>
        <w:t>&lt;1). Koeficiento W reikšmė lygi</w:t>
      </w:r>
      <w:r w:rsidR="003363EA" w:rsidRPr="00EC1AB2">
        <w:rPr>
          <w:rFonts w:ascii="Times New Roman" w:hAnsi="Times New Roman" w:cs="Times New Roman"/>
          <w:sz w:val="24"/>
          <w:szCs w:val="24"/>
        </w:rPr>
        <w:t xml:space="preserve"> 0</w:t>
      </w:r>
      <w:r w:rsidR="00A54BC9" w:rsidRPr="00EC1AB2">
        <w:rPr>
          <w:rFonts w:ascii="Times New Roman" w:hAnsi="Times New Roman" w:cs="Times New Roman"/>
          <w:sz w:val="24"/>
          <w:szCs w:val="24"/>
        </w:rPr>
        <w:t>,</w:t>
      </w:r>
      <w:r w:rsidR="003363EA" w:rsidRPr="00EC1AB2">
        <w:rPr>
          <w:rFonts w:ascii="Times New Roman" w:hAnsi="Times New Roman" w:cs="Times New Roman"/>
          <w:sz w:val="24"/>
          <w:szCs w:val="24"/>
        </w:rPr>
        <w:t xml:space="preserve"> </w:t>
      </w:r>
      <w:r w:rsidR="00A54BC9" w:rsidRPr="00EC1AB2">
        <w:rPr>
          <w:rFonts w:ascii="Times New Roman" w:hAnsi="Times New Roman" w:cs="Times New Roman"/>
          <w:sz w:val="24"/>
          <w:szCs w:val="24"/>
        </w:rPr>
        <w:t xml:space="preserve">reiškia visišką nesuderinamumą, o reikšmė lygi </w:t>
      </w:r>
      <w:r w:rsidR="003363EA" w:rsidRPr="00EC1AB2">
        <w:rPr>
          <w:rFonts w:ascii="Times New Roman" w:hAnsi="Times New Roman" w:cs="Times New Roman"/>
          <w:sz w:val="24"/>
          <w:szCs w:val="24"/>
        </w:rPr>
        <w:t>1</w:t>
      </w:r>
      <w:r w:rsidR="00682454" w:rsidRPr="00EC1AB2">
        <w:rPr>
          <w:rFonts w:ascii="Times New Roman" w:hAnsi="Times New Roman" w:cs="Times New Roman"/>
          <w:sz w:val="24"/>
          <w:szCs w:val="24"/>
        </w:rPr>
        <w:t xml:space="preserve"> – </w:t>
      </w:r>
      <w:r w:rsidR="003363EA" w:rsidRPr="00EC1AB2">
        <w:rPr>
          <w:rFonts w:ascii="Times New Roman" w:hAnsi="Times New Roman" w:cs="Times New Roman"/>
          <w:sz w:val="24"/>
          <w:szCs w:val="24"/>
        </w:rPr>
        <w:t xml:space="preserve">pilną suderinamumą. </w:t>
      </w:r>
      <w:r w:rsidR="00A54BC9" w:rsidRPr="00EC1AB2">
        <w:rPr>
          <w:rFonts w:ascii="Times New Roman" w:hAnsi="Times New Roman" w:cs="Times New Roman"/>
          <w:sz w:val="24"/>
          <w:szCs w:val="24"/>
        </w:rPr>
        <w:t>Iškeliamos hipotezės:</w:t>
      </w:r>
    </w:p>
    <w:p w:rsidR="00A54BC9" w:rsidRPr="00EC1AB2" w:rsidRDefault="003363E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iCs/>
          <w:sz w:val="24"/>
          <w:szCs w:val="24"/>
        </w:rPr>
        <w:t>H</w:t>
      </w:r>
      <w:r w:rsidRPr="00EC1AB2">
        <w:rPr>
          <w:rFonts w:ascii="Times New Roman" w:hAnsi="Times New Roman" w:cs="Times New Roman"/>
          <w:iCs/>
          <w:sz w:val="24"/>
          <w:szCs w:val="24"/>
          <w:vertAlign w:val="subscript"/>
        </w:rPr>
        <w:t>0</w:t>
      </w:r>
      <w:r w:rsidR="00A54BC9" w:rsidRPr="00EC1AB2">
        <w:rPr>
          <w:rFonts w:ascii="Times New Roman" w:hAnsi="Times New Roman" w:cs="Times New Roman"/>
          <w:sz w:val="24"/>
          <w:szCs w:val="24"/>
        </w:rPr>
        <w:t xml:space="preserve"> – </w:t>
      </w:r>
      <w:r w:rsidRPr="00EC1AB2">
        <w:rPr>
          <w:rFonts w:ascii="Times New Roman" w:hAnsi="Times New Roman" w:cs="Times New Roman"/>
          <w:sz w:val="24"/>
          <w:szCs w:val="24"/>
        </w:rPr>
        <w:t>ekspert</w:t>
      </w:r>
      <w:r w:rsidR="00A54BC9" w:rsidRPr="00EC1AB2">
        <w:rPr>
          <w:rFonts w:ascii="Times New Roman" w:hAnsi="Times New Roman" w:cs="Times New Roman"/>
          <w:sz w:val="24"/>
          <w:szCs w:val="24"/>
        </w:rPr>
        <w:t>ų vertinimai prieštaringi (</w:t>
      </w:r>
      <w:r w:rsidRPr="00EC1AB2">
        <w:rPr>
          <w:rFonts w:ascii="Times New Roman" w:hAnsi="Times New Roman" w:cs="Times New Roman"/>
          <w:sz w:val="24"/>
          <w:szCs w:val="24"/>
        </w:rPr>
        <w:t xml:space="preserve">konkordancijos koeficientas </w:t>
      </w:r>
      <w:r w:rsidR="00A54BC9" w:rsidRPr="00EC1AB2">
        <w:rPr>
          <w:rFonts w:ascii="Times New Roman" w:hAnsi="Times New Roman" w:cs="Times New Roman"/>
          <w:sz w:val="24"/>
          <w:szCs w:val="24"/>
        </w:rPr>
        <w:t>lygus 0</w:t>
      </w:r>
      <w:r w:rsidRPr="00EC1AB2">
        <w:rPr>
          <w:rFonts w:ascii="Times New Roman" w:hAnsi="Times New Roman" w:cs="Times New Roman"/>
          <w:sz w:val="24"/>
          <w:szCs w:val="24"/>
        </w:rPr>
        <w:t>);</w:t>
      </w:r>
    </w:p>
    <w:p w:rsidR="00757D36" w:rsidRPr="00EC1AB2" w:rsidRDefault="003363EA"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iCs/>
          <w:sz w:val="24"/>
          <w:szCs w:val="24"/>
        </w:rPr>
        <w:t>H</w:t>
      </w:r>
      <w:r w:rsidR="00A54BC9" w:rsidRPr="00EC1AB2">
        <w:rPr>
          <w:rFonts w:ascii="Times New Roman" w:hAnsi="Times New Roman" w:cs="Times New Roman"/>
          <w:iCs/>
          <w:sz w:val="24"/>
          <w:szCs w:val="24"/>
          <w:vertAlign w:val="subscript"/>
        </w:rPr>
        <w:t>1</w:t>
      </w:r>
      <w:r w:rsidR="00A54BC9" w:rsidRPr="00EC1AB2">
        <w:rPr>
          <w:rFonts w:ascii="Times New Roman" w:hAnsi="Times New Roman" w:cs="Times New Roman"/>
          <w:sz w:val="24"/>
          <w:szCs w:val="24"/>
        </w:rPr>
        <w:t xml:space="preserve"> – </w:t>
      </w:r>
      <w:r w:rsidRPr="00EC1AB2">
        <w:rPr>
          <w:rFonts w:ascii="Times New Roman" w:hAnsi="Times New Roman" w:cs="Times New Roman"/>
          <w:sz w:val="24"/>
          <w:szCs w:val="24"/>
        </w:rPr>
        <w:t>ek</w:t>
      </w:r>
      <w:r w:rsidR="00A54BC9" w:rsidRPr="00EC1AB2">
        <w:rPr>
          <w:rFonts w:ascii="Times New Roman" w:hAnsi="Times New Roman" w:cs="Times New Roman"/>
          <w:sz w:val="24"/>
          <w:szCs w:val="24"/>
        </w:rPr>
        <w:t>spertų vertinimai panašūs (</w:t>
      </w:r>
      <w:r w:rsidRPr="00EC1AB2">
        <w:rPr>
          <w:rFonts w:ascii="Times New Roman" w:hAnsi="Times New Roman" w:cs="Times New Roman"/>
          <w:sz w:val="24"/>
          <w:szCs w:val="24"/>
        </w:rPr>
        <w:t xml:space="preserve">konkordancijos koeficientas </w:t>
      </w:r>
      <w:r w:rsidR="00A54BC9" w:rsidRPr="00EC1AB2">
        <w:rPr>
          <w:rFonts w:ascii="Times New Roman" w:hAnsi="Times New Roman" w:cs="Times New Roman"/>
          <w:sz w:val="24"/>
          <w:szCs w:val="24"/>
        </w:rPr>
        <w:t>nelygus</w:t>
      </w:r>
      <w:r w:rsidRPr="00EC1AB2">
        <w:rPr>
          <w:rFonts w:ascii="Times New Roman" w:hAnsi="Times New Roman" w:cs="Times New Roman"/>
          <w:sz w:val="24"/>
          <w:szCs w:val="24"/>
        </w:rPr>
        <w:t>)</w:t>
      </w:r>
      <w:r w:rsidR="00A54BC9" w:rsidRPr="00EC1AB2">
        <w:rPr>
          <w:rFonts w:ascii="Times New Roman" w:hAnsi="Times New Roman" w:cs="Times New Roman"/>
          <w:sz w:val="24"/>
          <w:szCs w:val="24"/>
        </w:rPr>
        <w:t>.</w:t>
      </w:r>
    </w:p>
    <w:p w:rsidR="0016099D" w:rsidRPr="00EC1AB2" w:rsidRDefault="00687EE4" w:rsidP="007A02A8">
      <w:pPr>
        <w:autoSpaceDE w:val="0"/>
        <w:autoSpaceDN w:val="0"/>
        <w:adjustRightInd w:val="0"/>
        <w:spacing w:after="0" w:line="360" w:lineRule="auto"/>
        <w:ind w:firstLine="567"/>
        <w:jc w:val="both"/>
        <w:rPr>
          <w:rFonts w:ascii="Times New Roman" w:hAnsi="Times New Roman" w:cs="Times New Roman"/>
          <w:bCs/>
          <w:iCs/>
          <w:sz w:val="24"/>
          <w:szCs w:val="24"/>
        </w:rPr>
      </w:pPr>
      <w:r w:rsidRPr="00EC1AB2">
        <w:rPr>
          <w:rFonts w:ascii="Times New Roman" w:hAnsi="Times New Roman" w:cs="Times New Roman"/>
          <w:sz w:val="24"/>
          <w:szCs w:val="24"/>
        </w:rPr>
        <w:t xml:space="preserve">Naudojantis </w:t>
      </w:r>
      <w:r w:rsidR="001533B0" w:rsidRPr="00EC1AB2">
        <w:rPr>
          <w:rFonts w:ascii="Times New Roman" w:hAnsi="Times New Roman" w:cs="Times New Roman"/>
          <w:sz w:val="24"/>
          <w:szCs w:val="24"/>
        </w:rPr>
        <w:t>SPSS programa</w:t>
      </w:r>
      <w:r w:rsidRPr="00EC1AB2">
        <w:rPr>
          <w:rFonts w:ascii="Times New Roman" w:hAnsi="Times New Roman" w:cs="Times New Roman"/>
          <w:sz w:val="24"/>
          <w:szCs w:val="24"/>
        </w:rPr>
        <w:t xml:space="preserve"> </w:t>
      </w:r>
      <w:r w:rsidR="00C6448E" w:rsidRPr="00EC1AB2">
        <w:rPr>
          <w:rFonts w:ascii="Times New Roman" w:hAnsi="Times New Roman" w:cs="Times New Roman"/>
          <w:sz w:val="24"/>
          <w:szCs w:val="24"/>
        </w:rPr>
        <w:t xml:space="preserve">apskaičiuojamas </w:t>
      </w:r>
      <w:r w:rsidR="00F06375" w:rsidRPr="00EC1AB2">
        <w:rPr>
          <w:rFonts w:ascii="Times New Roman" w:hAnsi="Times New Roman" w:cs="Times New Roman"/>
          <w:sz w:val="24"/>
          <w:szCs w:val="24"/>
        </w:rPr>
        <w:t>W</w:t>
      </w:r>
      <w:r w:rsidR="00C6448E" w:rsidRPr="00EC1AB2">
        <w:rPr>
          <w:rFonts w:ascii="Times New Roman" w:hAnsi="Times New Roman" w:cs="Times New Roman"/>
          <w:sz w:val="24"/>
          <w:szCs w:val="24"/>
        </w:rPr>
        <w:t xml:space="preserve"> koeficientas</w:t>
      </w:r>
      <w:r w:rsidR="00551F76" w:rsidRPr="00EC1AB2">
        <w:rPr>
          <w:rFonts w:ascii="Times New Roman" w:hAnsi="Times New Roman" w:cs="Times New Roman"/>
          <w:bCs/>
          <w:iCs/>
          <w:sz w:val="24"/>
          <w:szCs w:val="24"/>
        </w:rPr>
        <w:t>.</w:t>
      </w:r>
      <w:r w:rsidR="00707C8C" w:rsidRPr="00EC1AB2">
        <w:rPr>
          <w:rFonts w:ascii="Times New Roman" w:hAnsi="Times New Roman" w:cs="Times New Roman"/>
          <w:bCs/>
          <w:iCs/>
          <w:sz w:val="24"/>
          <w:szCs w:val="24"/>
        </w:rPr>
        <w:t xml:space="preserve"> </w:t>
      </w:r>
    </w:p>
    <w:p w:rsidR="00BA7653" w:rsidRPr="00EC1AB2" w:rsidRDefault="00BA7653" w:rsidP="007A02A8">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p>
    <w:p w:rsidR="00707C8C" w:rsidRPr="00EC1AB2" w:rsidRDefault="0016099D" w:rsidP="007A02A8">
      <w:pPr>
        <w:pStyle w:val="Heading4"/>
        <w:spacing w:before="0" w:line="360" w:lineRule="auto"/>
        <w:jc w:val="center"/>
        <w:rPr>
          <w:rFonts w:ascii="Times New Roman" w:eastAsia="Times New Roman" w:hAnsi="Times New Roman" w:cs="Times New Roman"/>
          <w:i w:val="0"/>
          <w:color w:val="auto"/>
          <w:sz w:val="24"/>
          <w:szCs w:val="24"/>
          <w:lang w:eastAsia="lt-LT"/>
        </w:rPr>
      </w:pPr>
      <w:bookmarkStart w:id="184" w:name="_Toc320761938"/>
      <w:bookmarkStart w:id="185" w:name="_Toc320762173"/>
      <w:bookmarkStart w:id="186" w:name="_Toc320762576"/>
      <w:r w:rsidRPr="00EC1AB2">
        <w:rPr>
          <w:rFonts w:ascii="Times New Roman" w:eastAsia="Times New Roman" w:hAnsi="Times New Roman" w:cs="Times New Roman"/>
          <w:b w:val="0"/>
          <w:i w:val="0"/>
          <w:color w:val="auto"/>
          <w:sz w:val="24"/>
          <w:szCs w:val="24"/>
          <w:lang w:eastAsia="lt-LT"/>
        </w:rPr>
        <w:t>8</w:t>
      </w:r>
      <w:r w:rsidR="008951E9" w:rsidRPr="00EC1AB2">
        <w:rPr>
          <w:rFonts w:ascii="Times New Roman" w:eastAsia="Times New Roman" w:hAnsi="Times New Roman" w:cs="Times New Roman"/>
          <w:b w:val="0"/>
          <w:i w:val="0"/>
          <w:color w:val="auto"/>
          <w:sz w:val="24"/>
          <w:szCs w:val="24"/>
          <w:lang w:eastAsia="lt-LT"/>
        </w:rPr>
        <w:t xml:space="preserve"> lentelė.</w:t>
      </w:r>
      <w:r w:rsidR="008951E9" w:rsidRPr="00EC1AB2">
        <w:rPr>
          <w:rFonts w:ascii="Times New Roman" w:eastAsia="Times New Roman" w:hAnsi="Times New Roman" w:cs="Times New Roman"/>
          <w:i w:val="0"/>
          <w:color w:val="auto"/>
          <w:sz w:val="24"/>
          <w:szCs w:val="24"/>
          <w:lang w:eastAsia="lt-LT"/>
        </w:rPr>
        <w:t xml:space="preserve"> Ekspertų </w:t>
      </w:r>
      <w:r w:rsidR="00D434D6" w:rsidRPr="00EC1AB2">
        <w:rPr>
          <w:rFonts w:ascii="Times New Roman" w:eastAsia="Times New Roman" w:hAnsi="Times New Roman" w:cs="Times New Roman"/>
          <w:i w:val="0"/>
          <w:color w:val="auto"/>
          <w:sz w:val="24"/>
          <w:szCs w:val="24"/>
          <w:lang w:eastAsia="lt-LT"/>
        </w:rPr>
        <w:t>vertinimo rangų vidurkiai</w:t>
      </w:r>
      <w:bookmarkEnd w:id="184"/>
      <w:bookmarkEnd w:id="185"/>
      <w:bookmarkEnd w:id="186"/>
    </w:p>
    <w:p w:rsidR="00D434D6" w:rsidRPr="00EC1AB2" w:rsidRDefault="00D434D6" w:rsidP="007A02A8">
      <w:pPr>
        <w:pStyle w:val="Heading4"/>
        <w:spacing w:before="0" w:line="360" w:lineRule="auto"/>
        <w:jc w:val="center"/>
        <w:rPr>
          <w:rFonts w:ascii="Times New Roman" w:eastAsia="Times New Roman" w:hAnsi="Times New Roman" w:cs="Times New Roman"/>
          <w:i w:val="0"/>
          <w:color w:val="auto"/>
          <w:sz w:val="24"/>
          <w:szCs w:val="24"/>
          <w:lang w:eastAsia="lt-LT"/>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4324"/>
        <w:gridCol w:w="4968"/>
      </w:tblGrid>
      <w:tr w:rsidR="00F25E1F" w:rsidRPr="00EC1AB2" w:rsidTr="003D55B3">
        <w:trPr>
          <w:trHeight w:val="273"/>
          <w:jc w:val="center"/>
        </w:trPr>
        <w:tc>
          <w:tcPr>
            <w:tcW w:w="4324" w:type="dxa"/>
            <w:shd w:val="clear" w:color="000000" w:fill="FFFFFF"/>
            <w:vAlign w:val="bottom"/>
          </w:tcPr>
          <w:p w:rsidR="00707C8C" w:rsidRPr="00EC1AB2" w:rsidRDefault="00707C8C" w:rsidP="007A02A8">
            <w:pPr>
              <w:autoSpaceDE w:val="0"/>
              <w:autoSpaceDN w:val="0"/>
              <w:adjustRightInd w:val="0"/>
              <w:spacing w:after="0" w:line="360" w:lineRule="auto"/>
              <w:jc w:val="center"/>
              <w:rPr>
                <w:rFonts w:ascii="Times New Roman" w:hAnsi="Times New Roman" w:cs="Times New Roman"/>
                <w:sz w:val="24"/>
                <w:szCs w:val="24"/>
              </w:rPr>
            </w:pPr>
          </w:p>
        </w:tc>
        <w:tc>
          <w:tcPr>
            <w:tcW w:w="4968" w:type="dxa"/>
            <w:shd w:val="clear" w:color="000000" w:fill="FFFFFF"/>
            <w:vAlign w:val="bottom"/>
          </w:tcPr>
          <w:p w:rsidR="00707C8C" w:rsidRPr="00EC1AB2" w:rsidRDefault="00D434D6"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Rangų vidurkis</w:t>
            </w:r>
          </w:p>
        </w:tc>
      </w:tr>
      <w:tr w:rsidR="00F25E1F" w:rsidRPr="00EC1AB2" w:rsidTr="003D55B3">
        <w:trPr>
          <w:trHeight w:val="504"/>
          <w:jc w:val="center"/>
        </w:trPr>
        <w:tc>
          <w:tcPr>
            <w:tcW w:w="4324" w:type="dxa"/>
            <w:shd w:val="clear" w:color="000000" w:fill="FFFFFF"/>
          </w:tcPr>
          <w:p w:rsidR="00707C8C" w:rsidRPr="00EC1AB2" w:rsidRDefault="00857B38" w:rsidP="007A02A8">
            <w:pPr>
              <w:autoSpaceDE w:val="0"/>
              <w:autoSpaceDN w:val="0"/>
              <w:adjustRightInd w:val="0"/>
              <w:spacing w:after="0" w:line="360" w:lineRule="auto"/>
              <w:rPr>
                <w:rFonts w:ascii="Times New Roman" w:hAnsi="Times New Roman" w:cs="Times New Roman"/>
                <w:sz w:val="18"/>
                <w:szCs w:val="18"/>
              </w:rPr>
            </w:pPr>
            <w:r w:rsidRPr="00EC1AB2">
              <w:rPr>
                <w:rFonts w:ascii="Times New Roman" w:eastAsia="Times New Roman" w:hAnsi="Times New Roman" w:cs="Times New Roman"/>
                <w:sz w:val="18"/>
                <w:szCs w:val="18"/>
                <w:lang w:eastAsia="lt-LT"/>
              </w:rPr>
              <w:t>Mažas VP rinkos efektyvumas</w:t>
            </w:r>
          </w:p>
        </w:tc>
        <w:tc>
          <w:tcPr>
            <w:tcW w:w="4968" w:type="dxa"/>
            <w:shd w:val="clear" w:color="000000" w:fill="FFFFFF"/>
            <w:vAlign w:val="center"/>
          </w:tcPr>
          <w:p w:rsidR="00707C8C" w:rsidRPr="00EC1AB2" w:rsidRDefault="00707C8C"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2,80</w:t>
            </w:r>
          </w:p>
        </w:tc>
      </w:tr>
      <w:tr w:rsidR="00F25E1F" w:rsidRPr="00EC1AB2" w:rsidTr="003D55B3">
        <w:trPr>
          <w:trHeight w:val="504"/>
          <w:jc w:val="center"/>
        </w:trPr>
        <w:tc>
          <w:tcPr>
            <w:tcW w:w="4324" w:type="dxa"/>
            <w:shd w:val="clear" w:color="000000" w:fill="FFFFFF"/>
          </w:tcPr>
          <w:p w:rsidR="00707C8C" w:rsidRPr="00EC1AB2" w:rsidRDefault="00C966C8" w:rsidP="007A02A8">
            <w:pPr>
              <w:autoSpaceDE w:val="0"/>
              <w:autoSpaceDN w:val="0"/>
              <w:adjustRightInd w:val="0"/>
              <w:spacing w:after="0" w:line="360" w:lineRule="auto"/>
              <w:rPr>
                <w:rFonts w:ascii="Times New Roman" w:hAnsi="Times New Roman" w:cs="Times New Roman"/>
                <w:sz w:val="18"/>
                <w:szCs w:val="18"/>
              </w:rPr>
            </w:pPr>
            <w:r w:rsidRPr="00EC1AB2">
              <w:rPr>
                <w:rFonts w:ascii="Times New Roman" w:eastAsia="Times New Roman" w:hAnsi="Times New Roman" w:cs="Times New Roman"/>
                <w:sz w:val="18"/>
                <w:szCs w:val="18"/>
                <w:lang w:eastAsia="lt-LT"/>
              </w:rPr>
              <w:t>Mokestinių lengvatų jaunoms technologinėms įmonėms nebuvimas</w:t>
            </w:r>
          </w:p>
        </w:tc>
        <w:tc>
          <w:tcPr>
            <w:tcW w:w="4968" w:type="dxa"/>
            <w:shd w:val="clear" w:color="000000" w:fill="FFFFFF"/>
            <w:vAlign w:val="center"/>
          </w:tcPr>
          <w:p w:rsidR="00707C8C" w:rsidRPr="00EC1AB2" w:rsidRDefault="00707C8C"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2,20</w:t>
            </w:r>
          </w:p>
        </w:tc>
      </w:tr>
      <w:tr w:rsidR="00F25E1F" w:rsidRPr="00EC1AB2" w:rsidTr="003D55B3">
        <w:trPr>
          <w:trHeight w:val="734"/>
          <w:jc w:val="center"/>
        </w:trPr>
        <w:tc>
          <w:tcPr>
            <w:tcW w:w="4324" w:type="dxa"/>
            <w:shd w:val="clear" w:color="000000" w:fill="FFFFFF"/>
          </w:tcPr>
          <w:p w:rsidR="00707C8C" w:rsidRPr="00EC1AB2" w:rsidRDefault="00C966C8" w:rsidP="007A02A8">
            <w:pPr>
              <w:autoSpaceDE w:val="0"/>
              <w:autoSpaceDN w:val="0"/>
              <w:adjustRightInd w:val="0"/>
              <w:spacing w:after="0" w:line="360" w:lineRule="auto"/>
              <w:rPr>
                <w:rFonts w:ascii="Times New Roman" w:hAnsi="Times New Roman" w:cs="Times New Roman"/>
                <w:sz w:val="18"/>
                <w:szCs w:val="18"/>
              </w:rPr>
            </w:pPr>
            <w:r w:rsidRPr="00EC1AB2">
              <w:rPr>
                <w:rFonts w:ascii="Times New Roman" w:eastAsia="Times New Roman" w:hAnsi="Times New Roman" w:cs="Times New Roman"/>
                <w:sz w:val="18"/>
                <w:szCs w:val="18"/>
                <w:lang w:eastAsia="lt-LT"/>
              </w:rPr>
              <w:t>Maža technologinių inovacijų sklaida</w:t>
            </w:r>
          </w:p>
        </w:tc>
        <w:tc>
          <w:tcPr>
            <w:tcW w:w="4968" w:type="dxa"/>
            <w:shd w:val="clear" w:color="000000" w:fill="FFFFFF"/>
            <w:vAlign w:val="center"/>
          </w:tcPr>
          <w:p w:rsidR="00707C8C" w:rsidRPr="00EC1AB2" w:rsidRDefault="00707C8C"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4,00</w:t>
            </w:r>
          </w:p>
        </w:tc>
      </w:tr>
      <w:tr w:rsidR="00F25E1F" w:rsidRPr="00EC1AB2" w:rsidTr="003D55B3">
        <w:trPr>
          <w:trHeight w:val="504"/>
          <w:jc w:val="center"/>
        </w:trPr>
        <w:tc>
          <w:tcPr>
            <w:tcW w:w="4324" w:type="dxa"/>
            <w:shd w:val="clear" w:color="000000" w:fill="FFFFFF"/>
          </w:tcPr>
          <w:p w:rsidR="00707C8C" w:rsidRPr="00EC1AB2" w:rsidRDefault="00C966C8" w:rsidP="007A02A8">
            <w:pPr>
              <w:autoSpaceDE w:val="0"/>
              <w:autoSpaceDN w:val="0"/>
              <w:adjustRightInd w:val="0"/>
              <w:spacing w:after="0" w:line="360" w:lineRule="auto"/>
              <w:rPr>
                <w:rFonts w:ascii="Times New Roman" w:hAnsi="Times New Roman" w:cs="Times New Roman"/>
                <w:sz w:val="18"/>
                <w:szCs w:val="18"/>
              </w:rPr>
            </w:pPr>
            <w:r w:rsidRPr="00EC1AB2">
              <w:rPr>
                <w:rFonts w:ascii="Times New Roman" w:eastAsia="Times New Roman" w:hAnsi="Times New Roman" w:cs="Times New Roman"/>
                <w:sz w:val="18"/>
                <w:szCs w:val="18"/>
                <w:lang w:eastAsia="lt-LT"/>
              </w:rPr>
              <w:t>Mažas pensijų fondų ir draudimo įmonių dalyvavimas formuojant rizikos kapitalo investicijas</w:t>
            </w:r>
          </w:p>
        </w:tc>
        <w:tc>
          <w:tcPr>
            <w:tcW w:w="4968" w:type="dxa"/>
            <w:shd w:val="clear" w:color="000000" w:fill="FFFFFF"/>
            <w:vAlign w:val="center"/>
          </w:tcPr>
          <w:p w:rsidR="00707C8C" w:rsidRPr="00EC1AB2" w:rsidRDefault="00707C8C"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1,00</w:t>
            </w:r>
          </w:p>
        </w:tc>
      </w:tr>
    </w:tbl>
    <w:p w:rsidR="0016099D" w:rsidRPr="00EC1AB2" w:rsidRDefault="0016099D" w:rsidP="007A02A8">
      <w:pPr>
        <w:autoSpaceDE w:val="0"/>
        <w:autoSpaceDN w:val="0"/>
        <w:adjustRightInd w:val="0"/>
        <w:spacing w:after="0" w:line="360" w:lineRule="auto"/>
        <w:rPr>
          <w:rFonts w:ascii="Times New Roman" w:hAnsi="Times New Roman" w:cs="Times New Roman"/>
          <w:sz w:val="24"/>
          <w:szCs w:val="24"/>
        </w:rPr>
      </w:pPr>
    </w:p>
    <w:p w:rsidR="003E52FD" w:rsidRPr="00EC1AB2" w:rsidRDefault="003E52FD" w:rsidP="007A02A8">
      <w:pPr>
        <w:autoSpaceDE w:val="0"/>
        <w:autoSpaceDN w:val="0"/>
        <w:adjustRightInd w:val="0"/>
        <w:spacing w:after="0" w:line="360" w:lineRule="auto"/>
        <w:ind w:firstLine="567"/>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darbo autorės</w:t>
      </w:r>
    </w:p>
    <w:p w:rsidR="003E52FD" w:rsidRPr="00EC1AB2" w:rsidRDefault="003E52FD" w:rsidP="007A02A8">
      <w:pPr>
        <w:autoSpaceDE w:val="0"/>
        <w:autoSpaceDN w:val="0"/>
        <w:adjustRightInd w:val="0"/>
        <w:spacing w:after="0" w:line="360" w:lineRule="auto"/>
        <w:jc w:val="both"/>
        <w:rPr>
          <w:rFonts w:ascii="Times New Roman" w:hAnsi="Times New Roman" w:cs="Times New Roman"/>
          <w:sz w:val="24"/>
          <w:szCs w:val="24"/>
        </w:rPr>
      </w:pPr>
    </w:p>
    <w:p w:rsidR="00DA7897" w:rsidRPr="00EC1AB2" w:rsidRDefault="003E52FD" w:rsidP="007A02A8">
      <w:pPr>
        <w:autoSpaceDE w:val="0"/>
        <w:autoSpaceDN w:val="0"/>
        <w:adjustRightInd w:val="0"/>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Iš </w:t>
      </w:r>
      <w:r w:rsidR="0016099D" w:rsidRPr="00EC1AB2">
        <w:rPr>
          <w:rFonts w:ascii="Times New Roman" w:hAnsi="Times New Roman" w:cs="Times New Roman"/>
          <w:sz w:val="24"/>
          <w:szCs w:val="24"/>
        </w:rPr>
        <w:t>8</w:t>
      </w:r>
      <w:r w:rsidRPr="00EC1AB2">
        <w:rPr>
          <w:rFonts w:ascii="Times New Roman" w:hAnsi="Times New Roman" w:cs="Times New Roman"/>
          <w:sz w:val="24"/>
          <w:szCs w:val="24"/>
        </w:rPr>
        <w:t xml:space="preserve"> lentelėje pateiktų duomenų matyti, kad tyrime dalyvavę ekspertai teigė, jog labiaus</w:t>
      </w:r>
      <w:r w:rsidR="00CF0B13" w:rsidRPr="00EC1AB2">
        <w:rPr>
          <w:rFonts w:ascii="Times New Roman" w:hAnsi="Times New Roman" w:cs="Times New Roman"/>
          <w:sz w:val="24"/>
          <w:szCs w:val="24"/>
        </w:rPr>
        <w:t>iai Lietuvoje plėtotis RKF</w:t>
      </w:r>
      <w:r w:rsidRPr="00EC1AB2">
        <w:rPr>
          <w:rFonts w:ascii="Times New Roman" w:hAnsi="Times New Roman" w:cs="Times New Roman"/>
          <w:sz w:val="24"/>
          <w:szCs w:val="24"/>
        </w:rPr>
        <w:t xml:space="preserve"> trukdo maža technologinių inovacijų sklaida.</w:t>
      </w:r>
      <w:r w:rsidR="000C551A" w:rsidRPr="00EC1AB2">
        <w:rPr>
          <w:rFonts w:ascii="Times New Roman" w:hAnsi="Times New Roman" w:cs="Times New Roman"/>
          <w:sz w:val="24"/>
          <w:szCs w:val="24"/>
        </w:rPr>
        <w:t xml:space="preserve"> 9</w:t>
      </w:r>
      <w:r w:rsidR="004468AA" w:rsidRPr="00EC1AB2">
        <w:rPr>
          <w:rFonts w:ascii="Times New Roman" w:hAnsi="Times New Roman" w:cs="Times New Roman"/>
          <w:sz w:val="24"/>
          <w:szCs w:val="24"/>
        </w:rPr>
        <w:t xml:space="preserve"> lentelėje galima matyti Kendall‘</w:t>
      </w:r>
      <w:r w:rsidR="00CF0B13" w:rsidRPr="00EC1AB2">
        <w:rPr>
          <w:rFonts w:ascii="Times New Roman" w:hAnsi="Times New Roman" w:cs="Times New Roman"/>
          <w:sz w:val="24"/>
          <w:szCs w:val="24"/>
        </w:rPr>
        <w:t>s testo rezultatus</w:t>
      </w:r>
      <w:r w:rsidR="004468AA" w:rsidRPr="00EC1AB2">
        <w:rPr>
          <w:rFonts w:ascii="Times New Roman" w:hAnsi="Times New Roman" w:cs="Times New Roman"/>
          <w:sz w:val="24"/>
          <w:szCs w:val="24"/>
        </w:rPr>
        <w:t>.</w:t>
      </w:r>
    </w:p>
    <w:p w:rsidR="000C551A" w:rsidRPr="00EC1AB2" w:rsidRDefault="000C551A" w:rsidP="007A02A8">
      <w:pPr>
        <w:autoSpaceDE w:val="0"/>
        <w:autoSpaceDN w:val="0"/>
        <w:adjustRightInd w:val="0"/>
        <w:spacing w:after="0" w:line="360" w:lineRule="auto"/>
        <w:ind w:firstLine="567"/>
        <w:jc w:val="both"/>
        <w:rPr>
          <w:rFonts w:ascii="Times New Roman" w:hAnsi="Times New Roman" w:cs="Times New Roman"/>
          <w:sz w:val="24"/>
          <w:szCs w:val="24"/>
        </w:rPr>
      </w:pPr>
    </w:p>
    <w:p w:rsidR="004468AA" w:rsidRPr="00EC1AB2" w:rsidRDefault="000C551A" w:rsidP="007A02A8">
      <w:pPr>
        <w:pStyle w:val="Heading4"/>
        <w:spacing w:before="0" w:line="360" w:lineRule="auto"/>
        <w:jc w:val="center"/>
        <w:rPr>
          <w:rFonts w:ascii="Times New Roman" w:hAnsi="Times New Roman" w:cs="Times New Roman"/>
          <w:i w:val="0"/>
          <w:color w:val="auto"/>
          <w:sz w:val="24"/>
          <w:szCs w:val="24"/>
        </w:rPr>
      </w:pPr>
      <w:bookmarkStart w:id="187" w:name="_Toc320761939"/>
      <w:bookmarkStart w:id="188" w:name="_Toc320762174"/>
      <w:bookmarkStart w:id="189" w:name="_Toc320762577"/>
      <w:r w:rsidRPr="00EC1AB2">
        <w:rPr>
          <w:rFonts w:ascii="Times New Roman" w:hAnsi="Times New Roman" w:cs="Times New Roman"/>
          <w:b w:val="0"/>
          <w:i w:val="0"/>
          <w:color w:val="auto"/>
          <w:sz w:val="24"/>
          <w:szCs w:val="24"/>
        </w:rPr>
        <w:t>9</w:t>
      </w:r>
      <w:r w:rsidR="004468AA" w:rsidRPr="00EC1AB2">
        <w:rPr>
          <w:rFonts w:ascii="Times New Roman" w:hAnsi="Times New Roman" w:cs="Times New Roman"/>
          <w:b w:val="0"/>
          <w:i w:val="0"/>
          <w:color w:val="auto"/>
          <w:sz w:val="24"/>
          <w:szCs w:val="24"/>
        </w:rPr>
        <w:t xml:space="preserve"> lentelė</w:t>
      </w:r>
      <w:r w:rsidR="004468AA" w:rsidRPr="00EC1AB2">
        <w:rPr>
          <w:rFonts w:ascii="Times New Roman" w:hAnsi="Times New Roman" w:cs="Times New Roman"/>
          <w:i w:val="0"/>
          <w:color w:val="auto"/>
          <w:sz w:val="24"/>
          <w:szCs w:val="24"/>
        </w:rPr>
        <w:t>. Kendall‘s testo rezultatai</w:t>
      </w:r>
      <w:bookmarkEnd w:id="187"/>
      <w:bookmarkEnd w:id="188"/>
      <w:bookmarkEnd w:id="189"/>
    </w:p>
    <w:p w:rsidR="000C551A" w:rsidRPr="00EC1AB2" w:rsidRDefault="000C551A" w:rsidP="007A02A8">
      <w:pPr>
        <w:pStyle w:val="Heading4"/>
        <w:spacing w:before="0" w:line="360" w:lineRule="auto"/>
        <w:jc w:val="center"/>
        <w:rPr>
          <w:rFonts w:ascii="Times New Roman" w:hAnsi="Times New Roman" w:cs="Times New Roman"/>
          <w:i w:val="0"/>
          <w:color w:val="auto"/>
          <w:sz w:val="24"/>
          <w:szCs w:val="24"/>
        </w:rPr>
      </w:pP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000" w:firstRow="0" w:lastRow="0" w:firstColumn="0" w:lastColumn="0" w:noHBand="0" w:noVBand="0"/>
      </w:tblPr>
      <w:tblGrid>
        <w:gridCol w:w="2376"/>
        <w:gridCol w:w="1701"/>
      </w:tblGrid>
      <w:tr w:rsidR="00F25E1F" w:rsidRPr="00EC1AB2" w:rsidTr="00F3420B">
        <w:trPr>
          <w:trHeight w:val="335"/>
          <w:jc w:val="center"/>
        </w:trPr>
        <w:tc>
          <w:tcPr>
            <w:tcW w:w="2376" w:type="dxa"/>
          </w:tcPr>
          <w:p w:rsidR="00707C8C" w:rsidRPr="00EC1AB2" w:rsidRDefault="00707C8C" w:rsidP="007A02A8">
            <w:pPr>
              <w:autoSpaceDE w:val="0"/>
              <w:autoSpaceDN w:val="0"/>
              <w:adjustRightInd w:val="0"/>
              <w:spacing w:after="0" w:line="360" w:lineRule="auto"/>
              <w:rPr>
                <w:rFonts w:ascii="Times New Roman" w:eastAsia="MS Mincho" w:hAnsi="Times New Roman" w:cs="Times New Roman"/>
                <w:sz w:val="24"/>
                <w:szCs w:val="24"/>
              </w:rPr>
            </w:pPr>
            <w:r w:rsidRPr="00EC1AB2">
              <w:rPr>
                <w:rFonts w:ascii="Times New Roman" w:eastAsia="MS Mincho" w:hAnsi="Times New Roman" w:cs="Times New Roman"/>
                <w:b/>
                <w:bCs/>
                <w:sz w:val="24"/>
                <w:szCs w:val="24"/>
              </w:rPr>
              <w:tab/>
            </w:r>
            <w:r w:rsidRPr="00EC1AB2">
              <w:rPr>
                <w:rFonts w:ascii="Times New Roman" w:eastAsia="MS Mincho" w:hAnsi="Times New Roman" w:cs="Times New Roman"/>
                <w:sz w:val="24"/>
                <w:szCs w:val="24"/>
              </w:rPr>
              <w:t>N</w:t>
            </w:r>
          </w:p>
        </w:tc>
        <w:tc>
          <w:tcPr>
            <w:tcW w:w="1701" w:type="dxa"/>
          </w:tcPr>
          <w:p w:rsidR="00707C8C" w:rsidRPr="00EC1AB2" w:rsidRDefault="00707C8C" w:rsidP="007A02A8">
            <w:pPr>
              <w:autoSpaceDE w:val="0"/>
              <w:autoSpaceDN w:val="0"/>
              <w:adjustRightInd w:val="0"/>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5</w:t>
            </w:r>
          </w:p>
        </w:tc>
      </w:tr>
      <w:tr w:rsidR="00F25E1F" w:rsidRPr="00EC1AB2" w:rsidTr="00F3420B">
        <w:trPr>
          <w:trHeight w:val="273"/>
          <w:jc w:val="center"/>
        </w:trPr>
        <w:tc>
          <w:tcPr>
            <w:tcW w:w="2376" w:type="dxa"/>
          </w:tcPr>
          <w:p w:rsidR="00707C8C" w:rsidRPr="00EC1AB2" w:rsidRDefault="00707C8C" w:rsidP="007A02A8">
            <w:pPr>
              <w:autoSpaceDE w:val="0"/>
              <w:autoSpaceDN w:val="0"/>
              <w:adjustRightInd w:val="0"/>
              <w:spacing w:after="0" w:line="360" w:lineRule="auto"/>
              <w:rPr>
                <w:rFonts w:ascii="Times New Roman" w:eastAsia="MS Mincho" w:hAnsi="Times New Roman" w:cs="Times New Roman"/>
                <w:sz w:val="24"/>
                <w:szCs w:val="24"/>
              </w:rPr>
            </w:pPr>
            <w:r w:rsidRPr="00EC1AB2">
              <w:rPr>
                <w:rFonts w:ascii="Times New Roman" w:eastAsia="MS Mincho" w:hAnsi="Times New Roman" w:cs="Times New Roman"/>
                <w:sz w:val="24"/>
                <w:szCs w:val="24"/>
              </w:rPr>
              <w:t>Kendall's W</w:t>
            </w:r>
          </w:p>
        </w:tc>
        <w:tc>
          <w:tcPr>
            <w:tcW w:w="1701" w:type="dxa"/>
          </w:tcPr>
          <w:p w:rsidR="00707C8C" w:rsidRPr="00EC1AB2" w:rsidRDefault="00707C8C" w:rsidP="007A02A8">
            <w:pPr>
              <w:autoSpaceDE w:val="0"/>
              <w:autoSpaceDN w:val="0"/>
              <w:adjustRightInd w:val="0"/>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,936</w:t>
            </w:r>
          </w:p>
        </w:tc>
      </w:tr>
      <w:tr w:rsidR="00F25E1F" w:rsidRPr="00EC1AB2" w:rsidTr="00F3420B">
        <w:trPr>
          <w:trHeight w:val="273"/>
          <w:jc w:val="center"/>
        </w:trPr>
        <w:tc>
          <w:tcPr>
            <w:tcW w:w="2376" w:type="dxa"/>
          </w:tcPr>
          <w:p w:rsidR="00707C8C" w:rsidRPr="00EC1AB2" w:rsidRDefault="00707C8C" w:rsidP="007A02A8">
            <w:pPr>
              <w:autoSpaceDE w:val="0"/>
              <w:autoSpaceDN w:val="0"/>
              <w:adjustRightInd w:val="0"/>
              <w:spacing w:after="0" w:line="360" w:lineRule="auto"/>
              <w:rPr>
                <w:rFonts w:ascii="Times New Roman" w:eastAsia="MS Mincho" w:hAnsi="Times New Roman" w:cs="Times New Roman"/>
                <w:sz w:val="24"/>
                <w:szCs w:val="24"/>
              </w:rPr>
            </w:pPr>
            <w:r w:rsidRPr="00EC1AB2">
              <w:rPr>
                <w:rFonts w:ascii="Times New Roman" w:eastAsia="MS Mincho" w:hAnsi="Times New Roman" w:cs="Times New Roman"/>
                <w:sz w:val="24"/>
                <w:szCs w:val="24"/>
              </w:rPr>
              <w:t>Chi-Square</w:t>
            </w:r>
          </w:p>
        </w:tc>
        <w:tc>
          <w:tcPr>
            <w:tcW w:w="1701" w:type="dxa"/>
          </w:tcPr>
          <w:p w:rsidR="00707C8C" w:rsidRPr="00EC1AB2" w:rsidRDefault="00707C8C" w:rsidP="007A02A8">
            <w:pPr>
              <w:autoSpaceDE w:val="0"/>
              <w:autoSpaceDN w:val="0"/>
              <w:adjustRightInd w:val="0"/>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14,040</w:t>
            </w:r>
          </w:p>
        </w:tc>
      </w:tr>
      <w:tr w:rsidR="00F25E1F" w:rsidRPr="00EC1AB2" w:rsidTr="00F3420B">
        <w:trPr>
          <w:trHeight w:val="273"/>
          <w:jc w:val="center"/>
        </w:trPr>
        <w:tc>
          <w:tcPr>
            <w:tcW w:w="2376" w:type="dxa"/>
          </w:tcPr>
          <w:p w:rsidR="00707C8C" w:rsidRPr="00EC1AB2" w:rsidRDefault="00707C8C" w:rsidP="007A02A8">
            <w:pPr>
              <w:autoSpaceDE w:val="0"/>
              <w:autoSpaceDN w:val="0"/>
              <w:adjustRightInd w:val="0"/>
              <w:spacing w:after="0" w:line="360" w:lineRule="auto"/>
              <w:rPr>
                <w:rFonts w:ascii="Times New Roman" w:eastAsia="MS Mincho" w:hAnsi="Times New Roman" w:cs="Times New Roman"/>
                <w:sz w:val="24"/>
                <w:szCs w:val="24"/>
              </w:rPr>
            </w:pPr>
            <w:r w:rsidRPr="00EC1AB2">
              <w:rPr>
                <w:rFonts w:ascii="Times New Roman" w:eastAsia="MS Mincho" w:hAnsi="Times New Roman" w:cs="Times New Roman"/>
                <w:sz w:val="24"/>
                <w:szCs w:val="24"/>
              </w:rPr>
              <w:t>df</w:t>
            </w:r>
          </w:p>
        </w:tc>
        <w:tc>
          <w:tcPr>
            <w:tcW w:w="1701" w:type="dxa"/>
          </w:tcPr>
          <w:p w:rsidR="00707C8C" w:rsidRPr="00EC1AB2" w:rsidRDefault="00707C8C" w:rsidP="007A02A8">
            <w:pPr>
              <w:autoSpaceDE w:val="0"/>
              <w:autoSpaceDN w:val="0"/>
              <w:adjustRightInd w:val="0"/>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3</w:t>
            </w:r>
          </w:p>
        </w:tc>
      </w:tr>
      <w:tr w:rsidR="00707C8C" w:rsidRPr="00EC1AB2" w:rsidTr="00F3420B">
        <w:trPr>
          <w:trHeight w:val="273"/>
          <w:jc w:val="center"/>
        </w:trPr>
        <w:tc>
          <w:tcPr>
            <w:tcW w:w="2376" w:type="dxa"/>
          </w:tcPr>
          <w:p w:rsidR="00707C8C" w:rsidRPr="00EC1AB2" w:rsidRDefault="00707C8C" w:rsidP="007A02A8">
            <w:pPr>
              <w:autoSpaceDE w:val="0"/>
              <w:autoSpaceDN w:val="0"/>
              <w:adjustRightInd w:val="0"/>
              <w:spacing w:after="0" w:line="360" w:lineRule="auto"/>
              <w:rPr>
                <w:rFonts w:ascii="Times New Roman" w:eastAsia="MS Mincho" w:hAnsi="Times New Roman" w:cs="Times New Roman"/>
                <w:sz w:val="24"/>
                <w:szCs w:val="24"/>
              </w:rPr>
            </w:pPr>
            <w:r w:rsidRPr="00EC1AB2">
              <w:rPr>
                <w:rFonts w:ascii="Times New Roman" w:eastAsia="MS Mincho" w:hAnsi="Times New Roman" w:cs="Times New Roman"/>
                <w:sz w:val="24"/>
                <w:szCs w:val="24"/>
              </w:rPr>
              <w:t>Asymp. Sig.</w:t>
            </w:r>
          </w:p>
        </w:tc>
        <w:tc>
          <w:tcPr>
            <w:tcW w:w="1701" w:type="dxa"/>
          </w:tcPr>
          <w:p w:rsidR="00707C8C" w:rsidRPr="00EC1AB2" w:rsidRDefault="00707C8C" w:rsidP="007A02A8">
            <w:pPr>
              <w:autoSpaceDE w:val="0"/>
              <w:autoSpaceDN w:val="0"/>
              <w:adjustRightInd w:val="0"/>
              <w:spacing w:after="0" w:line="360" w:lineRule="auto"/>
              <w:jc w:val="right"/>
              <w:rPr>
                <w:rFonts w:ascii="Times New Roman" w:eastAsia="MS Mincho" w:hAnsi="Times New Roman" w:cs="Times New Roman"/>
                <w:sz w:val="24"/>
                <w:szCs w:val="24"/>
              </w:rPr>
            </w:pPr>
            <w:r w:rsidRPr="00EC1AB2">
              <w:rPr>
                <w:rFonts w:ascii="Times New Roman" w:eastAsia="MS Mincho" w:hAnsi="Times New Roman" w:cs="Times New Roman"/>
                <w:sz w:val="24"/>
                <w:szCs w:val="24"/>
              </w:rPr>
              <w:t>,003</w:t>
            </w:r>
          </w:p>
        </w:tc>
      </w:tr>
    </w:tbl>
    <w:p w:rsidR="000C551A" w:rsidRPr="00EC1AB2" w:rsidRDefault="000C551A" w:rsidP="007A02A8">
      <w:pPr>
        <w:autoSpaceDE w:val="0"/>
        <w:autoSpaceDN w:val="0"/>
        <w:adjustRightInd w:val="0"/>
        <w:spacing w:after="0" w:line="360" w:lineRule="auto"/>
        <w:jc w:val="both"/>
        <w:rPr>
          <w:rFonts w:ascii="Times New Roman" w:hAnsi="Times New Roman" w:cs="Times New Roman"/>
          <w:b/>
          <w:sz w:val="24"/>
          <w:szCs w:val="24"/>
        </w:rPr>
      </w:pPr>
    </w:p>
    <w:p w:rsidR="004468AA" w:rsidRPr="00EC1AB2" w:rsidRDefault="004468AA"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darbo autorės</w:t>
      </w:r>
    </w:p>
    <w:p w:rsidR="00AC0CD7" w:rsidRPr="00EC1AB2" w:rsidRDefault="00AC0CD7" w:rsidP="007A02A8">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p>
    <w:p w:rsidR="00AC0CD7" w:rsidRPr="00EC1AB2" w:rsidRDefault="00AC0CD7"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Iš lentelėje pateiktų duomenų matyti, jog konkordancijos statistinis reikšmingumas mažesnis už 0,05 (p = 0,003), todėl galima teigti, jog konkordacija yra statistiškai reikšminga. Tai reiškia, jog hipotezė </w:t>
      </w:r>
      <w:r w:rsidRPr="00EC1AB2">
        <w:rPr>
          <w:rFonts w:ascii="Times New Roman" w:hAnsi="Times New Roman" w:cs="Times New Roman"/>
          <w:bCs/>
          <w:iCs/>
          <w:sz w:val="24"/>
          <w:szCs w:val="24"/>
        </w:rPr>
        <w:t>H</w:t>
      </w:r>
      <w:r w:rsidRPr="00EC1AB2">
        <w:rPr>
          <w:rFonts w:ascii="Times New Roman" w:hAnsi="Times New Roman" w:cs="Times New Roman"/>
          <w:bCs/>
          <w:iCs/>
          <w:sz w:val="24"/>
          <w:szCs w:val="24"/>
          <w:vertAlign w:val="subscript"/>
        </w:rPr>
        <w:t>0</w:t>
      </w:r>
      <w:r w:rsidRPr="00EC1AB2">
        <w:rPr>
          <w:rFonts w:ascii="Times New Roman" w:hAnsi="Times New Roman" w:cs="Times New Roman"/>
          <w:sz w:val="24"/>
          <w:szCs w:val="24"/>
        </w:rPr>
        <w:t xml:space="preserve">, kad ekspertų vertinimai prieštaringi, atmetama, o </w:t>
      </w:r>
      <w:r w:rsidRPr="00EC1AB2">
        <w:rPr>
          <w:rFonts w:ascii="Times New Roman" w:hAnsi="Times New Roman" w:cs="Times New Roman"/>
          <w:bCs/>
          <w:iCs/>
          <w:sz w:val="24"/>
          <w:szCs w:val="24"/>
        </w:rPr>
        <w:t>H</w:t>
      </w:r>
      <w:r w:rsidRPr="00EC1AB2">
        <w:rPr>
          <w:rFonts w:ascii="Times New Roman" w:hAnsi="Times New Roman" w:cs="Times New Roman"/>
          <w:bCs/>
          <w:iCs/>
          <w:sz w:val="24"/>
          <w:szCs w:val="24"/>
          <w:vertAlign w:val="subscript"/>
        </w:rPr>
        <w:t>1</w:t>
      </w:r>
      <w:r w:rsidRPr="00EC1AB2">
        <w:rPr>
          <w:rFonts w:ascii="Times New Roman" w:hAnsi="Times New Roman" w:cs="Times New Roman"/>
          <w:bCs/>
          <w:iCs/>
          <w:sz w:val="24"/>
          <w:szCs w:val="24"/>
        </w:rPr>
        <w:t>, kad ekspertų vertinimai panašūs (t.y. konkordancijos koeficientas nelygus nuliui) yra priimama</w:t>
      </w:r>
      <w:r w:rsidRPr="00EC1AB2">
        <w:rPr>
          <w:rFonts w:ascii="Times New Roman" w:hAnsi="Times New Roman" w:cs="Times New Roman"/>
          <w:sz w:val="24"/>
          <w:szCs w:val="24"/>
        </w:rPr>
        <w:t>.</w:t>
      </w:r>
    </w:p>
    <w:p w:rsidR="00FA7C93" w:rsidRPr="00EC1AB2" w:rsidRDefault="00FA7C93"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Siekiant geriau suprasti kliūtis, trukdančias </w:t>
      </w:r>
      <w:r w:rsidR="006D23AB" w:rsidRPr="00EC1AB2">
        <w:rPr>
          <w:rFonts w:ascii="Times New Roman" w:hAnsi="Times New Roman" w:cs="Times New Roman"/>
          <w:sz w:val="24"/>
          <w:szCs w:val="24"/>
        </w:rPr>
        <w:t>RKF plė</w:t>
      </w:r>
      <w:r w:rsidR="00CC0DF4" w:rsidRPr="00EC1AB2">
        <w:rPr>
          <w:rFonts w:ascii="Times New Roman" w:hAnsi="Times New Roman" w:cs="Times New Roman"/>
          <w:sz w:val="24"/>
          <w:szCs w:val="24"/>
        </w:rPr>
        <w:t>totis Lietuvoje</w:t>
      </w:r>
      <w:r w:rsidR="003765ED" w:rsidRPr="00EC1AB2">
        <w:rPr>
          <w:rFonts w:ascii="Times New Roman" w:hAnsi="Times New Roman" w:cs="Times New Roman"/>
          <w:sz w:val="24"/>
          <w:szCs w:val="24"/>
        </w:rPr>
        <w:t>,</w:t>
      </w:r>
      <w:r w:rsidR="00CC0DF4" w:rsidRPr="00EC1AB2">
        <w:rPr>
          <w:rFonts w:ascii="Times New Roman" w:hAnsi="Times New Roman" w:cs="Times New Roman"/>
          <w:sz w:val="24"/>
          <w:szCs w:val="24"/>
        </w:rPr>
        <w:t xml:space="preserve"> bus </w:t>
      </w:r>
      <w:r w:rsidR="00BA1E61" w:rsidRPr="00EC1AB2">
        <w:rPr>
          <w:rFonts w:ascii="Times New Roman" w:hAnsi="Times New Roman" w:cs="Times New Roman"/>
          <w:sz w:val="24"/>
          <w:szCs w:val="24"/>
        </w:rPr>
        <w:t xml:space="preserve">taip pat </w:t>
      </w:r>
      <w:r w:rsidR="00CC0DF4" w:rsidRPr="00EC1AB2">
        <w:rPr>
          <w:rFonts w:ascii="Times New Roman" w:hAnsi="Times New Roman" w:cs="Times New Roman"/>
          <w:sz w:val="24"/>
          <w:szCs w:val="24"/>
        </w:rPr>
        <w:t>apžvelgiama EVCA ataskaita</w:t>
      </w:r>
      <w:r w:rsidR="003765ED" w:rsidRPr="00EC1AB2">
        <w:rPr>
          <w:rFonts w:ascii="Times New Roman" w:hAnsi="Times New Roman" w:cs="Times New Roman"/>
          <w:sz w:val="24"/>
          <w:szCs w:val="24"/>
        </w:rPr>
        <w:t>, kurioje analizuojama</w:t>
      </w:r>
      <w:r w:rsidR="00CC0DF4" w:rsidRPr="00EC1AB2">
        <w:rPr>
          <w:rFonts w:ascii="Times New Roman" w:hAnsi="Times New Roman" w:cs="Times New Roman"/>
          <w:sz w:val="24"/>
          <w:szCs w:val="24"/>
        </w:rPr>
        <w:t xml:space="preserve"> </w:t>
      </w:r>
      <w:r w:rsidR="003765ED" w:rsidRPr="00EC1AB2">
        <w:rPr>
          <w:rFonts w:ascii="Times New Roman" w:hAnsi="Times New Roman" w:cs="Times New Roman"/>
          <w:sz w:val="24"/>
          <w:szCs w:val="24"/>
        </w:rPr>
        <w:t>teisinės ir mokestinės sąlygo</w:t>
      </w:r>
      <w:r w:rsidR="0012470F" w:rsidRPr="00EC1AB2">
        <w:rPr>
          <w:rFonts w:ascii="Times New Roman" w:hAnsi="Times New Roman" w:cs="Times New Roman"/>
          <w:sz w:val="24"/>
          <w:szCs w:val="24"/>
        </w:rPr>
        <w:t>s rizikos kapitalui plėtotis</w:t>
      </w:r>
      <w:r w:rsidR="003765ED" w:rsidRPr="00EC1AB2">
        <w:rPr>
          <w:rFonts w:ascii="Times New Roman" w:hAnsi="Times New Roman" w:cs="Times New Roman"/>
          <w:sz w:val="24"/>
          <w:szCs w:val="24"/>
        </w:rPr>
        <w:t xml:space="preserve"> Europos šalyse bei </w:t>
      </w:r>
      <w:r w:rsidR="00C408B5" w:rsidRPr="00EC1AB2">
        <w:rPr>
          <w:rFonts w:ascii="Times New Roman" w:hAnsi="Times New Roman" w:cs="Times New Roman"/>
          <w:sz w:val="24"/>
          <w:szCs w:val="24"/>
        </w:rPr>
        <w:t xml:space="preserve">A.Groh, H. Liechtenstein, </w:t>
      </w:r>
      <w:r w:rsidR="00C408B5" w:rsidRPr="00EC1AB2">
        <w:rPr>
          <w:rFonts w:ascii="Times New Roman" w:hAnsi="Times New Roman" w:cs="Times New Roman"/>
          <w:iCs/>
          <w:sz w:val="24"/>
          <w:szCs w:val="24"/>
        </w:rPr>
        <w:t>Karsten Lieser</w:t>
      </w:r>
      <w:r w:rsidR="00C408B5" w:rsidRPr="00EC1AB2">
        <w:rPr>
          <w:rFonts w:ascii="Times New Roman" w:hAnsi="Times New Roman" w:cs="Times New Roman"/>
          <w:sz w:val="24"/>
          <w:szCs w:val="24"/>
        </w:rPr>
        <w:t xml:space="preserve"> kartu su audito įmone „Ernst&amp;Young” kasmet </w:t>
      </w:r>
      <w:r w:rsidR="00675913" w:rsidRPr="00EC1AB2">
        <w:rPr>
          <w:rFonts w:ascii="Times New Roman" w:hAnsi="Times New Roman" w:cs="Times New Roman"/>
          <w:sz w:val="24"/>
          <w:szCs w:val="24"/>
        </w:rPr>
        <w:t>atliekamas tyrimas</w:t>
      </w:r>
      <w:r w:rsidR="00CA5FC6" w:rsidRPr="00EC1AB2">
        <w:rPr>
          <w:rFonts w:ascii="Times New Roman" w:hAnsi="Times New Roman" w:cs="Times New Roman"/>
          <w:sz w:val="24"/>
          <w:szCs w:val="24"/>
        </w:rPr>
        <w:t>.</w:t>
      </w:r>
    </w:p>
    <w:p w:rsidR="00CA5FC6" w:rsidRPr="00EC1AB2" w:rsidRDefault="00CA5FC6"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EVCA </w:t>
      </w:r>
      <w:r w:rsidR="00131F57" w:rsidRPr="00EC1AB2">
        <w:rPr>
          <w:rFonts w:ascii="Times New Roman" w:hAnsi="Times New Roman" w:cs="Times New Roman"/>
          <w:sz w:val="24"/>
          <w:szCs w:val="24"/>
        </w:rPr>
        <w:t xml:space="preserve">paskutinį kartą ataskaitą apie teisines ir mokestines sąlygas Europos šalyse </w:t>
      </w:r>
      <w:r w:rsidR="00EB23E9" w:rsidRPr="00EC1AB2">
        <w:rPr>
          <w:rFonts w:ascii="Times New Roman" w:hAnsi="Times New Roman" w:cs="Times New Roman"/>
          <w:sz w:val="24"/>
          <w:szCs w:val="24"/>
        </w:rPr>
        <w:t xml:space="preserve">išleido 2008 m. </w:t>
      </w:r>
      <w:r w:rsidR="00EA5157" w:rsidRPr="00EC1AB2">
        <w:rPr>
          <w:rFonts w:ascii="Times New Roman" w:hAnsi="Times New Roman" w:cs="Times New Roman"/>
          <w:sz w:val="24"/>
          <w:szCs w:val="24"/>
        </w:rPr>
        <w:t>Lietu</w:t>
      </w:r>
      <w:r w:rsidR="00553200" w:rsidRPr="00EC1AB2">
        <w:rPr>
          <w:rFonts w:ascii="Times New Roman" w:hAnsi="Times New Roman" w:cs="Times New Roman"/>
          <w:sz w:val="24"/>
          <w:szCs w:val="24"/>
        </w:rPr>
        <w:t>vos teisinė ir mokestinė aplinka</w:t>
      </w:r>
      <w:r w:rsidR="00EA5157" w:rsidRPr="00EC1AB2">
        <w:rPr>
          <w:rFonts w:ascii="Times New Roman" w:hAnsi="Times New Roman" w:cs="Times New Roman"/>
          <w:sz w:val="24"/>
          <w:szCs w:val="24"/>
        </w:rPr>
        <w:t xml:space="preserve"> pagal patrauklumą rizikos kapitalui plėtotis Lietuvoje įvertinta 1,75 balo, kai tuo tarpu Europos šalių vidurkis siekė </w:t>
      </w:r>
      <w:r w:rsidR="00F25267" w:rsidRPr="00EC1AB2">
        <w:rPr>
          <w:rFonts w:ascii="Times New Roman" w:hAnsi="Times New Roman" w:cs="Times New Roman"/>
          <w:sz w:val="24"/>
          <w:szCs w:val="24"/>
        </w:rPr>
        <w:t xml:space="preserve">1,85. </w:t>
      </w:r>
      <w:r w:rsidR="00667530" w:rsidRPr="00EC1AB2">
        <w:rPr>
          <w:rFonts w:ascii="Times New Roman" w:hAnsi="Times New Roman" w:cs="Times New Roman"/>
          <w:sz w:val="24"/>
          <w:szCs w:val="24"/>
        </w:rPr>
        <w:t>Prie teigiamo įvertinimo daugiausiai prisidėjo leidimas pensijų fondams ir draudimo įmonėms investuoti į RKF.</w:t>
      </w:r>
      <w:r w:rsidR="00C87EAE" w:rsidRPr="00EC1AB2">
        <w:rPr>
          <w:rFonts w:ascii="Times New Roman" w:hAnsi="Times New Roman" w:cs="Times New Roman"/>
          <w:sz w:val="24"/>
          <w:szCs w:val="24"/>
        </w:rPr>
        <w:t xml:space="preserve"> </w:t>
      </w:r>
      <w:r w:rsidR="00667530" w:rsidRPr="00EC1AB2">
        <w:rPr>
          <w:rFonts w:ascii="Times New Roman" w:hAnsi="Times New Roman" w:cs="Times New Roman"/>
          <w:sz w:val="24"/>
          <w:szCs w:val="24"/>
        </w:rPr>
        <w:t>Verta paminėt</w:t>
      </w:r>
      <w:r w:rsidR="00B45B8F" w:rsidRPr="00EC1AB2">
        <w:rPr>
          <w:rFonts w:ascii="Times New Roman" w:hAnsi="Times New Roman" w:cs="Times New Roman"/>
          <w:sz w:val="24"/>
          <w:szCs w:val="24"/>
        </w:rPr>
        <w:t>i, kad</w:t>
      </w:r>
      <w:r w:rsidR="00726C31" w:rsidRPr="00EC1AB2">
        <w:rPr>
          <w:rFonts w:ascii="Times New Roman" w:hAnsi="Times New Roman" w:cs="Times New Roman"/>
          <w:sz w:val="24"/>
          <w:szCs w:val="24"/>
        </w:rPr>
        <w:t xml:space="preserve"> Lietuvoje</w:t>
      </w:r>
      <w:r w:rsidR="00B45B8F" w:rsidRPr="00EC1AB2">
        <w:rPr>
          <w:rFonts w:ascii="Times New Roman" w:hAnsi="Times New Roman" w:cs="Times New Roman"/>
          <w:sz w:val="24"/>
          <w:szCs w:val="24"/>
        </w:rPr>
        <w:t xml:space="preserve"> pensijų fondams leidžiama investuoti iki </w:t>
      </w:r>
      <w:r w:rsidR="00667530" w:rsidRPr="00EC1AB2">
        <w:rPr>
          <w:rFonts w:ascii="Times New Roman" w:hAnsi="Times New Roman" w:cs="Times New Roman"/>
          <w:sz w:val="24"/>
          <w:szCs w:val="24"/>
        </w:rPr>
        <w:t>20 proc.</w:t>
      </w:r>
      <w:r w:rsidR="00B45B8F" w:rsidRPr="00EC1AB2">
        <w:rPr>
          <w:rFonts w:ascii="Times New Roman" w:hAnsi="Times New Roman" w:cs="Times New Roman"/>
          <w:sz w:val="24"/>
          <w:szCs w:val="24"/>
        </w:rPr>
        <w:t xml:space="preserve"> grynųjų aktyvų vertės, draudimo įmonės dėl investicijų į RKF </w:t>
      </w:r>
      <w:r w:rsidR="00DB646B" w:rsidRPr="00EC1AB2">
        <w:rPr>
          <w:rFonts w:ascii="Times New Roman" w:hAnsi="Times New Roman" w:cs="Times New Roman"/>
          <w:sz w:val="24"/>
          <w:szCs w:val="24"/>
        </w:rPr>
        <w:t xml:space="preserve">apribojimai nėra taikomi. </w:t>
      </w:r>
      <w:r w:rsidR="00A7051E" w:rsidRPr="00EC1AB2">
        <w:rPr>
          <w:rFonts w:ascii="Times New Roman" w:hAnsi="Times New Roman" w:cs="Times New Roman"/>
          <w:sz w:val="24"/>
          <w:szCs w:val="24"/>
        </w:rPr>
        <w:t>Reikia atkr</w:t>
      </w:r>
      <w:r w:rsidR="009E16E9" w:rsidRPr="00EC1AB2">
        <w:rPr>
          <w:rFonts w:ascii="Times New Roman" w:hAnsi="Times New Roman" w:cs="Times New Roman"/>
          <w:sz w:val="24"/>
          <w:szCs w:val="24"/>
        </w:rPr>
        <w:t xml:space="preserve">eipti dėmesį, kad </w:t>
      </w:r>
      <w:r w:rsidR="00AA3601" w:rsidRPr="00EC1AB2">
        <w:rPr>
          <w:rFonts w:ascii="Times New Roman" w:hAnsi="Times New Roman" w:cs="Times New Roman"/>
          <w:sz w:val="24"/>
          <w:szCs w:val="24"/>
        </w:rPr>
        <w:t>atlikto</w:t>
      </w:r>
      <w:r w:rsidR="001562C9" w:rsidRPr="00EC1AB2">
        <w:rPr>
          <w:rFonts w:ascii="Times New Roman" w:hAnsi="Times New Roman" w:cs="Times New Roman"/>
          <w:sz w:val="24"/>
          <w:szCs w:val="24"/>
        </w:rPr>
        <w:t xml:space="preserve"> tyrimo metu </w:t>
      </w:r>
      <w:r w:rsidR="00AA3601" w:rsidRPr="00EC1AB2">
        <w:rPr>
          <w:rFonts w:ascii="Times New Roman" w:hAnsi="Times New Roman" w:cs="Times New Roman"/>
          <w:sz w:val="24"/>
          <w:szCs w:val="24"/>
        </w:rPr>
        <w:t xml:space="preserve"> </w:t>
      </w:r>
      <w:r w:rsidR="001562C9" w:rsidRPr="00EC1AB2">
        <w:rPr>
          <w:rFonts w:ascii="Times New Roman" w:hAnsi="Times New Roman" w:cs="Times New Roman"/>
          <w:sz w:val="24"/>
          <w:szCs w:val="24"/>
        </w:rPr>
        <w:t>ekspertai</w:t>
      </w:r>
      <w:r w:rsidR="0040652D" w:rsidRPr="00EC1AB2">
        <w:rPr>
          <w:rFonts w:ascii="Times New Roman" w:hAnsi="Times New Roman" w:cs="Times New Roman"/>
          <w:sz w:val="24"/>
          <w:szCs w:val="24"/>
        </w:rPr>
        <w:t xml:space="preserve">, kaip veiksnį trukdantį plėtotis </w:t>
      </w:r>
      <w:r w:rsidR="00EB4E05" w:rsidRPr="00EC1AB2">
        <w:rPr>
          <w:rFonts w:ascii="Times New Roman" w:hAnsi="Times New Roman" w:cs="Times New Roman"/>
          <w:sz w:val="24"/>
          <w:szCs w:val="24"/>
        </w:rPr>
        <w:t>RKF Lietuvoje</w:t>
      </w:r>
      <w:r w:rsidR="002C0E8F" w:rsidRPr="00EC1AB2">
        <w:rPr>
          <w:rFonts w:ascii="Times New Roman" w:hAnsi="Times New Roman" w:cs="Times New Roman"/>
          <w:sz w:val="24"/>
          <w:szCs w:val="24"/>
        </w:rPr>
        <w:t>,</w:t>
      </w:r>
      <w:r w:rsidR="00EB4E05" w:rsidRPr="00EC1AB2">
        <w:rPr>
          <w:rFonts w:ascii="Times New Roman" w:hAnsi="Times New Roman" w:cs="Times New Roman"/>
          <w:sz w:val="24"/>
          <w:szCs w:val="24"/>
        </w:rPr>
        <w:t xml:space="preserve"> išskyrė, </w:t>
      </w:r>
      <w:r w:rsidR="009A0083" w:rsidRPr="00EC1AB2">
        <w:rPr>
          <w:rFonts w:ascii="Times New Roman" w:hAnsi="Times New Roman" w:cs="Times New Roman"/>
          <w:sz w:val="24"/>
          <w:szCs w:val="24"/>
        </w:rPr>
        <w:t xml:space="preserve">mažą </w:t>
      </w:r>
      <w:r w:rsidR="00EB4E05" w:rsidRPr="00EC1AB2">
        <w:rPr>
          <w:rFonts w:ascii="Times New Roman" w:hAnsi="Times New Roman" w:cs="Times New Roman"/>
          <w:sz w:val="24"/>
          <w:szCs w:val="24"/>
        </w:rPr>
        <w:t>pensijų fondų ir draudimo įmonių dalyvavimą</w:t>
      </w:r>
      <w:r w:rsidR="009A0083" w:rsidRPr="00EC1AB2">
        <w:rPr>
          <w:rFonts w:ascii="Times New Roman" w:hAnsi="Times New Roman" w:cs="Times New Roman"/>
          <w:sz w:val="24"/>
          <w:szCs w:val="24"/>
        </w:rPr>
        <w:t xml:space="preserve"> formuoja</w:t>
      </w:r>
      <w:r w:rsidR="00A73CF0" w:rsidRPr="00EC1AB2">
        <w:rPr>
          <w:rFonts w:ascii="Times New Roman" w:hAnsi="Times New Roman" w:cs="Times New Roman"/>
          <w:sz w:val="24"/>
          <w:szCs w:val="24"/>
        </w:rPr>
        <w:t>nt rizikos kapitalo investicijas</w:t>
      </w:r>
      <w:r w:rsidR="00EB4E05" w:rsidRPr="00EC1AB2">
        <w:rPr>
          <w:rFonts w:ascii="Times New Roman" w:hAnsi="Times New Roman" w:cs="Times New Roman"/>
          <w:sz w:val="24"/>
          <w:szCs w:val="24"/>
        </w:rPr>
        <w:t xml:space="preserve"> </w:t>
      </w:r>
      <w:r w:rsidR="00A73CF0" w:rsidRPr="00EC1AB2">
        <w:rPr>
          <w:rFonts w:ascii="Times New Roman" w:hAnsi="Times New Roman" w:cs="Times New Roman"/>
          <w:sz w:val="24"/>
          <w:szCs w:val="24"/>
        </w:rPr>
        <w:t>ne dėl taikomų apribojimų, o dėl jų menko susidomėjimo Lietuvos rinka ir investicijoms skirtų lėšų perkėlimą į kitas šalis</w:t>
      </w:r>
      <w:r w:rsidR="000A3A53" w:rsidRPr="00EC1AB2">
        <w:rPr>
          <w:rFonts w:ascii="Times New Roman" w:hAnsi="Times New Roman" w:cs="Times New Roman"/>
          <w:sz w:val="24"/>
          <w:szCs w:val="24"/>
        </w:rPr>
        <w:t xml:space="preserve">, todėl siekiant </w:t>
      </w:r>
      <w:r w:rsidR="005672B1" w:rsidRPr="00EC1AB2">
        <w:rPr>
          <w:rFonts w:ascii="Times New Roman" w:hAnsi="Times New Roman" w:cs="Times New Roman"/>
          <w:sz w:val="24"/>
          <w:szCs w:val="24"/>
        </w:rPr>
        <w:t>plėtoti rizikos kapitalo rinką</w:t>
      </w:r>
      <w:r w:rsidR="00B010EA" w:rsidRPr="00EC1AB2">
        <w:rPr>
          <w:rFonts w:ascii="Times New Roman" w:hAnsi="Times New Roman" w:cs="Times New Roman"/>
          <w:sz w:val="24"/>
          <w:szCs w:val="24"/>
        </w:rPr>
        <w:t xml:space="preserve"> Lietuvoje</w:t>
      </w:r>
      <w:r w:rsidR="005672B1" w:rsidRPr="00EC1AB2">
        <w:rPr>
          <w:rFonts w:ascii="Times New Roman" w:hAnsi="Times New Roman" w:cs="Times New Roman"/>
          <w:sz w:val="24"/>
          <w:szCs w:val="24"/>
        </w:rPr>
        <w:t xml:space="preserve">, reikėtų ne tik leisti investuoti </w:t>
      </w:r>
      <w:r w:rsidR="00B010EA" w:rsidRPr="00EC1AB2">
        <w:rPr>
          <w:rFonts w:ascii="Times New Roman" w:hAnsi="Times New Roman" w:cs="Times New Roman"/>
          <w:sz w:val="24"/>
          <w:szCs w:val="24"/>
        </w:rPr>
        <w:t xml:space="preserve">šiems, kaip rodo pasaulio praktika, pagrindiniams rizikos kapitalo investuotojams, tačiau </w:t>
      </w:r>
      <w:r w:rsidR="00024CD8" w:rsidRPr="00EC1AB2">
        <w:rPr>
          <w:rFonts w:ascii="Times New Roman" w:hAnsi="Times New Roman" w:cs="Times New Roman"/>
          <w:sz w:val="24"/>
          <w:szCs w:val="24"/>
        </w:rPr>
        <w:t>ir skatinti juos tai daryti Lietuvoje</w:t>
      </w:r>
      <w:r w:rsidR="00925BE5" w:rsidRPr="00EC1AB2">
        <w:rPr>
          <w:rFonts w:ascii="Times New Roman" w:hAnsi="Times New Roman" w:cs="Times New Roman"/>
          <w:sz w:val="24"/>
          <w:szCs w:val="24"/>
        </w:rPr>
        <w:t>, tai</w:t>
      </w:r>
      <w:r w:rsidR="003875CD" w:rsidRPr="00EC1AB2">
        <w:rPr>
          <w:rFonts w:ascii="Times New Roman" w:hAnsi="Times New Roman" w:cs="Times New Roman"/>
          <w:sz w:val="24"/>
          <w:szCs w:val="24"/>
        </w:rPr>
        <w:t xml:space="preserve">kant mokestines lengvatas. </w:t>
      </w:r>
      <w:r w:rsidR="00923798" w:rsidRPr="00EC1AB2">
        <w:rPr>
          <w:rFonts w:ascii="Times New Roman" w:hAnsi="Times New Roman" w:cs="Times New Roman"/>
          <w:sz w:val="24"/>
          <w:szCs w:val="24"/>
        </w:rPr>
        <w:t>Dėl šių mokestinių lengvatų, asmenims</w:t>
      </w:r>
      <w:r w:rsidR="0023358A" w:rsidRPr="00EC1AB2">
        <w:rPr>
          <w:rFonts w:ascii="Times New Roman" w:hAnsi="Times New Roman" w:cs="Times New Roman"/>
          <w:sz w:val="24"/>
          <w:szCs w:val="24"/>
        </w:rPr>
        <w:t>, investuojantie</w:t>
      </w:r>
      <w:r w:rsidR="00CE7F11" w:rsidRPr="00EC1AB2">
        <w:rPr>
          <w:rFonts w:ascii="Times New Roman" w:hAnsi="Times New Roman" w:cs="Times New Roman"/>
          <w:sz w:val="24"/>
          <w:szCs w:val="24"/>
        </w:rPr>
        <w:t>m</w:t>
      </w:r>
      <w:r w:rsidR="0023358A" w:rsidRPr="00EC1AB2">
        <w:rPr>
          <w:rFonts w:ascii="Times New Roman" w:hAnsi="Times New Roman" w:cs="Times New Roman"/>
          <w:sz w:val="24"/>
          <w:szCs w:val="24"/>
        </w:rPr>
        <w:t xml:space="preserve">s į RKF, Lietuva ir </w:t>
      </w:r>
      <w:r w:rsidR="0023358A" w:rsidRPr="00EC1AB2">
        <w:rPr>
          <w:rFonts w:ascii="Times New Roman" w:hAnsi="Times New Roman" w:cs="Times New Roman"/>
          <w:sz w:val="24"/>
          <w:szCs w:val="24"/>
        </w:rPr>
        <w:lastRenderedPageBreak/>
        <w:t xml:space="preserve">sulaukė daugiausiai priekaištų. </w:t>
      </w:r>
      <w:r w:rsidR="001C2638" w:rsidRPr="00EC1AB2">
        <w:rPr>
          <w:rFonts w:ascii="Times New Roman" w:hAnsi="Times New Roman" w:cs="Times New Roman"/>
          <w:sz w:val="24"/>
          <w:szCs w:val="24"/>
        </w:rPr>
        <w:t xml:space="preserve">Prie neigiamų aspektų taip pat buvo paminėtas valdytojo dalies apmokestinimas gyventojų pajamų mokesčiu. </w:t>
      </w:r>
      <w:r w:rsidR="00EE25D7" w:rsidRPr="00EC1AB2">
        <w:rPr>
          <w:rFonts w:ascii="Times New Roman" w:hAnsi="Times New Roman" w:cs="Times New Roman"/>
          <w:sz w:val="24"/>
          <w:szCs w:val="24"/>
        </w:rPr>
        <w:t>EVCA ataskaitoje pabrėžta, kad Lietuva neturi</w:t>
      </w:r>
      <w:r w:rsidR="00941F82" w:rsidRPr="00EC1AB2">
        <w:rPr>
          <w:rFonts w:ascii="Times New Roman" w:hAnsi="Times New Roman" w:cs="Times New Roman"/>
          <w:sz w:val="24"/>
          <w:szCs w:val="24"/>
        </w:rPr>
        <w:t xml:space="preserve"> specifinių mokestinių lengvatų, skatinančių jaunų ir inovatyvių įmonių plėtrą ankstyvo</w:t>
      </w:r>
      <w:r w:rsidR="00EE25D7" w:rsidRPr="00EC1AB2">
        <w:rPr>
          <w:rFonts w:ascii="Times New Roman" w:hAnsi="Times New Roman" w:cs="Times New Roman"/>
          <w:sz w:val="24"/>
          <w:szCs w:val="24"/>
        </w:rPr>
        <w:t xml:space="preserve">je veiklos stadijoje tik patvirtino ekspertinio tyrimo metu gautą informaciją, kad Lietuvai, iš tikrųjų trūksta </w:t>
      </w:r>
      <w:r w:rsidR="004628F2" w:rsidRPr="00EC1AB2">
        <w:rPr>
          <w:rFonts w:ascii="Times New Roman" w:eastAsia="Times New Roman" w:hAnsi="Times New Roman" w:cs="Times New Roman"/>
          <w:sz w:val="24"/>
          <w:szCs w:val="24"/>
          <w:lang w:eastAsia="lt-LT"/>
        </w:rPr>
        <w:t>mokestinių lengvatų jaunoms technologinėms įmonėms.</w:t>
      </w:r>
      <w:r w:rsidR="00560FA4" w:rsidRPr="00EC1AB2">
        <w:rPr>
          <w:rFonts w:ascii="Times New Roman" w:eastAsia="Times New Roman" w:hAnsi="Times New Roman" w:cs="Times New Roman"/>
          <w:sz w:val="24"/>
          <w:szCs w:val="24"/>
          <w:lang w:eastAsia="lt-LT"/>
        </w:rPr>
        <w:t xml:space="preserve"> Šioje ataskaitoje paminėta, kad</w:t>
      </w:r>
      <w:r w:rsidR="003E37C2" w:rsidRPr="00EC1AB2">
        <w:rPr>
          <w:rFonts w:ascii="Times New Roman" w:eastAsia="Times New Roman" w:hAnsi="Times New Roman" w:cs="Times New Roman"/>
          <w:sz w:val="24"/>
          <w:szCs w:val="24"/>
          <w:lang w:eastAsia="lt-LT"/>
        </w:rPr>
        <w:t xml:space="preserve"> Lietuva neskatina MTEP, tačiau, kaip jau minėta</w:t>
      </w:r>
      <w:r w:rsidR="007E1225" w:rsidRPr="00EC1AB2">
        <w:rPr>
          <w:rFonts w:ascii="Times New Roman" w:eastAsia="Times New Roman" w:hAnsi="Times New Roman" w:cs="Times New Roman"/>
          <w:sz w:val="24"/>
          <w:szCs w:val="24"/>
          <w:lang w:eastAsia="lt-LT"/>
        </w:rPr>
        <w:t xml:space="preserve"> įmonėms </w:t>
      </w:r>
      <w:r w:rsidR="00D24E79" w:rsidRPr="00EC1AB2">
        <w:rPr>
          <w:rFonts w:ascii="Times New Roman" w:eastAsia="Times New Roman" w:hAnsi="Times New Roman" w:cs="Times New Roman"/>
          <w:sz w:val="24"/>
          <w:szCs w:val="24"/>
          <w:lang w:eastAsia="lt-LT"/>
        </w:rPr>
        <w:t xml:space="preserve">patiriančios išlaidas MTEP 2008 m. pradėtos </w:t>
      </w:r>
      <w:r w:rsidR="00D24E79" w:rsidRPr="00EC1AB2">
        <w:rPr>
          <w:rFonts w:ascii="Times New Roman" w:hAnsi="Times New Roman" w:cs="Times New Roman"/>
          <w:bCs/>
          <w:sz w:val="24"/>
          <w:szCs w:val="24"/>
        </w:rPr>
        <w:t>taikyti</w:t>
      </w:r>
      <w:r w:rsidR="00912AA7" w:rsidRPr="00EC1AB2">
        <w:rPr>
          <w:rFonts w:ascii="Times New Roman" w:hAnsi="Times New Roman" w:cs="Times New Roman"/>
          <w:bCs/>
          <w:sz w:val="24"/>
          <w:szCs w:val="24"/>
        </w:rPr>
        <w:t xml:space="preserve"> pel</w:t>
      </w:r>
      <w:r w:rsidR="004E1765" w:rsidRPr="00EC1AB2">
        <w:rPr>
          <w:rFonts w:ascii="Times New Roman" w:hAnsi="Times New Roman" w:cs="Times New Roman"/>
          <w:bCs/>
          <w:sz w:val="24"/>
          <w:szCs w:val="24"/>
        </w:rPr>
        <w:t>no mokesčio lengvatos, todėl šį pelno mokesčio įstatymo pakeitimą galima priskirti prie stipriųjų</w:t>
      </w:r>
      <w:r w:rsidR="008F5127" w:rsidRPr="00EC1AB2">
        <w:rPr>
          <w:rFonts w:ascii="Times New Roman" w:hAnsi="Times New Roman" w:cs="Times New Roman"/>
          <w:bCs/>
          <w:sz w:val="24"/>
          <w:szCs w:val="24"/>
        </w:rPr>
        <w:t xml:space="preserve"> Lietuvos pusių.</w:t>
      </w:r>
    </w:p>
    <w:p w:rsidR="0088765D" w:rsidRPr="00EC1AB2" w:rsidRDefault="007B3BAB"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A.Groh, H. Liechtenstein, </w:t>
      </w:r>
      <w:r w:rsidRPr="00EC1AB2">
        <w:rPr>
          <w:rFonts w:ascii="Times New Roman" w:hAnsi="Times New Roman" w:cs="Times New Roman"/>
          <w:iCs/>
          <w:sz w:val="24"/>
          <w:szCs w:val="24"/>
        </w:rPr>
        <w:t>Karsten Lieser</w:t>
      </w:r>
      <w:r w:rsidRPr="00EC1AB2">
        <w:rPr>
          <w:rFonts w:ascii="Times New Roman" w:hAnsi="Times New Roman" w:cs="Times New Roman"/>
          <w:sz w:val="24"/>
          <w:szCs w:val="24"/>
        </w:rPr>
        <w:t xml:space="preserve"> kartu su audito įmone „Ernst&amp;Young”</w:t>
      </w:r>
      <w:r w:rsidR="00762F61" w:rsidRPr="00EC1AB2">
        <w:rPr>
          <w:rFonts w:ascii="Times New Roman" w:hAnsi="Times New Roman" w:cs="Times New Roman"/>
          <w:sz w:val="24"/>
          <w:szCs w:val="24"/>
        </w:rPr>
        <w:t xml:space="preserve"> kiekvienais metais</w:t>
      </w:r>
      <w:r w:rsidRPr="00EC1AB2">
        <w:rPr>
          <w:rFonts w:ascii="Times New Roman" w:hAnsi="Times New Roman" w:cs="Times New Roman"/>
          <w:sz w:val="24"/>
          <w:szCs w:val="24"/>
        </w:rPr>
        <w:t xml:space="preserve">, kaip jau minėta, </w:t>
      </w:r>
      <w:r w:rsidR="00C149E8" w:rsidRPr="00EC1AB2">
        <w:rPr>
          <w:rFonts w:ascii="Times New Roman" w:hAnsi="Times New Roman" w:cs="Times New Roman"/>
          <w:sz w:val="24"/>
          <w:szCs w:val="24"/>
        </w:rPr>
        <w:t xml:space="preserve">skaičiuoja </w:t>
      </w:r>
      <w:r w:rsidR="00C149E8" w:rsidRPr="00EC1AB2">
        <w:rPr>
          <w:rFonts w:ascii="Times New Roman" w:hAnsi="Times New Roman" w:cs="Times New Roman"/>
          <w:bCs/>
          <w:i/>
          <w:sz w:val="24"/>
          <w:szCs w:val="24"/>
        </w:rPr>
        <w:t>The Global Venture Capital and Private Equity</w:t>
      </w:r>
      <w:r w:rsidR="00C149E8" w:rsidRPr="00EC1AB2">
        <w:rPr>
          <w:rFonts w:ascii="Times New Roman" w:hAnsi="Times New Roman" w:cs="Times New Roman"/>
          <w:bCs/>
          <w:i/>
          <w:sz w:val="24"/>
          <w:szCs w:val="24"/>
        </w:rPr>
        <w:br/>
        <w:t>Country Attractiveness Index</w:t>
      </w:r>
      <w:r w:rsidR="00046F92" w:rsidRPr="00EC1AB2">
        <w:rPr>
          <w:rFonts w:ascii="Times New Roman" w:hAnsi="Times New Roman" w:cs="Times New Roman"/>
          <w:i/>
          <w:sz w:val="24"/>
          <w:szCs w:val="24"/>
        </w:rPr>
        <w:t xml:space="preserve"> </w:t>
      </w:r>
      <w:r w:rsidR="00A008C8" w:rsidRPr="00EC1AB2">
        <w:rPr>
          <w:rFonts w:ascii="Times New Roman" w:hAnsi="Times New Roman" w:cs="Times New Roman"/>
          <w:sz w:val="24"/>
          <w:szCs w:val="24"/>
        </w:rPr>
        <w:t>aštuoniasdešimčiai pasaulio valstybių</w:t>
      </w:r>
      <w:r w:rsidR="00046F92" w:rsidRPr="00EC1AB2">
        <w:rPr>
          <w:rFonts w:ascii="Times New Roman" w:hAnsi="Times New Roman" w:cs="Times New Roman"/>
          <w:sz w:val="24"/>
          <w:szCs w:val="24"/>
        </w:rPr>
        <w:t xml:space="preserve"> iš</w:t>
      </w:r>
      <w:r w:rsidR="00A008C8" w:rsidRPr="00EC1AB2">
        <w:rPr>
          <w:rFonts w:ascii="Times New Roman" w:hAnsi="Times New Roman" w:cs="Times New Roman"/>
          <w:sz w:val="24"/>
          <w:szCs w:val="24"/>
        </w:rPr>
        <w:t>sidėsčiusių</w:t>
      </w:r>
      <w:r w:rsidR="00180992" w:rsidRPr="00EC1AB2">
        <w:rPr>
          <w:rFonts w:ascii="Times New Roman" w:hAnsi="Times New Roman" w:cs="Times New Roman"/>
          <w:sz w:val="24"/>
          <w:szCs w:val="24"/>
        </w:rPr>
        <w:t xml:space="preserve"> visuose žemynuose. </w:t>
      </w:r>
      <w:r w:rsidR="0095790A" w:rsidRPr="00EC1AB2">
        <w:rPr>
          <w:rFonts w:ascii="Times New Roman" w:hAnsi="Times New Roman" w:cs="Times New Roman"/>
          <w:sz w:val="24"/>
          <w:szCs w:val="24"/>
        </w:rPr>
        <w:t>Šis indeksas sudaromas remiantis šešias aspektais: ekonominiu šalies aktyvumu, kapitalo rinkos gilumu, mokesčių sistemos patrauklumu</w:t>
      </w:r>
      <w:r w:rsidR="005B2AD7" w:rsidRPr="00EC1AB2">
        <w:rPr>
          <w:rFonts w:ascii="Times New Roman" w:hAnsi="Times New Roman" w:cs="Times New Roman"/>
          <w:sz w:val="24"/>
          <w:szCs w:val="24"/>
        </w:rPr>
        <w:t xml:space="preserve"> bei investuotojų apsauga ir organizacijų valdymu. </w:t>
      </w:r>
      <w:r w:rsidR="00FE61CC" w:rsidRPr="00EC1AB2">
        <w:rPr>
          <w:rFonts w:ascii="Times New Roman" w:hAnsi="Times New Roman" w:cs="Times New Roman"/>
          <w:sz w:val="24"/>
          <w:szCs w:val="24"/>
        </w:rPr>
        <w:t xml:space="preserve">Lietuva 2011 m. įvertinta </w:t>
      </w:r>
      <w:r w:rsidR="00A008C8" w:rsidRPr="00EC1AB2">
        <w:rPr>
          <w:rFonts w:ascii="Times New Roman" w:hAnsi="Times New Roman" w:cs="Times New Roman"/>
          <w:sz w:val="24"/>
          <w:szCs w:val="24"/>
        </w:rPr>
        <w:t>57 vieta iš 80, Estija – 4</w:t>
      </w:r>
      <w:r w:rsidR="009D067E" w:rsidRPr="00EC1AB2">
        <w:rPr>
          <w:rFonts w:ascii="Times New Roman" w:hAnsi="Times New Roman" w:cs="Times New Roman"/>
          <w:sz w:val="24"/>
          <w:szCs w:val="24"/>
        </w:rPr>
        <w:t xml:space="preserve">7, o Latvija – 67. </w:t>
      </w:r>
      <w:r w:rsidR="002323AE" w:rsidRPr="00EC1AB2">
        <w:rPr>
          <w:rFonts w:ascii="Times New Roman" w:hAnsi="Times New Roman" w:cs="Times New Roman"/>
          <w:sz w:val="24"/>
          <w:szCs w:val="24"/>
        </w:rPr>
        <w:t xml:space="preserve">Taip pat verta paminėti, kad pirmoje vietoje buvo JAV, o paskutinėje, iš visų reitinguotų šalių </w:t>
      </w:r>
      <w:r w:rsidR="00D40C9E" w:rsidRPr="00EC1AB2">
        <w:rPr>
          <w:rFonts w:ascii="Times New Roman" w:hAnsi="Times New Roman" w:cs="Times New Roman"/>
          <w:sz w:val="24"/>
          <w:szCs w:val="24"/>
        </w:rPr>
        <w:t xml:space="preserve">Kirgizija. </w:t>
      </w:r>
    </w:p>
    <w:p w:rsidR="00AC4DD6" w:rsidRPr="00EC1AB2" w:rsidRDefault="00AC4DD6"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Reikia paminėti, kad nuo 2007</w:t>
      </w:r>
      <w:r w:rsidR="0088765D" w:rsidRPr="00EC1AB2">
        <w:rPr>
          <w:rFonts w:ascii="Times New Roman" w:hAnsi="Times New Roman" w:cs="Times New Roman"/>
          <w:sz w:val="24"/>
          <w:szCs w:val="24"/>
        </w:rPr>
        <w:t xml:space="preserve"> m., kuomet Lietuvai buvo pradėtas skaičiuo</w:t>
      </w:r>
      <w:r w:rsidRPr="00EC1AB2">
        <w:rPr>
          <w:rFonts w:ascii="Times New Roman" w:hAnsi="Times New Roman" w:cs="Times New Roman"/>
          <w:sz w:val="24"/>
          <w:szCs w:val="24"/>
        </w:rPr>
        <w:t>tis šis indeksas, ji  nukrito 11</w:t>
      </w:r>
      <w:r w:rsidR="0088765D" w:rsidRPr="00EC1AB2">
        <w:rPr>
          <w:rFonts w:ascii="Times New Roman" w:hAnsi="Times New Roman" w:cs="Times New Roman"/>
          <w:sz w:val="24"/>
          <w:szCs w:val="24"/>
        </w:rPr>
        <w:t xml:space="preserve"> po</w:t>
      </w:r>
      <w:r w:rsidRPr="00EC1AB2">
        <w:rPr>
          <w:rFonts w:ascii="Times New Roman" w:hAnsi="Times New Roman" w:cs="Times New Roman"/>
          <w:sz w:val="24"/>
          <w:szCs w:val="24"/>
        </w:rPr>
        <w:t>zicijų</w:t>
      </w:r>
      <w:r w:rsidR="0088765D" w:rsidRPr="00EC1AB2">
        <w:rPr>
          <w:rFonts w:ascii="Times New Roman" w:hAnsi="Times New Roman" w:cs="Times New Roman"/>
          <w:sz w:val="24"/>
          <w:szCs w:val="24"/>
        </w:rPr>
        <w:t xml:space="preserve"> žemys. </w:t>
      </w:r>
      <w:r w:rsidR="00511EB9" w:rsidRPr="00EC1AB2">
        <w:rPr>
          <w:rFonts w:ascii="Times New Roman" w:hAnsi="Times New Roman" w:cs="Times New Roman"/>
          <w:sz w:val="24"/>
          <w:szCs w:val="24"/>
        </w:rPr>
        <w:t>Palyginimui pat</w:t>
      </w:r>
      <w:r w:rsidRPr="00EC1AB2">
        <w:rPr>
          <w:rFonts w:ascii="Times New Roman" w:hAnsi="Times New Roman" w:cs="Times New Roman"/>
          <w:sz w:val="24"/>
          <w:szCs w:val="24"/>
        </w:rPr>
        <w:t>eikiamas detalesni</w:t>
      </w:r>
      <w:r w:rsidR="00ED2463" w:rsidRPr="00EC1AB2">
        <w:rPr>
          <w:rFonts w:ascii="Times New Roman" w:hAnsi="Times New Roman" w:cs="Times New Roman"/>
          <w:sz w:val="24"/>
          <w:szCs w:val="24"/>
        </w:rPr>
        <w:t xml:space="preserve"> indekso įve</w:t>
      </w:r>
      <w:r w:rsidR="00177C92" w:rsidRPr="00EC1AB2">
        <w:rPr>
          <w:rFonts w:ascii="Times New Roman" w:hAnsi="Times New Roman" w:cs="Times New Roman"/>
          <w:sz w:val="24"/>
          <w:szCs w:val="24"/>
        </w:rPr>
        <w:t>r</w:t>
      </w:r>
      <w:r w:rsidR="00ED2463" w:rsidRPr="00EC1AB2">
        <w:rPr>
          <w:rFonts w:ascii="Times New Roman" w:hAnsi="Times New Roman" w:cs="Times New Roman"/>
          <w:sz w:val="24"/>
          <w:szCs w:val="24"/>
        </w:rPr>
        <w:t xml:space="preserve">tinimai (žr. </w:t>
      </w:r>
      <w:r w:rsidR="00AF22EE" w:rsidRPr="00EC1AB2">
        <w:rPr>
          <w:rFonts w:ascii="Times New Roman" w:hAnsi="Times New Roman" w:cs="Times New Roman"/>
          <w:sz w:val="24"/>
          <w:szCs w:val="24"/>
        </w:rPr>
        <w:t>9</w:t>
      </w:r>
      <w:r w:rsidR="00C51AAB" w:rsidRPr="00EC1AB2">
        <w:rPr>
          <w:rFonts w:ascii="Times New Roman" w:hAnsi="Times New Roman" w:cs="Times New Roman"/>
          <w:sz w:val="24"/>
          <w:szCs w:val="24"/>
        </w:rPr>
        <w:t xml:space="preserve"> lent.).</w:t>
      </w:r>
    </w:p>
    <w:p w:rsidR="002530F4" w:rsidRPr="00EC1AB2" w:rsidRDefault="002530F4" w:rsidP="007A02A8">
      <w:pPr>
        <w:spacing w:after="0" w:line="360" w:lineRule="auto"/>
        <w:jc w:val="both"/>
        <w:rPr>
          <w:rFonts w:ascii="Times New Roman" w:hAnsi="Times New Roman" w:cs="Times New Roman"/>
          <w:sz w:val="24"/>
          <w:szCs w:val="24"/>
        </w:rPr>
      </w:pPr>
    </w:p>
    <w:p w:rsidR="00AC4DD6" w:rsidRPr="00EC1AB2" w:rsidRDefault="002530F4" w:rsidP="007A02A8">
      <w:pPr>
        <w:pStyle w:val="Heading4"/>
        <w:spacing w:before="0" w:line="360" w:lineRule="auto"/>
        <w:jc w:val="center"/>
        <w:rPr>
          <w:rFonts w:ascii="Times New Roman" w:hAnsi="Times New Roman" w:cs="Times New Roman"/>
          <w:i w:val="0"/>
          <w:color w:val="auto"/>
          <w:sz w:val="24"/>
          <w:szCs w:val="24"/>
        </w:rPr>
      </w:pPr>
      <w:bookmarkStart w:id="190" w:name="_Toc320761940"/>
      <w:bookmarkStart w:id="191" w:name="_Toc320762175"/>
      <w:bookmarkStart w:id="192" w:name="_Toc320762578"/>
      <w:r w:rsidRPr="00EC1AB2">
        <w:rPr>
          <w:rFonts w:ascii="Times New Roman" w:hAnsi="Times New Roman" w:cs="Times New Roman"/>
          <w:b w:val="0"/>
          <w:i w:val="0"/>
          <w:color w:val="auto"/>
          <w:sz w:val="24"/>
          <w:szCs w:val="24"/>
        </w:rPr>
        <w:t>10</w:t>
      </w:r>
      <w:r w:rsidR="00D80750" w:rsidRPr="00EC1AB2">
        <w:rPr>
          <w:rFonts w:ascii="Times New Roman" w:hAnsi="Times New Roman" w:cs="Times New Roman"/>
          <w:b w:val="0"/>
          <w:i w:val="0"/>
          <w:color w:val="auto"/>
          <w:sz w:val="24"/>
          <w:szCs w:val="24"/>
        </w:rPr>
        <w:t xml:space="preserve"> lentelė.</w:t>
      </w:r>
      <w:r w:rsidR="00D80750" w:rsidRPr="00EC1AB2">
        <w:rPr>
          <w:rFonts w:ascii="Times New Roman" w:hAnsi="Times New Roman" w:cs="Times New Roman"/>
          <w:i w:val="0"/>
          <w:color w:val="auto"/>
          <w:sz w:val="24"/>
          <w:szCs w:val="24"/>
        </w:rPr>
        <w:t xml:space="preserve"> </w:t>
      </w:r>
      <w:r w:rsidR="00D96BD7" w:rsidRPr="00EC1AB2">
        <w:rPr>
          <w:rFonts w:ascii="Times New Roman" w:hAnsi="Times New Roman" w:cs="Times New Roman"/>
          <w:i w:val="0"/>
          <w:color w:val="auto"/>
          <w:sz w:val="24"/>
          <w:szCs w:val="24"/>
        </w:rPr>
        <w:t xml:space="preserve">Šalies patrauklumo rizikos ir privataus kapitalo investicijoms </w:t>
      </w:r>
      <w:bookmarkEnd w:id="190"/>
      <w:bookmarkEnd w:id="191"/>
      <w:bookmarkEnd w:id="192"/>
      <w:r w:rsidR="00D96BD7" w:rsidRPr="00EC1AB2">
        <w:rPr>
          <w:rFonts w:ascii="Times New Roman" w:hAnsi="Times New Roman" w:cs="Times New Roman"/>
          <w:i w:val="0"/>
          <w:color w:val="auto"/>
          <w:sz w:val="24"/>
          <w:szCs w:val="24"/>
        </w:rPr>
        <w:t>indeksas</w:t>
      </w:r>
    </w:p>
    <w:p w:rsidR="00D80750" w:rsidRPr="00EC1AB2" w:rsidRDefault="00D80750" w:rsidP="007A02A8">
      <w:pPr>
        <w:spacing w:after="0" w:line="36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800"/>
        <w:gridCol w:w="1683"/>
      </w:tblGrid>
      <w:tr w:rsidR="00F25E1F" w:rsidRPr="00EC1AB2" w:rsidTr="00F3420B">
        <w:trPr>
          <w:trHeight w:val="288"/>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jc w:val="center"/>
              <w:rPr>
                <w:rFonts w:ascii="Times New Roman" w:hAnsi="Times New Roman" w:cs="Times New Roman"/>
                <w:b/>
                <w:sz w:val="20"/>
                <w:szCs w:val="20"/>
              </w:rPr>
            </w:pP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b/>
                <w:sz w:val="20"/>
                <w:szCs w:val="20"/>
              </w:rPr>
            </w:pPr>
            <w:r w:rsidRPr="00EC1AB2">
              <w:rPr>
                <w:rFonts w:ascii="Times New Roman" w:hAnsi="Times New Roman" w:cs="Times New Roman"/>
                <w:b/>
                <w:sz w:val="20"/>
                <w:szCs w:val="20"/>
              </w:rPr>
              <w:t>2007</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b/>
                <w:sz w:val="20"/>
                <w:szCs w:val="20"/>
              </w:rPr>
            </w:pPr>
            <w:r w:rsidRPr="00EC1AB2">
              <w:rPr>
                <w:rFonts w:ascii="Times New Roman" w:hAnsi="Times New Roman" w:cs="Times New Roman"/>
                <w:b/>
                <w:sz w:val="20"/>
                <w:szCs w:val="20"/>
              </w:rPr>
              <w:t>2011</w:t>
            </w:r>
          </w:p>
        </w:tc>
      </w:tr>
      <w:tr w:rsidR="00F25E1F" w:rsidRPr="00EC1AB2" w:rsidTr="00F3420B">
        <w:trPr>
          <w:trHeight w:val="288"/>
          <w:jc w:val="center"/>
        </w:trPr>
        <w:tc>
          <w:tcPr>
            <w:tcW w:w="4788" w:type="dxa"/>
            <w:shd w:val="clear" w:color="auto" w:fill="auto"/>
            <w:vAlign w:val="center"/>
          </w:tcPr>
          <w:p w:rsidR="00D80750" w:rsidRPr="00EC1AB2" w:rsidRDefault="00D80750" w:rsidP="007A02A8">
            <w:pPr>
              <w:autoSpaceDE w:val="0"/>
              <w:autoSpaceDN w:val="0"/>
              <w:adjustRightInd w:val="0"/>
              <w:spacing w:after="0" w:line="360" w:lineRule="auto"/>
              <w:rPr>
                <w:rFonts w:ascii="Times New Roman" w:hAnsi="Times New Roman" w:cs="Times New Roman"/>
                <w:b/>
                <w:sz w:val="20"/>
                <w:szCs w:val="20"/>
              </w:rPr>
            </w:pPr>
            <w:r w:rsidRPr="00EC1AB2">
              <w:rPr>
                <w:rFonts w:ascii="Times New Roman" w:hAnsi="Times New Roman" w:cs="Times New Roman"/>
                <w:b/>
                <w:sz w:val="20"/>
                <w:szCs w:val="20"/>
              </w:rPr>
              <w:t>Bendras reitingas</w:t>
            </w:r>
          </w:p>
        </w:tc>
        <w:tc>
          <w:tcPr>
            <w:tcW w:w="1800" w:type="dxa"/>
            <w:shd w:val="clear" w:color="auto" w:fill="auto"/>
            <w:vAlign w:val="center"/>
          </w:tcPr>
          <w:p w:rsidR="00D80750" w:rsidRPr="00EC1AB2" w:rsidRDefault="00D80750" w:rsidP="007A02A8">
            <w:pPr>
              <w:autoSpaceDE w:val="0"/>
              <w:autoSpaceDN w:val="0"/>
              <w:adjustRightInd w:val="0"/>
              <w:spacing w:after="0" w:line="360" w:lineRule="auto"/>
              <w:jc w:val="center"/>
              <w:rPr>
                <w:rFonts w:ascii="Times New Roman" w:hAnsi="Times New Roman" w:cs="Times New Roman"/>
                <w:b/>
                <w:sz w:val="20"/>
                <w:szCs w:val="20"/>
              </w:rPr>
            </w:pPr>
            <w:r w:rsidRPr="00EC1AB2">
              <w:rPr>
                <w:rFonts w:ascii="Times New Roman" w:hAnsi="Times New Roman" w:cs="Times New Roman"/>
                <w:b/>
                <w:sz w:val="20"/>
                <w:szCs w:val="20"/>
              </w:rPr>
              <w:t>46</w:t>
            </w:r>
          </w:p>
        </w:tc>
        <w:tc>
          <w:tcPr>
            <w:tcW w:w="1683" w:type="dxa"/>
            <w:shd w:val="clear" w:color="auto" w:fill="auto"/>
            <w:vAlign w:val="center"/>
          </w:tcPr>
          <w:p w:rsidR="00D80750" w:rsidRPr="00EC1AB2" w:rsidRDefault="00D80750" w:rsidP="007A02A8">
            <w:pPr>
              <w:autoSpaceDE w:val="0"/>
              <w:autoSpaceDN w:val="0"/>
              <w:adjustRightInd w:val="0"/>
              <w:spacing w:after="0" w:line="360" w:lineRule="auto"/>
              <w:jc w:val="center"/>
              <w:rPr>
                <w:rFonts w:ascii="Times New Roman" w:hAnsi="Times New Roman" w:cs="Times New Roman"/>
                <w:b/>
                <w:sz w:val="20"/>
                <w:szCs w:val="20"/>
              </w:rPr>
            </w:pPr>
            <w:r w:rsidRPr="00EC1AB2">
              <w:rPr>
                <w:rFonts w:ascii="Times New Roman" w:hAnsi="Times New Roman" w:cs="Times New Roman"/>
                <w:b/>
                <w:sz w:val="20"/>
                <w:szCs w:val="20"/>
              </w:rPr>
              <w:t>57</w:t>
            </w:r>
          </w:p>
        </w:tc>
      </w:tr>
      <w:tr w:rsidR="00F25E1F" w:rsidRPr="00EC1AB2" w:rsidTr="00F3420B">
        <w:trPr>
          <w:trHeight w:val="228"/>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Ekonominis aktyvumas</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30</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71</w:t>
            </w:r>
          </w:p>
        </w:tc>
      </w:tr>
      <w:tr w:rsidR="00F25E1F" w:rsidRPr="00EC1AB2" w:rsidTr="00F3420B">
        <w:trPr>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Kapitalo rinkos gilumas</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57</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60</w:t>
            </w:r>
          </w:p>
        </w:tc>
      </w:tr>
      <w:tr w:rsidR="00F25E1F" w:rsidRPr="00EC1AB2" w:rsidTr="00F3420B">
        <w:trPr>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Mokesčių sistema</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9</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32</w:t>
            </w:r>
          </w:p>
        </w:tc>
      </w:tr>
      <w:tr w:rsidR="00F25E1F" w:rsidRPr="00EC1AB2" w:rsidTr="00F3420B">
        <w:trPr>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Investuotojų apsauga ir organizacijų valdymas</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36</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37</w:t>
            </w:r>
          </w:p>
        </w:tc>
      </w:tr>
      <w:tr w:rsidR="00F25E1F" w:rsidRPr="00EC1AB2" w:rsidTr="00F3420B">
        <w:trPr>
          <w:jc w:val="center"/>
        </w:trPr>
        <w:tc>
          <w:tcPr>
            <w:tcW w:w="4788" w:type="dxa"/>
            <w:shd w:val="clear" w:color="auto" w:fill="auto"/>
            <w:vAlign w:val="center"/>
          </w:tcPr>
          <w:p w:rsidR="002A7A3E" w:rsidRPr="00EC1AB2" w:rsidRDefault="002A7A3E"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Socialinė aplinka</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42</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45</w:t>
            </w:r>
          </w:p>
        </w:tc>
      </w:tr>
      <w:tr w:rsidR="002A7A3E" w:rsidRPr="00EC1AB2" w:rsidTr="00F3420B">
        <w:trPr>
          <w:jc w:val="center"/>
        </w:trPr>
        <w:tc>
          <w:tcPr>
            <w:tcW w:w="4788" w:type="dxa"/>
            <w:shd w:val="clear" w:color="auto" w:fill="auto"/>
            <w:vAlign w:val="center"/>
          </w:tcPr>
          <w:p w:rsidR="002A7A3E" w:rsidRPr="00EC1AB2" w:rsidRDefault="0052555C" w:rsidP="007A02A8">
            <w:pPr>
              <w:autoSpaceDE w:val="0"/>
              <w:autoSpaceDN w:val="0"/>
              <w:adjustRightInd w:val="0"/>
              <w:spacing w:after="0" w:line="360" w:lineRule="auto"/>
              <w:rPr>
                <w:rFonts w:ascii="Times New Roman" w:hAnsi="Times New Roman" w:cs="Times New Roman"/>
                <w:sz w:val="20"/>
                <w:szCs w:val="20"/>
              </w:rPr>
            </w:pPr>
            <w:r w:rsidRPr="00EC1AB2">
              <w:rPr>
                <w:rFonts w:ascii="Times New Roman" w:hAnsi="Times New Roman" w:cs="Times New Roman"/>
                <w:sz w:val="20"/>
                <w:szCs w:val="20"/>
              </w:rPr>
              <w:t>Antrepreneriška</w:t>
            </w:r>
            <w:r w:rsidR="002A7A3E" w:rsidRPr="00EC1AB2">
              <w:rPr>
                <w:rFonts w:ascii="Times New Roman" w:hAnsi="Times New Roman" w:cs="Times New Roman"/>
                <w:sz w:val="20"/>
                <w:szCs w:val="20"/>
              </w:rPr>
              <w:t xml:space="preserve"> kultūra ir jos galimybės</w:t>
            </w:r>
          </w:p>
        </w:tc>
        <w:tc>
          <w:tcPr>
            <w:tcW w:w="1800"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34</w:t>
            </w:r>
          </w:p>
        </w:tc>
        <w:tc>
          <w:tcPr>
            <w:tcW w:w="1683" w:type="dxa"/>
            <w:shd w:val="clear" w:color="auto" w:fill="auto"/>
            <w:vAlign w:val="center"/>
          </w:tcPr>
          <w:p w:rsidR="002A7A3E" w:rsidRPr="00EC1AB2" w:rsidRDefault="00D80750" w:rsidP="007A02A8">
            <w:pPr>
              <w:autoSpaceDE w:val="0"/>
              <w:autoSpaceDN w:val="0"/>
              <w:adjustRightInd w:val="0"/>
              <w:spacing w:after="0" w:line="360" w:lineRule="auto"/>
              <w:jc w:val="center"/>
              <w:rPr>
                <w:rFonts w:ascii="Times New Roman" w:hAnsi="Times New Roman" w:cs="Times New Roman"/>
                <w:sz w:val="20"/>
                <w:szCs w:val="20"/>
              </w:rPr>
            </w:pPr>
            <w:r w:rsidRPr="00EC1AB2">
              <w:rPr>
                <w:rFonts w:ascii="Times New Roman" w:hAnsi="Times New Roman" w:cs="Times New Roman"/>
                <w:sz w:val="20"/>
                <w:szCs w:val="20"/>
              </w:rPr>
              <w:t>35</w:t>
            </w:r>
          </w:p>
        </w:tc>
      </w:tr>
    </w:tbl>
    <w:p w:rsidR="002A7A3E" w:rsidRPr="00EC1AB2" w:rsidRDefault="002A7A3E" w:rsidP="007A02A8">
      <w:pPr>
        <w:spacing w:after="0" w:line="360" w:lineRule="auto"/>
        <w:jc w:val="center"/>
        <w:rPr>
          <w:rFonts w:ascii="Times New Roman" w:hAnsi="Times New Roman" w:cs="Times New Roman"/>
          <w:sz w:val="24"/>
          <w:szCs w:val="24"/>
        </w:rPr>
      </w:pPr>
    </w:p>
    <w:p w:rsidR="00D80750" w:rsidRPr="00EC1AB2" w:rsidRDefault="00D80750" w:rsidP="007A02A8">
      <w:pPr>
        <w:spacing w:after="0" w:line="360" w:lineRule="auto"/>
        <w:ind w:firstLine="1296"/>
        <w:rPr>
          <w:rFonts w:ascii="Times New Roman" w:hAnsi="Times New Roman" w:cs="Times New Roman"/>
          <w:sz w:val="20"/>
          <w:szCs w:val="20"/>
        </w:rPr>
      </w:pPr>
      <w:r w:rsidRPr="00EC1AB2">
        <w:rPr>
          <w:rFonts w:ascii="Times New Roman" w:hAnsi="Times New Roman" w:cs="Times New Roman"/>
          <w:b/>
          <w:sz w:val="20"/>
          <w:szCs w:val="20"/>
        </w:rPr>
        <w:t xml:space="preserve">Šaltinis: </w:t>
      </w:r>
      <w:r w:rsidR="00A2000C" w:rsidRPr="00EC1AB2">
        <w:rPr>
          <w:rFonts w:ascii="Times New Roman" w:hAnsi="Times New Roman" w:cs="Times New Roman"/>
          <w:sz w:val="20"/>
          <w:szCs w:val="20"/>
        </w:rPr>
        <w:t>The Global Venture Capital and Private Equity Country  Index 2011 annual</w:t>
      </w:r>
    </w:p>
    <w:p w:rsidR="00001876" w:rsidRPr="00EC1AB2" w:rsidRDefault="00001876" w:rsidP="007A02A8">
      <w:pPr>
        <w:spacing w:after="0" w:line="360" w:lineRule="auto"/>
        <w:ind w:firstLine="1296"/>
        <w:rPr>
          <w:rFonts w:ascii="Times New Roman" w:hAnsi="Times New Roman" w:cs="Times New Roman"/>
          <w:sz w:val="24"/>
          <w:szCs w:val="24"/>
        </w:rPr>
      </w:pPr>
    </w:p>
    <w:p w:rsidR="005C1FDA" w:rsidRPr="00EC1AB2" w:rsidRDefault="002530F4"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Kaip matyt iš 10</w:t>
      </w:r>
      <w:r w:rsidR="005C1FDA" w:rsidRPr="00EC1AB2">
        <w:rPr>
          <w:rFonts w:ascii="Times New Roman" w:hAnsi="Times New Roman" w:cs="Times New Roman"/>
          <w:sz w:val="24"/>
          <w:szCs w:val="24"/>
        </w:rPr>
        <w:t xml:space="preserve"> lent. 2011 m. lyginant su 2007 m. </w:t>
      </w:r>
      <w:r w:rsidR="00001876" w:rsidRPr="00EC1AB2">
        <w:rPr>
          <w:rFonts w:ascii="Times New Roman" w:hAnsi="Times New Roman" w:cs="Times New Roman"/>
          <w:sz w:val="24"/>
          <w:szCs w:val="24"/>
        </w:rPr>
        <w:t>visi rodikliai prastėjo, daugiausiai ekonominis aktyvumas ir mokesčių sistema. Tai be abejo, lėmė</w:t>
      </w:r>
      <w:r w:rsidR="00F16614" w:rsidRPr="00EC1AB2">
        <w:rPr>
          <w:rFonts w:ascii="Times New Roman" w:hAnsi="Times New Roman" w:cs="Times New Roman"/>
          <w:sz w:val="24"/>
          <w:szCs w:val="24"/>
        </w:rPr>
        <w:t xml:space="preserve"> pasaulinė ekonominė krizė, </w:t>
      </w:r>
      <w:r w:rsidR="00C877F8" w:rsidRPr="00EC1AB2">
        <w:rPr>
          <w:rFonts w:ascii="Times New Roman" w:hAnsi="Times New Roman" w:cs="Times New Roman"/>
          <w:sz w:val="24"/>
          <w:szCs w:val="24"/>
        </w:rPr>
        <w:t xml:space="preserve">sulėtinusi ekonomikos augimo tempus bei dalį šalių nustūmusi į recesiją bei </w:t>
      </w:r>
      <w:r w:rsidR="00F16614" w:rsidRPr="00EC1AB2">
        <w:rPr>
          <w:rFonts w:ascii="Times New Roman" w:hAnsi="Times New Roman" w:cs="Times New Roman"/>
          <w:sz w:val="24"/>
          <w:szCs w:val="24"/>
        </w:rPr>
        <w:t xml:space="preserve">privertusi </w:t>
      </w:r>
      <w:r w:rsidR="00C877F8" w:rsidRPr="00EC1AB2">
        <w:rPr>
          <w:rFonts w:ascii="Times New Roman" w:hAnsi="Times New Roman" w:cs="Times New Roman"/>
          <w:sz w:val="24"/>
          <w:szCs w:val="24"/>
        </w:rPr>
        <w:t>vyriausybes didinti mokesčius.</w:t>
      </w:r>
      <w:r w:rsidR="00C72FE9" w:rsidRPr="00EC1AB2">
        <w:rPr>
          <w:rFonts w:ascii="Times New Roman" w:hAnsi="Times New Roman" w:cs="Times New Roman"/>
          <w:sz w:val="24"/>
          <w:szCs w:val="24"/>
        </w:rPr>
        <w:t xml:space="preserve"> Trimis pozicijomis sumažėjo kapitalo rinkos gilimo vertinimas. </w:t>
      </w:r>
      <w:r w:rsidR="001B651A" w:rsidRPr="00EC1AB2">
        <w:rPr>
          <w:rFonts w:ascii="Times New Roman" w:hAnsi="Times New Roman" w:cs="Times New Roman"/>
          <w:sz w:val="24"/>
          <w:szCs w:val="24"/>
        </w:rPr>
        <w:t xml:space="preserve">Jis apskaičiuojamas remiantis tokiais rodikliais kaip akcijų rinkos kapitalizacija, </w:t>
      </w:r>
      <w:r w:rsidR="008A59AE" w:rsidRPr="00EC1AB2">
        <w:rPr>
          <w:rFonts w:ascii="Times New Roman" w:hAnsi="Times New Roman" w:cs="Times New Roman"/>
          <w:sz w:val="24"/>
          <w:szCs w:val="24"/>
        </w:rPr>
        <w:t xml:space="preserve">įvykusių IPO, susijungimų ir susiliejimų </w:t>
      </w:r>
      <w:r w:rsidR="008A59AE" w:rsidRPr="00EC1AB2">
        <w:rPr>
          <w:rFonts w:ascii="Times New Roman" w:hAnsi="Times New Roman" w:cs="Times New Roman"/>
          <w:sz w:val="24"/>
          <w:szCs w:val="24"/>
        </w:rPr>
        <w:lastRenderedPageBreak/>
        <w:t xml:space="preserve">skaičius, galimybės gauti paskolą </w:t>
      </w:r>
      <w:r w:rsidR="009715C0" w:rsidRPr="00EC1AB2">
        <w:rPr>
          <w:rFonts w:ascii="Times New Roman" w:hAnsi="Times New Roman" w:cs="Times New Roman"/>
          <w:sz w:val="24"/>
          <w:szCs w:val="24"/>
        </w:rPr>
        <w:t xml:space="preserve">iš kredito institucijų, blogų paskolų santykis su visomis išduotomis paskolomis ir </w:t>
      </w:r>
      <w:r w:rsidR="008A59AE" w:rsidRPr="00EC1AB2">
        <w:rPr>
          <w:rFonts w:ascii="Times New Roman" w:hAnsi="Times New Roman" w:cs="Times New Roman"/>
          <w:sz w:val="24"/>
          <w:szCs w:val="24"/>
        </w:rPr>
        <w:t xml:space="preserve"> kt.</w:t>
      </w:r>
      <w:r w:rsidR="001568E2" w:rsidRPr="00EC1AB2">
        <w:rPr>
          <w:rFonts w:ascii="Times New Roman" w:hAnsi="Times New Roman" w:cs="Times New Roman"/>
          <w:sz w:val="24"/>
          <w:szCs w:val="24"/>
        </w:rPr>
        <w:t xml:space="preserve"> Galima paminėti, kad </w:t>
      </w:r>
      <w:r w:rsidR="008B6943" w:rsidRPr="00EC1AB2">
        <w:rPr>
          <w:rFonts w:ascii="Times New Roman" w:hAnsi="Times New Roman" w:cs="Times New Roman"/>
          <w:bCs/>
          <w:sz w:val="24"/>
          <w:szCs w:val="24"/>
          <w:lang w:eastAsia="lt-LT"/>
        </w:rPr>
        <w:t xml:space="preserve">Lietuvoje per 10 metų įvyko vos keturi pirminiai vieši akcijų platinimai („Lietuvos telekomo“ (2000 m.), City Service“ (2007 m.), „Agrowill Group“ (2008 m.)  ir „Linas Agro Group“(2010 m.). Ši informacija patvirtina ir ekspertinio tyrimo metu gautą informaciją, t.y. kad  Lietuvoje viena iš kliūčių </w:t>
      </w:r>
      <w:r w:rsidR="0096106D" w:rsidRPr="00EC1AB2">
        <w:rPr>
          <w:rFonts w:ascii="Times New Roman" w:hAnsi="Times New Roman" w:cs="Times New Roman"/>
          <w:bCs/>
          <w:sz w:val="24"/>
          <w:szCs w:val="24"/>
          <w:lang w:eastAsia="lt-LT"/>
        </w:rPr>
        <w:t xml:space="preserve">trukdanti </w:t>
      </w:r>
      <w:r w:rsidR="00A57CF5" w:rsidRPr="00EC1AB2">
        <w:rPr>
          <w:rFonts w:ascii="Times New Roman" w:hAnsi="Times New Roman" w:cs="Times New Roman"/>
          <w:bCs/>
          <w:sz w:val="24"/>
          <w:szCs w:val="24"/>
          <w:lang w:eastAsia="lt-LT"/>
        </w:rPr>
        <w:t>kurtis rizikos kapitalo rinkai</w:t>
      </w:r>
      <w:r w:rsidR="00332EDD" w:rsidRPr="00EC1AB2">
        <w:rPr>
          <w:rFonts w:ascii="Times New Roman" w:hAnsi="Times New Roman" w:cs="Times New Roman"/>
          <w:bCs/>
          <w:sz w:val="24"/>
          <w:szCs w:val="24"/>
          <w:lang w:eastAsia="lt-LT"/>
        </w:rPr>
        <w:t xml:space="preserve"> yra </w:t>
      </w:r>
      <w:r w:rsidR="008B6943" w:rsidRPr="00EC1AB2">
        <w:rPr>
          <w:rFonts w:ascii="Times New Roman" w:hAnsi="Times New Roman" w:cs="Times New Roman"/>
          <w:bCs/>
          <w:sz w:val="24"/>
          <w:szCs w:val="24"/>
          <w:lang w:eastAsia="lt-LT"/>
        </w:rPr>
        <w:t xml:space="preserve"> </w:t>
      </w:r>
      <w:r w:rsidR="00332EDD" w:rsidRPr="00EC1AB2">
        <w:rPr>
          <w:rFonts w:ascii="Times New Roman" w:hAnsi="Times New Roman" w:cs="Times New Roman"/>
          <w:bCs/>
          <w:sz w:val="24"/>
          <w:szCs w:val="24"/>
          <w:lang w:eastAsia="lt-LT"/>
        </w:rPr>
        <w:t xml:space="preserve">investicijų realizavimo akcijų rinkoje galimybės nebuvimas. </w:t>
      </w:r>
      <w:r w:rsidR="00E2389A" w:rsidRPr="00EC1AB2">
        <w:rPr>
          <w:rFonts w:ascii="Times New Roman" w:hAnsi="Times New Roman" w:cs="Times New Roman"/>
          <w:bCs/>
          <w:sz w:val="24"/>
          <w:szCs w:val="24"/>
          <w:lang w:eastAsia="lt-LT"/>
        </w:rPr>
        <w:t xml:space="preserve">Kiti rodikliai pakankamai nedaug pablogėjo ir lyginant su bendru reitingu buvo geresnėse pozicijose. </w:t>
      </w:r>
      <w:r w:rsidR="00D51C45" w:rsidRPr="00EC1AB2">
        <w:rPr>
          <w:rFonts w:ascii="Times New Roman" w:hAnsi="Times New Roman" w:cs="Times New Roman"/>
          <w:bCs/>
          <w:sz w:val="24"/>
          <w:szCs w:val="24"/>
          <w:lang w:eastAsia="lt-LT"/>
        </w:rPr>
        <w:t xml:space="preserve">Taigi, iš dalies </w:t>
      </w:r>
      <w:r w:rsidR="00D51C45" w:rsidRPr="00EC1AB2">
        <w:rPr>
          <w:rFonts w:ascii="Times New Roman" w:hAnsi="Times New Roman" w:cs="Times New Roman"/>
          <w:sz w:val="24"/>
          <w:szCs w:val="24"/>
        </w:rPr>
        <w:t xml:space="preserve">investuotojų apsaugą ir </w:t>
      </w:r>
      <w:r w:rsidR="00081D87" w:rsidRPr="00EC1AB2">
        <w:rPr>
          <w:rFonts w:ascii="Times New Roman" w:hAnsi="Times New Roman" w:cs="Times New Roman"/>
          <w:sz w:val="24"/>
          <w:szCs w:val="24"/>
        </w:rPr>
        <w:t>organizacijų valdymą (intelekt</w:t>
      </w:r>
      <w:r w:rsidR="00D51C45" w:rsidRPr="00EC1AB2">
        <w:rPr>
          <w:rFonts w:ascii="Times New Roman" w:hAnsi="Times New Roman" w:cs="Times New Roman"/>
          <w:sz w:val="24"/>
          <w:szCs w:val="24"/>
        </w:rPr>
        <w:t xml:space="preserve">inės nuosavybės teisės buvimas, teisinės sistemos nepriklausomumas, jos integralumas), socialinę aplinką </w:t>
      </w:r>
      <w:r w:rsidR="000B0C5C" w:rsidRPr="00EC1AB2">
        <w:rPr>
          <w:rFonts w:ascii="Times New Roman" w:hAnsi="Times New Roman" w:cs="Times New Roman"/>
          <w:sz w:val="24"/>
          <w:szCs w:val="24"/>
        </w:rPr>
        <w:t>(</w:t>
      </w:r>
      <w:r w:rsidR="0096432D" w:rsidRPr="00EC1AB2">
        <w:rPr>
          <w:rFonts w:ascii="Times New Roman" w:hAnsi="Times New Roman" w:cs="Times New Roman"/>
          <w:sz w:val="24"/>
          <w:szCs w:val="24"/>
        </w:rPr>
        <w:t>švietimo sistema, darbo jėgos nepaslankumas, korupcija, nusikalstamumas)</w:t>
      </w:r>
      <w:r w:rsidR="000B0C5C" w:rsidRPr="00EC1AB2">
        <w:rPr>
          <w:rFonts w:ascii="Times New Roman" w:hAnsi="Times New Roman" w:cs="Times New Roman"/>
          <w:sz w:val="24"/>
          <w:szCs w:val="24"/>
        </w:rPr>
        <w:t xml:space="preserve"> </w:t>
      </w:r>
      <w:r w:rsidR="00D51C45" w:rsidRPr="00EC1AB2">
        <w:rPr>
          <w:rFonts w:ascii="Times New Roman" w:hAnsi="Times New Roman" w:cs="Times New Roman"/>
          <w:sz w:val="24"/>
          <w:szCs w:val="24"/>
        </w:rPr>
        <w:t xml:space="preserve">bei antreprenerišką kultūrą ir jos galimybės </w:t>
      </w:r>
      <w:r w:rsidR="0096432D" w:rsidRPr="00EC1AB2">
        <w:rPr>
          <w:rFonts w:ascii="Times New Roman" w:hAnsi="Times New Roman" w:cs="Times New Roman"/>
          <w:sz w:val="24"/>
          <w:szCs w:val="24"/>
        </w:rPr>
        <w:t xml:space="preserve">(paprastumas pradėti ir uždaryti naują verslą ir kt.) </w:t>
      </w:r>
      <w:r w:rsidR="00D51C45" w:rsidRPr="00EC1AB2">
        <w:rPr>
          <w:rFonts w:ascii="Times New Roman" w:hAnsi="Times New Roman" w:cs="Times New Roman"/>
          <w:sz w:val="24"/>
          <w:szCs w:val="24"/>
        </w:rPr>
        <w:t xml:space="preserve">galima priskirti prie stipriųjų Lietuvos pusių. </w:t>
      </w:r>
    </w:p>
    <w:p w:rsidR="00A001C8" w:rsidRPr="00EC1AB2" w:rsidRDefault="00013CFD" w:rsidP="007A02A8">
      <w:pPr>
        <w:spacing w:after="0" w:line="360" w:lineRule="auto"/>
        <w:ind w:firstLine="567"/>
        <w:jc w:val="both"/>
        <w:rPr>
          <w:rFonts w:ascii="Times New Roman" w:hAnsi="Times New Roman" w:cs="Times New Roman"/>
          <w:sz w:val="24"/>
          <w:szCs w:val="24"/>
        </w:rPr>
      </w:pPr>
      <w:r w:rsidRPr="00EC1AB2">
        <w:rPr>
          <w:rFonts w:ascii="Times New Roman" w:hAnsi="Times New Roman" w:cs="Times New Roman"/>
          <w:sz w:val="24"/>
          <w:szCs w:val="24"/>
        </w:rPr>
        <w:t xml:space="preserve">Apibendrinant atlikto ekspertinio tyrimo rezultatus, EVCA rengiamą atskaitą bei </w:t>
      </w:r>
      <w:r w:rsidR="00B702E3" w:rsidRPr="00EC1AB2">
        <w:rPr>
          <w:rFonts w:ascii="Times New Roman" w:hAnsi="Times New Roman" w:cs="Times New Roman"/>
          <w:sz w:val="24"/>
          <w:szCs w:val="24"/>
        </w:rPr>
        <w:t xml:space="preserve">minėtą indeksą, vertinantį šalies patrauklumą </w:t>
      </w:r>
      <w:r w:rsidR="00FC6BDE" w:rsidRPr="00EC1AB2">
        <w:rPr>
          <w:rFonts w:ascii="Times New Roman" w:hAnsi="Times New Roman" w:cs="Times New Roman"/>
          <w:sz w:val="24"/>
          <w:szCs w:val="24"/>
        </w:rPr>
        <w:t>rizikos ir privataus kapitalo fond</w:t>
      </w:r>
      <w:r w:rsidR="00AF22EE" w:rsidRPr="00EC1AB2">
        <w:rPr>
          <w:rFonts w:ascii="Times New Roman" w:hAnsi="Times New Roman" w:cs="Times New Roman"/>
          <w:sz w:val="24"/>
          <w:szCs w:val="24"/>
        </w:rPr>
        <w:t>a</w:t>
      </w:r>
      <w:r w:rsidR="002530F4" w:rsidRPr="00EC1AB2">
        <w:rPr>
          <w:rFonts w:ascii="Times New Roman" w:hAnsi="Times New Roman" w:cs="Times New Roman"/>
          <w:sz w:val="24"/>
          <w:szCs w:val="24"/>
        </w:rPr>
        <w:t>ms sudaryta SWOT analizė (žr. 11</w:t>
      </w:r>
      <w:r w:rsidR="00FC6BDE" w:rsidRPr="00EC1AB2">
        <w:rPr>
          <w:rFonts w:ascii="Times New Roman" w:hAnsi="Times New Roman" w:cs="Times New Roman"/>
          <w:sz w:val="24"/>
          <w:szCs w:val="24"/>
        </w:rPr>
        <w:t xml:space="preserve"> lent.).</w:t>
      </w:r>
    </w:p>
    <w:p w:rsidR="006719ED" w:rsidRPr="00EC1AB2" w:rsidRDefault="00A001C8" w:rsidP="005E05CF">
      <w:pPr>
        <w:pStyle w:val="Heading4"/>
        <w:spacing w:before="0" w:line="240" w:lineRule="auto"/>
        <w:contextualSpacing/>
        <w:jc w:val="center"/>
        <w:rPr>
          <w:rFonts w:ascii="Times New Roman" w:hAnsi="Times New Roman" w:cs="Times New Roman"/>
          <w:i w:val="0"/>
          <w:color w:val="auto"/>
          <w:sz w:val="24"/>
          <w:szCs w:val="24"/>
        </w:rPr>
      </w:pPr>
      <w:bookmarkStart w:id="193" w:name="_Toc320761941"/>
      <w:bookmarkStart w:id="194" w:name="_Toc320762176"/>
      <w:bookmarkStart w:id="195" w:name="_Toc320762579"/>
      <w:r w:rsidRPr="00EC1AB2">
        <w:rPr>
          <w:rFonts w:ascii="Times New Roman" w:hAnsi="Times New Roman" w:cs="Times New Roman"/>
          <w:b w:val="0"/>
          <w:i w:val="0"/>
          <w:color w:val="auto"/>
          <w:sz w:val="24"/>
          <w:szCs w:val="24"/>
        </w:rPr>
        <w:t>11</w:t>
      </w:r>
      <w:r w:rsidR="00602177" w:rsidRPr="00EC1AB2">
        <w:rPr>
          <w:rFonts w:ascii="Times New Roman" w:hAnsi="Times New Roman" w:cs="Times New Roman"/>
          <w:b w:val="0"/>
          <w:i w:val="0"/>
          <w:color w:val="auto"/>
          <w:sz w:val="24"/>
          <w:szCs w:val="24"/>
        </w:rPr>
        <w:t xml:space="preserve"> lentelė.</w:t>
      </w:r>
      <w:r w:rsidR="00602177" w:rsidRPr="00EC1AB2">
        <w:rPr>
          <w:rFonts w:ascii="Times New Roman" w:hAnsi="Times New Roman" w:cs="Times New Roman"/>
          <w:i w:val="0"/>
          <w:color w:val="auto"/>
          <w:sz w:val="24"/>
          <w:szCs w:val="24"/>
        </w:rPr>
        <w:t xml:space="preserve"> R</w:t>
      </w:r>
      <w:r w:rsidR="00B92424" w:rsidRPr="00EC1AB2">
        <w:rPr>
          <w:rFonts w:ascii="Times New Roman" w:hAnsi="Times New Roman" w:cs="Times New Roman"/>
          <w:i w:val="0"/>
          <w:color w:val="auto"/>
          <w:sz w:val="24"/>
          <w:szCs w:val="24"/>
        </w:rPr>
        <w:t>izikos kapitalo fondų plėtros Lietuvoje</w:t>
      </w:r>
      <w:r w:rsidR="00602177" w:rsidRPr="00EC1AB2">
        <w:rPr>
          <w:rFonts w:ascii="Times New Roman" w:hAnsi="Times New Roman" w:cs="Times New Roman"/>
          <w:i w:val="0"/>
          <w:color w:val="auto"/>
          <w:sz w:val="24"/>
          <w:szCs w:val="24"/>
        </w:rPr>
        <w:t xml:space="preserve"> SWOT analizė</w:t>
      </w:r>
      <w:bookmarkEnd w:id="193"/>
      <w:bookmarkEnd w:id="194"/>
      <w:bookmarkEnd w:id="195"/>
    </w:p>
    <w:p w:rsidR="006719ED" w:rsidRPr="00EC1AB2" w:rsidRDefault="006719ED" w:rsidP="005E05CF">
      <w:pPr>
        <w:spacing w:after="0" w:line="240" w:lineRule="auto"/>
        <w:ind w:firstLine="1296"/>
        <w:contextual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819"/>
        <w:gridCol w:w="4927"/>
      </w:tblGrid>
      <w:tr w:rsidR="00F25E1F" w:rsidRPr="00EC1AB2" w:rsidTr="00FA1D9A">
        <w:trPr>
          <w:trHeight w:val="303"/>
        </w:trPr>
        <w:tc>
          <w:tcPr>
            <w:tcW w:w="4819" w:type="dxa"/>
          </w:tcPr>
          <w:p w:rsidR="008A6E9F" w:rsidRPr="00EC1AB2" w:rsidRDefault="008A6E9F" w:rsidP="00A617B2">
            <w:pPr>
              <w:autoSpaceDE w:val="0"/>
              <w:autoSpaceDN w:val="0"/>
              <w:adjustRightInd w:val="0"/>
              <w:contextualSpacing/>
              <w:jc w:val="both"/>
              <w:rPr>
                <w:rFonts w:ascii="Times New Roman" w:eastAsia="Times New Roman" w:hAnsi="Times New Roman" w:cs="Times New Roman"/>
                <w:b/>
                <w:sz w:val="24"/>
                <w:szCs w:val="24"/>
                <w:lang w:eastAsia="lt-LT"/>
              </w:rPr>
            </w:pPr>
            <w:r w:rsidRPr="00EC1AB2">
              <w:rPr>
                <w:rFonts w:ascii="Times New Roman" w:eastAsia="Times New Roman" w:hAnsi="Times New Roman" w:cs="Times New Roman"/>
                <w:b/>
                <w:sz w:val="24"/>
                <w:szCs w:val="24"/>
                <w:lang w:eastAsia="lt-LT"/>
              </w:rPr>
              <w:t>Stiprybės</w:t>
            </w:r>
          </w:p>
        </w:tc>
        <w:tc>
          <w:tcPr>
            <w:tcW w:w="4927" w:type="dxa"/>
          </w:tcPr>
          <w:p w:rsidR="008A6E9F" w:rsidRPr="00EC1AB2" w:rsidRDefault="008A6E9F" w:rsidP="00A617B2">
            <w:pPr>
              <w:autoSpaceDE w:val="0"/>
              <w:autoSpaceDN w:val="0"/>
              <w:adjustRightInd w:val="0"/>
              <w:contextualSpacing/>
              <w:jc w:val="both"/>
              <w:rPr>
                <w:rFonts w:ascii="Times New Roman" w:eastAsia="Times New Roman" w:hAnsi="Times New Roman" w:cs="Times New Roman"/>
                <w:b/>
                <w:sz w:val="24"/>
                <w:szCs w:val="24"/>
                <w:lang w:eastAsia="lt-LT"/>
              </w:rPr>
            </w:pPr>
            <w:r w:rsidRPr="00EC1AB2">
              <w:rPr>
                <w:rFonts w:ascii="Times New Roman" w:eastAsia="Times New Roman" w:hAnsi="Times New Roman" w:cs="Times New Roman"/>
                <w:b/>
                <w:sz w:val="24"/>
                <w:szCs w:val="24"/>
                <w:lang w:eastAsia="lt-LT"/>
              </w:rPr>
              <w:t>Silpnybės</w:t>
            </w:r>
          </w:p>
        </w:tc>
      </w:tr>
      <w:tr w:rsidR="00F25E1F" w:rsidRPr="00EC1AB2" w:rsidTr="00A001C8">
        <w:tc>
          <w:tcPr>
            <w:tcW w:w="4819" w:type="dxa"/>
          </w:tcPr>
          <w:p w:rsidR="00E979C1" w:rsidRPr="00EC1AB2" w:rsidRDefault="000E7269"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4"/>
                <w:szCs w:val="24"/>
                <w:lang w:eastAsia="lt-LT"/>
              </w:rPr>
              <w:t xml:space="preserve">1. </w:t>
            </w:r>
            <w:r w:rsidR="00E979C1" w:rsidRPr="00EC1AB2">
              <w:rPr>
                <w:rFonts w:ascii="Times New Roman" w:eastAsia="Times New Roman" w:hAnsi="Times New Roman" w:cs="Times New Roman"/>
                <w:sz w:val="20"/>
                <w:szCs w:val="20"/>
                <w:lang w:eastAsia="lt-LT"/>
              </w:rPr>
              <w:t>Leidimas pensijų fondams ir draudimo įmonėms investuoti į RKF;</w:t>
            </w:r>
          </w:p>
          <w:p w:rsidR="008A6E9F" w:rsidRPr="00EC1AB2" w:rsidRDefault="00E979C1"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2. Pelno mokesčio lengvatos</w:t>
            </w:r>
            <w:r w:rsidR="00C84F70" w:rsidRPr="00EC1AB2">
              <w:rPr>
                <w:rFonts w:ascii="Times New Roman" w:eastAsia="Times New Roman" w:hAnsi="Times New Roman" w:cs="Times New Roman"/>
                <w:sz w:val="20"/>
                <w:szCs w:val="20"/>
                <w:lang w:eastAsia="lt-LT"/>
              </w:rPr>
              <w:t xml:space="preserve"> įmonės, investuojančioms į MTEP</w:t>
            </w:r>
            <w:r w:rsidRPr="00EC1AB2">
              <w:rPr>
                <w:rFonts w:ascii="Times New Roman" w:eastAsia="Times New Roman" w:hAnsi="Times New Roman" w:cs="Times New Roman"/>
                <w:sz w:val="20"/>
                <w:szCs w:val="20"/>
                <w:lang w:eastAsia="lt-LT"/>
              </w:rPr>
              <w:t xml:space="preserve"> </w:t>
            </w:r>
            <w:r w:rsidR="000E7269" w:rsidRPr="00EC1AB2">
              <w:rPr>
                <w:rFonts w:ascii="Times New Roman" w:eastAsia="Times New Roman" w:hAnsi="Times New Roman" w:cs="Times New Roman"/>
                <w:sz w:val="20"/>
                <w:szCs w:val="20"/>
                <w:lang w:eastAsia="lt-LT"/>
              </w:rPr>
              <w:t>;</w:t>
            </w:r>
          </w:p>
          <w:p w:rsidR="00AD5ECE" w:rsidRPr="00EC1AB2" w:rsidRDefault="00AD5ECE"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3. Pakankamai žemas pelno ir dividendų apmokest</w:t>
            </w:r>
            <w:r w:rsidR="00EE0316" w:rsidRPr="00EC1AB2">
              <w:rPr>
                <w:rFonts w:ascii="Times New Roman" w:eastAsia="Times New Roman" w:hAnsi="Times New Roman" w:cs="Times New Roman"/>
                <w:sz w:val="20"/>
                <w:szCs w:val="20"/>
                <w:lang w:eastAsia="lt-LT"/>
              </w:rPr>
              <w:t>inimo tarifas</w:t>
            </w:r>
            <w:r w:rsidRPr="00EC1AB2">
              <w:rPr>
                <w:rFonts w:ascii="Times New Roman" w:eastAsia="Times New Roman" w:hAnsi="Times New Roman" w:cs="Times New Roman"/>
                <w:sz w:val="20"/>
                <w:szCs w:val="20"/>
                <w:lang w:eastAsia="lt-LT"/>
              </w:rPr>
              <w:t>;</w:t>
            </w:r>
          </w:p>
          <w:p w:rsidR="00EE70CC" w:rsidRPr="00EC1AB2" w:rsidRDefault="00AD5ECE"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4</w:t>
            </w:r>
            <w:r w:rsidR="000E7269" w:rsidRPr="00EC1AB2">
              <w:rPr>
                <w:rFonts w:ascii="Times New Roman" w:eastAsia="Times New Roman" w:hAnsi="Times New Roman" w:cs="Times New Roman"/>
                <w:sz w:val="20"/>
                <w:szCs w:val="20"/>
                <w:lang w:eastAsia="lt-LT"/>
              </w:rPr>
              <w:t xml:space="preserve">. </w:t>
            </w:r>
            <w:r w:rsidR="00AB44AE" w:rsidRPr="00EC1AB2">
              <w:rPr>
                <w:rFonts w:ascii="Times New Roman" w:eastAsia="Times New Roman" w:hAnsi="Times New Roman" w:cs="Times New Roman"/>
                <w:sz w:val="20"/>
                <w:szCs w:val="20"/>
                <w:lang w:eastAsia="lt-LT"/>
              </w:rPr>
              <w:t xml:space="preserve">Atvira rinka, </w:t>
            </w:r>
            <w:r w:rsidR="008366CA" w:rsidRPr="00EC1AB2">
              <w:rPr>
                <w:rFonts w:ascii="Times New Roman" w:eastAsia="Times New Roman" w:hAnsi="Times New Roman" w:cs="Times New Roman"/>
                <w:sz w:val="20"/>
                <w:szCs w:val="20"/>
                <w:lang w:eastAsia="lt-LT"/>
              </w:rPr>
              <w:t xml:space="preserve">glaudūs ekonominiai ryšiai su ES ir </w:t>
            </w:r>
            <w:r w:rsidR="008C4C8B" w:rsidRPr="00EC1AB2">
              <w:rPr>
                <w:rFonts w:ascii="Times New Roman" w:eastAsia="Times New Roman" w:hAnsi="Times New Roman" w:cs="Times New Roman"/>
                <w:sz w:val="20"/>
                <w:szCs w:val="20"/>
                <w:lang w:eastAsia="lt-LT"/>
              </w:rPr>
              <w:t>Europos ekonominės erdvės valstybėmis</w:t>
            </w:r>
            <w:r w:rsidR="000E7269" w:rsidRPr="00EC1AB2">
              <w:rPr>
                <w:rFonts w:ascii="Times New Roman" w:eastAsia="Times New Roman" w:hAnsi="Times New Roman" w:cs="Times New Roman"/>
                <w:sz w:val="20"/>
                <w:szCs w:val="20"/>
                <w:lang w:eastAsia="lt-LT"/>
              </w:rPr>
              <w:t>;</w:t>
            </w:r>
          </w:p>
          <w:p w:rsidR="00DD1238" w:rsidRPr="00EC1AB2" w:rsidRDefault="00AD5ECE"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5</w:t>
            </w:r>
            <w:r w:rsidR="00DF3407" w:rsidRPr="00EC1AB2">
              <w:rPr>
                <w:rFonts w:ascii="Times New Roman" w:eastAsia="Times New Roman" w:hAnsi="Times New Roman" w:cs="Times New Roman"/>
                <w:sz w:val="20"/>
                <w:szCs w:val="20"/>
                <w:lang w:eastAsia="lt-LT"/>
              </w:rPr>
              <w:t>. Žmogiškasis potencialas</w:t>
            </w:r>
            <w:r w:rsidR="009715C0" w:rsidRPr="00EC1AB2">
              <w:rPr>
                <w:rFonts w:ascii="Times New Roman" w:eastAsia="Times New Roman" w:hAnsi="Times New Roman" w:cs="Times New Roman"/>
                <w:sz w:val="20"/>
                <w:szCs w:val="20"/>
                <w:lang w:eastAsia="lt-LT"/>
              </w:rPr>
              <w:t>;</w:t>
            </w:r>
          </w:p>
          <w:p w:rsidR="000E7269" w:rsidRPr="00EC1AB2" w:rsidRDefault="00EE4DAE"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6. Vyriausybės ir ES pastangos tiesiogiai dalyvaujant RKF veikloje, skatinti šio sektor</w:t>
            </w:r>
            <w:r w:rsidR="005E05CF" w:rsidRPr="00EC1AB2">
              <w:rPr>
                <w:rFonts w:ascii="Times New Roman" w:eastAsia="Times New Roman" w:hAnsi="Times New Roman" w:cs="Times New Roman"/>
                <w:sz w:val="20"/>
                <w:szCs w:val="20"/>
                <w:lang w:eastAsia="lt-LT"/>
              </w:rPr>
              <w:t>iaus plėtrą</w:t>
            </w:r>
            <w:r w:rsidR="00BF688A" w:rsidRPr="00EC1AB2">
              <w:rPr>
                <w:rFonts w:ascii="Times New Roman" w:eastAsia="Times New Roman" w:hAnsi="Times New Roman" w:cs="Times New Roman"/>
                <w:sz w:val="20"/>
                <w:szCs w:val="20"/>
                <w:lang w:eastAsia="lt-LT"/>
              </w:rPr>
              <w:t>.</w:t>
            </w:r>
          </w:p>
        </w:tc>
        <w:tc>
          <w:tcPr>
            <w:tcW w:w="4927" w:type="dxa"/>
          </w:tcPr>
          <w:p w:rsidR="0086650E" w:rsidRPr="00EC1AB2" w:rsidRDefault="0086650E"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hAnsi="Times New Roman" w:cs="Times New Roman"/>
                <w:sz w:val="20"/>
                <w:szCs w:val="20"/>
              </w:rPr>
              <w:t xml:space="preserve">1. </w:t>
            </w:r>
            <w:r w:rsidR="00936582" w:rsidRPr="00EC1AB2">
              <w:rPr>
                <w:rFonts w:ascii="Times New Roman" w:hAnsi="Times New Roman" w:cs="Times New Roman"/>
                <w:sz w:val="20"/>
                <w:szCs w:val="20"/>
              </w:rPr>
              <w:t>Specifinių mokestinių lengvatų, skatinančių jaunų ir inovatyvių įmonių plėtrą ankstyvoje veiklos stadijoje, nubuvimas;</w:t>
            </w:r>
          </w:p>
          <w:p w:rsidR="0086650E" w:rsidRPr="00EC1AB2" w:rsidRDefault="0086650E"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hAnsi="Times New Roman" w:cs="Times New Roman"/>
                <w:sz w:val="20"/>
                <w:szCs w:val="20"/>
              </w:rPr>
              <w:t>2. Maža inovacijų sklaida</w:t>
            </w:r>
            <w:r w:rsidR="00AB7511" w:rsidRPr="00EC1AB2">
              <w:rPr>
                <w:rFonts w:ascii="Times New Roman" w:hAnsi="Times New Roman" w:cs="Times New Roman"/>
                <w:sz w:val="20"/>
                <w:szCs w:val="20"/>
              </w:rPr>
              <w:t xml:space="preserve"> (mokslo tyrimų sistema fragmentuota, </w:t>
            </w:r>
            <w:r w:rsidR="00C848A5" w:rsidRPr="00EC1AB2">
              <w:rPr>
                <w:rFonts w:ascii="Times New Roman" w:hAnsi="Times New Roman" w:cs="Times New Roman"/>
                <w:sz w:val="20"/>
                <w:szCs w:val="20"/>
              </w:rPr>
              <w:t>dalis jos neatitinka šiandienos reikalavimų);</w:t>
            </w:r>
          </w:p>
          <w:p w:rsidR="00936582" w:rsidRPr="00EC1AB2" w:rsidRDefault="0086650E"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hAnsi="Times New Roman" w:cs="Times New Roman"/>
                <w:sz w:val="20"/>
                <w:szCs w:val="20"/>
              </w:rPr>
              <w:t>3. Mažas pensijų fondų ir draudimo įmonių dalyvavimas formuojant rizikos kapitalo investicijas;</w:t>
            </w:r>
          </w:p>
          <w:p w:rsidR="00AB5D8D" w:rsidRPr="00EC1AB2" w:rsidRDefault="00AB5D8D"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hAnsi="Times New Roman" w:cs="Times New Roman"/>
                <w:sz w:val="20"/>
                <w:szCs w:val="20"/>
              </w:rPr>
              <w:t xml:space="preserve">4. </w:t>
            </w:r>
            <w:r w:rsidR="00B25F56" w:rsidRPr="00EC1AB2">
              <w:rPr>
                <w:rFonts w:ascii="Times New Roman" w:hAnsi="Times New Roman" w:cs="Times New Roman"/>
                <w:sz w:val="20"/>
                <w:szCs w:val="20"/>
              </w:rPr>
              <w:t xml:space="preserve">Dėl VP rinkos </w:t>
            </w:r>
            <w:r w:rsidR="00613D74" w:rsidRPr="00EC1AB2">
              <w:rPr>
                <w:rFonts w:ascii="Times New Roman" w:hAnsi="Times New Roman" w:cs="Times New Roman"/>
                <w:sz w:val="20"/>
                <w:szCs w:val="20"/>
              </w:rPr>
              <w:t>mažo likvidumo</w:t>
            </w:r>
            <w:r w:rsidR="009869AD" w:rsidRPr="00EC1AB2">
              <w:rPr>
                <w:rFonts w:ascii="Times New Roman" w:hAnsi="Times New Roman" w:cs="Times New Roman"/>
                <w:bCs/>
                <w:sz w:val="20"/>
                <w:szCs w:val="20"/>
                <w:lang w:eastAsia="lt-LT"/>
              </w:rPr>
              <w:t xml:space="preserve"> ribota</w:t>
            </w:r>
            <w:r w:rsidR="00CA61A4" w:rsidRPr="00EC1AB2">
              <w:rPr>
                <w:rFonts w:ascii="Times New Roman" w:hAnsi="Times New Roman" w:cs="Times New Roman"/>
                <w:bCs/>
                <w:sz w:val="20"/>
                <w:szCs w:val="20"/>
                <w:lang w:eastAsia="lt-LT"/>
              </w:rPr>
              <w:t xml:space="preserve">s </w:t>
            </w:r>
            <w:r w:rsidR="004D7155" w:rsidRPr="00EC1AB2">
              <w:rPr>
                <w:rFonts w:ascii="Times New Roman" w:hAnsi="Times New Roman" w:cs="Times New Roman"/>
                <w:bCs/>
                <w:sz w:val="20"/>
                <w:szCs w:val="20"/>
                <w:lang w:eastAsia="lt-LT"/>
              </w:rPr>
              <w:t xml:space="preserve">RKF </w:t>
            </w:r>
            <w:r w:rsidR="00CA61A4" w:rsidRPr="00EC1AB2">
              <w:rPr>
                <w:rFonts w:ascii="Times New Roman" w:hAnsi="Times New Roman" w:cs="Times New Roman"/>
                <w:bCs/>
                <w:sz w:val="20"/>
                <w:szCs w:val="20"/>
                <w:lang w:eastAsia="lt-LT"/>
              </w:rPr>
              <w:t>investicijų realizavimo galimybių pasirinkimas</w:t>
            </w:r>
            <w:r w:rsidR="00CA61A4" w:rsidRPr="00EC1AB2">
              <w:rPr>
                <w:rFonts w:ascii="Times New Roman" w:hAnsi="Times New Roman" w:cs="Times New Roman"/>
                <w:bCs/>
                <w:lang w:eastAsia="lt-LT"/>
              </w:rPr>
              <w:t>.</w:t>
            </w:r>
          </w:p>
        </w:tc>
      </w:tr>
      <w:tr w:rsidR="00F25E1F" w:rsidRPr="00EC1AB2" w:rsidTr="00A001C8">
        <w:tc>
          <w:tcPr>
            <w:tcW w:w="4819" w:type="dxa"/>
          </w:tcPr>
          <w:p w:rsidR="008A6E9F" w:rsidRPr="00EC1AB2" w:rsidRDefault="008A6E9F" w:rsidP="00A617B2">
            <w:pPr>
              <w:autoSpaceDE w:val="0"/>
              <w:autoSpaceDN w:val="0"/>
              <w:adjustRightInd w:val="0"/>
              <w:jc w:val="both"/>
              <w:rPr>
                <w:rFonts w:ascii="Times New Roman" w:eastAsia="Times New Roman" w:hAnsi="Times New Roman" w:cs="Times New Roman"/>
                <w:b/>
                <w:sz w:val="24"/>
                <w:szCs w:val="24"/>
                <w:lang w:eastAsia="lt-LT"/>
              </w:rPr>
            </w:pPr>
            <w:r w:rsidRPr="00EC1AB2">
              <w:rPr>
                <w:rFonts w:ascii="Times New Roman" w:eastAsia="Times New Roman" w:hAnsi="Times New Roman" w:cs="Times New Roman"/>
                <w:b/>
                <w:sz w:val="24"/>
                <w:szCs w:val="24"/>
                <w:lang w:eastAsia="lt-LT"/>
              </w:rPr>
              <w:t>Galimybės</w:t>
            </w:r>
          </w:p>
        </w:tc>
        <w:tc>
          <w:tcPr>
            <w:tcW w:w="4927" w:type="dxa"/>
          </w:tcPr>
          <w:p w:rsidR="008A6E9F" w:rsidRPr="00EC1AB2" w:rsidRDefault="008A6E9F" w:rsidP="00A617B2">
            <w:pPr>
              <w:autoSpaceDE w:val="0"/>
              <w:autoSpaceDN w:val="0"/>
              <w:adjustRightInd w:val="0"/>
              <w:jc w:val="both"/>
              <w:rPr>
                <w:rFonts w:ascii="Times New Roman" w:eastAsia="Times New Roman" w:hAnsi="Times New Roman" w:cs="Times New Roman"/>
                <w:b/>
                <w:sz w:val="24"/>
                <w:szCs w:val="24"/>
                <w:lang w:eastAsia="lt-LT"/>
              </w:rPr>
            </w:pPr>
            <w:r w:rsidRPr="00EC1AB2">
              <w:rPr>
                <w:rFonts w:ascii="Times New Roman" w:eastAsia="Times New Roman" w:hAnsi="Times New Roman" w:cs="Times New Roman"/>
                <w:b/>
                <w:sz w:val="24"/>
                <w:szCs w:val="24"/>
                <w:lang w:eastAsia="lt-LT"/>
              </w:rPr>
              <w:t>Grėsmės</w:t>
            </w:r>
          </w:p>
        </w:tc>
      </w:tr>
      <w:tr w:rsidR="008A6E9F" w:rsidRPr="00EC1AB2" w:rsidTr="00A001C8">
        <w:tc>
          <w:tcPr>
            <w:tcW w:w="4819" w:type="dxa"/>
          </w:tcPr>
          <w:p w:rsidR="008A6E9F" w:rsidRPr="00EC1AB2" w:rsidRDefault="00C85CB8"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 xml:space="preserve">1. </w:t>
            </w:r>
            <w:r w:rsidR="006C5A3F" w:rsidRPr="00EC1AB2">
              <w:rPr>
                <w:rFonts w:ascii="Times New Roman" w:eastAsia="Times New Roman" w:hAnsi="Times New Roman" w:cs="Times New Roman"/>
                <w:sz w:val="20"/>
                <w:szCs w:val="20"/>
                <w:lang w:eastAsia="lt-LT"/>
              </w:rPr>
              <w:t>Teikiama ES finansinė</w:t>
            </w:r>
            <w:r w:rsidR="00387B35" w:rsidRPr="00EC1AB2">
              <w:rPr>
                <w:rFonts w:ascii="Times New Roman" w:eastAsia="Times New Roman" w:hAnsi="Times New Roman" w:cs="Times New Roman"/>
                <w:sz w:val="20"/>
                <w:szCs w:val="20"/>
                <w:lang w:eastAsia="lt-LT"/>
              </w:rPr>
              <w:t xml:space="preserve"> parama</w:t>
            </w:r>
            <w:r w:rsidR="0033124A" w:rsidRPr="00EC1AB2">
              <w:rPr>
                <w:rFonts w:ascii="Times New Roman" w:eastAsia="Times New Roman" w:hAnsi="Times New Roman" w:cs="Times New Roman"/>
                <w:sz w:val="20"/>
                <w:szCs w:val="20"/>
                <w:lang w:eastAsia="lt-LT"/>
              </w:rPr>
              <w:t xml:space="preserve"> </w:t>
            </w:r>
            <w:r w:rsidR="00C91846" w:rsidRPr="00EC1AB2">
              <w:rPr>
                <w:rFonts w:ascii="Times New Roman" w:eastAsia="Times New Roman" w:hAnsi="Times New Roman" w:cs="Times New Roman"/>
                <w:sz w:val="20"/>
                <w:szCs w:val="20"/>
                <w:lang w:eastAsia="lt-LT"/>
              </w:rPr>
              <w:t>verslo inovacijoms 2007-2013 m.</w:t>
            </w:r>
            <w:r w:rsidRPr="00EC1AB2">
              <w:rPr>
                <w:rFonts w:ascii="Times New Roman" w:eastAsia="Times New Roman" w:hAnsi="Times New Roman" w:cs="Times New Roman"/>
                <w:sz w:val="20"/>
                <w:szCs w:val="20"/>
                <w:lang w:eastAsia="lt-LT"/>
              </w:rPr>
              <w:t>;</w:t>
            </w:r>
          </w:p>
          <w:p w:rsidR="00F7611D" w:rsidRPr="00EC1AB2" w:rsidRDefault="00C85CB8"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hAnsi="Times New Roman" w:cs="Times New Roman"/>
                <w:sz w:val="20"/>
                <w:szCs w:val="20"/>
              </w:rPr>
              <w:t xml:space="preserve">2. </w:t>
            </w:r>
            <w:r w:rsidR="00F7611D" w:rsidRPr="00EC1AB2">
              <w:rPr>
                <w:rFonts w:ascii="Times New Roman" w:hAnsi="Times New Roman" w:cs="Times New Roman"/>
                <w:sz w:val="20"/>
                <w:szCs w:val="20"/>
              </w:rPr>
              <w:t>Įkurta Mokslo, inovacijų</w:t>
            </w:r>
            <w:r w:rsidRPr="00EC1AB2">
              <w:rPr>
                <w:rFonts w:ascii="Times New Roman" w:hAnsi="Times New Roman" w:cs="Times New Roman"/>
                <w:sz w:val="20"/>
                <w:szCs w:val="20"/>
              </w:rPr>
              <w:t xml:space="preserve"> ir technologijų agentūra, kurios tikslas skatinti verslo ir mokslo bendradarbiavimą, moksli</w:t>
            </w:r>
            <w:r w:rsidR="00B6746E" w:rsidRPr="00EC1AB2">
              <w:rPr>
                <w:rFonts w:ascii="Times New Roman" w:hAnsi="Times New Roman" w:cs="Times New Roman"/>
                <w:sz w:val="20"/>
                <w:szCs w:val="20"/>
              </w:rPr>
              <w:t>nių tyrimų rezultatų komercializavimą</w:t>
            </w:r>
            <w:r w:rsidRPr="00EC1AB2">
              <w:rPr>
                <w:rFonts w:ascii="Times New Roman" w:hAnsi="Times New Roman" w:cs="Times New Roman"/>
                <w:sz w:val="20"/>
                <w:szCs w:val="20"/>
              </w:rPr>
              <w:t xml:space="preserve"> ir intelektinės nuosavybės apsaugą;</w:t>
            </w:r>
          </w:p>
          <w:p w:rsidR="00C85CB8" w:rsidRPr="00EC1AB2" w:rsidRDefault="00C85CB8"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hAnsi="Times New Roman" w:cs="Times New Roman"/>
                <w:sz w:val="20"/>
                <w:szCs w:val="20"/>
              </w:rPr>
              <w:t xml:space="preserve">3. </w:t>
            </w:r>
            <w:r w:rsidR="005A18B8" w:rsidRPr="00EC1AB2">
              <w:rPr>
                <w:rFonts w:ascii="Times New Roman" w:hAnsi="Times New Roman" w:cs="Times New Roman"/>
                <w:sz w:val="20"/>
                <w:szCs w:val="20"/>
              </w:rPr>
              <w:t>Valstybinių įmonių, vykdančių komercinę veiklą, privatizavimas</w:t>
            </w:r>
            <w:r w:rsidR="00F268A9" w:rsidRPr="00EC1AB2">
              <w:rPr>
                <w:rFonts w:ascii="Times New Roman" w:hAnsi="Times New Roman" w:cs="Times New Roman"/>
                <w:sz w:val="20"/>
                <w:szCs w:val="20"/>
              </w:rPr>
              <w:t>;</w:t>
            </w:r>
          </w:p>
          <w:p w:rsidR="00CD3A11" w:rsidRPr="00EC1AB2" w:rsidRDefault="00A32766"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hAnsi="Times New Roman" w:cs="Times New Roman"/>
                <w:sz w:val="20"/>
                <w:szCs w:val="20"/>
              </w:rPr>
              <w:t>4. Po recesi</w:t>
            </w:r>
            <w:r w:rsidR="00CD3A11" w:rsidRPr="00EC1AB2">
              <w:rPr>
                <w:rFonts w:ascii="Times New Roman" w:hAnsi="Times New Roman" w:cs="Times New Roman"/>
                <w:sz w:val="20"/>
                <w:szCs w:val="20"/>
              </w:rPr>
              <w:t>jos atsigaunanti ekonomika.</w:t>
            </w:r>
          </w:p>
        </w:tc>
        <w:tc>
          <w:tcPr>
            <w:tcW w:w="4927" w:type="dxa"/>
          </w:tcPr>
          <w:p w:rsidR="00605203" w:rsidRPr="00EC1AB2" w:rsidRDefault="004A5120"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 xml:space="preserve">1. </w:t>
            </w:r>
            <w:r w:rsidR="00D72722" w:rsidRPr="00EC1AB2">
              <w:rPr>
                <w:rFonts w:ascii="Times New Roman" w:eastAsia="Times New Roman" w:hAnsi="Times New Roman" w:cs="Times New Roman"/>
                <w:sz w:val="20"/>
                <w:szCs w:val="20"/>
                <w:lang w:eastAsia="lt-LT"/>
              </w:rPr>
              <w:t>Įmonių tarptautinio konkurencingumo mažėjimas;</w:t>
            </w:r>
          </w:p>
          <w:p w:rsidR="00D72722" w:rsidRPr="00EC1AB2" w:rsidRDefault="00D72722" w:rsidP="009F4399">
            <w:pPr>
              <w:autoSpaceDE w:val="0"/>
              <w:autoSpaceDN w:val="0"/>
              <w:adjustRightInd w:val="0"/>
              <w:spacing w:line="276" w:lineRule="auto"/>
              <w:jc w:val="both"/>
              <w:rPr>
                <w:rFonts w:ascii="Times New Roman" w:hAnsi="Times New Roman" w:cs="Times New Roman"/>
                <w:sz w:val="20"/>
                <w:szCs w:val="20"/>
              </w:rPr>
            </w:pPr>
            <w:r w:rsidRPr="00EC1AB2">
              <w:rPr>
                <w:rFonts w:ascii="Times New Roman" w:eastAsia="Times New Roman" w:hAnsi="Times New Roman" w:cs="Times New Roman"/>
                <w:sz w:val="20"/>
                <w:szCs w:val="20"/>
                <w:lang w:eastAsia="lt-LT"/>
              </w:rPr>
              <w:t xml:space="preserve">2. </w:t>
            </w:r>
            <w:r w:rsidRPr="00EC1AB2">
              <w:rPr>
                <w:rFonts w:ascii="Times New Roman" w:hAnsi="Times New Roman" w:cs="Times New Roman"/>
                <w:spacing w:val="1"/>
                <w:sz w:val="20"/>
                <w:szCs w:val="20"/>
              </w:rPr>
              <w:t>P</w:t>
            </w:r>
            <w:r w:rsidRPr="00EC1AB2">
              <w:rPr>
                <w:rFonts w:ascii="Times New Roman" w:hAnsi="Times New Roman" w:cs="Times New Roman"/>
                <w:sz w:val="20"/>
                <w:szCs w:val="20"/>
              </w:rPr>
              <w:t>ol</w:t>
            </w:r>
            <w:r w:rsidRPr="00EC1AB2">
              <w:rPr>
                <w:rFonts w:ascii="Times New Roman" w:hAnsi="Times New Roman" w:cs="Times New Roman"/>
                <w:spacing w:val="1"/>
                <w:sz w:val="20"/>
                <w:szCs w:val="20"/>
              </w:rPr>
              <w:t>i</w:t>
            </w:r>
            <w:r w:rsidRPr="00EC1AB2">
              <w:rPr>
                <w:rFonts w:ascii="Times New Roman" w:hAnsi="Times New Roman" w:cs="Times New Roman"/>
                <w:sz w:val="20"/>
                <w:szCs w:val="20"/>
              </w:rPr>
              <w:t>t</w:t>
            </w:r>
            <w:r w:rsidRPr="00EC1AB2">
              <w:rPr>
                <w:rFonts w:ascii="Times New Roman" w:hAnsi="Times New Roman" w:cs="Times New Roman"/>
                <w:spacing w:val="1"/>
                <w:sz w:val="20"/>
                <w:szCs w:val="20"/>
              </w:rPr>
              <w:t>i</w:t>
            </w:r>
            <w:r w:rsidRPr="00EC1AB2">
              <w:rPr>
                <w:rFonts w:ascii="Times New Roman" w:hAnsi="Times New Roman" w:cs="Times New Roman"/>
                <w:sz w:val="20"/>
                <w:szCs w:val="20"/>
              </w:rPr>
              <w:t>n</w:t>
            </w:r>
            <w:r w:rsidRPr="00EC1AB2">
              <w:rPr>
                <w:rFonts w:ascii="Times New Roman" w:hAnsi="Times New Roman" w:cs="Times New Roman"/>
                <w:spacing w:val="-2"/>
                <w:sz w:val="20"/>
                <w:szCs w:val="20"/>
              </w:rPr>
              <w:t>i</w:t>
            </w:r>
            <w:r w:rsidRPr="00EC1AB2">
              <w:rPr>
                <w:rFonts w:ascii="Times New Roman" w:hAnsi="Times New Roman" w:cs="Times New Roman"/>
                <w:sz w:val="20"/>
                <w:szCs w:val="20"/>
              </w:rPr>
              <w:t>s nest</w:t>
            </w:r>
            <w:r w:rsidRPr="00EC1AB2">
              <w:rPr>
                <w:rFonts w:ascii="Times New Roman" w:hAnsi="Times New Roman" w:cs="Times New Roman"/>
                <w:spacing w:val="-1"/>
                <w:sz w:val="20"/>
                <w:szCs w:val="20"/>
              </w:rPr>
              <w:t>a</w:t>
            </w:r>
            <w:r w:rsidRPr="00EC1AB2">
              <w:rPr>
                <w:rFonts w:ascii="Times New Roman" w:hAnsi="Times New Roman" w:cs="Times New Roman"/>
                <w:sz w:val="20"/>
                <w:szCs w:val="20"/>
              </w:rPr>
              <w:t>bi</w:t>
            </w:r>
            <w:r w:rsidRPr="00EC1AB2">
              <w:rPr>
                <w:rFonts w:ascii="Times New Roman" w:hAnsi="Times New Roman" w:cs="Times New Roman"/>
                <w:spacing w:val="1"/>
                <w:sz w:val="20"/>
                <w:szCs w:val="20"/>
              </w:rPr>
              <w:t>l</w:t>
            </w:r>
            <w:r w:rsidRPr="00EC1AB2">
              <w:rPr>
                <w:rFonts w:ascii="Times New Roman" w:hAnsi="Times New Roman" w:cs="Times New Roman"/>
                <w:sz w:val="20"/>
                <w:szCs w:val="20"/>
              </w:rPr>
              <w:t>u</w:t>
            </w:r>
            <w:r w:rsidRPr="00EC1AB2">
              <w:rPr>
                <w:rFonts w:ascii="Times New Roman" w:hAnsi="Times New Roman" w:cs="Times New Roman"/>
                <w:spacing w:val="-2"/>
                <w:sz w:val="20"/>
                <w:szCs w:val="20"/>
              </w:rPr>
              <w:t>m</w:t>
            </w:r>
            <w:r w:rsidRPr="00EC1AB2">
              <w:rPr>
                <w:rFonts w:ascii="Times New Roman" w:hAnsi="Times New Roman" w:cs="Times New Roman"/>
                <w:spacing w:val="-1"/>
                <w:sz w:val="20"/>
                <w:szCs w:val="20"/>
              </w:rPr>
              <w:t>a</w:t>
            </w:r>
            <w:r w:rsidRPr="00EC1AB2">
              <w:rPr>
                <w:rFonts w:ascii="Times New Roman" w:hAnsi="Times New Roman" w:cs="Times New Roman"/>
                <w:sz w:val="20"/>
                <w:szCs w:val="20"/>
              </w:rPr>
              <w:t>s ir d</w:t>
            </w:r>
            <w:r w:rsidRPr="00EC1AB2">
              <w:rPr>
                <w:rFonts w:ascii="Times New Roman" w:hAnsi="Times New Roman" w:cs="Times New Roman"/>
                <w:spacing w:val="-1"/>
                <w:sz w:val="20"/>
                <w:szCs w:val="20"/>
              </w:rPr>
              <w:t>a</w:t>
            </w:r>
            <w:r w:rsidRPr="00EC1AB2">
              <w:rPr>
                <w:rFonts w:ascii="Times New Roman" w:hAnsi="Times New Roman" w:cs="Times New Roman"/>
                <w:spacing w:val="1"/>
                <w:w w:val="160"/>
                <w:sz w:val="20"/>
                <w:szCs w:val="20"/>
              </w:rPr>
              <w:t>ž</w:t>
            </w:r>
            <w:r w:rsidRPr="00EC1AB2">
              <w:rPr>
                <w:rFonts w:ascii="Times New Roman" w:hAnsi="Times New Roman" w:cs="Times New Roman"/>
                <w:sz w:val="20"/>
                <w:szCs w:val="20"/>
              </w:rPr>
              <w:t>n</w:t>
            </w:r>
            <w:r w:rsidRPr="00EC1AB2">
              <w:rPr>
                <w:rFonts w:ascii="Times New Roman" w:hAnsi="Times New Roman" w:cs="Times New Roman"/>
                <w:spacing w:val="-1"/>
                <w:sz w:val="20"/>
                <w:szCs w:val="20"/>
              </w:rPr>
              <w:t>a</w:t>
            </w:r>
            <w:r w:rsidRPr="00EC1AB2">
              <w:rPr>
                <w:rFonts w:ascii="Times New Roman" w:hAnsi="Times New Roman" w:cs="Times New Roman"/>
                <w:sz w:val="20"/>
                <w:szCs w:val="20"/>
              </w:rPr>
              <w:t>i nenuos</w:t>
            </w:r>
            <w:r w:rsidRPr="00EC1AB2">
              <w:rPr>
                <w:rFonts w:ascii="Times New Roman" w:hAnsi="Times New Roman" w:cs="Times New Roman"/>
                <w:spacing w:val="-1"/>
                <w:sz w:val="20"/>
                <w:szCs w:val="20"/>
              </w:rPr>
              <w:t>e</w:t>
            </w:r>
            <w:r w:rsidRPr="00EC1AB2">
              <w:rPr>
                <w:rFonts w:ascii="Times New Roman" w:hAnsi="Times New Roman" w:cs="Times New Roman"/>
                <w:sz w:val="20"/>
                <w:szCs w:val="20"/>
              </w:rPr>
              <w:t>klus</w:t>
            </w:r>
            <w:r w:rsidRPr="00EC1AB2">
              <w:rPr>
                <w:rFonts w:ascii="Times New Roman" w:hAnsi="Times New Roman" w:cs="Times New Roman"/>
                <w:spacing w:val="3"/>
                <w:sz w:val="20"/>
                <w:szCs w:val="20"/>
              </w:rPr>
              <w:t xml:space="preserve"> </w:t>
            </w:r>
            <w:r w:rsidRPr="00EC1AB2">
              <w:rPr>
                <w:rFonts w:ascii="Times New Roman" w:hAnsi="Times New Roman" w:cs="Times New Roman"/>
                <w:sz w:val="20"/>
                <w:szCs w:val="20"/>
              </w:rPr>
              <w:t>pol</w:t>
            </w:r>
            <w:r w:rsidRPr="00EC1AB2">
              <w:rPr>
                <w:rFonts w:ascii="Times New Roman" w:hAnsi="Times New Roman" w:cs="Times New Roman"/>
                <w:spacing w:val="1"/>
                <w:sz w:val="20"/>
                <w:szCs w:val="20"/>
              </w:rPr>
              <w:t>i</w:t>
            </w:r>
            <w:r w:rsidRPr="00EC1AB2">
              <w:rPr>
                <w:rFonts w:ascii="Times New Roman" w:hAnsi="Times New Roman" w:cs="Times New Roman"/>
                <w:sz w:val="20"/>
                <w:szCs w:val="20"/>
              </w:rPr>
              <w:t>t</w:t>
            </w:r>
            <w:r w:rsidRPr="00EC1AB2">
              <w:rPr>
                <w:rFonts w:ascii="Times New Roman" w:hAnsi="Times New Roman" w:cs="Times New Roman"/>
                <w:spacing w:val="1"/>
                <w:sz w:val="20"/>
                <w:szCs w:val="20"/>
              </w:rPr>
              <w:t>i</w:t>
            </w:r>
            <w:r w:rsidRPr="00EC1AB2">
              <w:rPr>
                <w:rFonts w:ascii="Times New Roman" w:hAnsi="Times New Roman" w:cs="Times New Roman"/>
                <w:sz w:val="20"/>
                <w:szCs w:val="20"/>
              </w:rPr>
              <w:t>nių spr</w:t>
            </w:r>
            <w:r w:rsidRPr="00EC1AB2">
              <w:rPr>
                <w:rFonts w:ascii="Times New Roman" w:hAnsi="Times New Roman" w:cs="Times New Roman"/>
                <w:spacing w:val="-2"/>
                <w:sz w:val="20"/>
                <w:szCs w:val="20"/>
              </w:rPr>
              <w:t>e</w:t>
            </w:r>
            <w:r w:rsidRPr="00EC1AB2">
              <w:rPr>
                <w:rFonts w:ascii="Times New Roman" w:hAnsi="Times New Roman" w:cs="Times New Roman"/>
                <w:sz w:val="20"/>
                <w:szCs w:val="20"/>
              </w:rPr>
              <w:t>ndi</w:t>
            </w:r>
            <w:r w:rsidRPr="00EC1AB2">
              <w:rPr>
                <w:rFonts w:ascii="Times New Roman" w:hAnsi="Times New Roman" w:cs="Times New Roman"/>
                <w:spacing w:val="1"/>
                <w:sz w:val="20"/>
                <w:szCs w:val="20"/>
              </w:rPr>
              <w:t>m</w:t>
            </w:r>
            <w:r w:rsidRPr="00EC1AB2">
              <w:rPr>
                <w:rFonts w:ascii="Times New Roman" w:hAnsi="Times New Roman" w:cs="Times New Roman"/>
                <w:sz w:val="20"/>
                <w:szCs w:val="20"/>
              </w:rPr>
              <w:t>ų pri</w:t>
            </w:r>
            <w:r w:rsidRPr="00EC1AB2">
              <w:rPr>
                <w:rFonts w:ascii="Times New Roman" w:hAnsi="Times New Roman" w:cs="Times New Roman"/>
                <w:spacing w:val="-1"/>
                <w:sz w:val="20"/>
                <w:szCs w:val="20"/>
              </w:rPr>
              <w:t>ė</w:t>
            </w:r>
            <w:r w:rsidRPr="00EC1AB2">
              <w:rPr>
                <w:rFonts w:ascii="Times New Roman" w:hAnsi="Times New Roman" w:cs="Times New Roman"/>
                <w:sz w:val="20"/>
                <w:szCs w:val="20"/>
              </w:rPr>
              <w:t>m</w:t>
            </w:r>
            <w:r w:rsidRPr="00EC1AB2">
              <w:rPr>
                <w:rFonts w:ascii="Times New Roman" w:hAnsi="Times New Roman" w:cs="Times New Roman"/>
                <w:spacing w:val="1"/>
                <w:sz w:val="20"/>
                <w:szCs w:val="20"/>
              </w:rPr>
              <w:t>i</w:t>
            </w:r>
            <w:r w:rsidRPr="00EC1AB2">
              <w:rPr>
                <w:rFonts w:ascii="Times New Roman" w:hAnsi="Times New Roman" w:cs="Times New Roman"/>
                <w:sz w:val="20"/>
                <w:szCs w:val="20"/>
              </w:rPr>
              <w:t>mas;</w:t>
            </w:r>
          </w:p>
          <w:p w:rsidR="00D72722" w:rsidRPr="00EC1AB2" w:rsidRDefault="00641E89"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3. „Protų nutekėjimo“ problema;</w:t>
            </w:r>
          </w:p>
          <w:p w:rsidR="008A6E9F" w:rsidRPr="00EC1AB2" w:rsidRDefault="00641E89" w:rsidP="009F4399">
            <w:pPr>
              <w:autoSpaceDE w:val="0"/>
              <w:autoSpaceDN w:val="0"/>
              <w:adjustRightInd w:val="0"/>
              <w:spacing w:line="276" w:lineRule="auto"/>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sz w:val="20"/>
                <w:szCs w:val="20"/>
                <w:lang w:eastAsia="lt-LT"/>
              </w:rPr>
              <w:t>4</w:t>
            </w:r>
            <w:r w:rsidR="00605203" w:rsidRPr="00EC1AB2">
              <w:rPr>
                <w:rFonts w:ascii="Times New Roman" w:eastAsia="Times New Roman" w:hAnsi="Times New Roman" w:cs="Times New Roman"/>
                <w:sz w:val="20"/>
                <w:szCs w:val="20"/>
                <w:lang w:eastAsia="lt-LT"/>
              </w:rPr>
              <w:t xml:space="preserve">. </w:t>
            </w:r>
            <w:r w:rsidR="003B4C63" w:rsidRPr="00EC1AB2">
              <w:rPr>
                <w:rFonts w:ascii="Times New Roman" w:eastAsia="Times New Roman" w:hAnsi="Times New Roman" w:cs="Times New Roman"/>
                <w:sz w:val="20"/>
                <w:szCs w:val="20"/>
                <w:lang w:eastAsia="lt-LT"/>
              </w:rPr>
              <w:t>Lėtas paskolų rinkos atsigavimas;</w:t>
            </w:r>
          </w:p>
          <w:p w:rsidR="003B4C63" w:rsidRPr="00EC1AB2" w:rsidRDefault="00641E89" w:rsidP="009F4399">
            <w:pPr>
              <w:autoSpaceDE w:val="0"/>
              <w:autoSpaceDN w:val="0"/>
              <w:adjustRightInd w:val="0"/>
              <w:spacing w:line="276"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0"/>
                <w:szCs w:val="20"/>
                <w:lang w:eastAsia="lt-LT"/>
              </w:rPr>
              <w:t>5</w:t>
            </w:r>
            <w:r w:rsidR="003B4C63" w:rsidRPr="00EC1AB2">
              <w:rPr>
                <w:rFonts w:ascii="Times New Roman" w:eastAsia="Times New Roman" w:hAnsi="Times New Roman" w:cs="Times New Roman"/>
                <w:sz w:val="20"/>
                <w:szCs w:val="20"/>
                <w:lang w:eastAsia="lt-LT"/>
              </w:rPr>
              <w:t xml:space="preserve">. </w:t>
            </w:r>
            <w:r w:rsidR="00043CEA" w:rsidRPr="00EC1AB2">
              <w:rPr>
                <w:rFonts w:ascii="Times New Roman" w:eastAsia="Times New Roman" w:hAnsi="Times New Roman" w:cs="Times New Roman"/>
                <w:sz w:val="20"/>
                <w:szCs w:val="20"/>
                <w:lang w:eastAsia="lt-LT"/>
              </w:rPr>
              <w:t>Sunkumai atgaunant užsienio investuotojų pasitikėjimą ir susidomėjimą.</w:t>
            </w:r>
          </w:p>
        </w:tc>
      </w:tr>
    </w:tbl>
    <w:p w:rsidR="00A001C8" w:rsidRPr="00EC1AB2" w:rsidRDefault="00A001C8" w:rsidP="007A02A8">
      <w:pPr>
        <w:autoSpaceDE w:val="0"/>
        <w:autoSpaceDN w:val="0"/>
        <w:adjustRightInd w:val="0"/>
        <w:spacing w:after="0" w:line="360" w:lineRule="auto"/>
        <w:jc w:val="both"/>
        <w:rPr>
          <w:rFonts w:ascii="Times New Roman" w:eastAsia="Times New Roman" w:hAnsi="Times New Roman" w:cs="Times New Roman"/>
          <w:sz w:val="24"/>
          <w:szCs w:val="24"/>
          <w:lang w:eastAsia="lt-LT"/>
        </w:rPr>
      </w:pPr>
    </w:p>
    <w:p w:rsidR="009F4399" w:rsidRPr="00EC1AB2" w:rsidRDefault="00FF48D2" w:rsidP="007A02A8">
      <w:pPr>
        <w:autoSpaceDE w:val="0"/>
        <w:autoSpaceDN w:val="0"/>
        <w:adjustRightInd w:val="0"/>
        <w:spacing w:after="0" w:line="360" w:lineRule="auto"/>
        <w:ind w:firstLine="567"/>
        <w:jc w:val="both"/>
        <w:rPr>
          <w:rFonts w:ascii="Times New Roman" w:eastAsia="Times New Roman" w:hAnsi="Times New Roman" w:cs="Times New Roman"/>
          <w:sz w:val="20"/>
          <w:szCs w:val="20"/>
          <w:lang w:eastAsia="lt-LT"/>
        </w:rPr>
      </w:pPr>
      <w:r w:rsidRPr="00EC1AB2">
        <w:rPr>
          <w:rFonts w:ascii="Times New Roman" w:eastAsia="Times New Roman" w:hAnsi="Times New Roman" w:cs="Times New Roman"/>
          <w:b/>
          <w:sz w:val="20"/>
          <w:szCs w:val="20"/>
          <w:lang w:eastAsia="lt-LT"/>
        </w:rPr>
        <w:t>Šaltinis</w:t>
      </w:r>
      <w:r w:rsidR="003B2AF3" w:rsidRPr="00EC1AB2">
        <w:rPr>
          <w:rFonts w:ascii="Times New Roman" w:eastAsia="Times New Roman" w:hAnsi="Times New Roman" w:cs="Times New Roman"/>
          <w:sz w:val="20"/>
          <w:szCs w:val="20"/>
          <w:lang w:eastAsia="lt-LT"/>
        </w:rPr>
        <w:t xml:space="preserve">: </w:t>
      </w:r>
      <w:r w:rsidR="009F4399" w:rsidRPr="00EC1AB2">
        <w:rPr>
          <w:rFonts w:ascii="Times New Roman" w:eastAsia="Times New Roman" w:hAnsi="Times New Roman" w:cs="Times New Roman"/>
          <w:sz w:val="20"/>
          <w:szCs w:val="20"/>
          <w:lang w:eastAsia="lt-LT"/>
        </w:rPr>
        <w:t>sudaryta darbo autorės</w:t>
      </w:r>
    </w:p>
    <w:p w:rsidR="009F4399" w:rsidRPr="00EC1AB2" w:rsidRDefault="009F4399"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p>
    <w:p w:rsidR="00385363" w:rsidRPr="00EC1AB2" w:rsidRDefault="00E62586" w:rsidP="007A02A8">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Apibendrinant,</w:t>
      </w:r>
      <w:r w:rsidR="00C4082E" w:rsidRPr="00EC1AB2">
        <w:rPr>
          <w:rFonts w:ascii="Times New Roman" w:eastAsia="Times New Roman" w:hAnsi="Times New Roman" w:cs="Times New Roman"/>
          <w:sz w:val="24"/>
          <w:szCs w:val="24"/>
          <w:lang w:eastAsia="lt-LT"/>
        </w:rPr>
        <w:t xml:space="preserve"> vienas iš pasiūlymų – </w:t>
      </w:r>
      <w:r w:rsidR="009F6DFA" w:rsidRPr="00EC1AB2">
        <w:rPr>
          <w:rFonts w:ascii="Times New Roman" w:eastAsia="Times New Roman" w:hAnsi="Times New Roman" w:cs="Times New Roman"/>
          <w:sz w:val="24"/>
          <w:szCs w:val="24"/>
          <w:lang w:eastAsia="lt-LT"/>
        </w:rPr>
        <w:t>pens</w:t>
      </w:r>
      <w:r w:rsidR="00310CD0" w:rsidRPr="00EC1AB2">
        <w:rPr>
          <w:rFonts w:ascii="Times New Roman" w:eastAsia="Times New Roman" w:hAnsi="Times New Roman" w:cs="Times New Roman"/>
          <w:sz w:val="24"/>
          <w:szCs w:val="24"/>
          <w:lang w:eastAsia="lt-LT"/>
        </w:rPr>
        <w:t>ijų ir draudimo įmonių skatinimas</w:t>
      </w:r>
      <w:r w:rsidR="009F6DFA" w:rsidRPr="00EC1AB2">
        <w:rPr>
          <w:rFonts w:ascii="Times New Roman" w:eastAsia="Times New Roman" w:hAnsi="Times New Roman" w:cs="Times New Roman"/>
          <w:sz w:val="24"/>
          <w:szCs w:val="24"/>
          <w:lang w:eastAsia="lt-LT"/>
        </w:rPr>
        <w:t xml:space="preserve"> dalyvauti formuojant </w:t>
      </w:r>
      <w:r w:rsidR="005A07CA" w:rsidRPr="00EC1AB2">
        <w:rPr>
          <w:rFonts w:ascii="Times New Roman" w:eastAsia="Times New Roman" w:hAnsi="Times New Roman" w:cs="Times New Roman"/>
          <w:sz w:val="24"/>
          <w:szCs w:val="24"/>
          <w:lang w:eastAsia="lt-LT"/>
        </w:rPr>
        <w:t>RKF</w:t>
      </w:r>
      <w:r w:rsidR="00E579FE" w:rsidRPr="00EC1AB2">
        <w:rPr>
          <w:rFonts w:ascii="Times New Roman" w:eastAsia="Times New Roman" w:hAnsi="Times New Roman" w:cs="Times New Roman"/>
          <w:sz w:val="24"/>
          <w:szCs w:val="24"/>
          <w:lang w:eastAsia="lt-LT"/>
        </w:rPr>
        <w:t xml:space="preserve"> investicijas</w:t>
      </w:r>
      <w:r w:rsidR="005A07CA" w:rsidRPr="00EC1AB2">
        <w:rPr>
          <w:rFonts w:ascii="Times New Roman" w:eastAsia="Times New Roman" w:hAnsi="Times New Roman" w:cs="Times New Roman"/>
          <w:sz w:val="24"/>
          <w:szCs w:val="24"/>
          <w:lang w:eastAsia="lt-LT"/>
        </w:rPr>
        <w:t>, ta</w:t>
      </w:r>
      <w:r w:rsidR="00552ABC" w:rsidRPr="00EC1AB2">
        <w:rPr>
          <w:rFonts w:ascii="Times New Roman" w:eastAsia="Times New Roman" w:hAnsi="Times New Roman" w:cs="Times New Roman"/>
          <w:sz w:val="24"/>
          <w:szCs w:val="24"/>
          <w:lang w:eastAsia="lt-LT"/>
        </w:rPr>
        <w:t xml:space="preserve">ikant </w:t>
      </w:r>
      <w:r w:rsidR="00310CD0" w:rsidRPr="00EC1AB2">
        <w:rPr>
          <w:rFonts w:ascii="Times New Roman" w:eastAsia="Times New Roman" w:hAnsi="Times New Roman" w:cs="Times New Roman"/>
          <w:sz w:val="24"/>
          <w:szCs w:val="24"/>
          <w:lang w:eastAsia="lt-LT"/>
        </w:rPr>
        <w:t xml:space="preserve">mokesčių </w:t>
      </w:r>
      <w:r w:rsidR="00E579FE" w:rsidRPr="00EC1AB2">
        <w:rPr>
          <w:rFonts w:ascii="Times New Roman" w:eastAsia="Times New Roman" w:hAnsi="Times New Roman" w:cs="Times New Roman"/>
          <w:sz w:val="24"/>
          <w:szCs w:val="24"/>
          <w:lang w:eastAsia="lt-LT"/>
        </w:rPr>
        <w:t xml:space="preserve">lengvatas. </w:t>
      </w:r>
      <w:r w:rsidR="00776936" w:rsidRPr="00EC1AB2">
        <w:rPr>
          <w:rFonts w:ascii="Times New Roman" w:eastAsia="Times New Roman" w:hAnsi="Times New Roman" w:cs="Times New Roman"/>
          <w:sz w:val="24"/>
          <w:szCs w:val="24"/>
          <w:lang w:eastAsia="lt-LT"/>
        </w:rPr>
        <w:t xml:space="preserve">2010 m. duomenimis pensijų įmonės </w:t>
      </w:r>
      <w:r w:rsidR="00E579FE" w:rsidRPr="00EC1AB2">
        <w:rPr>
          <w:rFonts w:ascii="Times New Roman" w:eastAsia="Times New Roman" w:hAnsi="Times New Roman" w:cs="Times New Roman"/>
          <w:sz w:val="24"/>
          <w:szCs w:val="24"/>
          <w:lang w:eastAsia="lt-LT"/>
        </w:rPr>
        <w:t xml:space="preserve">pagal </w:t>
      </w:r>
      <w:r w:rsidR="00E579FE" w:rsidRPr="00EC1AB2">
        <w:rPr>
          <w:rFonts w:ascii="Times New Roman" w:eastAsia="Times New Roman" w:hAnsi="Times New Roman" w:cs="Times New Roman"/>
          <w:sz w:val="24"/>
          <w:szCs w:val="24"/>
          <w:lang w:eastAsia="lt-LT"/>
        </w:rPr>
        <w:lastRenderedPageBreak/>
        <w:t>įsta</w:t>
      </w:r>
      <w:r w:rsidR="0024192E" w:rsidRPr="00EC1AB2">
        <w:rPr>
          <w:rFonts w:ascii="Times New Roman" w:eastAsia="Times New Roman" w:hAnsi="Times New Roman" w:cs="Times New Roman"/>
          <w:sz w:val="24"/>
          <w:szCs w:val="24"/>
          <w:lang w:eastAsia="lt-LT"/>
        </w:rPr>
        <w:t>tymo nuostatas galėjo investuoti</w:t>
      </w:r>
      <w:r w:rsidR="00E579FE" w:rsidRPr="00EC1AB2">
        <w:rPr>
          <w:rFonts w:ascii="Times New Roman" w:eastAsia="Times New Roman" w:hAnsi="Times New Roman" w:cs="Times New Roman"/>
          <w:sz w:val="24"/>
          <w:szCs w:val="24"/>
          <w:lang w:eastAsia="lt-LT"/>
        </w:rPr>
        <w:t xml:space="preserve"> iki 667,67 mln. litų</w:t>
      </w:r>
      <w:r w:rsidR="001D1E36" w:rsidRPr="00EC1AB2">
        <w:rPr>
          <w:rFonts w:ascii="Times New Roman" w:eastAsia="Times New Roman" w:hAnsi="Times New Roman" w:cs="Times New Roman"/>
          <w:sz w:val="24"/>
          <w:szCs w:val="24"/>
          <w:lang w:eastAsia="lt-LT"/>
        </w:rPr>
        <w:t xml:space="preserve"> (20 proc. grynųjų aktyvų vertės)</w:t>
      </w:r>
      <w:r w:rsidR="00E579FE" w:rsidRPr="00EC1AB2">
        <w:rPr>
          <w:rFonts w:ascii="Times New Roman" w:eastAsia="Times New Roman" w:hAnsi="Times New Roman" w:cs="Times New Roman"/>
          <w:sz w:val="24"/>
          <w:szCs w:val="24"/>
          <w:lang w:eastAsia="lt-LT"/>
        </w:rPr>
        <w:t xml:space="preserve"> , tačiau buvo investuota tik 0,4 mln. Lt, tuo tarpu draudimo įmonės apskirtai nedalyvavo formuojant RKF </w:t>
      </w:r>
      <w:r w:rsidR="008F138A" w:rsidRPr="00EC1AB2">
        <w:rPr>
          <w:rFonts w:ascii="Times New Roman" w:eastAsia="Times New Roman" w:hAnsi="Times New Roman" w:cs="Times New Roman"/>
          <w:sz w:val="24"/>
          <w:szCs w:val="24"/>
          <w:lang w:eastAsia="lt-LT"/>
        </w:rPr>
        <w:t>investicijas, nors įs</w:t>
      </w:r>
      <w:r w:rsidR="00E579FE" w:rsidRPr="00EC1AB2">
        <w:rPr>
          <w:rFonts w:ascii="Times New Roman" w:eastAsia="Times New Roman" w:hAnsi="Times New Roman" w:cs="Times New Roman"/>
          <w:sz w:val="24"/>
          <w:szCs w:val="24"/>
          <w:lang w:eastAsia="lt-LT"/>
        </w:rPr>
        <w:t>tatymai netaiko jokių apribojimų.</w:t>
      </w:r>
      <w:r w:rsidR="00C87AB1" w:rsidRPr="00EC1AB2">
        <w:rPr>
          <w:rFonts w:ascii="Times New Roman" w:eastAsia="Times New Roman" w:hAnsi="Times New Roman" w:cs="Times New Roman"/>
          <w:sz w:val="24"/>
          <w:szCs w:val="24"/>
          <w:lang w:eastAsia="lt-LT"/>
        </w:rPr>
        <w:t xml:space="preserve"> </w:t>
      </w:r>
      <w:r w:rsidR="008B7219" w:rsidRPr="00EC1AB2">
        <w:rPr>
          <w:rFonts w:ascii="Times New Roman" w:eastAsia="Times New Roman" w:hAnsi="Times New Roman" w:cs="Times New Roman"/>
          <w:sz w:val="24"/>
          <w:szCs w:val="24"/>
          <w:lang w:eastAsia="lt-LT"/>
        </w:rPr>
        <w:t>Daugelyje šalių šie instituciniai investuotojai yra pagrindiniai RKF investicijų formuotojai, todėl</w:t>
      </w:r>
      <w:r w:rsidR="00F12AA8" w:rsidRPr="00EC1AB2">
        <w:rPr>
          <w:rFonts w:ascii="Times New Roman" w:eastAsia="Times New Roman" w:hAnsi="Times New Roman" w:cs="Times New Roman"/>
          <w:sz w:val="24"/>
          <w:szCs w:val="24"/>
          <w:lang w:eastAsia="lt-LT"/>
        </w:rPr>
        <w:t xml:space="preserve"> tai tik pagrindžia lengvatų taikymo būtinybę.</w:t>
      </w:r>
      <w:r w:rsidR="00320E6A" w:rsidRPr="00EC1AB2">
        <w:rPr>
          <w:rFonts w:ascii="Times New Roman" w:eastAsia="Times New Roman" w:hAnsi="Times New Roman" w:cs="Times New Roman"/>
          <w:sz w:val="24"/>
          <w:szCs w:val="24"/>
          <w:lang w:eastAsia="lt-LT"/>
        </w:rPr>
        <w:t xml:space="preserve"> </w:t>
      </w:r>
    </w:p>
    <w:p w:rsidR="00707C8C" w:rsidRPr="00EC1AB2" w:rsidRDefault="00E62586" w:rsidP="004A2DEB">
      <w:pPr>
        <w:autoSpaceDE w:val="0"/>
        <w:autoSpaceDN w:val="0"/>
        <w:adjustRightInd w:val="0"/>
        <w:spacing w:after="0" w:line="360" w:lineRule="auto"/>
        <w:ind w:firstLine="567"/>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T</w:t>
      </w:r>
      <w:r w:rsidR="00552ABC" w:rsidRPr="00EC1AB2">
        <w:rPr>
          <w:rFonts w:ascii="Times New Roman" w:eastAsia="Times New Roman" w:hAnsi="Times New Roman" w:cs="Times New Roman"/>
          <w:sz w:val="24"/>
          <w:szCs w:val="24"/>
          <w:lang w:eastAsia="lt-LT"/>
        </w:rPr>
        <w:t xml:space="preserve">aip pat </w:t>
      </w:r>
      <w:r w:rsidRPr="00EC1AB2">
        <w:rPr>
          <w:rFonts w:ascii="Times New Roman" w:eastAsia="Times New Roman" w:hAnsi="Times New Roman" w:cs="Times New Roman"/>
          <w:sz w:val="24"/>
          <w:szCs w:val="24"/>
          <w:lang w:eastAsia="lt-LT"/>
        </w:rPr>
        <w:t xml:space="preserve">reikalinga </w:t>
      </w:r>
      <w:r w:rsidR="004A2DEB" w:rsidRPr="00EC1AB2">
        <w:rPr>
          <w:rFonts w:ascii="Times New Roman" w:eastAsia="Times New Roman" w:hAnsi="Times New Roman" w:cs="Times New Roman"/>
          <w:sz w:val="24"/>
          <w:szCs w:val="24"/>
          <w:lang w:eastAsia="lt-LT"/>
        </w:rPr>
        <w:t xml:space="preserve">imtis priemonių, skatinančių </w:t>
      </w:r>
      <w:r w:rsidR="00552ABC" w:rsidRPr="00EC1AB2">
        <w:rPr>
          <w:rFonts w:ascii="Times New Roman" w:eastAsia="Times New Roman" w:hAnsi="Times New Roman" w:cs="Times New Roman"/>
          <w:sz w:val="24"/>
          <w:szCs w:val="24"/>
          <w:lang w:eastAsia="lt-LT"/>
        </w:rPr>
        <w:t>auštos pridėtinės vertės verslų kūrimą</w:t>
      </w:r>
      <w:r w:rsidR="004A2DEB" w:rsidRPr="00EC1AB2">
        <w:rPr>
          <w:rFonts w:ascii="Times New Roman" w:eastAsia="Times New Roman" w:hAnsi="Times New Roman" w:cs="Times New Roman"/>
          <w:sz w:val="24"/>
          <w:szCs w:val="24"/>
          <w:lang w:eastAsia="lt-LT"/>
        </w:rPr>
        <w:t>, didinančių naujų inovatyvių įmonių steigimosi apimtis.</w:t>
      </w:r>
      <w:r w:rsidRPr="00EC1AB2">
        <w:rPr>
          <w:rFonts w:ascii="Times New Roman" w:eastAsia="Times New Roman" w:hAnsi="Times New Roman" w:cs="Times New Roman"/>
          <w:sz w:val="24"/>
          <w:szCs w:val="24"/>
          <w:lang w:eastAsia="lt-LT"/>
        </w:rPr>
        <w:t xml:space="preserve"> </w:t>
      </w:r>
      <w:r w:rsidR="00121C25" w:rsidRPr="00EC1AB2">
        <w:rPr>
          <w:rFonts w:ascii="Times New Roman" w:eastAsia="Times New Roman" w:hAnsi="Times New Roman" w:cs="Times New Roman"/>
          <w:sz w:val="24"/>
          <w:szCs w:val="24"/>
          <w:lang w:eastAsia="lt-LT"/>
        </w:rPr>
        <w:t xml:space="preserve">Dar vienas iš pasiūlymų būtų </w:t>
      </w:r>
      <w:r w:rsidR="003E502D" w:rsidRPr="00EC1AB2">
        <w:rPr>
          <w:rFonts w:ascii="Times New Roman" w:eastAsia="Times New Roman" w:hAnsi="Times New Roman" w:cs="Times New Roman"/>
          <w:sz w:val="24"/>
          <w:szCs w:val="24"/>
          <w:lang w:eastAsia="lt-LT"/>
        </w:rPr>
        <w:t>v</w:t>
      </w:r>
      <w:r w:rsidR="00121C25" w:rsidRPr="00EC1AB2">
        <w:rPr>
          <w:rFonts w:ascii="Times New Roman" w:eastAsia="Times New Roman" w:hAnsi="Times New Roman" w:cs="Times New Roman"/>
          <w:sz w:val="24"/>
          <w:szCs w:val="24"/>
          <w:lang w:eastAsia="lt-LT"/>
        </w:rPr>
        <w:t xml:space="preserve">erslo ir mokslo bendradarbiavimo skatinimas. Siekiant, </w:t>
      </w:r>
      <w:r w:rsidR="003E502D" w:rsidRPr="00EC1AB2">
        <w:rPr>
          <w:rFonts w:ascii="Times New Roman" w:eastAsia="Times New Roman" w:hAnsi="Times New Roman" w:cs="Times New Roman"/>
          <w:sz w:val="24"/>
          <w:szCs w:val="24"/>
          <w:lang w:eastAsia="lt-LT"/>
        </w:rPr>
        <w:t>kad</w:t>
      </w:r>
      <w:r w:rsidR="00285668" w:rsidRPr="00EC1AB2">
        <w:rPr>
          <w:rFonts w:ascii="Times New Roman" w:eastAsia="Times New Roman" w:hAnsi="Times New Roman" w:cs="Times New Roman"/>
          <w:sz w:val="24"/>
          <w:szCs w:val="24"/>
          <w:lang w:eastAsia="lt-LT"/>
        </w:rPr>
        <w:t xml:space="preserve"> kuo daugiau inovacijų būtų komerciali</w:t>
      </w:r>
      <w:r w:rsidR="00310CD0" w:rsidRPr="00EC1AB2">
        <w:rPr>
          <w:rFonts w:ascii="Times New Roman" w:eastAsia="Times New Roman" w:hAnsi="Times New Roman" w:cs="Times New Roman"/>
          <w:sz w:val="24"/>
          <w:szCs w:val="24"/>
          <w:lang w:eastAsia="lt-LT"/>
        </w:rPr>
        <w:t>zuojama, t.y. pritaikoma ūkinėje veikloje</w:t>
      </w:r>
      <w:r w:rsidR="00121C25" w:rsidRPr="00EC1AB2">
        <w:rPr>
          <w:rFonts w:ascii="Times New Roman" w:eastAsia="Times New Roman" w:hAnsi="Times New Roman" w:cs="Times New Roman"/>
          <w:sz w:val="24"/>
          <w:szCs w:val="24"/>
          <w:lang w:eastAsia="lt-LT"/>
        </w:rPr>
        <w:t>, reikalinga nedelsiant</w:t>
      </w:r>
      <w:r w:rsidR="00EB78D8" w:rsidRPr="00EC1AB2">
        <w:rPr>
          <w:rFonts w:ascii="Times New Roman" w:eastAsia="Times New Roman" w:hAnsi="Times New Roman" w:cs="Times New Roman"/>
          <w:sz w:val="24"/>
          <w:szCs w:val="24"/>
          <w:lang w:eastAsia="lt-LT"/>
        </w:rPr>
        <w:t xml:space="preserve"> sudaryti mokslinės produkcijos gamybos ir Lietuvos ūkio reikmių duomenų bazes.</w:t>
      </w:r>
    </w:p>
    <w:p w:rsidR="00707C8C" w:rsidRPr="00EC1AB2" w:rsidRDefault="00707C8C" w:rsidP="007A02A8">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p>
    <w:p w:rsidR="00975B21" w:rsidRPr="00EC1AB2" w:rsidRDefault="00A44A20" w:rsidP="007A02A8">
      <w:p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br w:type="page"/>
      </w:r>
    </w:p>
    <w:p w:rsidR="00707C8C" w:rsidRPr="00EC1AB2" w:rsidRDefault="00081C80" w:rsidP="007A02A8">
      <w:pPr>
        <w:pStyle w:val="Heading1"/>
        <w:spacing w:before="0" w:after="0" w:line="360" w:lineRule="auto"/>
        <w:rPr>
          <w:sz w:val="28"/>
          <w:szCs w:val="28"/>
        </w:rPr>
      </w:pPr>
      <w:bookmarkStart w:id="196" w:name="_Toc320567003"/>
      <w:bookmarkStart w:id="197" w:name="_Toc320567043"/>
      <w:bookmarkStart w:id="198" w:name="_Toc320567190"/>
      <w:bookmarkStart w:id="199" w:name="_Toc320761773"/>
      <w:bookmarkStart w:id="200" w:name="_Toc320761942"/>
      <w:bookmarkStart w:id="201" w:name="_Toc320762177"/>
      <w:bookmarkStart w:id="202" w:name="_Toc320762580"/>
      <w:bookmarkStart w:id="203" w:name="_Toc321092706"/>
      <w:r w:rsidRPr="00EC1AB2">
        <w:rPr>
          <w:sz w:val="28"/>
          <w:szCs w:val="28"/>
        </w:rPr>
        <w:lastRenderedPageBreak/>
        <w:t xml:space="preserve">IŠVADOS IR </w:t>
      </w:r>
      <w:r w:rsidR="00B21BF5" w:rsidRPr="00EC1AB2">
        <w:rPr>
          <w:sz w:val="28"/>
          <w:szCs w:val="28"/>
        </w:rPr>
        <w:t>SIŪLYMAI</w:t>
      </w:r>
      <w:bookmarkEnd w:id="196"/>
      <w:bookmarkEnd w:id="197"/>
      <w:bookmarkEnd w:id="198"/>
      <w:bookmarkEnd w:id="199"/>
      <w:bookmarkEnd w:id="200"/>
      <w:bookmarkEnd w:id="201"/>
      <w:bookmarkEnd w:id="202"/>
      <w:bookmarkEnd w:id="203"/>
    </w:p>
    <w:p w:rsidR="00486712" w:rsidRPr="00EC1AB2" w:rsidRDefault="00486712" w:rsidP="007A02A8">
      <w:pPr>
        <w:autoSpaceDE w:val="0"/>
        <w:autoSpaceDN w:val="0"/>
        <w:adjustRightInd w:val="0"/>
        <w:spacing w:after="0" w:line="360" w:lineRule="auto"/>
        <w:ind w:firstLine="1296"/>
        <w:jc w:val="center"/>
        <w:rPr>
          <w:rFonts w:ascii="Times New Roman" w:eastAsia="Times New Roman" w:hAnsi="Times New Roman" w:cs="Times New Roman"/>
          <w:b/>
          <w:sz w:val="28"/>
          <w:szCs w:val="28"/>
          <w:lang w:eastAsia="lt-LT"/>
        </w:rPr>
      </w:pPr>
    </w:p>
    <w:p w:rsidR="00B63D8F" w:rsidRPr="00EC1AB2" w:rsidRDefault="00B63D8F" w:rsidP="007A02A8">
      <w:pPr>
        <w:pStyle w:val="ListParagraph"/>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Rizikos kapitalo samprata tiek teoriniuose, tiek empiriniuose užsienio autorių tyrimuose traktuojama nevienodai, tačiau laikantis europietiško požiūrio, rizikos k</w:t>
      </w:r>
      <w:r w:rsidR="003B0257" w:rsidRPr="00EC1AB2">
        <w:rPr>
          <w:rFonts w:ascii="Times New Roman" w:eastAsia="Times New Roman" w:hAnsi="Times New Roman" w:cs="Times New Roman"/>
          <w:sz w:val="24"/>
          <w:szCs w:val="24"/>
          <w:lang w:eastAsia="lt-LT"/>
        </w:rPr>
        <w:t xml:space="preserve">apitalas suprantamas, kaip </w:t>
      </w:r>
      <w:r w:rsidR="007F7D1D" w:rsidRPr="00EC1AB2">
        <w:rPr>
          <w:rFonts w:ascii="Times New Roman" w:eastAsia="Times New Roman" w:hAnsi="Times New Roman" w:cs="Times New Roman"/>
          <w:sz w:val="24"/>
          <w:szCs w:val="24"/>
          <w:lang w:eastAsia="lt-LT"/>
        </w:rPr>
        <w:t xml:space="preserve">inovatyvių įmonių </w:t>
      </w:r>
      <w:r w:rsidR="003B0257" w:rsidRPr="00EC1AB2">
        <w:rPr>
          <w:rFonts w:ascii="Times New Roman" w:eastAsia="Times New Roman" w:hAnsi="Times New Roman" w:cs="Times New Roman"/>
          <w:sz w:val="24"/>
          <w:szCs w:val="24"/>
          <w:lang w:eastAsia="lt-LT"/>
        </w:rPr>
        <w:t xml:space="preserve">veiklos pradžios bei ankstyvos plėtros </w:t>
      </w:r>
      <w:r w:rsidRPr="00EC1AB2">
        <w:rPr>
          <w:rFonts w:ascii="Times New Roman" w:eastAsia="Times New Roman" w:hAnsi="Times New Roman" w:cs="Times New Roman"/>
          <w:sz w:val="24"/>
          <w:szCs w:val="24"/>
          <w:lang w:eastAsia="lt-LT"/>
        </w:rPr>
        <w:t xml:space="preserve">finansavimo būdas, viena iš privataus kapitalo investavimo formų. </w:t>
      </w:r>
    </w:p>
    <w:p w:rsidR="00B63D8F" w:rsidRPr="00EC1AB2" w:rsidRDefault="00B63D8F" w:rsidP="007A02A8">
      <w:pPr>
        <w:pStyle w:val="ListParagraph"/>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C1AB2">
        <w:rPr>
          <w:rFonts w:ascii="Times New Roman" w:eastAsia="Times New Roman" w:hAnsi="Times New Roman" w:cs="Times New Roman"/>
          <w:sz w:val="24"/>
          <w:szCs w:val="24"/>
          <w:lang w:eastAsia="lt-LT"/>
        </w:rPr>
        <w:t>RKF yra finansų tarpininkas, investuojantis į jaunų, potencialiai perspektyvių įmonių akcijas, aktyviai valdantis, kontroliuojantis ir padedantis</w:t>
      </w:r>
      <w:r w:rsidR="004D52EB" w:rsidRPr="00EC1AB2">
        <w:rPr>
          <w:rFonts w:ascii="Times New Roman" w:eastAsia="Times New Roman" w:hAnsi="Times New Roman" w:cs="Times New Roman"/>
          <w:sz w:val="24"/>
          <w:szCs w:val="24"/>
          <w:lang w:eastAsia="lt-LT"/>
        </w:rPr>
        <w:t xml:space="preserve"> po</w:t>
      </w:r>
      <w:r w:rsidR="00351911" w:rsidRPr="00EC1AB2">
        <w:rPr>
          <w:rFonts w:ascii="Times New Roman" w:eastAsia="Times New Roman" w:hAnsi="Times New Roman" w:cs="Times New Roman"/>
          <w:sz w:val="24"/>
          <w:szCs w:val="24"/>
          <w:lang w:eastAsia="lt-LT"/>
        </w:rPr>
        <w:t>r</w:t>
      </w:r>
      <w:r w:rsidR="004D52EB" w:rsidRPr="00EC1AB2">
        <w:rPr>
          <w:rFonts w:ascii="Times New Roman" w:eastAsia="Times New Roman" w:hAnsi="Times New Roman" w:cs="Times New Roman"/>
          <w:sz w:val="24"/>
          <w:szCs w:val="24"/>
          <w:lang w:eastAsia="lt-LT"/>
        </w:rPr>
        <w:t>tfelio</w:t>
      </w:r>
      <w:r w:rsidR="00351911" w:rsidRPr="00EC1AB2">
        <w:rPr>
          <w:rFonts w:ascii="Times New Roman" w:eastAsia="Times New Roman" w:hAnsi="Times New Roman" w:cs="Times New Roman"/>
          <w:sz w:val="24"/>
          <w:szCs w:val="24"/>
          <w:lang w:eastAsia="lt-LT"/>
        </w:rPr>
        <w:t xml:space="preserve"> įmonėms,</w:t>
      </w:r>
      <w:r w:rsidR="009D0BF1" w:rsidRPr="00EC1AB2">
        <w:rPr>
          <w:rFonts w:ascii="Times New Roman" w:eastAsia="Times New Roman" w:hAnsi="Times New Roman" w:cs="Times New Roman"/>
          <w:sz w:val="24"/>
          <w:szCs w:val="24"/>
          <w:lang w:eastAsia="lt-LT"/>
        </w:rPr>
        <w:t xml:space="preserve"> siekiantis</w:t>
      </w:r>
      <w:r w:rsidRPr="00EC1AB2">
        <w:rPr>
          <w:rFonts w:ascii="Times New Roman" w:eastAsia="Times New Roman" w:hAnsi="Times New Roman" w:cs="Times New Roman"/>
          <w:sz w:val="24"/>
          <w:szCs w:val="24"/>
          <w:lang w:eastAsia="lt-LT"/>
        </w:rPr>
        <w:t xml:space="preserve"> didelės investicinės grąžos, </w:t>
      </w:r>
      <w:r w:rsidR="00351911" w:rsidRPr="00EC1AB2">
        <w:rPr>
          <w:rFonts w:ascii="Times New Roman" w:eastAsia="Times New Roman" w:hAnsi="Times New Roman" w:cs="Times New Roman"/>
          <w:sz w:val="24"/>
          <w:szCs w:val="24"/>
          <w:lang w:eastAsia="lt-LT"/>
        </w:rPr>
        <w:t>investicijas realizuojant</w:t>
      </w:r>
      <w:r w:rsidR="009D0BF1" w:rsidRPr="00EC1AB2">
        <w:rPr>
          <w:rFonts w:ascii="Times New Roman" w:eastAsia="Times New Roman" w:hAnsi="Times New Roman" w:cs="Times New Roman"/>
          <w:sz w:val="24"/>
          <w:szCs w:val="24"/>
          <w:lang w:eastAsia="lt-LT"/>
        </w:rPr>
        <w:t>is</w:t>
      </w:r>
      <w:r w:rsidR="00351911" w:rsidRPr="00EC1AB2">
        <w:rPr>
          <w:rFonts w:ascii="Times New Roman" w:eastAsia="Times New Roman" w:hAnsi="Times New Roman" w:cs="Times New Roman"/>
          <w:sz w:val="24"/>
          <w:szCs w:val="24"/>
          <w:lang w:eastAsia="lt-LT"/>
        </w:rPr>
        <w:t xml:space="preserve"> parduodant</w:t>
      </w:r>
      <w:r w:rsidRPr="00EC1AB2">
        <w:rPr>
          <w:rFonts w:ascii="Times New Roman" w:eastAsia="Times New Roman" w:hAnsi="Times New Roman" w:cs="Times New Roman"/>
          <w:sz w:val="24"/>
          <w:szCs w:val="24"/>
          <w:lang w:eastAsia="lt-LT"/>
        </w:rPr>
        <w:t xml:space="preserve"> akcijas privačiai arba paskelbiant IPO. </w:t>
      </w:r>
    </w:p>
    <w:p w:rsidR="00B63D8F" w:rsidRPr="00EC1AB2" w:rsidRDefault="00B63D8F" w:rsidP="007A02A8">
      <w:pPr>
        <w:numPr>
          <w:ilvl w:val="0"/>
          <w:numId w:val="6"/>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Dažniausiai RKF veikia kaip komanditinė ūkinė bendrija, kurią sudaro tikrasis narys – valdymo įmonė ir ribotos atsakomybės nariai, kurie valdyme nedalyvauja. Paprastai fiksuojamas tiek fondo terminas, tiek dydis. Investicija į RKF pakankamai nelikvidi, nes ribojamas jos išpirkimas ar perleidimas investavimo laikotarpiu ar iki visos investicijos realizuojamos.</w:t>
      </w:r>
    </w:p>
    <w:p w:rsidR="00B63D8F" w:rsidRPr="00EC1AB2" w:rsidRDefault="00B63D8F" w:rsidP="007A02A8">
      <w:pPr>
        <w:pStyle w:val="ListParagraph"/>
        <w:numPr>
          <w:ilvl w:val="0"/>
          <w:numId w:val="6"/>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 xml:space="preserve">2011 m. viduryje įsigaliojo </w:t>
      </w:r>
      <w:r w:rsidRPr="00EC1AB2">
        <w:rPr>
          <w:rFonts w:ascii="Times New Roman" w:hAnsi="Times New Roman" w:cs="Times New Roman"/>
          <w:bCs/>
          <w:sz w:val="24"/>
          <w:szCs w:val="24"/>
        </w:rPr>
        <w:t>Alternatyvaus investavimo fondų valdytojų</w:t>
      </w:r>
      <w:r w:rsidR="00EE3D6B" w:rsidRPr="00EC1AB2">
        <w:rPr>
          <w:rFonts w:ascii="Times New Roman" w:hAnsi="Times New Roman" w:cs="Times New Roman"/>
          <w:sz w:val="24"/>
          <w:szCs w:val="24"/>
        </w:rPr>
        <w:t xml:space="preserve"> (AIFV)</w:t>
      </w:r>
      <w:r w:rsidRPr="00EC1AB2">
        <w:rPr>
          <w:rFonts w:ascii="Times New Roman" w:hAnsi="Times New Roman" w:cs="Times New Roman"/>
          <w:sz w:val="24"/>
          <w:szCs w:val="24"/>
        </w:rPr>
        <w:t xml:space="preserve"> direktyva, kuria siekiama kontroliuoti </w:t>
      </w:r>
      <w:r w:rsidR="009D0BF1" w:rsidRPr="00EC1AB2">
        <w:rPr>
          <w:rFonts w:ascii="Times New Roman" w:hAnsi="Times New Roman" w:cs="Times New Roman"/>
          <w:sz w:val="24"/>
          <w:szCs w:val="24"/>
        </w:rPr>
        <w:t xml:space="preserve">alternatyvaus investavimo </w:t>
      </w:r>
      <w:r w:rsidRPr="00EC1AB2">
        <w:rPr>
          <w:rFonts w:ascii="Times New Roman" w:hAnsi="Times New Roman" w:cs="Times New Roman"/>
          <w:sz w:val="24"/>
          <w:szCs w:val="24"/>
        </w:rPr>
        <w:t xml:space="preserve">fondų veiklą dėl jų </w:t>
      </w:r>
      <w:r w:rsidRPr="00EC1AB2">
        <w:rPr>
          <w:rFonts w:ascii="Times New Roman" w:eastAsia="+mn-ea" w:hAnsi="Times New Roman" w:cs="Times New Roman"/>
          <w:bCs/>
          <w:sz w:val="24"/>
          <w:szCs w:val="24"/>
        </w:rPr>
        <w:t>tarptautinio pobūdžio ir keliamos</w:t>
      </w:r>
      <w:r w:rsidRPr="00EC1AB2">
        <w:rPr>
          <w:rFonts w:ascii="Times New Roman" w:eastAsia="+mn-ea" w:hAnsi="Times New Roman" w:cs="Times New Roman"/>
          <w:b/>
          <w:bCs/>
          <w:sz w:val="24"/>
          <w:szCs w:val="24"/>
        </w:rPr>
        <w:t xml:space="preserve"> </w:t>
      </w:r>
      <w:r w:rsidRPr="00EC1AB2">
        <w:rPr>
          <w:rFonts w:ascii="Times New Roman" w:eastAsia="+mn-ea" w:hAnsi="Times New Roman" w:cs="Times New Roman"/>
          <w:bCs/>
          <w:sz w:val="24"/>
          <w:szCs w:val="24"/>
        </w:rPr>
        <w:t xml:space="preserve">tarptautinės </w:t>
      </w:r>
      <w:r w:rsidRPr="00EC1AB2">
        <w:rPr>
          <w:rFonts w:ascii="Times New Roman" w:eastAsia="+mn-ea" w:hAnsi="Times New Roman" w:cs="Times New Roman"/>
          <w:sz w:val="24"/>
          <w:szCs w:val="24"/>
        </w:rPr>
        <w:t>rizikos, t.y. nesusijusios tik su viena rinka ar turto rūšim</w:t>
      </w:r>
      <w:r w:rsidR="00CC1E52" w:rsidRPr="00EC1AB2">
        <w:rPr>
          <w:rFonts w:ascii="Times New Roman" w:eastAsia="+mn-ea" w:hAnsi="Times New Roman" w:cs="Times New Roman"/>
          <w:sz w:val="24"/>
          <w:szCs w:val="24"/>
        </w:rPr>
        <w:t>i, tačiau ekspertų nuomone, ši d</w:t>
      </w:r>
      <w:r w:rsidRPr="00EC1AB2">
        <w:rPr>
          <w:rFonts w:ascii="Times New Roman" w:eastAsia="+mn-ea" w:hAnsi="Times New Roman" w:cs="Times New Roman"/>
          <w:sz w:val="24"/>
          <w:szCs w:val="24"/>
        </w:rPr>
        <w:t xml:space="preserve">irektyva </w:t>
      </w:r>
      <w:r w:rsidR="009D0BF1" w:rsidRPr="00EC1AB2">
        <w:rPr>
          <w:rFonts w:ascii="Times New Roman" w:eastAsia="+mn-ea" w:hAnsi="Times New Roman" w:cs="Times New Roman"/>
          <w:kern w:val="24"/>
          <w:sz w:val="24"/>
          <w:szCs w:val="24"/>
        </w:rPr>
        <w:t>ne skatins, o apsunkins</w:t>
      </w:r>
      <w:r w:rsidRPr="00EC1AB2">
        <w:rPr>
          <w:rFonts w:ascii="Times New Roman" w:eastAsia="+mn-ea" w:hAnsi="Times New Roman" w:cs="Times New Roman"/>
          <w:kern w:val="24"/>
          <w:sz w:val="24"/>
          <w:szCs w:val="24"/>
        </w:rPr>
        <w:t xml:space="preserve"> fondų veiklą,</w:t>
      </w:r>
    </w:p>
    <w:p w:rsidR="00B63D8F" w:rsidRPr="00EC1AB2" w:rsidRDefault="00B63D8F" w:rsidP="007A02A8">
      <w:pPr>
        <w:pStyle w:val="ListParagraph"/>
        <w:numPr>
          <w:ilvl w:val="0"/>
          <w:numId w:val="6"/>
        </w:numPr>
        <w:spacing w:after="0" w:line="360" w:lineRule="auto"/>
        <w:jc w:val="both"/>
        <w:rPr>
          <w:rFonts w:ascii="Times New Roman" w:hAnsi="Times New Roman" w:cs="Times New Roman"/>
          <w:sz w:val="24"/>
          <w:szCs w:val="24"/>
        </w:rPr>
      </w:pPr>
      <w:r w:rsidRPr="00EC1AB2">
        <w:rPr>
          <w:rFonts w:ascii="Times New Roman" w:eastAsia="+mn-ea" w:hAnsi="Times New Roman" w:cs="Times New Roman"/>
          <w:kern w:val="24"/>
          <w:sz w:val="24"/>
          <w:szCs w:val="24"/>
        </w:rPr>
        <w:t>Lietuvoje nėra AIF, kurių dydis siektų 100 mln. EUR ir kurie potencialiai galėtų kelti sisteminę riziką tarptautinėms fi</w:t>
      </w:r>
      <w:r w:rsidR="00CC1E52" w:rsidRPr="00EC1AB2">
        <w:rPr>
          <w:rFonts w:ascii="Times New Roman" w:eastAsia="+mn-ea" w:hAnsi="Times New Roman" w:cs="Times New Roman"/>
          <w:kern w:val="24"/>
          <w:sz w:val="24"/>
          <w:szCs w:val="24"/>
        </w:rPr>
        <w:t>nansų rinkoms, taigi, perkėlus d</w:t>
      </w:r>
      <w:r w:rsidRPr="00EC1AB2">
        <w:rPr>
          <w:rFonts w:ascii="Times New Roman" w:eastAsia="+mn-ea" w:hAnsi="Times New Roman" w:cs="Times New Roman"/>
          <w:kern w:val="24"/>
          <w:sz w:val="24"/>
          <w:szCs w:val="24"/>
        </w:rPr>
        <w:t>irektyvą į nacionalinę teisę 2</w:t>
      </w:r>
      <w:r w:rsidR="009D0BF1" w:rsidRPr="00EC1AB2">
        <w:rPr>
          <w:rFonts w:ascii="Times New Roman" w:eastAsia="+mn-ea" w:hAnsi="Times New Roman" w:cs="Times New Roman"/>
          <w:kern w:val="24"/>
          <w:sz w:val="24"/>
          <w:szCs w:val="24"/>
        </w:rPr>
        <w:t xml:space="preserve">012 metais, Lietuvos AIF liktų </w:t>
      </w:r>
      <w:r w:rsidRPr="00EC1AB2">
        <w:rPr>
          <w:rFonts w:ascii="Times New Roman" w:eastAsia="+mn-ea" w:hAnsi="Times New Roman" w:cs="Times New Roman"/>
          <w:kern w:val="24"/>
          <w:sz w:val="24"/>
          <w:szCs w:val="24"/>
        </w:rPr>
        <w:t>reguliuojami.</w:t>
      </w:r>
    </w:p>
    <w:p w:rsidR="00B63D8F" w:rsidRPr="00EC1AB2" w:rsidRDefault="00B63D8F" w:rsidP="007A02A8">
      <w:pPr>
        <w:pStyle w:val="ListParagraph"/>
        <w:numPr>
          <w:ilvl w:val="0"/>
          <w:numId w:val="6"/>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 xml:space="preserve">Investicinių fondų ir jų valdytojų veiklą Lietuvos Respublikoje nuo 2003 m. reglamentuoja KISĮ (Žin., 2003, Nr. 74-3424 ). SKIS (privataus kapitalo, alternatyviuosius, nekilnojamojo turto ir kitus specialiuosius KIS) Lietuvoje imta reglamentuoti nuo 2007 m., atlikus KISĮ pakeitimus. </w:t>
      </w:r>
      <w:r w:rsidRPr="00EC1AB2">
        <w:rPr>
          <w:rFonts w:ascii="Times New Roman" w:eastAsia="+mn-ea" w:hAnsi="Times New Roman" w:cs="Times New Roman"/>
          <w:kern w:val="24"/>
          <w:sz w:val="24"/>
          <w:szCs w:val="24"/>
        </w:rPr>
        <w:t>Įsigaliojus SKIS įstatymo projektui, RKF veiklai taikomos sąlygos turėtų būti priartintos prie Europos vakarų valstybėse egzistuojančių.</w:t>
      </w:r>
    </w:p>
    <w:p w:rsidR="00B63D8F" w:rsidRPr="00EC1AB2" w:rsidRDefault="00B63D8F" w:rsidP="007A02A8">
      <w:pPr>
        <w:numPr>
          <w:ilvl w:val="0"/>
          <w:numId w:val="6"/>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RKF finansuoja ekonomikos pagrindą, t.y. MVĮ, kurioms finansavimą gauti, ypač ankstyvoje vystymosi stadijoje, iš kredito įstaigų yra beveik neįmanoma. RKF finansuoja inovatyvias įmones, todėl skatinimas didelės pridėtinės vertės kūrimas, kuriamos darbo vietos, mokami pastovūs mokesčiai valstybei,  tokiu būdu didinama visos šalies ekonominė gerovė ir kuriama pažangi valstybė.</w:t>
      </w:r>
    </w:p>
    <w:p w:rsidR="00B63D8F" w:rsidRPr="00EC1AB2" w:rsidRDefault="00B63D8F" w:rsidP="007A02A8">
      <w:pPr>
        <w:pStyle w:val="ListParagraph"/>
        <w:numPr>
          <w:ilvl w:val="0"/>
          <w:numId w:val="6"/>
        </w:numPr>
        <w:tabs>
          <w:tab w:val="left" w:pos="0"/>
        </w:tabs>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RKF investicijų apimčiai šalyje daro įtaką tiek ekonominė, teisinė, socialinė, antrepreneriška aplinka, t.y RKF pasiūlą lemiantys veiksniai, tiek paklausos elementai, kaip pavyzdžiui, šalies verslininkų požiūris į įmonės finansavimą rizikos kapitalu bei nau</w:t>
      </w:r>
      <w:r w:rsidR="00495A4D" w:rsidRPr="00EC1AB2">
        <w:rPr>
          <w:rFonts w:ascii="Times New Roman" w:hAnsi="Times New Roman" w:cs="Times New Roman"/>
          <w:sz w:val="24"/>
          <w:szCs w:val="24"/>
        </w:rPr>
        <w:t xml:space="preserve">jų įmonių steigimosi apimtys. </w:t>
      </w:r>
    </w:p>
    <w:p w:rsidR="00B63D8F" w:rsidRPr="00EC1AB2" w:rsidRDefault="00B63D8F" w:rsidP="007A02A8">
      <w:pPr>
        <w:pStyle w:val="ListParagraph"/>
        <w:numPr>
          <w:ilvl w:val="0"/>
          <w:numId w:val="6"/>
        </w:numPr>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lastRenderedPageBreak/>
        <w:t>Lietuva pagal RKF investicijas ES 2010 m. buvo paskutinėje vietoje, t</w:t>
      </w:r>
      <w:r w:rsidR="00157D87" w:rsidRPr="00EC1AB2">
        <w:rPr>
          <w:rFonts w:ascii="Times New Roman" w:hAnsi="Times New Roman" w:cs="Times New Roman"/>
          <w:sz w:val="24"/>
          <w:szCs w:val="24"/>
        </w:rPr>
        <w:t>aip pat stipriai atsiliko nuo C</w:t>
      </w:r>
      <w:r w:rsidR="00932640" w:rsidRPr="00EC1AB2">
        <w:rPr>
          <w:rFonts w:ascii="Times New Roman" w:hAnsi="Times New Roman" w:cs="Times New Roman"/>
          <w:sz w:val="24"/>
          <w:szCs w:val="24"/>
        </w:rPr>
        <w:t>E</w:t>
      </w:r>
      <w:r w:rsidRPr="00EC1AB2">
        <w:rPr>
          <w:rFonts w:ascii="Times New Roman" w:hAnsi="Times New Roman" w:cs="Times New Roman"/>
          <w:sz w:val="24"/>
          <w:szCs w:val="24"/>
        </w:rPr>
        <w:t>E vidurkio. Be to, Lietuvoje esančios RKF investicijos didžia dalimi finansuotos iš ES struktūrinės paramos, o ne privačių lėšų šaltinų, todėl galima teigti, kad jeigu nebūtų tiesioginio valstybės įsikišimo, siekiant skatinti rizikos kapitalo sektorių, jis Lietuvoje praktiškai neegzistuotų.</w:t>
      </w:r>
    </w:p>
    <w:p w:rsidR="00B63D8F" w:rsidRPr="00EC1AB2" w:rsidRDefault="00B63D8F" w:rsidP="007A02A8">
      <w:pPr>
        <w:pStyle w:val="ListParagraph"/>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EC1AB2">
        <w:rPr>
          <w:rFonts w:ascii="Times New Roman" w:hAnsi="Times New Roman" w:cs="Times New Roman"/>
          <w:bCs/>
          <w:sz w:val="24"/>
          <w:szCs w:val="24"/>
        </w:rPr>
        <w:t xml:space="preserve">Vertinant Lietuvos rezultatus pasiektus diegiant inovacijas, prie stipriųjų pusių šiuo metu galima priskirti tik žmogiškuosius išteklius, o kitose srityse yra pastebimas didelis atsilikimas nuo ES vidurkio. </w:t>
      </w:r>
    </w:p>
    <w:p w:rsidR="00B63D8F" w:rsidRPr="00EC1AB2" w:rsidRDefault="00B63D8F" w:rsidP="007A02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 xml:space="preserve">Atlikus koreliacinę analizę, pastebėta, kad RKF investicijos teigiamai įtakoja tiek nuolatinės veiklos, tiek rezultatų kategorijos rodiklius, o ypač teigiamai įtakoja ekonominio poveikio grupės rodiklius, pagal kuriuos Lietuva yra paskutinėje vietoje lyginant su kitomis ES šalimis, todėl galiama teigti, kad didelis Lietuvos atsilikimas diegiant inovacijas šalyje iš dalies yra susijęs su RKF nepaplitimu šalyje. </w:t>
      </w:r>
    </w:p>
    <w:p w:rsidR="00B63D8F" w:rsidRPr="00EC1AB2" w:rsidRDefault="00B63D8F" w:rsidP="007A02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 xml:space="preserve">Atlikus ekspertinį tyrimą, apžvelgus EVCA ataskaitą, kurioje analizuojama teisinės ir mokestinės sąlygos rizikos kapitalui plėtotis Europos šalyse bei išanalizavus A.Groh, H. Liechtenstein, </w:t>
      </w:r>
      <w:r w:rsidRPr="00EC1AB2">
        <w:rPr>
          <w:rFonts w:ascii="Times New Roman" w:hAnsi="Times New Roman" w:cs="Times New Roman"/>
          <w:iCs/>
          <w:sz w:val="24"/>
          <w:szCs w:val="24"/>
        </w:rPr>
        <w:t>Karsten Lieser</w:t>
      </w:r>
      <w:r w:rsidRPr="00EC1AB2">
        <w:rPr>
          <w:rFonts w:ascii="Times New Roman" w:hAnsi="Times New Roman" w:cs="Times New Roman"/>
          <w:sz w:val="24"/>
          <w:szCs w:val="24"/>
        </w:rPr>
        <w:t xml:space="preserve"> kartu su audito įmone „Ernst&amp;Young” 2011 m. atliktą tyrimą dėl sąlygų palankumo plėtotis RKF</w:t>
      </w:r>
      <w:r w:rsidR="00157FF6" w:rsidRPr="00EC1AB2">
        <w:rPr>
          <w:rFonts w:ascii="Times New Roman" w:hAnsi="Times New Roman" w:cs="Times New Roman"/>
          <w:sz w:val="24"/>
          <w:szCs w:val="24"/>
        </w:rPr>
        <w:t>,</w:t>
      </w:r>
      <w:r w:rsidRPr="00EC1AB2">
        <w:rPr>
          <w:rFonts w:ascii="Times New Roman" w:hAnsi="Times New Roman" w:cs="Times New Roman"/>
          <w:sz w:val="24"/>
          <w:szCs w:val="24"/>
        </w:rPr>
        <w:t xml:space="preserve"> išskirti šie pagrindiniai veiksniai, trukdantys RKF plėtotis Lietuvoje: specifinių mokestinių lengvatų, skatinančių jaunų ir inovatyvių įmonių plėtrą ankstyvoje veiklos stadijoje, nubuvimas, maža inovacijų sklaida (mokslo tyrimų sistema fragmentuota, dalis jos neatitinka šiandienos reikalavimų), mažas pensijų fondų ir draudimo įmonių dalyvavimas formuojant rizikos kapitalo investic</w:t>
      </w:r>
      <w:r w:rsidR="00B05BC8" w:rsidRPr="00EC1AB2">
        <w:rPr>
          <w:rFonts w:ascii="Times New Roman" w:hAnsi="Times New Roman" w:cs="Times New Roman"/>
          <w:sz w:val="24"/>
          <w:szCs w:val="24"/>
        </w:rPr>
        <w:t xml:space="preserve">ijas, dėl VP rinkos mažo likvidumo </w:t>
      </w:r>
      <w:r w:rsidR="00157FF6" w:rsidRPr="00EC1AB2">
        <w:rPr>
          <w:rFonts w:ascii="Times New Roman" w:hAnsi="Times New Roman" w:cs="Times New Roman"/>
          <w:bCs/>
          <w:sz w:val="24"/>
          <w:szCs w:val="24"/>
          <w:lang w:eastAsia="lt-LT"/>
        </w:rPr>
        <w:t>ribota</w:t>
      </w:r>
      <w:r w:rsidRPr="00EC1AB2">
        <w:rPr>
          <w:rFonts w:ascii="Times New Roman" w:hAnsi="Times New Roman" w:cs="Times New Roman"/>
          <w:bCs/>
          <w:sz w:val="24"/>
          <w:szCs w:val="24"/>
          <w:lang w:eastAsia="lt-LT"/>
        </w:rPr>
        <w:t>s RKF investicijų realizavimo galimybių pasirinkimas</w:t>
      </w:r>
      <w:r w:rsidRPr="00EC1AB2">
        <w:rPr>
          <w:rFonts w:ascii="Times New Roman" w:hAnsi="Times New Roman" w:cs="Times New Roman"/>
          <w:bCs/>
          <w:lang w:eastAsia="lt-LT"/>
        </w:rPr>
        <w:t>.</w:t>
      </w:r>
    </w:p>
    <w:p w:rsidR="00C4082E" w:rsidRPr="00EC1AB2" w:rsidRDefault="00C4082E" w:rsidP="007A02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eastAsia="Times New Roman" w:hAnsi="Times New Roman" w:cs="Times New Roman"/>
          <w:sz w:val="24"/>
          <w:szCs w:val="24"/>
          <w:lang w:eastAsia="lt-LT"/>
        </w:rPr>
        <w:t>Reikalinga skatinti pensijų ir draudimo įmones dalyvauti formuojant RKF investicijas, taikant mokesčių lengvatas. 2010 m. duomenimis pensijų įmonės pagal įsta</w:t>
      </w:r>
      <w:r w:rsidR="00786A6D" w:rsidRPr="00EC1AB2">
        <w:rPr>
          <w:rFonts w:ascii="Times New Roman" w:eastAsia="Times New Roman" w:hAnsi="Times New Roman" w:cs="Times New Roman"/>
          <w:sz w:val="24"/>
          <w:szCs w:val="24"/>
          <w:lang w:eastAsia="lt-LT"/>
        </w:rPr>
        <w:t>tymo nuostatas galėjo investuoti</w:t>
      </w:r>
      <w:r w:rsidRPr="00EC1AB2">
        <w:rPr>
          <w:rFonts w:ascii="Times New Roman" w:eastAsia="Times New Roman" w:hAnsi="Times New Roman" w:cs="Times New Roman"/>
          <w:sz w:val="24"/>
          <w:szCs w:val="24"/>
          <w:lang w:eastAsia="lt-LT"/>
        </w:rPr>
        <w:t xml:space="preserve"> iki 667,67 mln. litų (20 proc. grynųjų aktyvų vertės) , tačiau buvo investuota tik 0,4 mln. Lt, tuo tarpu draudimo įmonės apskirtai nedalyvavo formuojant RKF investicijas, nors įstatymai netaiko jokių apribojimų. Daugelyje šalių šie instituciniai investuotojai yra pagrindiniai RKF investicijų formuotojai, todėl tai tik pagrindžia lengvatų taikymo būtinybę.</w:t>
      </w:r>
    </w:p>
    <w:p w:rsidR="00C72AAB" w:rsidRPr="00EC1AB2" w:rsidRDefault="00C72AAB" w:rsidP="007A02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eastAsia="Times New Roman" w:hAnsi="Times New Roman" w:cs="Times New Roman"/>
          <w:sz w:val="24"/>
          <w:szCs w:val="24"/>
          <w:lang w:eastAsia="lt-LT"/>
        </w:rPr>
        <w:t xml:space="preserve">Reikalinga imtis priemonių, skatinančių auštos pridėtinės vertės verslų kūrimą, didinančių naujų inovatyvių įmonių steigimosi apimtis. </w:t>
      </w:r>
    </w:p>
    <w:p w:rsidR="00C4082E" w:rsidRPr="00EC1AB2" w:rsidRDefault="00C72AAB" w:rsidP="007A02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eastAsia="Times New Roman" w:hAnsi="Times New Roman" w:cs="Times New Roman"/>
          <w:sz w:val="24"/>
          <w:szCs w:val="24"/>
          <w:lang w:eastAsia="lt-LT"/>
        </w:rPr>
        <w:t>Būtina skatinti verslo ir mokslo bendradarbiavimą. Siekiant, kad kuo daugiau inovacijų būtų komercializuojama, t.y. pritaikoma ūkinėje veikloje, reikalinga nedelsiant sudaryti mokslinės produkcijos gamybos ir Lietuvos ūkio reikmių duomenų bazes</w:t>
      </w:r>
    </w:p>
    <w:p w:rsidR="000E0086" w:rsidRPr="00EC1AB2" w:rsidRDefault="000E0086" w:rsidP="000E0086">
      <w:pPr>
        <w:autoSpaceDE w:val="0"/>
        <w:autoSpaceDN w:val="0"/>
        <w:adjustRightInd w:val="0"/>
        <w:spacing w:after="0" w:line="360" w:lineRule="auto"/>
        <w:jc w:val="both"/>
        <w:rPr>
          <w:rFonts w:ascii="Times New Roman" w:hAnsi="Times New Roman" w:cs="Times New Roman"/>
          <w:sz w:val="24"/>
          <w:szCs w:val="24"/>
        </w:rPr>
      </w:pPr>
    </w:p>
    <w:p w:rsidR="00B63D8F" w:rsidRPr="00EC1AB2" w:rsidRDefault="00B63D8F" w:rsidP="007A02A8">
      <w:pPr>
        <w:pStyle w:val="ListParagraph"/>
        <w:autoSpaceDE w:val="0"/>
        <w:autoSpaceDN w:val="0"/>
        <w:adjustRightInd w:val="0"/>
        <w:spacing w:after="0" w:line="360" w:lineRule="auto"/>
        <w:jc w:val="both"/>
        <w:rPr>
          <w:rFonts w:ascii="Times New Roman" w:hAnsi="Times New Roman" w:cs="Times New Roman"/>
          <w:sz w:val="24"/>
          <w:szCs w:val="24"/>
        </w:rPr>
      </w:pPr>
    </w:p>
    <w:p w:rsidR="0020052E" w:rsidRPr="00EC1AB2" w:rsidRDefault="0020052E" w:rsidP="007A02A8">
      <w:pPr>
        <w:autoSpaceDE w:val="0"/>
        <w:autoSpaceDN w:val="0"/>
        <w:adjustRightInd w:val="0"/>
        <w:spacing w:after="0" w:line="360" w:lineRule="auto"/>
        <w:jc w:val="both"/>
        <w:rPr>
          <w:rFonts w:ascii="Times New Roman" w:hAnsi="Times New Roman" w:cs="Times New Roman"/>
          <w:sz w:val="24"/>
          <w:szCs w:val="24"/>
        </w:rPr>
        <w:sectPr w:rsidR="0020052E" w:rsidRPr="00EC1AB2" w:rsidSect="007F1325">
          <w:pgSz w:w="11906" w:h="16838"/>
          <w:pgMar w:top="1134" w:right="567" w:bottom="1134" w:left="1418" w:header="567" w:footer="567" w:gutter="0"/>
          <w:cols w:space="1296"/>
          <w:docGrid w:linePitch="360"/>
        </w:sectPr>
      </w:pPr>
    </w:p>
    <w:p w:rsidR="00F25E1F" w:rsidRPr="00EC1AB2" w:rsidRDefault="00413D88" w:rsidP="007A02A8">
      <w:pPr>
        <w:pStyle w:val="Heading1"/>
        <w:spacing w:before="0" w:after="0" w:line="360" w:lineRule="auto"/>
        <w:rPr>
          <w:sz w:val="28"/>
          <w:szCs w:val="28"/>
        </w:rPr>
      </w:pPr>
      <w:bookmarkStart w:id="204" w:name="_Toc320567004"/>
      <w:bookmarkStart w:id="205" w:name="_Toc320567044"/>
      <w:bookmarkStart w:id="206" w:name="_Toc320567191"/>
      <w:bookmarkStart w:id="207" w:name="_Toc320761774"/>
      <w:bookmarkStart w:id="208" w:name="_Toc320761943"/>
      <w:bookmarkStart w:id="209" w:name="_Toc320762178"/>
      <w:bookmarkStart w:id="210" w:name="_Toc320762581"/>
      <w:bookmarkStart w:id="211" w:name="_Toc321092707"/>
      <w:r w:rsidRPr="00EC1AB2">
        <w:rPr>
          <w:sz w:val="28"/>
          <w:szCs w:val="28"/>
        </w:rPr>
        <w:lastRenderedPageBreak/>
        <w:t>LITERATŪRA</w:t>
      </w:r>
      <w:bookmarkEnd w:id="204"/>
      <w:bookmarkEnd w:id="205"/>
      <w:bookmarkEnd w:id="206"/>
      <w:bookmarkEnd w:id="207"/>
      <w:bookmarkEnd w:id="208"/>
      <w:bookmarkEnd w:id="209"/>
      <w:bookmarkEnd w:id="210"/>
      <w:bookmarkEnd w:id="211"/>
    </w:p>
    <w:p w:rsidR="0015364D" w:rsidRPr="00EC1AB2" w:rsidRDefault="0015364D" w:rsidP="007A02A8">
      <w:pPr>
        <w:pStyle w:val="ListParagraph"/>
        <w:spacing w:after="0" w:line="360" w:lineRule="auto"/>
        <w:jc w:val="both"/>
        <w:rPr>
          <w:rFonts w:ascii="Times New Roman" w:hAnsi="Times New Roman" w:cs="Times New Roman"/>
          <w:sz w:val="24"/>
          <w:szCs w:val="24"/>
        </w:rPr>
      </w:pPr>
    </w:p>
    <w:p w:rsidR="00E26097" w:rsidRPr="00EC1AB2" w:rsidRDefault="00E26097" w:rsidP="00E26097">
      <w:pPr>
        <w:pStyle w:val="ListParagraph"/>
        <w:numPr>
          <w:ilvl w:val="0"/>
          <w:numId w:val="15"/>
        </w:numPr>
        <w:spacing w:after="0" w:line="360" w:lineRule="auto"/>
        <w:rPr>
          <w:rFonts w:ascii="Times New Roman" w:hAnsi="Times New Roman" w:cs="Times New Roman"/>
          <w:sz w:val="24"/>
          <w:szCs w:val="24"/>
        </w:rPr>
      </w:pPr>
      <w:bookmarkStart w:id="212" w:name="_Toc320567005"/>
      <w:bookmarkStart w:id="213" w:name="_Toc320567045"/>
      <w:bookmarkStart w:id="214" w:name="_Toc320567192"/>
      <w:r w:rsidRPr="00EC1AB2">
        <w:rPr>
          <w:rFonts w:ascii="Times New Roman" w:hAnsi="Times New Roman" w:cs="Times New Roman"/>
          <w:b/>
          <w:sz w:val="24"/>
          <w:szCs w:val="24"/>
        </w:rPr>
        <w:t>Audretsch D.B., Keilbach M</w:t>
      </w:r>
      <w:r w:rsidRPr="00EC1AB2">
        <w:rPr>
          <w:rFonts w:ascii="Times New Roman" w:hAnsi="Times New Roman" w:cs="Times New Roman"/>
          <w:sz w:val="24"/>
          <w:szCs w:val="24"/>
        </w:rPr>
        <w:t>., Entrepreneurship capital and econimic performance, 2002</w:t>
      </w:r>
    </w:p>
    <w:p w:rsidR="00E26097" w:rsidRPr="00EC1AB2" w:rsidRDefault="00E26097" w:rsidP="00E26097">
      <w:pPr>
        <w:pStyle w:val="ListParagraph"/>
        <w:spacing w:after="0" w:line="360" w:lineRule="auto"/>
        <w:rPr>
          <w:rFonts w:ascii="Times New Roman" w:hAnsi="Times New Roman" w:cs="Times New Roman"/>
        </w:rPr>
      </w:pPr>
      <w:r w:rsidRPr="00EC1AB2">
        <w:rPr>
          <w:rFonts w:ascii="Times New Roman" w:hAnsi="Times New Roman" w:cs="Times New Roman"/>
          <w:sz w:val="24"/>
          <w:szCs w:val="24"/>
        </w:rPr>
        <w:t>http://www.leadershipreview.org/2008winter/article4-synopsis.pdf [žiūrėta 2011 05 14]</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Alternatyvių investicijų ekspertų grupė, </w:t>
      </w:r>
      <w:r w:rsidRPr="00EC1AB2">
        <w:rPr>
          <w:rFonts w:ascii="Times New Roman" w:hAnsi="Times New Roman" w:cs="Times New Roman"/>
          <w:sz w:val="24"/>
          <w:szCs w:val="24"/>
        </w:rPr>
        <w:t xml:space="preserve">Developong European Private Equity, 2006. </w:t>
      </w:r>
      <w:hyperlink r:id="rId36" w:history="1">
        <w:r w:rsidRPr="00EC1AB2">
          <w:rPr>
            <w:rStyle w:val="Hyperlink"/>
            <w:rFonts w:ascii="Times New Roman" w:hAnsi="Times New Roman" w:cs="Times New Roman"/>
            <w:color w:val="auto"/>
            <w:sz w:val="24"/>
            <w:szCs w:val="24"/>
          </w:rPr>
          <w:t>http://ec.europa.eu/internal_market/investment/docs/other_docs/reports/equity_en.pdf</w:t>
        </w:r>
      </w:hyperlink>
      <w:r w:rsidRPr="00EC1AB2">
        <w:rPr>
          <w:rFonts w:ascii="Times New Roman" w:hAnsi="Times New Roman" w:cs="Times New Roman"/>
          <w:sz w:val="24"/>
          <w:szCs w:val="24"/>
        </w:rPr>
        <w:t xml:space="preserve"> [žiūrėta 2010 12 16]</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bCs/>
          <w:sz w:val="24"/>
          <w:szCs w:val="24"/>
        </w:rPr>
        <w:t>Bance A.,</w:t>
      </w:r>
      <w:r w:rsidRPr="00EC1AB2">
        <w:rPr>
          <w:rFonts w:ascii="Times New Roman" w:hAnsi="Times New Roman" w:cs="Times New Roman"/>
          <w:bCs/>
          <w:sz w:val="24"/>
          <w:szCs w:val="24"/>
        </w:rPr>
        <w:t xml:space="preserve"> Why and how to invest in private equity, 2004. </w:t>
      </w:r>
      <w:hyperlink r:id="rId37" w:history="1">
        <w:r w:rsidRPr="00EC1AB2">
          <w:rPr>
            <w:rStyle w:val="Hyperlink"/>
            <w:rFonts w:ascii="Times New Roman" w:hAnsi="Times New Roman" w:cs="Times New Roman"/>
            <w:color w:val="auto"/>
            <w:sz w:val="24"/>
            <w:szCs w:val="24"/>
          </w:rPr>
          <w:t>http://www.evca.eu/404.aspx</w:t>
        </w:r>
      </w:hyperlink>
      <w:r w:rsidRPr="00EC1AB2">
        <w:rPr>
          <w:rFonts w:ascii="Times New Roman" w:hAnsi="Times New Roman" w:cs="Times New Roman"/>
          <w:sz w:val="24"/>
          <w:szCs w:val="24"/>
        </w:rPr>
        <w:t xml:space="preserve"> [žiūrėta 2010 09 05].</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Benchmarking European Tax and Legal Environment</w:t>
      </w:r>
      <w:r w:rsidRPr="00EC1AB2">
        <w:rPr>
          <w:rFonts w:ascii="Times New Roman" w:hAnsi="Times New Roman" w:cs="Times New Roman"/>
          <w:sz w:val="24"/>
          <w:szCs w:val="24"/>
        </w:rPr>
        <w:t>. http://www.evca.eu/uploaded</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Files/Benchmark.pdf [žiūrėta 2012 03 01]</w:t>
      </w:r>
    </w:p>
    <w:p w:rsidR="00E26097" w:rsidRPr="00EC1AB2" w:rsidRDefault="00E26097" w:rsidP="00E26097">
      <w:pPr>
        <w:pStyle w:val="ListParagraph"/>
        <w:numPr>
          <w:ilvl w:val="0"/>
          <w:numId w:val="15"/>
        </w:numPr>
        <w:shd w:val="clear" w:color="auto" w:fill="FFFFFF"/>
        <w:spacing w:after="0" w:line="360" w:lineRule="auto"/>
        <w:jc w:val="both"/>
        <w:rPr>
          <w:rFonts w:ascii="Times New Roman" w:eastAsia="Times New Roman" w:hAnsi="Times New Roman" w:cs="Times New Roman"/>
          <w:color w:val="000000"/>
          <w:sz w:val="24"/>
          <w:szCs w:val="24"/>
          <w:lang w:eastAsia="lt-LT"/>
        </w:rPr>
      </w:pPr>
      <w:r w:rsidRPr="00EC1AB2">
        <w:rPr>
          <w:rFonts w:ascii="Times New Roman" w:hAnsi="Times New Roman" w:cs="Times New Roman"/>
          <w:b/>
          <w:sz w:val="24"/>
          <w:szCs w:val="24"/>
        </w:rPr>
        <w:t>Black S., Gilson J</w:t>
      </w:r>
      <w:r w:rsidRPr="00EC1AB2">
        <w:rPr>
          <w:rFonts w:ascii="Times New Roman" w:hAnsi="Times New Roman" w:cs="Times New Roman"/>
          <w:sz w:val="24"/>
          <w:szCs w:val="24"/>
        </w:rPr>
        <w:t xml:space="preserve">.,  </w:t>
      </w:r>
      <w:r w:rsidRPr="00EC1AB2">
        <w:rPr>
          <w:rFonts w:ascii="Times New Roman" w:hAnsi="Times New Roman" w:cs="Times New Roman"/>
          <w:color w:val="000000"/>
          <w:sz w:val="24"/>
          <w:szCs w:val="24"/>
        </w:rPr>
        <w:t xml:space="preserve">Venture Capital and the Structure of Capital Markets: Banks Versus Stock, </w:t>
      </w:r>
      <w:r w:rsidRPr="00EC1AB2">
        <w:rPr>
          <w:rFonts w:ascii="Times New Roman" w:eastAsia="Times New Roman" w:hAnsi="Times New Roman" w:cs="Times New Roman"/>
          <w:color w:val="000000"/>
          <w:sz w:val="24"/>
          <w:szCs w:val="24"/>
          <w:lang w:eastAsia="lt-LT"/>
        </w:rPr>
        <w:t>1998. http://papers.ssrn.com/sol3/papers.cfm?abstract_id=46909 [žiūrėta 2012 01 20]</w:t>
      </w:r>
    </w:p>
    <w:p w:rsidR="00E26097" w:rsidRPr="00EC1AB2" w:rsidRDefault="00E26097" w:rsidP="00E26097">
      <w:pPr>
        <w:pStyle w:val="ListParagraph"/>
        <w:numPr>
          <w:ilvl w:val="0"/>
          <w:numId w:val="15"/>
        </w:numPr>
        <w:autoSpaceDE w:val="0"/>
        <w:autoSpaceDN w:val="0"/>
        <w:adjustRightInd w:val="0"/>
        <w:spacing w:after="0" w:line="360" w:lineRule="auto"/>
        <w:jc w:val="both"/>
        <w:rPr>
          <w:rStyle w:val="Strong"/>
          <w:rFonts w:ascii="Times New Roman" w:hAnsi="Times New Roman" w:cs="Times New Roman"/>
          <w:b w:val="0"/>
          <w:bCs w:val="0"/>
          <w:sz w:val="24"/>
          <w:szCs w:val="24"/>
        </w:rPr>
      </w:pPr>
      <w:r w:rsidRPr="00EC1AB2">
        <w:rPr>
          <w:rStyle w:val="Strong"/>
          <w:rFonts w:ascii="Times New Roman" w:hAnsi="Times New Roman" w:cs="Times New Roman"/>
          <w:bCs w:val="0"/>
          <w:sz w:val="24"/>
          <w:szCs w:val="24"/>
        </w:rPr>
        <w:t xml:space="preserve">Central and Eastern Europe statistics 2006 </w:t>
      </w:r>
      <w:r w:rsidRPr="00EC1AB2">
        <w:rPr>
          <w:rStyle w:val="Strong"/>
          <w:rFonts w:ascii="Times New Roman" w:hAnsi="Times New Roman" w:cs="Times New Roman"/>
          <w:b w:val="0"/>
          <w:bCs w:val="0"/>
          <w:sz w:val="24"/>
          <w:szCs w:val="24"/>
        </w:rPr>
        <w:t>http://ec.europa.eu/enterprise/policies/finance/</w:t>
      </w:r>
    </w:p>
    <w:p w:rsidR="00E26097" w:rsidRPr="00EC1AB2" w:rsidRDefault="00E26097" w:rsidP="00E26097">
      <w:pPr>
        <w:pStyle w:val="ListParagraph"/>
        <w:autoSpaceDE w:val="0"/>
        <w:autoSpaceDN w:val="0"/>
        <w:adjustRightInd w:val="0"/>
        <w:spacing w:after="0" w:line="360" w:lineRule="auto"/>
        <w:jc w:val="both"/>
        <w:rPr>
          <w:rStyle w:val="Strong"/>
          <w:rFonts w:ascii="Times New Roman" w:hAnsi="Times New Roman" w:cs="Times New Roman"/>
          <w:b w:val="0"/>
          <w:bCs w:val="0"/>
          <w:sz w:val="24"/>
          <w:szCs w:val="24"/>
        </w:rPr>
      </w:pPr>
      <w:r w:rsidRPr="00EC1AB2">
        <w:rPr>
          <w:rStyle w:val="Strong"/>
          <w:rFonts w:ascii="Times New Roman" w:hAnsi="Times New Roman" w:cs="Times New Roman"/>
          <w:b w:val="0"/>
          <w:bCs w:val="0"/>
          <w:sz w:val="24"/>
          <w:szCs w:val="24"/>
        </w:rPr>
        <w:t>files/finance_index/cees_statistics_2006_evca_en.pdf [žiūrėta 2012 02 14]</w:t>
      </w:r>
    </w:p>
    <w:p w:rsidR="00E26097" w:rsidRPr="00EC1AB2" w:rsidRDefault="00E26097" w:rsidP="00E26097">
      <w:pPr>
        <w:pStyle w:val="ListParagraph"/>
        <w:numPr>
          <w:ilvl w:val="0"/>
          <w:numId w:val="15"/>
        </w:numPr>
        <w:autoSpaceDE w:val="0"/>
        <w:autoSpaceDN w:val="0"/>
        <w:adjustRightInd w:val="0"/>
        <w:spacing w:after="0" w:line="360" w:lineRule="auto"/>
        <w:rPr>
          <w:rStyle w:val="Strong"/>
          <w:rFonts w:ascii="Times New Roman" w:hAnsi="Times New Roman" w:cs="Times New Roman"/>
          <w:b w:val="0"/>
          <w:bCs w:val="0"/>
          <w:sz w:val="24"/>
          <w:szCs w:val="24"/>
        </w:rPr>
      </w:pPr>
      <w:r w:rsidRPr="00EC1AB2">
        <w:rPr>
          <w:rStyle w:val="Strong"/>
          <w:rFonts w:ascii="Times New Roman" w:hAnsi="Times New Roman" w:cs="Times New Roman"/>
          <w:bCs w:val="0"/>
          <w:sz w:val="24"/>
          <w:szCs w:val="24"/>
        </w:rPr>
        <w:t>Central and Eastern Europe statistics 2008.</w:t>
      </w:r>
      <w:r w:rsidRPr="00EC1AB2">
        <w:rPr>
          <w:rStyle w:val="Strong"/>
          <w:rFonts w:ascii="Times New Roman" w:hAnsi="Times New Roman" w:cs="Times New Roman"/>
          <w:b w:val="0"/>
          <w:bCs w:val="0"/>
          <w:sz w:val="24"/>
          <w:szCs w:val="24"/>
        </w:rPr>
        <w:t>http://www.cvca.cz/files/CEE_Stats_2008.pdf [žiūrėta 2012 02 14]</w:t>
      </w:r>
    </w:p>
    <w:p w:rsidR="00E26097" w:rsidRPr="00EC1AB2" w:rsidRDefault="00E26097" w:rsidP="00E26097">
      <w:pPr>
        <w:pStyle w:val="ListParagraph"/>
        <w:numPr>
          <w:ilvl w:val="0"/>
          <w:numId w:val="15"/>
        </w:numPr>
        <w:autoSpaceDE w:val="0"/>
        <w:autoSpaceDN w:val="0"/>
        <w:adjustRightInd w:val="0"/>
        <w:spacing w:after="0" w:line="360" w:lineRule="auto"/>
        <w:rPr>
          <w:rStyle w:val="Strong"/>
          <w:rFonts w:ascii="Times New Roman" w:hAnsi="Times New Roman" w:cs="Times New Roman"/>
          <w:b w:val="0"/>
          <w:bCs w:val="0"/>
          <w:sz w:val="24"/>
          <w:szCs w:val="24"/>
        </w:rPr>
      </w:pPr>
      <w:r w:rsidRPr="00EC1AB2">
        <w:rPr>
          <w:rStyle w:val="Strong"/>
          <w:rFonts w:ascii="Times New Roman" w:hAnsi="Times New Roman" w:cs="Times New Roman"/>
          <w:bCs w:val="0"/>
          <w:sz w:val="24"/>
          <w:szCs w:val="24"/>
        </w:rPr>
        <w:t xml:space="preserve">Central and Eastern Europe statistics 2009.  </w:t>
      </w:r>
      <w:r w:rsidRPr="00EC1AB2">
        <w:rPr>
          <w:rStyle w:val="Strong"/>
          <w:rFonts w:ascii="Times New Roman" w:hAnsi="Times New Roman" w:cs="Times New Roman"/>
          <w:b w:val="0"/>
          <w:bCs w:val="0"/>
          <w:sz w:val="24"/>
          <w:szCs w:val="24"/>
        </w:rPr>
        <w:t>http://www.cvca.cz/files/EVCA%20CEE%</w:t>
      </w:r>
    </w:p>
    <w:p w:rsidR="00E26097" w:rsidRPr="00EC1AB2" w:rsidRDefault="00E26097" w:rsidP="00E26097">
      <w:pPr>
        <w:pStyle w:val="ListParagraph"/>
        <w:autoSpaceDE w:val="0"/>
        <w:autoSpaceDN w:val="0"/>
        <w:adjustRightInd w:val="0"/>
        <w:spacing w:after="0" w:line="360" w:lineRule="auto"/>
        <w:rPr>
          <w:rStyle w:val="Strong"/>
          <w:rFonts w:ascii="Times New Roman" w:hAnsi="Times New Roman" w:cs="Times New Roman"/>
          <w:b w:val="0"/>
          <w:bCs w:val="0"/>
          <w:sz w:val="24"/>
          <w:szCs w:val="24"/>
        </w:rPr>
      </w:pPr>
      <w:r w:rsidRPr="00EC1AB2">
        <w:rPr>
          <w:rStyle w:val="Strong"/>
          <w:rFonts w:ascii="Times New Roman" w:hAnsi="Times New Roman" w:cs="Times New Roman"/>
          <w:b w:val="0"/>
          <w:bCs w:val="0"/>
          <w:sz w:val="24"/>
          <w:szCs w:val="24"/>
        </w:rPr>
        <w:t>20Statistics%202009%20-%20July%202010.pdf [žiūrėta 2012 02 14]</w:t>
      </w:r>
    </w:p>
    <w:p w:rsidR="00E26097" w:rsidRPr="00EC1AB2" w:rsidRDefault="00E26097" w:rsidP="00E26097">
      <w:pPr>
        <w:pStyle w:val="ListParagraph"/>
        <w:numPr>
          <w:ilvl w:val="0"/>
          <w:numId w:val="15"/>
        </w:numPr>
        <w:autoSpaceDE w:val="0"/>
        <w:autoSpaceDN w:val="0"/>
        <w:adjustRightInd w:val="0"/>
        <w:spacing w:after="0" w:line="360" w:lineRule="auto"/>
        <w:rPr>
          <w:rStyle w:val="Strong"/>
          <w:rFonts w:ascii="Times New Roman" w:hAnsi="Times New Roman" w:cs="Times New Roman"/>
          <w:b w:val="0"/>
          <w:bCs w:val="0"/>
          <w:sz w:val="24"/>
          <w:szCs w:val="24"/>
        </w:rPr>
      </w:pPr>
      <w:r w:rsidRPr="00EC1AB2">
        <w:rPr>
          <w:rStyle w:val="Strong"/>
          <w:rFonts w:ascii="Times New Roman" w:hAnsi="Times New Roman" w:cs="Times New Roman"/>
          <w:bCs w:val="0"/>
          <w:sz w:val="24"/>
          <w:szCs w:val="24"/>
        </w:rPr>
        <w:t xml:space="preserve">Central and Eastern Europe statistics 2010. </w:t>
      </w:r>
      <w:r w:rsidRPr="00EC1AB2">
        <w:rPr>
          <w:rStyle w:val="Strong"/>
          <w:rFonts w:ascii="Times New Roman" w:hAnsi="Times New Roman" w:cs="Times New Roman"/>
          <w:b w:val="0"/>
          <w:bCs w:val="0"/>
          <w:sz w:val="24"/>
          <w:szCs w:val="24"/>
        </w:rPr>
        <w:t>http://www.evca.eu/uploadedfiles/PBCEE10.</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sz w:val="24"/>
          <w:szCs w:val="24"/>
        </w:rPr>
      </w:pPr>
      <w:r w:rsidRPr="00EC1AB2">
        <w:rPr>
          <w:rStyle w:val="Strong"/>
          <w:rFonts w:ascii="Times New Roman" w:hAnsi="Times New Roman" w:cs="Times New Roman"/>
          <w:b w:val="0"/>
          <w:bCs w:val="0"/>
          <w:sz w:val="24"/>
          <w:szCs w:val="24"/>
        </w:rPr>
        <w:t>pdf  [žiūrėta 2012 02 15]</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sidRPr="00EC1AB2">
        <w:rPr>
          <w:rFonts w:ascii="Times New Roman" w:hAnsi="Times New Roman" w:cs="Times New Roman"/>
          <w:b/>
          <w:bCs/>
          <w:sz w:val="24"/>
          <w:szCs w:val="24"/>
        </w:rPr>
        <w:t>Charles River Associates</w:t>
      </w:r>
      <w:r w:rsidRPr="00EC1AB2">
        <w:rPr>
          <w:rFonts w:ascii="Times New Roman" w:hAnsi="Times New Roman" w:cs="Times New Roman"/>
          <w:bCs/>
          <w:sz w:val="24"/>
          <w:szCs w:val="24"/>
        </w:rPr>
        <w:t>,  Impact of the proposed AIFM Directive across Europe, 2009.</w:t>
      </w:r>
    </w:p>
    <w:p w:rsidR="00E26097" w:rsidRPr="00EC1AB2" w:rsidRDefault="00EC1AB2" w:rsidP="00E26097">
      <w:pPr>
        <w:autoSpaceDE w:val="0"/>
        <w:autoSpaceDN w:val="0"/>
        <w:adjustRightInd w:val="0"/>
        <w:spacing w:after="0" w:line="360" w:lineRule="auto"/>
        <w:ind w:firstLine="720"/>
        <w:jc w:val="both"/>
        <w:rPr>
          <w:rFonts w:ascii="Times New Roman" w:hAnsi="Times New Roman" w:cs="Times New Roman"/>
          <w:bCs/>
          <w:sz w:val="24"/>
          <w:szCs w:val="24"/>
        </w:rPr>
      </w:pPr>
      <w:hyperlink r:id="rId38" w:history="1">
        <w:r w:rsidR="00E26097" w:rsidRPr="00EC1AB2">
          <w:rPr>
            <w:rStyle w:val="Hyperlink"/>
            <w:rFonts w:ascii="Times New Roman" w:hAnsi="Times New Roman" w:cs="Times New Roman"/>
            <w:bCs/>
            <w:color w:val="auto"/>
            <w:sz w:val="24"/>
            <w:szCs w:val="24"/>
          </w:rPr>
          <w:t>http://www.fsa.gov.uk/pubs/other/Impact_of_AIFM_Directive.pdf</w:t>
        </w:r>
      </w:hyperlink>
      <w:r w:rsidR="00E26097" w:rsidRPr="00EC1AB2">
        <w:rPr>
          <w:rFonts w:ascii="Times New Roman" w:hAnsi="Times New Roman" w:cs="Times New Roman"/>
          <w:bCs/>
          <w:sz w:val="24"/>
          <w:szCs w:val="24"/>
        </w:rPr>
        <w:t xml:space="preserve"> [žiūrėta 2011 01 12]</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sidRPr="00EC1AB2">
        <w:rPr>
          <w:rFonts w:ascii="Times New Roman" w:hAnsi="Times New Roman" w:cs="Times New Roman"/>
          <w:b/>
          <w:sz w:val="24"/>
          <w:szCs w:val="24"/>
        </w:rPr>
        <w:t>Da Rin M., Nicodano G., Sembenelli A.</w:t>
      </w:r>
      <w:r w:rsidRPr="00EC1AB2">
        <w:rPr>
          <w:rFonts w:ascii="Times New Roman" w:hAnsi="Times New Roman" w:cs="Times New Roman"/>
          <w:sz w:val="24"/>
          <w:szCs w:val="24"/>
        </w:rPr>
        <w:t>, The public policy and the creation of active venture capital markets, 2005. http://www.sciencedirect.com/science/article/pii/S004727270</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Cs/>
          <w:sz w:val="24"/>
          <w:szCs w:val="24"/>
        </w:rPr>
      </w:pPr>
      <w:r w:rsidRPr="00EC1AB2">
        <w:rPr>
          <w:rFonts w:ascii="Times New Roman" w:hAnsi="Times New Roman" w:cs="Times New Roman"/>
          <w:sz w:val="24"/>
          <w:szCs w:val="24"/>
        </w:rPr>
        <w:t>5001702 [žiūrėta 2011 04 29]</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Engel D. </w:t>
      </w:r>
      <w:r w:rsidRPr="00EC1AB2">
        <w:rPr>
          <w:rFonts w:ascii="Times New Roman" w:hAnsi="Times New Roman" w:cs="Times New Roman"/>
          <w:sz w:val="24"/>
          <w:szCs w:val="24"/>
        </w:rPr>
        <w:t>The impact of venture capital in firm growth: an empirical investigation, 2002 http://papers.ssrn.com/sol3/papers.cfm?abstract_id=319322 [žiūrėta 2011 04 19].</w:t>
      </w:r>
    </w:p>
    <w:p w:rsidR="00E26097" w:rsidRPr="00EC1AB2" w:rsidRDefault="00E26097" w:rsidP="00E26097">
      <w:pPr>
        <w:numPr>
          <w:ilvl w:val="0"/>
          <w:numId w:val="15"/>
        </w:numPr>
        <w:spacing w:after="0" w:line="360" w:lineRule="auto"/>
        <w:rPr>
          <w:rFonts w:ascii="Times New Roman" w:hAnsi="Times New Roman" w:cs="Times New Roman"/>
          <w:sz w:val="24"/>
          <w:szCs w:val="24"/>
        </w:rPr>
      </w:pPr>
      <w:r w:rsidRPr="00EC1AB2">
        <w:rPr>
          <w:rFonts w:ascii="Times New Roman" w:hAnsi="Times New Roman" w:cs="Times New Roman"/>
          <w:b/>
          <w:sz w:val="24"/>
          <w:szCs w:val="24"/>
        </w:rPr>
        <w:t>European Business Angels Network</w:t>
      </w:r>
      <w:r w:rsidRPr="00EC1AB2">
        <w:rPr>
          <w:rFonts w:ascii="Times New Roman" w:hAnsi="Times New Roman" w:cs="Times New Roman"/>
          <w:sz w:val="24"/>
          <w:szCs w:val="24"/>
        </w:rPr>
        <w:t>. http://www.eban.org/component/content/</w:t>
      </w:r>
    </w:p>
    <w:p w:rsidR="00E26097" w:rsidRPr="00EC1AB2" w:rsidRDefault="00E26097" w:rsidP="00E26097">
      <w:pPr>
        <w:spacing w:after="0" w:line="360" w:lineRule="auto"/>
        <w:ind w:left="720"/>
        <w:rPr>
          <w:rFonts w:ascii="Times New Roman" w:hAnsi="Times New Roman" w:cs="Times New Roman"/>
          <w:sz w:val="24"/>
          <w:szCs w:val="24"/>
        </w:rPr>
      </w:pPr>
      <w:r w:rsidRPr="00EC1AB2">
        <w:rPr>
          <w:rFonts w:ascii="Times New Roman" w:hAnsi="Times New Roman" w:cs="Times New Roman"/>
          <w:sz w:val="24"/>
          <w:szCs w:val="24"/>
        </w:rPr>
        <w:t>article/43/112-Business-angels.html [žiūrėta 2010 09 12].</w:t>
      </w:r>
    </w:p>
    <w:p w:rsidR="00E26097" w:rsidRPr="00EC1AB2" w:rsidRDefault="00E26097" w:rsidP="00E26097">
      <w:pPr>
        <w:pStyle w:val="ListParagraph"/>
        <w:numPr>
          <w:ilvl w:val="0"/>
          <w:numId w:val="15"/>
        </w:numPr>
        <w:spacing w:after="0" w:line="360" w:lineRule="auto"/>
        <w:rPr>
          <w:rFonts w:ascii="Times New Roman" w:hAnsi="Times New Roman" w:cs="Times New Roman"/>
          <w:bCs/>
          <w:sz w:val="24"/>
          <w:szCs w:val="24"/>
        </w:rPr>
      </w:pPr>
      <w:r w:rsidRPr="00EC1AB2">
        <w:rPr>
          <w:rFonts w:ascii="Times New Roman" w:hAnsi="Times New Roman" w:cs="Times New Roman"/>
          <w:b/>
          <w:bCs/>
          <w:sz w:val="24"/>
          <w:szCs w:val="24"/>
        </w:rPr>
        <w:t>EVCA</w:t>
      </w:r>
      <w:r w:rsidRPr="00EC1AB2">
        <w:rPr>
          <w:rFonts w:ascii="Times New Roman" w:hAnsi="Times New Roman" w:cs="Times New Roman"/>
          <w:bCs/>
          <w:sz w:val="24"/>
          <w:szCs w:val="24"/>
        </w:rPr>
        <w:t>, Insights into the AIFM Directive, 2010 http://www.evca.eu/uploadedFiles/Home/</w:t>
      </w:r>
    </w:p>
    <w:p w:rsidR="00E26097" w:rsidRPr="00EC1AB2" w:rsidRDefault="00E26097" w:rsidP="00E26097">
      <w:pPr>
        <w:pStyle w:val="ListParagraph"/>
        <w:spacing w:after="0" w:line="360" w:lineRule="auto"/>
        <w:rPr>
          <w:rFonts w:ascii="Times New Roman" w:hAnsi="Times New Roman" w:cs="Times New Roman"/>
          <w:bCs/>
          <w:sz w:val="24"/>
          <w:szCs w:val="24"/>
        </w:rPr>
      </w:pPr>
      <w:r w:rsidRPr="00EC1AB2">
        <w:rPr>
          <w:rFonts w:ascii="Times New Roman" w:hAnsi="Times New Roman" w:cs="Times New Roman"/>
          <w:bCs/>
          <w:sz w:val="24"/>
          <w:szCs w:val="24"/>
        </w:rPr>
        <w:t>Public_And_Regulatory_Affairs/AIFM_Directive/GENERAL_AIFMD_Presentation_%20261110.pdf [žiūrėta 2011 03 11]</w:t>
      </w:r>
    </w:p>
    <w:p w:rsidR="00E26097" w:rsidRPr="00EC1AB2" w:rsidRDefault="00E26097" w:rsidP="00E26097">
      <w:pPr>
        <w:pStyle w:val="ListParagraph"/>
        <w:numPr>
          <w:ilvl w:val="0"/>
          <w:numId w:val="15"/>
        </w:numPr>
        <w:spacing w:after="0" w:line="360" w:lineRule="auto"/>
        <w:rPr>
          <w:rFonts w:ascii="Times New Roman" w:hAnsi="Times New Roman" w:cs="Times New Roman"/>
          <w:bCs/>
          <w:sz w:val="24"/>
          <w:szCs w:val="24"/>
        </w:rPr>
      </w:pPr>
      <w:r w:rsidRPr="00EC1AB2">
        <w:rPr>
          <w:rFonts w:ascii="Times New Roman" w:hAnsi="Times New Roman" w:cs="Times New Roman"/>
          <w:b/>
          <w:bCs/>
          <w:sz w:val="24"/>
          <w:szCs w:val="24"/>
        </w:rPr>
        <w:lastRenderedPageBreak/>
        <w:t>EVCA</w:t>
      </w:r>
      <w:r w:rsidRPr="00EC1AB2">
        <w:rPr>
          <w:rFonts w:ascii="Times New Roman" w:hAnsi="Times New Roman" w:cs="Times New Roman"/>
          <w:bCs/>
          <w:sz w:val="24"/>
          <w:szCs w:val="24"/>
        </w:rPr>
        <w:t xml:space="preserve">, Survey of the Economic and Social Impact of Venture Capital in Europe, 2002. </w:t>
      </w:r>
      <w:r w:rsidRPr="00EC1AB2">
        <w:rPr>
          <w:rFonts w:ascii="Times New Roman" w:hAnsi="Times New Roman" w:cs="Times New Roman"/>
          <w:sz w:val="24"/>
          <w:szCs w:val="24"/>
        </w:rPr>
        <w:t>http://www.evca.eu/uploadedFiles/Home/Knowledge_Center/EVCA_Research/Economical_Impact/EconomicImpactofVentureCapital.pdf [žiūrėta 2011 02 27]</w:t>
      </w:r>
    </w:p>
    <w:p w:rsidR="00E26097" w:rsidRPr="00EC1AB2" w:rsidRDefault="00E26097" w:rsidP="00E26097">
      <w:pPr>
        <w:numPr>
          <w:ilvl w:val="0"/>
          <w:numId w:val="15"/>
        </w:numPr>
        <w:spacing w:after="0" w:line="360" w:lineRule="auto"/>
        <w:ind w:left="714" w:hanging="357"/>
        <w:rPr>
          <w:rFonts w:ascii="Times New Roman" w:hAnsi="Times New Roman" w:cs="Times New Roman"/>
          <w:sz w:val="24"/>
          <w:szCs w:val="24"/>
        </w:rPr>
      </w:pPr>
      <w:r w:rsidRPr="00EC1AB2">
        <w:rPr>
          <w:rFonts w:ascii="Times New Roman" w:hAnsi="Times New Roman" w:cs="Times New Roman"/>
          <w:b/>
          <w:sz w:val="24"/>
          <w:szCs w:val="24"/>
        </w:rPr>
        <w:t>Felix E.G.S., Gulamhussen M. A., Pires C. P.</w:t>
      </w:r>
      <w:r w:rsidRPr="00EC1AB2">
        <w:rPr>
          <w:rFonts w:ascii="Times New Roman" w:hAnsi="Times New Roman" w:cs="Times New Roman"/>
          <w:sz w:val="24"/>
          <w:szCs w:val="24"/>
        </w:rPr>
        <w:t xml:space="preserve">  The Determinants of Venture Capital in Europe - Evidence Across Countries, 2007. http://www.cefage.uevora.pt/en/content/downlo</w:t>
      </w:r>
    </w:p>
    <w:p w:rsidR="00E26097" w:rsidRPr="00EC1AB2" w:rsidRDefault="00E26097" w:rsidP="00E26097">
      <w:pPr>
        <w:spacing w:after="0" w:line="360" w:lineRule="auto"/>
        <w:ind w:left="714"/>
        <w:rPr>
          <w:rFonts w:ascii="Times New Roman" w:hAnsi="Times New Roman" w:cs="Times New Roman"/>
          <w:sz w:val="24"/>
          <w:szCs w:val="24"/>
        </w:rPr>
      </w:pPr>
      <w:r w:rsidRPr="00EC1AB2">
        <w:rPr>
          <w:rFonts w:ascii="Times New Roman" w:hAnsi="Times New Roman" w:cs="Times New Roman"/>
          <w:sz w:val="24"/>
          <w:szCs w:val="24"/>
        </w:rPr>
        <w:t>ad/950/12221/version/1/file/2007_01.pdf  [žiūrėta 2011 05 10].</w:t>
      </w:r>
    </w:p>
    <w:p w:rsidR="00E26097" w:rsidRPr="00EC1AB2" w:rsidRDefault="00E26097" w:rsidP="00E26097">
      <w:pPr>
        <w:numPr>
          <w:ilvl w:val="0"/>
          <w:numId w:val="15"/>
        </w:numPr>
        <w:spacing w:after="0" w:line="360" w:lineRule="auto"/>
        <w:jc w:val="both"/>
        <w:rPr>
          <w:rFonts w:ascii="Times New Roman" w:hAnsi="Times New Roman" w:cs="Times New Roman"/>
          <w:b/>
          <w:sz w:val="24"/>
          <w:szCs w:val="24"/>
        </w:rPr>
      </w:pPr>
      <w:r w:rsidRPr="00EC1AB2">
        <w:rPr>
          <w:rFonts w:ascii="Times New Roman" w:hAnsi="Times New Roman" w:cs="Times New Roman"/>
          <w:b/>
          <w:sz w:val="24"/>
          <w:szCs w:val="24"/>
        </w:rPr>
        <w:t xml:space="preserve">Gompres P., Lener J. </w:t>
      </w:r>
      <w:r w:rsidRPr="00EC1AB2">
        <w:rPr>
          <w:rFonts w:ascii="Times New Roman" w:hAnsi="Times New Roman" w:cs="Times New Roman"/>
          <w:sz w:val="24"/>
          <w:szCs w:val="24"/>
        </w:rPr>
        <w:t>The money of invention: how venture capital creates new wealth, 2001.</w:t>
      </w:r>
    </w:p>
    <w:p w:rsidR="00E26097" w:rsidRPr="00EC1AB2" w:rsidRDefault="00EC1AB2" w:rsidP="00E26097">
      <w:pPr>
        <w:spacing w:after="0" w:line="360" w:lineRule="auto"/>
        <w:ind w:left="720"/>
        <w:jc w:val="both"/>
        <w:rPr>
          <w:rFonts w:ascii="Times New Roman" w:hAnsi="Times New Roman" w:cs="Times New Roman"/>
          <w:sz w:val="24"/>
          <w:szCs w:val="24"/>
        </w:rPr>
      </w:pPr>
      <w:hyperlink r:id="rId39" w:anchor="v=onepage&amp;q&amp;f=false" w:history="1">
        <w:r w:rsidR="00E26097" w:rsidRPr="00EC1AB2">
          <w:rPr>
            <w:rStyle w:val="Hyperlink"/>
            <w:rFonts w:ascii="Times New Roman" w:hAnsi="Times New Roman" w:cs="Times New Roman"/>
            <w:color w:val="auto"/>
            <w:sz w:val="24"/>
            <w:szCs w:val="24"/>
          </w:rPr>
          <w:t>http://www.google.com/books?hl=lt&amp;lr=&amp;id=e0bdjUgzLG0C&amp;oi=fnd&amp;pg=PP15&amp;dq=The+impact+of+venture+capital+investments+on+the+Hungarian+economy&amp;ots=gv1h0XQq1V&amp;sig=o6fR2vzvtoyTYeZdk0n0qSc3Q7I#v=onepage&amp;q&amp;f=false</w:t>
        </w:r>
      </w:hyperlink>
      <w:r w:rsidR="00E26097" w:rsidRPr="00EC1AB2">
        <w:rPr>
          <w:rFonts w:ascii="Times New Roman" w:hAnsi="Times New Roman" w:cs="Times New Roman"/>
          <w:sz w:val="24"/>
          <w:szCs w:val="24"/>
        </w:rPr>
        <w:t xml:space="preserve"> [žiūrėta 2010 09 15].</w:t>
      </w:r>
    </w:p>
    <w:p w:rsidR="00E26097" w:rsidRPr="00EC1AB2" w:rsidRDefault="00E26097" w:rsidP="00E26097">
      <w:pPr>
        <w:numPr>
          <w:ilvl w:val="0"/>
          <w:numId w:val="15"/>
        </w:numPr>
        <w:spacing w:after="0" w:line="360" w:lineRule="auto"/>
        <w:jc w:val="both"/>
        <w:rPr>
          <w:rFonts w:ascii="Times New Roman" w:hAnsi="Times New Roman" w:cs="Times New Roman"/>
          <w:b/>
          <w:sz w:val="24"/>
          <w:szCs w:val="24"/>
        </w:rPr>
      </w:pPr>
      <w:r w:rsidRPr="00EC1AB2">
        <w:rPr>
          <w:rFonts w:ascii="Times New Roman" w:hAnsi="Times New Roman" w:cs="Times New Roman"/>
          <w:b/>
          <w:sz w:val="24"/>
          <w:szCs w:val="24"/>
        </w:rPr>
        <w:t>Groth A.P. ir kt.</w:t>
      </w:r>
      <w:r w:rsidRPr="00EC1AB2">
        <w:rPr>
          <w:rFonts w:ascii="Times New Roman" w:hAnsi="Times New Roman" w:cs="Times New Roman"/>
          <w:sz w:val="24"/>
          <w:szCs w:val="24"/>
        </w:rPr>
        <w:t xml:space="preserve"> The Attractiveness of Central Eastern</w:t>
      </w:r>
      <w:r w:rsidRPr="00EC1AB2">
        <w:rPr>
          <w:rFonts w:ascii="Times New Roman" w:hAnsi="Times New Roman" w:cs="Times New Roman"/>
          <w:b/>
          <w:sz w:val="24"/>
          <w:szCs w:val="24"/>
        </w:rPr>
        <w:t xml:space="preserve"> </w:t>
      </w:r>
      <w:r w:rsidRPr="00EC1AB2">
        <w:rPr>
          <w:rFonts w:ascii="Times New Roman" w:hAnsi="Times New Roman" w:cs="Times New Roman"/>
          <w:sz w:val="24"/>
          <w:szCs w:val="24"/>
        </w:rPr>
        <w:t xml:space="preserve">European Countries for Venture Capital and Private Equity Investors // IESE Business School Working Paper, 2006, Nr. D/677. </w:t>
      </w:r>
      <w:hyperlink r:id="rId40" w:history="1">
        <w:r w:rsidRPr="00EC1AB2">
          <w:rPr>
            <w:rStyle w:val="Hyperlink"/>
            <w:rFonts w:ascii="Times New Roman" w:hAnsi="Times New Roman" w:cs="Times New Roman"/>
            <w:color w:val="auto"/>
            <w:sz w:val="24"/>
            <w:szCs w:val="24"/>
          </w:rPr>
          <w:t>http://papers.ssrn.com/sol3/papers.cfm?abstract_id=960505</w:t>
        </w:r>
      </w:hyperlink>
      <w:r w:rsidRPr="00EC1AB2">
        <w:rPr>
          <w:rFonts w:ascii="Times New Roman" w:hAnsi="Times New Roman" w:cs="Times New Roman"/>
          <w:sz w:val="24"/>
          <w:szCs w:val="24"/>
        </w:rPr>
        <w:t xml:space="preserve"> [žiūrėta 2010 09 07].</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Hellman T, Puri M.</w:t>
      </w:r>
      <w:r w:rsidRPr="00EC1AB2">
        <w:rPr>
          <w:rFonts w:ascii="Times New Roman" w:hAnsi="Times New Roman" w:cs="Times New Roman"/>
          <w:sz w:val="24"/>
          <w:szCs w:val="24"/>
        </w:rPr>
        <w:t xml:space="preserve"> The interaction between product market and financing strategy: the role of venture capital,2000http://www.eufinancialsystem.org/fileadmin/content/Dokumente</w:t>
      </w:r>
    </w:p>
    <w:p w:rsidR="00E26097" w:rsidRPr="00EC1AB2" w:rsidRDefault="00E26097" w:rsidP="00E26097">
      <w:pPr>
        <w:spacing w:after="0" w:line="360" w:lineRule="auto"/>
        <w:ind w:left="720"/>
        <w:jc w:val="both"/>
        <w:rPr>
          <w:rFonts w:ascii="Times New Roman" w:hAnsi="Times New Roman" w:cs="Times New Roman"/>
          <w:sz w:val="24"/>
          <w:szCs w:val="24"/>
        </w:rPr>
      </w:pPr>
      <w:r w:rsidRPr="00EC1AB2">
        <w:rPr>
          <w:rFonts w:ascii="Times New Roman" w:hAnsi="Times New Roman" w:cs="Times New Roman"/>
          <w:sz w:val="24"/>
          <w:szCs w:val="24"/>
        </w:rPr>
        <w:t xml:space="preserve">_Events-/Prague_2008_11th_conference/Schaeck.pdf [žiūrėta 2011 05 10]. </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Hogan, Hartson</w:t>
      </w:r>
      <w:r w:rsidRPr="00EC1AB2">
        <w:rPr>
          <w:rFonts w:ascii="Times New Roman" w:hAnsi="Times New Roman" w:cs="Times New Roman"/>
          <w:sz w:val="24"/>
          <w:szCs w:val="24"/>
        </w:rPr>
        <w:t xml:space="preserve">. </w:t>
      </w:r>
      <w:r w:rsidRPr="00EC1AB2">
        <w:rPr>
          <w:rFonts w:ascii="Times New Roman" w:hAnsi="Times New Roman" w:cs="Times New Roman"/>
          <w:bCs/>
          <w:sz w:val="24"/>
          <w:szCs w:val="24"/>
        </w:rPr>
        <w:t xml:space="preserve">Certain Characteristics of Private Equity and Venture Capital in the Republic of Hungary.  </w:t>
      </w:r>
      <w:hyperlink r:id="rId41" w:history="1">
        <w:r w:rsidRPr="00EC1AB2">
          <w:rPr>
            <w:rStyle w:val="Hyperlink"/>
            <w:rFonts w:ascii="Times New Roman" w:hAnsi="Times New Roman" w:cs="Times New Roman"/>
            <w:color w:val="auto"/>
            <w:sz w:val="24"/>
            <w:szCs w:val="24"/>
          </w:rPr>
          <w:t>http://www.altassets.com/pdfs/VentureCapitalHungary.pdf</w:t>
        </w:r>
      </w:hyperlink>
      <w:r w:rsidRPr="00EC1AB2">
        <w:rPr>
          <w:rFonts w:ascii="Times New Roman" w:hAnsi="Times New Roman" w:cs="Times New Roman"/>
          <w:sz w:val="24"/>
          <w:szCs w:val="24"/>
        </w:rPr>
        <w:t xml:space="preserve"> [žiūrėta 2010 09 12].</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bCs/>
          <w:sz w:val="24"/>
          <w:szCs w:val="24"/>
        </w:rPr>
        <w:t xml:space="preserve">Hsu D. H., Kenney M.  </w:t>
      </w:r>
      <w:r w:rsidRPr="00EC1AB2">
        <w:rPr>
          <w:rFonts w:ascii="Times New Roman" w:hAnsi="Times New Roman" w:cs="Times New Roman"/>
          <w:sz w:val="24"/>
          <w:szCs w:val="24"/>
        </w:rPr>
        <w:t>Organizing venture capital: the rise and demise of American Research &amp; Development Corporation, 1946–1973, 2000. http://escholarship.org/uc/item/59q5n7rw [žiūrėta 2010 09 11]</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EC1AB2">
        <w:rPr>
          <w:rStyle w:val="Strong"/>
          <w:rFonts w:ascii="Times New Roman" w:hAnsi="Times New Roman" w:cs="Times New Roman"/>
          <w:sz w:val="24"/>
          <w:szCs w:val="24"/>
        </w:rPr>
        <w:t xml:space="preserve">Įmonių inovacinė veikla 2008–2010 m. </w:t>
      </w:r>
      <w:r w:rsidRPr="00EC1AB2">
        <w:rPr>
          <w:rFonts w:ascii="Times New Roman" w:hAnsi="Times New Roman" w:cs="Times New Roman"/>
          <w:sz w:val="24"/>
          <w:szCs w:val="24"/>
        </w:rPr>
        <w:t>http://www.stat.gov.lt/lt/news/view? id=10325&amp;PHPSESSID= [žiūrėta 2012 01 22]</w:t>
      </w:r>
    </w:p>
    <w:p w:rsidR="00E26097" w:rsidRPr="00EC1AB2" w:rsidRDefault="00E26097" w:rsidP="00E26097">
      <w:pPr>
        <w:pStyle w:val="ListParagraph"/>
        <w:numPr>
          <w:ilvl w:val="0"/>
          <w:numId w:val="15"/>
        </w:numPr>
        <w:autoSpaceDE w:val="0"/>
        <w:autoSpaceDN w:val="0"/>
        <w:adjustRightInd w:val="0"/>
        <w:spacing w:after="0" w:line="360" w:lineRule="auto"/>
        <w:rPr>
          <w:rFonts w:ascii="Times New Roman" w:hAnsi="Times New Roman" w:cs="Times New Roman"/>
          <w:b/>
          <w:sz w:val="24"/>
          <w:szCs w:val="24"/>
        </w:rPr>
      </w:pPr>
      <w:r w:rsidRPr="00EC1AB2">
        <w:rPr>
          <w:rFonts w:ascii="Times New Roman" w:hAnsi="Times New Roman" w:cs="Times New Roman"/>
          <w:b/>
          <w:sz w:val="24"/>
          <w:szCs w:val="24"/>
        </w:rPr>
        <w:t xml:space="preserve">Informacija apie įmonių finansavimą. </w:t>
      </w:r>
      <w:r w:rsidRPr="00EC1AB2">
        <w:rPr>
          <w:rFonts w:ascii="Times New Roman" w:hAnsi="Times New Roman" w:cs="Times New Roman"/>
          <w:sz w:val="24"/>
          <w:szCs w:val="24"/>
        </w:rPr>
        <w:t>http://www.stat.gov.lt/lt/catalog/viewfree/?id=1958</w:t>
      </w:r>
    </w:p>
    <w:p w:rsidR="00E26097" w:rsidRPr="00EC1AB2" w:rsidRDefault="00E26097" w:rsidP="00E26097">
      <w:pPr>
        <w:pStyle w:val="ListParagraph"/>
        <w:autoSpaceDE w:val="0"/>
        <w:autoSpaceDN w:val="0"/>
        <w:adjustRightInd w:val="0"/>
        <w:spacing w:after="0" w:line="360" w:lineRule="auto"/>
        <w:rPr>
          <w:rFonts w:ascii="Times New Roman" w:hAnsi="Times New Roman" w:cs="Times New Roman"/>
          <w:b/>
          <w:sz w:val="24"/>
          <w:szCs w:val="24"/>
        </w:rPr>
      </w:pPr>
      <w:r w:rsidRPr="00EC1AB2">
        <w:rPr>
          <w:rFonts w:ascii="Times New Roman" w:hAnsi="Times New Roman" w:cs="Times New Roman"/>
          <w:sz w:val="24"/>
          <w:szCs w:val="24"/>
        </w:rPr>
        <w:t>&amp;PHPSESSID=. [žiūrėta 2012 01 22]</w:t>
      </w:r>
    </w:p>
    <w:p w:rsidR="00E26097" w:rsidRPr="00EC1AB2" w:rsidRDefault="00E26097" w:rsidP="00E26097">
      <w:pPr>
        <w:pStyle w:val="ListParagraph"/>
        <w:numPr>
          <w:ilvl w:val="0"/>
          <w:numId w:val="15"/>
        </w:numPr>
        <w:autoSpaceDE w:val="0"/>
        <w:autoSpaceDN w:val="0"/>
        <w:adjustRightInd w:val="0"/>
        <w:spacing w:after="0" w:line="360" w:lineRule="auto"/>
        <w:jc w:val="both"/>
        <w:rPr>
          <w:rStyle w:val="texthdblue"/>
          <w:rFonts w:ascii="Times New Roman" w:hAnsi="Times New Roman" w:cs="Times New Roman"/>
          <w:b/>
          <w:sz w:val="24"/>
          <w:szCs w:val="24"/>
        </w:rPr>
      </w:pPr>
      <w:r w:rsidRPr="00EC1AB2">
        <w:rPr>
          <w:rStyle w:val="texthdblue"/>
          <w:rFonts w:ascii="Times New Roman" w:hAnsi="Times New Roman" w:cs="Times New Roman"/>
          <w:b/>
          <w:sz w:val="24"/>
          <w:szCs w:val="24"/>
        </w:rPr>
        <w:t xml:space="preserve">Innovation Union's performance scoreboard 2006 for Research and Innovation. </w:t>
      </w:r>
      <w:r w:rsidRPr="00EC1AB2">
        <w:rPr>
          <w:rStyle w:val="texthdblue"/>
          <w:rFonts w:ascii="Times New Roman" w:hAnsi="Times New Roman" w:cs="Times New Roman"/>
          <w:sz w:val="24"/>
          <w:szCs w:val="24"/>
        </w:rPr>
        <w:t xml:space="preserve">http://www.proinno-europe.eu/page/european-innovation-scoreboard-2006 </w:t>
      </w:r>
      <w:r w:rsidRPr="00EC1AB2">
        <w:rPr>
          <w:rFonts w:ascii="Times New Roman" w:hAnsi="Times New Roman" w:cs="Times New Roman"/>
          <w:sz w:val="24"/>
          <w:szCs w:val="24"/>
        </w:rPr>
        <w:t>[žiūrėta 2012 01 22]</w:t>
      </w:r>
    </w:p>
    <w:p w:rsidR="00E26097" w:rsidRPr="00EC1AB2" w:rsidRDefault="00E26097" w:rsidP="00E26097">
      <w:pPr>
        <w:pStyle w:val="ListParagraph"/>
        <w:numPr>
          <w:ilvl w:val="0"/>
          <w:numId w:val="15"/>
        </w:numPr>
        <w:autoSpaceDE w:val="0"/>
        <w:autoSpaceDN w:val="0"/>
        <w:adjustRightInd w:val="0"/>
        <w:spacing w:after="0" w:line="360" w:lineRule="auto"/>
        <w:jc w:val="both"/>
        <w:rPr>
          <w:rStyle w:val="texthdblue"/>
          <w:rFonts w:ascii="Times New Roman" w:hAnsi="Times New Roman" w:cs="Times New Roman"/>
          <w:b/>
          <w:sz w:val="24"/>
          <w:szCs w:val="24"/>
        </w:rPr>
      </w:pPr>
      <w:r w:rsidRPr="00EC1AB2">
        <w:rPr>
          <w:rStyle w:val="texthdblue"/>
          <w:rFonts w:ascii="Times New Roman" w:hAnsi="Times New Roman" w:cs="Times New Roman"/>
          <w:b/>
          <w:sz w:val="24"/>
          <w:szCs w:val="24"/>
        </w:rPr>
        <w:t>Innovation Union's performance scoreboard 2007 for Research and Innovation.</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sz w:val="24"/>
          <w:szCs w:val="24"/>
        </w:rPr>
        <w:t>http://www.proinno-europe.eu/page/european-innovation-scoreboard-2007 [žiūrėta 2012 01 22]</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EC1AB2">
        <w:rPr>
          <w:rStyle w:val="texthdblue"/>
          <w:rFonts w:ascii="Times New Roman" w:hAnsi="Times New Roman" w:cs="Times New Roman"/>
          <w:b/>
          <w:sz w:val="24"/>
          <w:szCs w:val="24"/>
        </w:rPr>
        <w:t>Innovation Union's performance scoreboard 2008 for Research and Innovation.</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sz w:val="24"/>
          <w:szCs w:val="24"/>
        </w:rPr>
        <w:lastRenderedPageBreak/>
        <w:t>http://www.proinno-europe.eu/page/european-innovation-scoreboard-2008 [žiūrėta 2012 01 23]</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EC1AB2">
        <w:rPr>
          <w:rStyle w:val="texthdblue"/>
          <w:rFonts w:ascii="Times New Roman" w:hAnsi="Times New Roman" w:cs="Times New Roman"/>
          <w:b/>
          <w:sz w:val="24"/>
          <w:szCs w:val="24"/>
        </w:rPr>
        <w:t>Innovation Union's performance scoreboard 2009 for Research and Innovation.</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sz w:val="24"/>
          <w:szCs w:val="24"/>
        </w:rPr>
        <w:t>http://www.proinno-europe.eu/page/european-innovation-scoreboard-2009 [žiūrėta 2012 01 23]</w:t>
      </w:r>
    </w:p>
    <w:p w:rsidR="00E26097" w:rsidRPr="00EC1AB2" w:rsidRDefault="00E26097" w:rsidP="00E26097">
      <w:pPr>
        <w:pStyle w:val="ListParagraph"/>
        <w:numPr>
          <w:ilvl w:val="0"/>
          <w:numId w:val="15"/>
        </w:numPr>
        <w:autoSpaceDE w:val="0"/>
        <w:autoSpaceDN w:val="0"/>
        <w:adjustRightInd w:val="0"/>
        <w:spacing w:after="0" w:line="360" w:lineRule="auto"/>
        <w:jc w:val="both"/>
        <w:rPr>
          <w:rStyle w:val="texthdblue"/>
          <w:rFonts w:ascii="Times New Roman" w:hAnsi="Times New Roman" w:cs="Times New Roman"/>
          <w:b/>
          <w:sz w:val="24"/>
          <w:szCs w:val="24"/>
        </w:rPr>
      </w:pPr>
      <w:r w:rsidRPr="00EC1AB2">
        <w:rPr>
          <w:rStyle w:val="texthdblue"/>
          <w:rFonts w:ascii="Times New Roman" w:hAnsi="Times New Roman" w:cs="Times New Roman"/>
          <w:b/>
          <w:sz w:val="24"/>
          <w:szCs w:val="24"/>
        </w:rPr>
        <w:t>Innovation Union's performance scoreboard 2010 for Research and Innovation.</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sz w:val="24"/>
          <w:szCs w:val="24"/>
        </w:rPr>
        <w:t>http://www.proinno-europe.eu/page/european-innovation-scoreboard-2010 [žiūrėta 2012 01 24]</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EC1AB2">
        <w:rPr>
          <w:rStyle w:val="texthdblue"/>
          <w:rFonts w:ascii="Times New Roman" w:hAnsi="Times New Roman" w:cs="Times New Roman"/>
          <w:b/>
          <w:sz w:val="24"/>
          <w:szCs w:val="24"/>
        </w:rPr>
        <w:t>Innovation Union's performance scoreboard 2011 for Research and Innovation.</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http://www.proinno-europe.eu/page/european-innovation-scoreboard-2011 [žiūrėta 2012 01 24]</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bCs/>
          <w:sz w:val="24"/>
          <w:szCs w:val="24"/>
        </w:rPr>
        <w:t>Jankauskienė V.</w:t>
      </w:r>
      <w:r w:rsidRPr="00EC1AB2">
        <w:rPr>
          <w:rFonts w:ascii="Times New Roman" w:hAnsi="Times New Roman" w:cs="Times New Roman"/>
          <w:sz w:val="24"/>
          <w:szCs w:val="24"/>
        </w:rPr>
        <w:t xml:space="preserve"> , Rizikos kapitalo sektoriaus plėtros veiksnių vertinimo modelis, 2009. – Kaunas: Vytauto Didžiojo universitetas</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b/>
          <w:sz w:val="24"/>
          <w:szCs w:val="24"/>
        </w:rPr>
      </w:pPr>
      <w:r w:rsidRPr="00EC1AB2">
        <w:rPr>
          <w:rFonts w:ascii="Times New Roman" w:hAnsi="Times New Roman" w:cs="Times New Roman"/>
          <w:b/>
          <w:sz w:val="24"/>
          <w:szCs w:val="24"/>
        </w:rPr>
        <w:t xml:space="preserve">Kaupelytė D., Jankauskienė  V. </w:t>
      </w:r>
      <w:r w:rsidRPr="00EC1AB2">
        <w:rPr>
          <w:rFonts w:ascii="Times New Roman" w:hAnsi="Times New Roman" w:cs="Times New Roman"/>
          <w:sz w:val="24"/>
          <w:szCs w:val="24"/>
        </w:rPr>
        <w:t>Pensijų fondų investicijų į rizikos kapitalo skatinimas: galimybės Europos Sąjungos šalyse, 2009. Nr. 49, Organizacijų vadyba: sisteminiai tyrimai.</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Kinney M., Hsu D.</w:t>
      </w:r>
      <w:r w:rsidRPr="00EC1AB2">
        <w:rPr>
          <w:rFonts w:ascii="Times New Roman" w:hAnsi="Times New Roman" w:cs="Times New Roman"/>
          <w:sz w:val="24"/>
          <w:szCs w:val="24"/>
        </w:rPr>
        <w:t xml:space="preserve"> </w:t>
      </w:r>
      <w:hyperlink r:id="rId42" w:history="1">
        <w:r w:rsidRPr="00EC1AB2">
          <w:rPr>
            <w:rStyle w:val="Hyperlink"/>
            <w:rFonts w:ascii="Times New Roman" w:hAnsi="Times New Roman" w:cs="Times New Roman"/>
            <w:color w:val="auto"/>
            <w:sz w:val="24"/>
            <w:szCs w:val="24"/>
          </w:rPr>
          <w:t>Organizing venture capital: the rise and demise of American Research and Development Corporation</w:t>
        </w:r>
      </w:hyperlink>
      <w:r w:rsidRPr="00EC1AB2">
        <w:rPr>
          <w:rFonts w:ascii="Times New Roman" w:hAnsi="Times New Roman" w:cs="Times New Roman"/>
          <w:sz w:val="24"/>
          <w:szCs w:val="24"/>
        </w:rPr>
        <w:t xml:space="preserve">, 1946–1973// Oxford University Press on behalf of Associazione,2004. </w:t>
      </w:r>
      <w:hyperlink r:id="rId43" w:history="1">
        <w:r w:rsidRPr="00EC1AB2">
          <w:rPr>
            <w:rStyle w:val="Hyperlink"/>
            <w:rFonts w:ascii="Times New Roman" w:hAnsi="Times New Roman" w:cs="Times New Roman"/>
            <w:color w:val="auto"/>
            <w:sz w:val="24"/>
            <w:szCs w:val="24"/>
          </w:rPr>
          <w:t>http://hcd.ucdavis.edu/faculty/webpages/kenney/articles_files/Organizing%20Venture%20Capital:%20The%20Rise%20and%20Demise%20of%20American%20Research%20and%20Development%20Corporation.pdf</w:t>
        </w:r>
      </w:hyperlink>
      <w:r w:rsidRPr="00EC1AB2">
        <w:rPr>
          <w:rFonts w:ascii="Times New Roman" w:hAnsi="Times New Roman" w:cs="Times New Roman"/>
          <w:sz w:val="24"/>
          <w:szCs w:val="24"/>
        </w:rPr>
        <w:t xml:space="preserve"> [žiūrėta 2010 09 12].</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Kortum S., Lerner J. </w:t>
      </w:r>
      <w:r w:rsidRPr="00EC1AB2">
        <w:rPr>
          <w:rFonts w:ascii="Times New Roman" w:hAnsi="Times New Roman" w:cs="Times New Roman"/>
          <w:sz w:val="24"/>
          <w:szCs w:val="24"/>
        </w:rPr>
        <w:t>Assessing the contribution e capital of ventuto innovation, 2002. http://www.confindustria.it/indcong.nsf/73dbd238f0385f5ac1256fc1004d81e5/1f7902e29f492478c1256d4a002b7bfe/$FILE/capitolo%203.pdf [žiūrėta 2010 12 15].</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Laurinavičius A.</w:t>
      </w:r>
      <w:r w:rsidRPr="00EC1AB2">
        <w:rPr>
          <w:rFonts w:ascii="Times New Roman" w:hAnsi="Times New Roman" w:cs="Times New Roman"/>
          <w:sz w:val="24"/>
          <w:szCs w:val="24"/>
        </w:rPr>
        <w:t xml:space="preserve"> Rizikos kapitalas Lietuvoje – sisteminis ar atsitiktinis?, 2011. http://iq.lt/komentarai/rizikos-kapitalo-panaudojimas-sisteminis-ar-atsitiktinis/</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Lietuvos Respublikos informuotiesiems investuotojams skirtų kolektyvinio investavimo subjektų įstatymo projektas</w:t>
      </w:r>
      <w:r w:rsidRPr="00EC1AB2">
        <w:rPr>
          <w:rFonts w:ascii="Times New Roman" w:hAnsi="Times New Roman" w:cs="Times New Roman"/>
          <w:sz w:val="24"/>
          <w:szCs w:val="24"/>
        </w:rPr>
        <w:t>. [žiūrėta 2012 01 24]</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Lietuvos Respublikos kolektyvinio investavimo subjektų įstatymas</w:t>
      </w:r>
      <w:r w:rsidRPr="00EC1AB2">
        <w:rPr>
          <w:rFonts w:ascii="Times New Roman" w:hAnsi="Times New Roman" w:cs="Times New Roman"/>
          <w:sz w:val="24"/>
          <w:szCs w:val="24"/>
        </w:rPr>
        <w:t xml:space="preserve"> (Žin., 2003, Nr. 74-3424 ) [žiūrėta 2012 01 24]</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Lietuvos Respublikos kolektyvinio investavimo subjektų įstatymo pakeitimo projektas </w:t>
      </w:r>
      <w:r w:rsidRPr="00EC1AB2">
        <w:rPr>
          <w:rFonts w:ascii="Times New Roman" w:hAnsi="Times New Roman" w:cs="Times New Roman"/>
          <w:sz w:val="24"/>
          <w:szCs w:val="24"/>
        </w:rPr>
        <w:t>[žiūrėta 2012 01 24]</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eastAsia="Times New Roman" w:hAnsi="Times New Roman" w:cs="Times New Roman"/>
          <w:b/>
          <w:bCs/>
          <w:kern w:val="36"/>
          <w:sz w:val="24"/>
          <w:szCs w:val="24"/>
          <w:lang w:eastAsia="lt-LT"/>
        </w:rPr>
        <w:lastRenderedPageBreak/>
        <w:t xml:space="preserve">Lietuvos Respublikos kolektyvinio investavimo subjektų įstatymo 1, 2, 4, 7, 21, 23, 31, 34, 67, 69, 72, 78, 80, 81, 85, 93 straipsnių ir vii skyriaus šeštojo skirsnio pakeitimo ir papildymo įstatymo projekto aiškinamasis raštas </w:t>
      </w:r>
      <w:r w:rsidRPr="00EC1AB2">
        <w:rPr>
          <w:rFonts w:ascii="Times New Roman" w:hAnsi="Times New Roman" w:cs="Times New Roman"/>
          <w:sz w:val="24"/>
          <w:szCs w:val="24"/>
        </w:rPr>
        <w:t>[žiūrėta 2012 01 24]</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eastAsia="MinionPro-Regular" w:hAnsi="Times New Roman" w:cs="Times New Roman"/>
          <w:b/>
          <w:sz w:val="24"/>
          <w:szCs w:val="24"/>
        </w:rPr>
        <w:t xml:space="preserve">Mayer, С., Schoors, K., Yafeh, Y. </w:t>
      </w:r>
      <w:r w:rsidRPr="00EC1AB2">
        <w:rPr>
          <w:rFonts w:ascii="Times New Roman" w:eastAsia="MinionPro-Regular" w:hAnsi="Times New Roman" w:cs="Times New Roman"/>
          <w:sz w:val="24"/>
          <w:szCs w:val="24"/>
        </w:rPr>
        <w:t xml:space="preserve"> Sources of Funds and Investment Activities of Venture Capital Funds: Evidence from Germany, Israel, Japan and the UK, Working paper 9645, National bureau of economic research, 2003. http://www.nber.org/ papers/w9645.pdf?</w:t>
      </w:r>
    </w:p>
    <w:p w:rsidR="00E26097" w:rsidRPr="00EC1AB2" w:rsidRDefault="00E26097" w:rsidP="00E26097">
      <w:pPr>
        <w:spacing w:after="0" w:line="360" w:lineRule="auto"/>
        <w:ind w:left="720"/>
        <w:jc w:val="both"/>
        <w:rPr>
          <w:rFonts w:ascii="Times New Roman" w:hAnsi="Times New Roman" w:cs="Times New Roman"/>
          <w:sz w:val="24"/>
          <w:szCs w:val="24"/>
        </w:rPr>
      </w:pPr>
      <w:r w:rsidRPr="00EC1AB2">
        <w:rPr>
          <w:rFonts w:ascii="Times New Roman" w:eastAsia="MinionPro-Regular" w:hAnsi="Times New Roman" w:cs="Times New Roman"/>
          <w:sz w:val="24"/>
          <w:szCs w:val="24"/>
        </w:rPr>
        <w:t xml:space="preserve">new_window=1 [žiūrėta 2011 05 10]. </w:t>
      </w:r>
    </w:p>
    <w:p w:rsidR="00E26097" w:rsidRPr="00EC1AB2" w:rsidRDefault="00E26097" w:rsidP="00E26097">
      <w:pPr>
        <w:pStyle w:val="Default"/>
        <w:numPr>
          <w:ilvl w:val="0"/>
          <w:numId w:val="15"/>
        </w:numPr>
        <w:spacing w:line="360" w:lineRule="auto"/>
        <w:jc w:val="both"/>
        <w:rPr>
          <w:color w:val="auto"/>
          <w:lang w:val="lt-LT"/>
        </w:rPr>
      </w:pPr>
      <w:r w:rsidRPr="00EC1AB2">
        <w:rPr>
          <w:b/>
          <w:color w:val="auto"/>
          <w:lang w:val="lt-LT"/>
        </w:rPr>
        <w:t>Metrick, A.,</w:t>
      </w:r>
      <w:r w:rsidRPr="00EC1AB2">
        <w:rPr>
          <w:color w:val="auto"/>
          <w:lang w:val="lt-LT"/>
        </w:rPr>
        <w:t xml:space="preserve"> Venture Capital and the Finance of Innovation. Hoboken: John Wiley&amp;Sons, 2007. </w:t>
      </w:r>
      <w:r w:rsidRPr="00EC1AB2">
        <w:rPr>
          <w:lang w:val="lt-LT"/>
        </w:rPr>
        <w:t>http://onlinelibrary.wiley.com/doi/10.1111/j.1467-629X.2010.00373.x/full [žiūrėta 2011 01 11].</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color w:val="000000"/>
          <w:sz w:val="24"/>
          <w:szCs w:val="24"/>
        </w:rPr>
        <w:t>Michelcci C., Suarez J.</w:t>
      </w:r>
      <w:r w:rsidRPr="00EC1AB2">
        <w:rPr>
          <w:rFonts w:ascii="Times New Roman" w:hAnsi="Times New Roman" w:cs="Times New Roman"/>
          <w:color w:val="000000"/>
          <w:sz w:val="24"/>
          <w:szCs w:val="24"/>
        </w:rPr>
        <w:t xml:space="preserve"> Business Creation and the Stock Market, 2002. http://papers.ssrn.com/sol3/papers.cfm?abstract_id=335925</w:t>
      </w:r>
    </w:p>
    <w:p w:rsidR="00E26097" w:rsidRPr="00EC1AB2" w:rsidRDefault="00E26097" w:rsidP="00E26097">
      <w:pPr>
        <w:pStyle w:val="ListParagraph"/>
        <w:numPr>
          <w:ilvl w:val="0"/>
          <w:numId w:val="15"/>
        </w:numPr>
        <w:spacing w:after="0" w:line="360" w:lineRule="auto"/>
        <w:ind w:left="714" w:hanging="357"/>
        <w:rPr>
          <w:rFonts w:ascii="Times New Roman" w:hAnsi="Times New Roman" w:cs="Times New Roman"/>
          <w:sz w:val="24"/>
          <w:szCs w:val="24"/>
        </w:rPr>
      </w:pPr>
      <w:r w:rsidRPr="00EC1AB2">
        <w:rPr>
          <w:rStyle w:val="Hyperlink"/>
          <w:rFonts w:ascii="Times New Roman" w:hAnsi="Times New Roman" w:cs="Times New Roman"/>
          <w:b/>
          <w:color w:val="auto"/>
          <w:sz w:val="24"/>
          <w:szCs w:val="24"/>
        </w:rPr>
        <w:t>Jakubavičius A.</w:t>
      </w:r>
      <w:r w:rsidRPr="00EC1AB2">
        <w:rPr>
          <w:rStyle w:val="Hyperlink"/>
          <w:rFonts w:ascii="Times New Roman" w:hAnsi="Times New Roman" w:cs="Times New Roman"/>
          <w:color w:val="auto"/>
          <w:sz w:val="24"/>
          <w:szCs w:val="24"/>
        </w:rPr>
        <w:t xml:space="preserve"> </w:t>
      </w:r>
      <w:r w:rsidRPr="00EC1AB2">
        <w:rPr>
          <w:rStyle w:val="Hyperlink"/>
          <w:rFonts w:ascii="Times New Roman" w:hAnsi="Times New Roman" w:cs="Times New Roman"/>
          <w:b/>
          <w:color w:val="auto"/>
          <w:sz w:val="24"/>
          <w:szCs w:val="24"/>
        </w:rPr>
        <w:t>ir kt</w:t>
      </w:r>
      <w:r w:rsidRPr="00EC1AB2">
        <w:rPr>
          <w:rStyle w:val="Hyperlink"/>
          <w:rFonts w:ascii="Times New Roman" w:hAnsi="Times New Roman" w:cs="Times New Roman"/>
          <w:color w:val="auto"/>
          <w:sz w:val="24"/>
          <w:szCs w:val="24"/>
        </w:rPr>
        <w:t xml:space="preserve">., Inovacijos versle: procesai, parama, tinklaveika, 2008. </w:t>
      </w:r>
      <w:r w:rsidRPr="00EC1AB2">
        <w:rPr>
          <w:rFonts w:ascii="Times New Roman" w:hAnsi="Times New Roman" w:cs="Times New Roman"/>
          <w:sz w:val="24"/>
          <w:szCs w:val="24"/>
        </w:rPr>
        <w:t>http://www.lic.lt/index.php?-38245907 [žiūrėta 2011 03 12]</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Pransky J.</w:t>
      </w:r>
      <w:r w:rsidRPr="00EC1AB2">
        <w:rPr>
          <w:rFonts w:ascii="Times New Roman" w:hAnsi="Times New Roman" w:cs="Times New Roman"/>
          <w:sz w:val="24"/>
          <w:szCs w:val="24"/>
        </w:rPr>
        <w:t xml:space="preserve"> US venture capital in robotics//Industrial Robot: An International Journal, 2008. </w:t>
      </w:r>
      <w:hyperlink r:id="rId44" w:history="1">
        <w:r w:rsidRPr="00EC1AB2">
          <w:rPr>
            <w:rStyle w:val="Hyperlink"/>
            <w:rFonts w:ascii="Times New Roman" w:hAnsi="Times New Roman" w:cs="Times New Roman"/>
            <w:color w:val="auto"/>
            <w:sz w:val="24"/>
            <w:szCs w:val="24"/>
          </w:rPr>
          <w:t>http://www.emeraldinsight.com/journals.htm?issn=0143-991X&amp;volume=35&amp;issue=3&amp;articlei-d=1722848&amp;</w:t>
        </w:r>
      </w:hyperlink>
      <w:r w:rsidRPr="00EC1AB2">
        <w:rPr>
          <w:rFonts w:ascii="Times New Roman" w:hAnsi="Times New Roman" w:cs="Times New Roman"/>
          <w:sz w:val="24"/>
          <w:szCs w:val="24"/>
        </w:rPr>
        <w:t xml:space="preserve"> [žiūrėta 2010 09 09].</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Pricewaterhousecoopers</w:t>
      </w:r>
      <w:r w:rsidRPr="00EC1AB2">
        <w:rPr>
          <w:rFonts w:ascii="Times New Roman" w:hAnsi="Times New Roman" w:cs="Times New Roman"/>
          <w:sz w:val="24"/>
          <w:szCs w:val="24"/>
        </w:rPr>
        <w:t>. The economy impact of private and venture capital in Italy, 2006.</w:t>
      </w:r>
    </w:p>
    <w:p w:rsidR="00E26097" w:rsidRPr="00EC1AB2" w:rsidRDefault="00E26097" w:rsidP="00E26097">
      <w:pPr>
        <w:spacing w:after="0" w:line="360" w:lineRule="auto"/>
        <w:ind w:left="720"/>
        <w:jc w:val="both"/>
        <w:rPr>
          <w:rFonts w:ascii="Times New Roman" w:eastAsia="+mn-ea" w:hAnsi="Times New Roman" w:cs="Times New Roman"/>
          <w:bCs/>
          <w:sz w:val="24"/>
          <w:szCs w:val="24"/>
        </w:rPr>
      </w:pPr>
      <w:r w:rsidRPr="00EC1AB2">
        <w:rPr>
          <w:rFonts w:ascii="Times New Roman" w:hAnsi="Times New Roman" w:cs="Times New Roman"/>
          <w:sz w:val="24"/>
          <w:szCs w:val="24"/>
        </w:rPr>
        <w:t xml:space="preserve">http://www.pwc.com/it/en/services/transactions/economic-impact-private-equity-venture-capital.jhtml </w:t>
      </w:r>
      <w:r w:rsidRPr="00EC1AB2">
        <w:rPr>
          <w:rFonts w:ascii="Times New Roman" w:eastAsia="+mn-ea" w:hAnsi="Times New Roman" w:cs="Times New Roman"/>
          <w:bCs/>
          <w:sz w:val="24"/>
          <w:szCs w:val="24"/>
        </w:rPr>
        <w:t xml:space="preserve"> [žiūrėta 2011 03 01]</w:t>
      </w:r>
    </w:p>
    <w:p w:rsidR="00E26097" w:rsidRPr="00EC1AB2" w:rsidRDefault="00E26097" w:rsidP="00E26097">
      <w:pPr>
        <w:pStyle w:val="ListParagraph"/>
        <w:numPr>
          <w:ilvl w:val="0"/>
          <w:numId w:val="15"/>
        </w:numPr>
        <w:spacing w:after="0" w:line="360" w:lineRule="auto"/>
        <w:jc w:val="both"/>
        <w:rPr>
          <w:rFonts w:ascii="Times New Roman" w:eastAsia="+mn-ea" w:hAnsi="Times New Roman" w:cs="Times New Roman"/>
          <w:bCs/>
          <w:sz w:val="24"/>
          <w:szCs w:val="24"/>
        </w:rPr>
      </w:pPr>
      <w:r w:rsidRPr="00EC1AB2">
        <w:rPr>
          <w:rFonts w:ascii="Times New Roman" w:eastAsia="+mn-ea" w:hAnsi="Times New Roman" w:cs="Times New Roman"/>
          <w:b/>
          <w:bCs/>
          <w:sz w:val="24"/>
          <w:szCs w:val="24"/>
        </w:rPr>
        <w:t>Raidla Lejins &amp; Norcous</w:t>
      </w:r>
      <w:r w:rsidR="00CC1E52" w:rsidRPr="00EC1AB2">
        <w:rPr>
          <w:rFonts w:ascii="Times New Roman" w:eastAsia="+mn-ea" w:hAnsi="Times New Roman" w:cs="Times New Roman"/>
          <w:bCs/>
          <w:sz w:val="24"/>
          <w:szCs w:val="24"/>
        </w:rPr>
        <w:t>, Pranešimas apie AIFV d</w:t>
      </w:r>
      <w:r w:rsidRPr="00EC1AB2">
        <w:rPr>
          <w:rFonts w:ascii="Times New Roman" w:eastAsia="+mn-ea" w:hAnsi="Times New Roman" w:cs="Times New Roman"/>
          <w:bCs/>
          <w:sz w:val="24"/>
          <w:szCs w:val="24"/>
        </w:rPr>
        <w:t xml:space="preserve">irektyvą, 2010. </w:t>
      </w:r>
      <w:r w:rsidRPr="00EC1AB2">
        <w:rPr>
          <w:rFonts w:ascii="Times New Roman" w:eastAsia="Times New Roman" w:hAnsi="Times New Roman" w:cs="Times New Roman"/>
          <w:iCs/>
          <w:color w:val="222222"/>
          <w:sz w:val="24"/>
          <w:szCs w:val="24"/>
          <w:lang w:eastAsia="lt-LT"/>
        </w:rPr>
        <w:t>www.balticvisiongroup.org/wp-content/.../Irmantas-Norkus-RLN.ppt [žiūrėta 2010 11 25]</w:t>
      </w:r>
    </w:p>
    <w:p w:rsidR="00E26097" w:rsidRPr="00EC1AB2" w:rsidRDefault="00E26097" w:rsidP="00E26097">
      <w:pPr>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Renneboog L., Simons T.</w:t>
      </w:r>
      <w:r w:rsidRPr="00EC1AB2">
        <w:rPr>
          <w:rFonts w:ascii="Times New Roman" w:hAnsi="Times New Roman" w:cs="Times New Roman"/>
          <w:sz w:val="24"/>
          <w:szCs w:val="24"/>
        </w:rPr>
        <w:t xml:space="preserve">, Public-to-private transactions: LBOs, MBOs, MBIs iand IBOs// No. 2005-98 </w:t>
      </w:r>
      <w:hyperlink r:id="rId45" w:history="1">
        <w:r w:rsidRPr="00EC1AB2">
          <w:rPr>
            <w:rStyle w:val="Hyperlink"/>
            <w:rFonts w:ascii="Times New Roman" w:hAnsi="Times New Roman" w:cs="Times New Roman"/>
            <w:color w:val="auto"/>
            <w:sz w:val="24"/>
            <w:szCs w:val="24"/>
          </w:rPr>
          <w:t>http://arno.uvt.nl/show.cgi?fid=53796</w:t>
        </w:r>
      </w:hyperlink>
      <w:r w:rsidRPr="00EC1AB2">
        <w:rPr>
          <w:rFonts w:ascii="Times New Roman" w:hAnsi="Times New Roman" w:cs="Times New Roman"/>
          <w:sz w:val="24"/>
          <w:szCs w:val="24"/>
        </w:rPr>
        <w:t xml:space="preserve"> [žiūrėta 2010 12 15]</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Rimas J.</w:t>
      </w:r>
      <w:r w:rsidRPr="00EC1AB2">
        <w:rPr>
          <w:rFonts w:ascii="Times New Roman" w:hAnsi="Times New Roman" w:cs="Times New Roman"/>
          <w:sz w:val="24"/>
          <w:szCs w:val="24"/>
        </w:rPr>
        <w:t xml:space="preserve"> Privataus kapitalo sandoriai: bendrovių teisės aspektai, 2010. – Vilnius: Vilniaus universitetas. [žiūrėta 2011 03 04]</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Romain A., Pottelsberghe B.Van.</w:t>
      </w:r>
      <w:r w:rsidRPr="00EC1AB2">
        <w:rPr>
          <w:rFonts w:ascii="Times New Roman" w:hAnsi="Times New Roman" w:cs="Times New Roman"/>
          <w:sz w:val="24"/>
          <w:szCs w:val="24"/>
          <w:lang w:eastAsia="lt-LT"/>
        </w:rPr>
        <w:t xml:space="preserve"> The Determinants of Venture Capital:Additional Evidence, 2004. http://www.bundesbank.de/download/volkswirtschaft/dkp/2004/200419</w:t>
      </w:r>
    </w:p>
    <w:p w:rsidR="00E26097" w:rsidRPr="00EC1AB2" w:rsidRDefault="00E26097" w:rsidP="00E26097">
      <w:pPr>
        <w:spacing w:after="0" w:line="360" w:lineRule="auto"/>
        <w:ind w:left="720"/>
        <w:jc w:val="both"/>
        <w:rPr>
          <w:rFonts w:ascii="Times New Roman" w:hAnsi="Times New Roman" w:cs="Times New Roman"/>
          <w:sz w:val="24"/>
          <w:szCs w:val="24"/>
        </w:rPr>
      </w:pPr>
      <w:r w:rsidRPr="00EC1AB2">
        <w:rPr>
          <w:rFonts w:ascii="Times New Roman" w:hAnsi="Times New Roman" w:cs="Times New Roman"/>
          <w:sz w:val="24"/>
          <w:szCs w:val="24"/>
          <w:lang w:eastAsia="lt-LT"/>
        </w:rPr>
        <w:t>dkp.pdf [žiūrėta 2011 05 16].</w:t>
      </w:r>
    </w:p>
    <w:p w:rsidR="00E26097" w:rsidRPr="00EC1AB2" w:rsidRDefault="00E26097" w:rsidP="00E26097">
      <w:pPr>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Romain A., Pottelsberghe B.Van. </w:t>
      </w:r>
      <w:r w:rsidRPr="00EC1AB2">
        <w:rPr>
          <w:rFonts w:ascii="Times New Roman" w:hAnsi="Times New Roman" w:cs="Times New Roman"/>
          <w:sz w:val="24"/>
          <w:szCs w:val="24"/>
        </w:rPr>
        <w:t>The economic impact of venture capital, 2003</w:t>
      </w:r>
    </w:p>
    <w:p w:rsidR="00E26097" w:rsidRPr="00EC1AB2" w:rsidRDefault="00E26097" w:rsidP="00E26097">
      <w:pPr>
        <w:spacing w:after="0" w:line="360" w:lineRule="auto"/>
        <w:ind w:left="720"/>
        <w:jc w:val="both"/>
        <w:rPr>
          <w:rFonts w:ascii="Times New Roman" w:hAnsi="Times New Roman" w:cs="Times New Roman"/>
          <w:sz w:val="24"/>
          <w:szCs w:val="24"/>
        </w:rPr>
      </w:pPr>
      <w:r w:rsidRPr="00EC1AB2">
        <w:rPr>
          <w:rFonts w:ascii="Times New Roman" w:hAnsi="Times New Roman" w:cs="Times New Roman"/>
          <w:sz w:val="24"/>
          <w:szCs w:val="24"/>
        </w:rPr>
        <w:t>http://ideas.repec.org/p/sol/wpaper/04-014.html [žiūrėta 2011 0510].</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Salary Comparison. </w:t>
      </w:r>
      <w:r w:rsidRPr="00EC1AB2">
        <w:rPr>
          <w:rFonts w:ascii="Times New Roman" w:hAnsi="Times New Roman" w:cs="Times New Roman"/>
          <w:sz w:val="24"/>
          <w:szCs w:val="24"/>
        </w:rPr>
        <w:t>http://www.eui.eu/ProgrammesAndFellowships/ AcademicCareers</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sz w:val="24"/>
          <w:szCs w:val="24"/>
        </w:rPr>
        <w:t>Observatory/CareerComparisons/SalaryComparisons.aspx#SalariesExperienceGender [žiūrėta 2012 02 28]</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lastRenderedPageBreak/>
        <w:t>Schertler, A.</w:t>
      </w:r>
      <w:r w:rsidRPr="00EC1AB2">
        <w:rPr>
          <w:rFonts w:ascii="Times New Roman" w:hAnsi="Times New Roman" w:cs="Times New Roman"/>
          <w:sz w:val="24"/>
          <w:szCs w:val="24"/>
        </w:rPr>
        <w:t xml:space="preserve">  Venture Capital Contracts: A Survey of the Recent Literature // Kiel Institute for the World Economy. – Kiel Working Paper No. 1017 , 2002. </w:t>
      </w:r>
      <w:hyperlink r:id="rId46" w:history="1">
        <w:r w:rsidRPr="00EC1AB2">
          <w:rPr>
            <w:rStyle w:val="Hyperlink"/>
            <w:rFonts w:ascii="Times New Roman" w:hAnsi="Times New Roman" w:cs="Times New Roman"/>
            <w:color w:val="auto"/>
            <w:sz w:val="24"/>
            <w:szCs w:val="24"/>
          </w:rPr>
          <w:t>http://www.ifw-members.ifw-kiel.de/publications/venture-capital-contracts-a-survey-of-the-recent-literature/kap1017.pdf</w:t>
        </w:r>
      </w:hyperlink>
      <w:r w:rsidRPr="00EC1AB2">
        <w:rPr>
          <w:rFonts w:ascii="Times New Roman" w:hAnsi="Times New Roman" w:cs="Times New Roman"/>
          <w:sz w:val="24"/>
          <w:szCs w:val="24"/>
        </w:rPr>
        <w:t xml:space="preserve"> [žiūrėta 2011 01 10]</w:t>
      </w:r>
    </w:p>
    <w:p w:rsidR="00E26097" w:rsidRPr="00EC1AB2" w:rsidRDefault="00E26097" w:rsidP="00E26097">
      <w:pPr>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Snieška V.</w:t>
      </w:r>
      <w:r w:rsidRPr="00EC1AB2">
        <w:rPr>
          <w:rFonts w:ascii="Times New Roman" w:hAnsi="Times New Roman" w:cs="Times New Roman"/>
          <w:sz w:val="24"/>
          <w:szCs w:val="24"/>
        </w:rPr>
        <w:t xml:space="preserve">, </w:t>
      </w:r>
      <w:r w:rsidRPr="00EC1AB2">
        <w:rPr>
          <w:rFonts w:ascii="Times New Roman" w:hAnsi="Times New Roman" w:cs="Times New Roman"/>
          <w:b/>
          <w:sz w:val="24"/>
          <w:szCs w:val="24"/>
        </w:rPr>
        <w:t>Venckuvienė V.,</w:t>
      </w:r>
      <w:r w:rsidRPr="00EC1AB2">
        <w:rPr>
          <w:rFonts w:ascii="Times New Roman" w:hAnsi="Times New Roman" w:cs="Times New Roman"/>
          <w:sz w:val="24"/>
          <w:szCs w:val="24"/>
        </w:rPr>
        <w:t xml:space="preserve"> Venture capital impact on the region‘s competitiveness, 2009.</w:t>
      </w:r>
    </w:p>
    <w:p w:rsidR="00E26097" w:rsidRPr="00EC1AB2" w:rsidRDefault="00E26097" w:rsidP="00E26097">
      <w:pPr>
        <w:autoSpaceDE w:val="0"/>
        <w:autoSpaceDN w:val="0"/>
        <w:adjustRightInd w:val="0"/>
        <w:spacing w:after="0" w:line="360" w:lineRule="auto"/>
        <w:ind w:left="360" w:firstLine="360"/>
        <w:jc w:val="both"/>
        <w:rPr>
          <w:rFonts w:ascii="Times New Roman" w:hAnsi="Times New Roman" w:cs="Times New Roman"/>
          <w:sz w:val="24"/>
          <w:szCs w:val="24"/>
        </w:rPr>
      </w:pPr>
      <w:r w:rsidRPr="00EC1AB2">
        <w:rPr>
          <w:rFonts w:ascii="Times New Roman" w:hAnsi="Times New Roman" w:cs="Times New Roman"/>
          <w:sz w:val="24"/>
          <w:szCs w:val="24"/>
        </w:rPr>
        <w:t xml:space="preserve">http://internet.ktu.lt/lt/mokslas/zurnalai/ekovad/ekovad14.html [žiūrėta 2011 03 18] </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Snieška V., Venckuvienė V.</w:t>
      </w:r>
      <w:r w:rsidRPr="00EC1AB2">
        <w:rPr>
          <w:rFonts w:ascii="Times New Roman" w:hAnsi="Times New Roman" w:cs="Times New Roman"/>
          <w:sz w:val="24"/>
          <w:szCs w:val="24"/>
        </w:rPr>
        <w:t>, Hybrid Venture Capital Funds in Lithuania: Motives, Factors and Present State of Development, 2011. http://www.inzeko.ktu.lt/index.php/EE/article</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/view/312 [žiūrėta 2011 03 23].</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bCs/>
          <w:sz w:val="24"/>
          <w:szCs w:val="24"/>
        </w:rPr>
        <w:t xml:space="preserve">Strategijos „Europa 2020“ pavyzdinė iniciatyva „Inovacijų sąjunga“ </w:t>
      </w:r>
      <w:r w:rsidRPr="00EC1AB2">
        <w:rPr>
          <w:rFonts w:ascii="Times New Roman" w:hAnsi="Times New Roman" w:cs="Times New Roman"/>
          <w:sz w:val="24"/>
          <w:szCs w:val="24"/>
        </w:rPr>
        <w:t>http://www.mita.lt/</w:t>
      </w:r>
    </w:p>
    <w:p w:rsidR="00E26097" w:rsidRPr="00EC1AB2" w:rsidRDefault="00E26097" w:rsidP="00E26097">
      <w:pPr>
        <w:pStyle w:val="ListParagraph"/>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t>uploads/documents/intelektine_nuosavybe/inovaciju_sajunga.pdf [žiūrėta 2012 01 24]</w:t>
      </w:r>
    </w:p>
    <w:p w:rsidR="00E26097" w:rsidRPr="00EC1AB2" w:rsidRDefault="00E26097" w:rsidP="00E26097">
      <w:pPr>
        <w:numPr>
          <w:ilvl w:val="0"/>
          <w:numId w:val="15"/>
        </w:numPr>
        <w:spacing w:after="0" w:line="360" w:lineRule="auto"/>
        <w:jc w:val="both"/>
        <w:rPr>
          <w:rFonts w:ascii="Times New Roman" w:hAnsi="Times New Roman" w:cs="Times New Roman"/>
          <w:b/>
          <w:sz w:val="24"/>
          <w:szCs w:val="24"/>
        </w:rPr>
      </w:pPr>
      <w:r w:rsidRPr="00EC1AB2">
        <w:rPr>
          <w:rFonts w:ascii="Times New Roman" w:hAnsi="Times New Roman" w:cs="Times New Roman"/>
          <w:b/>
          <w:sz w:val="24"/>
          <w:szCs w:val="24"/>
        </w:rPr>
        <w:t xml:space="preserve">Strazdas A. ir kt. </w:t>
      </w:r>
      <w:r w:rsidRPr="00EC1AB2">
        <w:rPr>
          <w:rFonts w:ascii="Times New Roman" w:hAnsi="Times New Roman" w:cs="Times New Roman"/>
          <w:sz w:val="24"/>
          <w:szCs w:val="24"/>
        </w:rPr>
        <w:t xml:space="preserve">Inovacijos, finansavimas, rizikos kapitalas. – Vilnius: Inovacijų centras, 2003. – 49 p. </w:t>
      </w:r>
      <w:hyperlink r:id="rId47" w:history="1">
        <w:r w:rsidRPr="00EC1AB2">
          <w:rPr>
            <w:rStyle w:val="Hyperlink"/>
            <w:rFonts w:ascii="Times New Roman" w:hAnsi="Times New Roman" w:cs="Times New Roman"/>
            <w:color w:val="auto"/>
            <w:sz w:val="24"/>
            <w:szCs w:val="24"/>
          </w:rPr>
          <w:t>http://www.inovacijos.lt/inopagalba/cms/65lt.pdf</w:t>
        </w:r>
      </w:hyperlink>
      <w:r w:rsidRPr="00EC1AB2">
        <w:rPr>
          <w:rFonts w:ascii="Times New Roman" w:hAnsi="Times New Roman" w:cs="Times New Roman"/>
          <w:sz w:val="24"/>
          <w:szCs w:val="24"/>
        </w:rPr>
        <w:t xml:space="preserve"> [žiūrėta 2010 09 05].</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EC1AB2">
        <w:rPr>
          <w:rFonts w:ascii="Times New Roman" w:hAnsi="Times New Roman" w:cs="Times New Roman"/>
          <w:b/>
          <w:bCs/>
          <w:sz w:val="24"/>
          <w:szCs w:val="24"/>
          <w:lang w:eastAsia="lt-LT"/>
        </w:rPr>
        <w:t xml:space="preserve">The Global Venture Capital and Private Equity Country Attractiveness Index 2011 annual. </w:t>
      </w:r>
      <w:r w:rsidRPr="00EC1AB2">
        <w:rPr>
          <w:rFonts w:ascii="Times New Roman" w:hAnsi="Times New Roman" w:cs="Times New Roman"/>
          <w:bCs/>
          <w:sz w:val="24"/>
          <w:szCs w:val="24"/>
          <w:lang w:eastAsia="lt-LT"/>
        </w:rPr>
        <w:t>http://blog.iese.edu/vcpeindex/the-2011-annual</w:t>
      </w:r>
      <w:r w:rsidRPr="00EC1AB2">
        <w:rPr>
          <w:rFonts w:ascii="Times New Roman" w:hAnsi="Times New Roman" w:cs="Times New Roman"/>
          <w:b/>
          <w:bCs/>
          <w:sz w:val="24"/>
          <w:szCs w:val="24"/>
          <w:lang w:eastAsia="lt-LT"/>
        </w:rPr>
        <w:t xml:space="preserve">/ </w:t>
      </w:r>
      <w:r w:rsidRPr="00EC1AB2">
        <w:rPr>
          <w:rFonts w:ascii="Times New Roman" w:hAnsi="Times New Roman" w:cs="Times New Roman"/>
          <w:bCs/>
          <w:sz w:val="24"/>
          <w:szCs w:val="24"/>
          <w:lang w:eastAsia="lt-LT"/>
        </w:rPr>
        <w:t>[žiūrėta 2012 03 02]</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bCs/>
          <w:sz w:val="24"/>
          <w:szCs w:val="24"/>
        </w:rPr>
        <w:t>Tolppanen A., Russel C.,</w:t>
      </w:r>
      <w:r w:rsidRPr="00EC1AB2">
        <w:rPr>
          <w:rFonts w:ascii="Times New Roman" w:hAnsi="Times New Roman" w:cs="Times New Roman"/>
          <w:bCs/>
          <w:sz w:val="24"/>
          <w:szCs w:val="24"/>
        </w:rPr>
        <w:t xml:space="preserve"> Survey of the Economic and Social Impact of Management Buyouts &amp; Buyins in Europe, 2002. </w:t>
      </w:r>
    </w:p>
    <w:p w:rsidR="00E26097" w:rsidRPr="00EC1AB2" w:rsidRDefault="00EC1AB2" w:rsidP="00E26097">
      <w:pPr>
        <w:pStyle w:val="ListParagraph"/>
        <w:spacing w:after="0" w:line="360" w:lineRule="auto"/>
        <w:jc w:val="both"/>
        <w:rPr>
          <w:rFonts w:ascii="Times New Roman" w:hAnsi="Times New Roman" w:cs="Times New Roman"/>
          <w:sz w:val="24"/>
          <w:szCs w:val="24"/>
        </w:rPr>
      </w:pPr>
      <w:hyperlink r:id="rId48" w:history="1">
        <w:r w:rsidR="00E26097" w:rsidRPr="00EC1AB2">
          <w:rPr>
            <w:rStyle w:val="Hyperlink"/>
            <w:rFonts w:ascii="Times New Roman" w:hAnsi="Times New Roman" w:cs="Times New Roman"/>
            <w:bCs/>
            <w:color w:val="auto"/>
            <w:sz w:val="24"/>
            <w:szCs w:val="24"/>
          </w:rPr>
          <w:t>http://www.evca.eu/uploadedFiles/Home/Knowledge_Center/EVCA_Research/Economical_Impact/EconomicImpactBuyouts.pdf</w:t>
        </w:r>
      </w:hyperlink>
      <w:r w:rsidR="00E26097" w:rsidRPr="00EC1AB2">
        <w:rPr>
          <w:rFonts w:ascii="Times New Roman" w:hAnsi="Times New Roman" w:cs="Times New Roman"/>
          <w:bCs/>
          <w:sz w:val="24"/>
          <w:szCs w:val="24"/>
        </w:rPr>
        <w:t xml:space="preserve"> </w:t>
      </w:r>
      <w:r w:rsidR="00E26097" w:rsidRPr="00EC1AB2">
        <w:rPr>
          <w:rFonts w:ascii="Times New Roman" w:hAnsi="Times New Roman" w:cs="Times New Roman"/>
          <w:sz w:val="24"/>
          <w:szCs w:val="24"/>
        </w:rPr>
        <w:t>[žiūrėta 2011 01 10]</w:t>
      </w:r>
    </w:p>
    <w:p w:rsidR="00E26097" w:rsidRPr="00EC1AB2" w:rsidRDefault="00E26097" w:rsidP="00E26097">
      <w:pPr>
        <w:pStyle w:val="ListParagraph"/>
        <w:numPr>
          <w:ilvl w:val="0"/>
          <w:numId w:val="15"/>
        </w:numPr>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Valentinavičius V.</w:t>
      </w:r>
      <w:r w:rsidRPr="00EC1AB2">
        <w:rPr>
          <w:rFonts w:ascii="Times New Roman" w:hAnsi="Times New Roman" w:cs="Times New Roman"/>
          <w:sz w:val="24"/>
          <w:szCs w:val="24"/>
        </w:rPr>
        <w:t>, Inovacinio verslo plėtra: problemos ir galimybės, 2006. http://www.leidykla.vu.lt/fileadmin/Ekonomika/74/Stasys_Valentinavicius..pdf [žiūrėta 2011 04 28]</w:t>
      </w:r>
    </w:p>
    <w:p w:rsidR="00E26097" w:rsidRPr="00EC1AB2" w:rsidRDefault="00E26097" w:rsidP="00E26097">
      <w:pPr>
        <w:pStyle w:val="Default"/>
        <w:numPr>
          <w:ilvl w:val="0"/>
          <w:numId w:val="15"/>
        </w:numPr>
        <w:spacing w:line="360" w:lineRule="auto"/>
        <w:jc w:val="both"/>
        <w:rPr>
          <w:color w:val="auto"/>
          <w:lang w:val="lt-LT"/>
        </w:rPr>
      </w:pPr>
      <w:r w:rsidRPr="00EC1AB2">
        <w:rPr>
          <w:b/>
          <w:color w:val="auto"/>
          <w:lang w:val="lt-LT"/>
        </w:rPr>
        <w:t>Van Sebroeck, H</w:t>
      </w:r>
      <w:r w:rsidRPr="00EC1AB2">
        <w:rPr>
          <w:color w:val="auto"/>
          <w:lang w:val="lt-LT"/>
        </w:rPr>
        <w:t xml:space="preserve">. The financing of innovation with venture capital. Federal Planning Bureau. – Brussels., 2002 </w:t>
      </w:r>
      <w:hyperlink r:id="rId49" w:history="1">
        <w:r w:rsidRPr="00EC1AB2">
          <w:rPr>
            <w:rStyle w:val="Hyperlink"/>
            <w:color w:val="auto"/>
            <w:lang w:val="lt-LT"/>
          </w:rPr>
          <w:t>http://www.plan.be/admin/uploaded/200605091448024.WP0009en.pdf</w:t>
        </w:r>
      </w:hyperlink>
      <w:r w:rsidRPr="00EC1AB2">
        <w:rPr>
          <w:color w:val="auto"/>
          <w:lang w:val="lt-LT"/>
        </w:rPr>
        <w:t xml:space="preserve"> [žiūrėta 2010 12 14]</w:t>
      </w:r>
    </w:p>
    <w:p w:rsidR="00E26097" w:rsidRPr="00EC1AB2" w:rsidRDefault="00E26097" w:rsidP="00E26097">
      <w:pPr>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Walker T., Pukthuanthong K</w:t>
      </w:r>
      <w:r w:rsidRPr="00EC1AB2">
        <w:rPr>
          <w:rFonts w:ascii="Times New Roman" w:hAnsi="Times New Roman" w:cs="Times New Roman"/>
          <w:sz w:val="24"/>
          <w:szCs w:val="24"/>
        </w:rPr>
        <w:t xml:space="preserve">. Venture capital in China: a culture shock for Western investors//Management Decision, 2007, Nr. 4. </w:t>
      </w:r>
      <w:hyperlink r:id="rId50" w:history="1">
        <w:r w:rsidRPr="00EC1AB2">
          <w:rPr>
            <w:rStyle w:val="Hyperlink"/>
            <w:rFonts w:ascii="Times New Roman" w:hAnsi="Times New Roman" w:cs="Times New Roman"/>
            <w:color w:val="auto"/>
            <w:sz w:val="24"/>
            <w:szCs w:val="24"/>
          </w:rPr>
          <w:t>http://www.emeraldinsight.com/journals.htm?issn=00251747&amp;volume=45&amp;issue =4&amp;articleid=1602964</w:t>
        </w:r>
      </w:hyperlink>
      <w:r w:rsidRPr="00EC1AB2">
        <w:rPr>
          <w:rFonts w:ascii="Times New Roman" w:hAnsi="Times New Roman" w:cs="Times New Roman"/>
          <w:sz w:val="24"/>
          <w:szCs w:val="24"/>
        </w:rPr>
        <w:t xml:space="preserve"> [žiūrėta 2010 09 11]</w:t>
      </w:r>
    </w:p>
    <w:p w:rsidR="00E26097" w:rsidRPr="00EC1AB2" w:rsidRDefault="00E26097" w:rsidP="00E26097">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b/>
          <w:sz w:val="24"/>
          <w:szCs w:val="24"/>
        </w:rPr>
        <w:t xml:space="preserve">World Competitiveness Report 2010-2011. </w:t>
      </w:r>
      <w:r w:rsidRPr="00EC1AB2">
        <w:rPr>
          <w:rFonts w:ascii="Times New Roman" w:hAnsi="Times New Roman" w:cs="Times New Roman"/>
          <w:sz w:val="24"/>
          <w:szCs w:val="24"/>
        </w:rPr>
        <w:t>http://www3.weforum.org/docs/WEF_GlobalCompetitivenessReport_2010-11.pdf [žiūrėta 2012 03 02]</w:t>
      </w:r>
    </w:p>
    <w:p w:rsidR="00244734" w:rsidRPr="00EC1AB2" w:rsidRDefault="00244734" w:rsidP="008F6FED">
      <w:pPr>
        <w:pStyle w:val="Heading1"/>
        <w:spacing w:before="0" w:after="0" w:line="360" w:lineRule="auto"/>
        <w:jc w:val="left"/>
        <w:rPr>
          <w:sz w:val="28"/>
          <w:szCs w:val="28"/>
        </w:rPr>
      </w:pPr>
    </w:p>
    <w:p w:rsidR="00BC57A1" w:rsidRPr="00EC1AB2" w:rsidRDefault="00244734" w:rsidP="005911F2">
      <w:pPr>
        <w:pStyle w:val="Heading1"/>
        <w:spacing w:before="0" w:after="0" w:line="360" w:lineRule="auto"/>
        <w:rPr>
          <w:sz w:val="28"/>
          <w:szCs w:val="28"/>
        </w:rPr>
      </w:pPr>
      <w:r w:rsidRPr="00EC1AB2">
        <w:rPr>
          <w:sz w:val="28"/>
          <w:szCs w:val="28"/>
        </w:rPr>
        <w:br w:type="page"/>
      </w:r>
      <w:bookmarkEnd w:id="212"/>
      <w:bookmarkEnd w:id="213"/>
      <w:bookmarkEnd w:id="214"/>
    </w:p>
    <w:p w:rsidR="00F027E4" w:rsidRPr="00EC1AB2" w:rsidRDefault="00F027E4" w:rsidP="007A02A8">
      <w:pPr>
        <w:tabs>
          <w:tab w:val="left" w:pos="0"/>
        </w:tabs>
        <w:spacing w:after="0" w:line="360" w:lineRule="auto"/>
        <w:ind w:right="28"/>
        <w:rPr>
          <w:rFonts w:ascii="Times New Roman" w:eastAsia="TimesNewRomanPSMT" w:hAnsi="Times New Roman" w:cs="Times New Roman"/>
          <w:sz w:val="24"/>
          <w:szCs w:val="24"/>
        </w:rPr>
      </w:pPr>
      <w:r w:rsidRPr="00EC1AB2">
        <w:rPr>
          <w:rFonts w:ascii="Times New Roman" w:eastAsia="TimesNewRomanPSMT" w:hAnsi="Times New Roman" w:cs="Times New Roman"/>
          <w:sz w:val="24"/>
          <w:szCs w:val="24"/>
        </w:rPr>
        <w:lastRenderedPageBreak/>
        <w:t>Šerkšnaitė A. Rizikos kapitalo fondų plėtros problemos Lietuvoje/ Finansų valdymo magistro baigiamasis darbas. Vadovė</w:t>
      </w:r>
      <w:r w:rsidRPr="00EC1AB2">
        <w:rPr>
          <w:rFonts w:ascii="Times New Roman" w:hAnsi="Times New Roman" w:cs="Times New Roman"/>
          <w:sz w:val="24"/>
          <w:szCs w:val="24"/>
        </w:rPr>
        <w:t xml:space="preserve">  prof. dr. I. Mačerinskienė – Vilnius: </w:t>
      </w:r>
      <w:r w:rsidRPr="00EC1AB2">
        <w:rPr>
          <w:rFonts w:ascii="Times New Roman" w:eastAsia="TimesNewRomanPSMT" w:hAnsi="Times New Roman" w:cs="Times New Roman"/>
          <w:sz w:val="24"/>
          <w:szCs w:val="24"/>
        </w:rPr>
        <w:t>Mykolo Romerio universitetas, Ekonomikos ir finansų</w:t>
      </w:r>
      <w:r w:rsidRPr="00EC1AB2">
        <w:rPr>
          <w:rFonts w:ascii="Times New Roman" w:hAnsi="Times New Roman" w:cs="Times New Roman"/>
          <w:sz w:val="24"/>
          <w:szCs w:val="24"/>
        </w:rPr>
        <w:t xml:space="preserve"> </w:t>
      </w:r>
      <w:r w:rsidRPr="00EC1AB2">
        <w:rPr>
          <w:rFonts w:ascii="Times New Roman" w:eastAsia="TimesNewRomanPSMT" w:hAnsi="Times New Roman" w:cs="Times New Roman"/>
          <w:sz w:val="24"/>
          <w:szCs w:val="24"/>
        </w:rPr>
        <w:t xml:space="preserve">valdymo fakultetas, 2012. </w:t>
      </w:r>
      <w:r w:rsidR="001734C8" w:rsidRPr="00EC1AB2">
        <w:rPr>
          <w:rFonts w:ascii="Times New Roman" w:eastAsia="TimesNewRomanPSMT" w:hAnsi="Times New Roman" w:cs="Times New Roman"/>
          <w:color w:val="0D0D0D" w:themeColor="text1" w:themeTint="F2"/>
          <w:sz w:val="24"/>
          <w:szCs w:val="24"/>
        </w:rPr>
        <w:t>–</w:t>
      </w:r>
      <w:r w:rsidRPr="00EC1AB2">
        <w:rPr>
          <w:rFonts w:ascii="Times New Roman" w:eastAsia="TimesNewRomanPSMT" w:hAnsi="Times New Roman" w:cs="Times New Roman"/>
          <w:color w:val="0D0D0D" w:themeColor="text1" w:themeTint="F2"/>
          <w:sz w:val="24"/>
          <w:szCs w:val="24"/>
        </w:rPr>
        <w:t xml:space="preserve"> </w:t>
      </w:r>
      <w:r w:rsidR="00D20A94" w:rsidRPr="00EC1AB2">
        <w:rPr>
          <w:rFonts w:ascii="Times New Roman" w:eastAsia="TimesNewRomanPSMT" w:hAnsi="Times New Roman" w:cs="Times New Roman"/>
          <w:color w:val="0D0D0D" w:themeColor="text1" w:themeTint="F2"/>
          <w:sz w:val="24"/>
          <w:szCs w:val="24"/>
        </w:rPr>
        <w:t>75</w:t>
      </w:r>
      <w:r w:rsidRPr="00EC1AB2">
        <w:rPr>
          <w:rFonts w:ascii="Times New Roman" w:eastAsia="TimesNewRomanPSMT" w:hAnsi="Times New Roman" w:cs="Times New Roman"/>
          <w:color w:val="0D0D0D" w:themeColor="text1" w:themeTint="F2"/>
          <w:sz w:val="24"/>
          <w:szCs w:val="24"/>
        </w:rPr>
        <w:t xml:space="preserve"> </w:t>
      </w:r>
      <w:r w:rsidRPr="00EC1AB2">
        <w:rPr>
          <w:rFonts w:ascii="Times New Roman" w:eastAsia="TimesNewRomanPSMT" w:hAnsi="Times New Roman" w:cs="Times New Roman"/>
          <w:sz w:val="24"/>
          <w:szCs w:val="24"/>
        </w:rPr>
        <w:t>p.</w:t>
      </w:r>
    </w:p>
    <w:p w:rsidR="00F027E4" w:rsidRPr="00EC1AB2" w:rsidRDefault="00F027E4" w:rsidP="007A02A8">
      <w:pPr>
        <w:autoSpaceDE w:val="0"/>
        <w:autoSpaceDN w:val="0"/>
        <w:adjustRightInd w:val="0"/>
        <w:spacing w:after="0" w:line="360" w:lineRule="auto"/>
        <w:rPr>
          <w:rFonts w:ascii="Times New Roman" w:eastAsia="TimesNewRomanPSMT" w:hAnsi="Times New Roman" w:cs="Times New Roman"/>
          <w:sz w:val="24"/>
          <w:szCs w:val="24"/>
        </w:rPr>
      </w:pPr>
    </w:p>
    <w:p w:rsidR="00F027E4" w:rsidRPr="00EC1AB2" w:rsidRDefault="00F027E4" w:rsidP="007A02A8">
      <w:pPr>
        <w:autoSpaceDE w:val="0"/>
        <w:autoSpaceDN w:val="0"/>
        <w:adjustRightInd w:val="0"/>
        <w:spacing w:after="0" w:line="360" w:lineRule="auto"/>
        <w:rPr>
          <w:rFonts w:ascii="Times New Roman" w:eastAsia="TimesNewRomanPSMT" w:hAnsi="Times New Roman" w:cs="Times New Roman"/>
          <w:sz w:val="24"/>
          <w:szCs w:val="24"/>
        </w:rPr>
      </w:pPr>
    </w:p>
    <w:p w:rsidR="00F027E4" w:rsidRPr="00EC1AB2" w:rsidRDefault="00F027E4" w:rsidP="00AF08F6">
      <w:pPr>
        <w:pStyle w:val="Heading1"/>
        <w:rPr>
          <w:rFonts w:eastAsia="TimesNewRomanPSMT"/>
          <w:sz w:val="28"/>
          <w:szCs w:val="28"/>
        </w:rPr>
      </w:pPr>
      <w:bookmarkStart w:id="215" w:name="_Toc321092708"/>
      <w:r w:rsidRPr="00EC1AB2">
        <w:rPr>
          <w:rFonts w:eastAsia="TimesNewRomanPSMT"/>
          <w:sz w:val="28"/>
          <w:szCs w:val="28"/>
        </w:rPr>
        <w:t>ANOTACIJA</w:t>
      </w:r>
      <w:bookmarkEnd w:id="215"/>
    </w:p>
    <w:p w:rsidR="00F027E4" w:rsidRPr="00EC1AB2" w:rsidRDefault="00F027E4" w:rsidP="007A02A8">
      <w:pPr>
        <w:autoSpaceDE w:val="0"/>
        <w:autoSpaceDN w:val="0"/>
        <w:adjustRightInd w:val="0"/>
        <w:spacing w:after="0" w:line="360" w:lineRule="auto"/>
        <w:rPr>
          <w:rFonts w:ascii="Times New Roman" w:eastAsia="TimesNewRomanPSMT" w:hAnsi="Times New Roman" w:cs="Times New Roman"/>
          <w:sz w:val="24"/>
          <w:szCs w:val="24"/>
        </w:rPr>
      </w:pPr>
    </w:p>
    <w:p w:rsidR="00F027E4" w:rsidRPr="00EC1AB2" w:rsidRDefault="00F027E4" w:rsidP="007A02A8">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sidRPr="00EC1AB2">
        <w:rPr>
          <w:rFonts w:ascii="Times New Roman" w:hAnsi="Times New Roman" w:cs="Times New Roman"/>
          <w:sz w:val="24"/>
          <w:szCs w:val="24"/>
        </w:rPr>
        <w:t>Magistro baigiamajame darbe išanalizuotas Lietuvos suminis inovatyvumo indeksas ir identifikuotos stipriosios bei silpnosios pusės inovacijų d</w:t>
      </w:r>
      <w:r w:rsidR="009435B8" w:rsidRPr="00EC1AB2">
        <w:rPr>
          <w:rFonts w:ascii="Times New Roman" w:hAnsi="Times New Roman" w:cs="Times New Roman"/>
          <w:sz w:val="24"/>
          <w:szCs w:val="24"/>
        </w:rPr>
        <w:t>iegimo srityje bei nustatyta rizikos kapitalo fondų</w:t>
      </w:r>
      <w:r w:rsidRPr="00EC1AB2">
        <w:rPr>
          <w:rFonts w:ascii="Times New Roman" w:hAnsi="Times New Roman" w:cs="Times New Roman"/>
          <w:sz w:val="24"/>
          <w:szCs w:val="24"/>
        </w:rPr>
        <w:t xml:space="preserve"> investicijų įtaką suminio inovatyvumo indekso sudedamosioms dalims; remiantis atlikto ekspertinio tyrimo rezultatais bei kitais indikatoriais, vertinančiais šalies patrauklumą rizikos kapitalo investicijoms, identifikuotos pagri</w:t>
      </w:r>
      <w:r w:rsidR="009435B8" w:rsidRPr="00EC1AB2">
        <w:rPr>
          <w:rFonts w:ascii="Times New Roman" w:hAnsi="Times New Roman" w:cs="Times New Roman"/>
          <w:sz w:val="24"/>
          <w:szCs w:val="24"/>
        </w:rPr>
        <w:t>ndinės problemos trukdančios rizikos kapitalo fondams</w:t>
      </w:r>
      <w:r w:rsidRPr="00EC1AB2">
        <w:rPr>
          <w:rFonts w:ascii="Times New Roman" w:hAnsi="Times New Roman" w:cs="Times New Roman"/>
          <w:sz w:val="24"/>
          <w:szCs w:val="24"/>
        </w:rPr>
        <w:t xml:space="preserve"> plėtotis Lietuvoje bei pateikiamos jų šalinimo gairės.</w:t>
      </w:r>
    </w:p>
    <w:p w:rsidR="00F027E4" w:rsidRPr="00EC1AB2" w:rsidRDefault="00F027E4" w:rsidP="007A02A8">
      <w:pPr>
        <w:autoSpaceDE w:val="0"/>
        <w:autoSpaceDN w:val="0"/>
        <w:adjustRightInd w:val="0"/>
        <w:spacing w:after="0" w:line="360" w:lineRule="auto"/>
        <w:ind w:firstLine="1296"/>
        <w:jc w:val="both"/>
        <w:rPr>
          <w:rFonts w:ascii="Times New Roman" w:hAnsi="Times New Roman" w:cs="Times New Roman"/>
          <w:sz w:val="24"/>
          <w:szCs w:val="24"/>
          <w:lang w:eastAsia="lt-LT"/>
        </w:rPr>
      </w:pPr>
      <w:r w:rsidRPr="00EC1AB2">
        <w:rPr>
          <w:rFonts w:ascii="Times New Roman" w:hAnsi="Times New Roman" w:cs="Times New Roman"/>
          <w:sz w:val="24"/>
          <w:szCs w:val="24"/>
          <w:lang w:eastAsia="lt-LT"/>
        </w:rPr>
        <w:t>P</w:t>
      </w:r>
      <w:r w:rsidR="009435B8" w:rsidRPr="00EC1AB2">
        <w:rPr>
          <w:rFonts w:ascii="Times New Roman" w:hAnsi="Times New Roman" w:cs="Times New Roman"/>
          <w:sz w:val="24"/>
          <w:szCs w:val="24"/>
          <w:lang w:eastAsia="lt-LT"/>
        </w:rPr>
        <w:t>irmame skyriuje analizuojami rizikos kapitalo fondų teoriniai aspektai (rizikos kapitalo fondų</w:t>
      </w:r>
      <w:r w:rsidRPr="00EC1AB2">
        <w:rPr>
          <w:rFonts w:ascii="Times New Roman" w:hAnsi="Times New Roman" w:cs="Times New Roman"/>
          <w:sz w:val="24"/>
          <w:szCs w:val="24"/>
          <w:lang w:eastAsia="lt-LT"/>
        </w:rPr>
        <w:t xml:space="preserve"> koncepcija, veiklos bruožai ir teisinis reglamentavimas, įtaka ekonomikai bei, remiantis įvairių autorių nuomone, </w:t>
      </w:r>
      <w:r w:rsidR="009435B8" w:rsidRPr="00EC1AB2">
        <w:rPr>
          <w:rFonts w:ascii="Times New Roman" w:hAnsi="Times New Roman" w:cs="Times New Roman"/>
          <w:sz w:val="24"/>
          <w:szCs w:val="24"/>
          <w:lang w:eastAsia="lt-LT"/>
        </w:rPr>
        <w:t>išskiriamos sąlygos, būtinos rizikos kapitalo fondų</w:t>
      </w:r>
      <w:r w:rsidRPr="00EC1AB2">
        <w:rPr>
          <w:rFonts w:ascii="Times New Roman" w:hAnsi="Times New Roman" w:cs="Times New Roman"/>
          <w:sz w:val="24"/>
          <w:szCs w:val="24"/>
          <w:lang w:eastAsia="lt-LT"/>
        </w:rPr>
        <w:t xml:space="preserve"> vystymuisi šalyje). Antrame skyriuje pateikiamas tyrimo pagrindimas, aprašoma tyrimo metodika ir nuoseklumas, suformuluojamos tyrimo hipotezės. Trečiame analizuojami Lietuvos rezultatai </w:t>
      </w:r>
      <w:r w:rsidR="009435B8" w:rsidRPr="00EC1AB2">
        <w:rPr>
          <w:rFonts w:ascii="Times New Roman" w:hAnsi="Times New Roman" w:cs="Times New Roman"/>
          <w:sz w:val="24"/>
          <w:szCs w:val="24"/>
          <w:lang w:eastAsia="lt-LT"/>
        </w:rPr>
        <w:t>diegiant inovacijas, atlikta rizikos kapitalo fondų</w:t>
      </w:r>
      <w:r w:rsidRPr="00EC1AB2">
        <w:rPr>
          <w:rFonts w:ascii="Times New Roman" w:hAnsi="Times New Roman" w:cs="Times New Roman"/>
          <w:sz w:val="24"/>
          <w:szCs w:val="24"/>
          <w:lang w:eastAsia="lt-LT"/>
        </w:rPr>
        <w:t xml:space="preserve"> investicijų ir suminio inovatyvumo indekso sudedamųjų dalių koreliacinė analizė, remiantis ekspertinio tyrimo rezultatais bei </w:t>
      </w:r>
      <w:r w:rsidRPr="00EC1AB2">
        <w:rPr>
          <w:rStyle w:val="st"/>
          <w:rFonts w:ascii="Times New Roman" w:hAnsi="Times New Roman" w:cs="Times New Roman"/>
          <w:sz w:val="24"/>
          <w:szCs w:val="24"/>
        </w:rPr>
        <w:t>European Private Equity and Venture Capital Association</w:t>
      </w:r>
      <w:r w:rsidR="00787F96" w:rsidRPr="00EC1AB2">
        <w:rPr>
          <w:rFonts w:ascii="Times New Roman" w:hAnsi="Times New Roman" w:cs="Times New Roman"/>
          <w:sz w:val="24"/>
          <w:szCs w:val="24"/>
          <w:lang w:eastAsia="lt-LT"/>
        </w:rPr>
        <w:t xml:space="preserve"> </w:t>
      </w:r>
      <w:r w:rsidRPr="00EC1AB2">
        <w:rPr>
          <w:rFonts w:ascii="Times New Roman" w:hAnsi="Times New Roman" w:cs="Times New Roman"/>
          <w:sz w:val="24"/>
          <w:szCs w:val="24"/>
          <w:lang w:eastAsia="lt-LT"/>
        </w:rPr>
        <w:t xml:space="preserve"> ataskaitos, kurioje vertinamos šalių teisinės ir mokestinės sąlygos RKF plėtrai bei </w:t>
      </w:r>
      <w:r w:rsidRPr="00EC1AB2">
        <w:rPr>
          <w:rFonts w:ascii="Times New Roman" w:hAnsi="Times New Roman" w:cs="Times New Roman"/>
          <w:bCs/>
          <w:sz w:val="24"/>
          <w:szCs w:val="24"/>
        </w:rPr>
        <w:t>The Global Venture Capital and Private Equity Country Attractiveness Index</w:t>
      </w:r>
      <w:r w:rsidRPr="00EC1AB2">
        <w:rPr>
          <w:rFonts w:ascii="Times New Roman" w:hAnsi="Times New Roman" w:cs="Times New Roman"/>
          <w:sz w:val="24"/>
          <w:szCs w:val="24"/>
        </w:rPr>
        <w:t xml:space="preserve"> analize, pa</w:t>
      </w:r>
      <w:r w:rsidR="0088581F" w:rsidRPr="00EC1AB2">
        <w:rPr>
          <w:rFonts w:ascii="Times New Roman" w:hAnsi="Times New Roman" w:cs="Times New Roman"/>
          <w:sz w:val="24"/>
          <w:szCs w:val="24"/>
        </w:rPr>
        <w:t xml:space="preserve">teikiama rizikos kapitalo fondų plėtros Lietuvoje SWOT </w:t>
      </w:r>
      <w:r w:rsidRPr="00EC1AB2">
        <w:rPr>
          <w:rFonts w:ascii="Times New Roman" w:hAnsi="Times New Roman" w:cs="Times New Roman"/>
          <w:sz w:val="24"/>
          <w:szCs w:val="24"/>
        </w:rPr>
        <w:t xml:space="preserve">analizė. </w:t>
      </w:r>
      <w:r w:rsidRPr="00EC1AB2">
        <w:rPr>
          <w:rFonts w:ascii="Times New Roman" w:hAnsi="Times New Roman" w:cs="Times New Roman"/>
          <w:sz w:val="24"/>
          <w:szCs w:val="24"/>
          <w:lang w:eastAsia="lt-LT"/>
        </w:rPr>
        <w:t>Pateikiamos išvados bei pasiūlymai.</w:t>
      </w:r>
    </w:p>
    <w:p w:rsidR="00F027E4" w:rsidRPr="00EC1AB2" w:rsidRDefault="00F027E4" w:rsidP="007A02A8">
      <w:pPr>
        <w:autoSpaceDE w:val="0"/>
        <w:autoSpaceDN w:val="0"/>
        <w:adjustRightInd w:val="0"/>
        <w:spacing w:after="0" w:line="360" w:lineRule="auto"/>
        <w:ind w:firstLine="1296"/>
        <w:jc w:val="both"/>
        <w:rPr>
          <w:rFonts w:ascii="Times New Roman" w:hAnsi="Times New Roman" w:cs="Times New Roman"/>
          <w:sz w:val="24"/>
          <w:szCs w:val="24"/>
          <w:lang w:eastAsia="lt-LT"/>
        </w:rPr>
      </w:pPr>
    </w:p>
    <w:p w:rsidR="00F027E4" w:rsidRPr="00EC1AB2" w:rsidRDefault="00F027E4" w:rsidP="007A02A8">
      <w:pPr>
        <w:autoSpaceDE w:val="0"/>
        <w:autoSpaceDN w:val="0"/>
        <w:adjustRightInd w:val="0"/>
        <w:spacing w:after="0" w:line="360" w:lineRule="auto"/>
        <w:ind w:firstLine="1296"/>
        <w:rPr>
          <w:rFonts w:ascii="Times New Roman" w:eastAsia="TimesNewRomanPSMT" w:hAnsi="Times New Roman" w:cs="Times New Roman"/>
          <w:sz w:val="24"/>
          <w:szCs w:val="24"/>
        </w:rPr>
      </w:pPr>
      <w:r w:rsidRPr="00EC1AB2">
        <w:rPr>
          <w:rFonts w:ascii="Times New Roman" w:hAnsi="Times New Roman" w:cs="Times New Roman"/>
          <w:sz w:val="24"/>
          <w:szCs w:val="24"/>
          <w:lang w:eastAsia="lt-LT"/>
        </w:rPr>
        <w:t>Raktiniai žodžiai: rizikos kapitalas, plėtra, suminis inovatyvumo indeksas</w:t>
      </w:r>
      <w:r w:rsidR="00CD4BBC" w:rsidRPr="00EC1AB2">
        <w:rPr>
          <w:rFonts w:ascii="Times New Roman" w:hAnsi="Times New Roman" w:cs="Times New Roman"/>
          <w:sz w:val="24"/>
          <w:szCs w:val="24"/>
          <w:lang w:eastAsia="lt-LT"/>
        </w:rPr>
        <w:t>.</w:t>
      </w:r>
    </w:p>
    <w:p w:rsidR="00157D87" w:rsidRPr="00EC1AB2" w:rsidRDefault="00157D87"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sz w:val="24"/>
          <w:szCs w:val="24"/>
        </w:rPr>
        <w:br w:type="page"/>
      </w:r>
    </w:p>
    <w:p w:rsidR="00AA65E2" w:rsidRPr="00EC1AB2" w:rsidRDefault="00AA65E2" w:rsidP="000541DE">
      <w:pPr>
        <w:tabs>
          <w:tab w:val="left" w:pos="0"/>
        </w:tabs>
        <w:spacing w:after="0" w:line="360" w:lineRule="auto"/>
        <w:ind w:right="28"/>
        <w:rPr>
          <w:rFonts w:ascii="Times New Roman" w:eastAsia="TimesNewRomanPSMT" w:hAnsi="Times New Roman" w:cs="Times New Roman"/>
          <w:sz w:val="24"/>
          <w:szCs w:val="24"/>
        </w:rPr>
      </w:pPr>
      <w:r w:rsidRPr="00EC1AB2">
        <w:rPr>
          <w:rFonts w:ascii="Times New Roman" w:eastAsia="TimesNewRomanPSMT" w:hAnsi="Times New Roman" w:cs="Times New Roman"/>
          <w:sz w:val="24"/>
          <w:szCs w:val="24"/>
        </w:rPr>
        <w:lastRenderedPageBreak/>
        <w:t xml:space="preserve">Šerkšnaitė A. </w:t>
      </w:r>
      <w:r w:rsidRPr="00EC1AB2">
        <w:rPr>
          <w:rStyle w:val="hps"/>
          <w:rFonts w:ascii="Times New Roman" w:hAnsi="Times New Roman" w:cs="Times New Roman"/>
          <w:sz w:val="24"/>
          <w:szCs w:val="24"/>
        </w:rPr>
        <w:t>The Development</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Problems of 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 xml:space="preserve">Capital Funds in Lithuania </w:t>
      </w:r>
      <w:r w:rsidRPr="00EC1AB2">
        <w:rPr>
          <w:rFonts w:ascii="Times New Roman" w:eastAsia="TimesNewRomanPSMT" w:hAnsi="Times New Roman" w:cs="Times New Roman"/>
          <w:sz w:val="24"/>
          <w:szCs w:val="24"/>
        </w:rPr>
        <w:t xml:space="preserve">/ </w:t>
      </w:r>
      <w:r w:rsidRPr="00EC1AB2">
        <w:rPr>
          <w:rStyle w:val="hps"/>
          <w:rFonts w:ascii="Times New Roman" w:hAnsi="Times New Roman" w:cs="Times New Roman"/>
          <w:sz w:val="24"/>
          <w:szCs w:val="24"/>
        </w:rPr>
        <w:t>Finance Management</w:t>
      </w:r>
      <w:r w:rsidRPr="00EC1AB2">
        <w:rPr>
          <w:rStyle w:val="shorttext"/>
          <w:rFonts w:ascii="Times New Roman" w:hAnsi="Times New Roman" w:cs="Times New Roman"/>
          <w:sz w:val="24"/>
          <w:szCs w:val="24"/>
        </w:rPr>
        <w:t xml:space="preserve"> </w:t>
      </w:r>
      <w:r w:rsidRPr="00EC1AB2">
        <w:rPr>
          <w:rStyle w:val="hps"/>
          <w:rFonts w:ascii="Times New Roman" w:hAnsi="Times New Roman" w:cs="Times New Roman"/>
          <w:sz w:val="24"/>
          <w:szCs w:val="24"/>
        </w:rPr>
        <w:t>Master's</w:t>
      </w:r>
      <w:r w:rsidRPr="00EC1AB2">
        <w:rPr>
          <w:rStyle w:val="shorttext"/>
          <w:rFonts w:ascii="Times New Roman" w:hAnsi="Times New Roman" w:cs="Times New Roman"/>
          <w:sz w:val="24"/>
          <w:szCs w:val="24"/>
        </w:rPr>
        <w:t xml:space="preserve"> </w:t>
      </w:r>
      <w:r w:rsidRPr="00EC1AB2">
        <w:rPr>
          <w:rStyle w:val="hps"/>
          <w:rFonts w:ascii="Times New Roman" w:hAnsi="Times New Roman" w:cs="Times New Roman"/>
          <w:sz w:val="24"/>
          <w:szCs w:val="24"/>
        </w:rPr>
        <w:t>thesis</w:t>
      </w:r>
      <w:r w:rsidRPr="00EC1AB2">
        <w:rPr>
          <w:rFonts w:ascii="Times New Roman" w:eastAsia="TimesNewRomanPSMT" w:hAnsi="Times New Roman" w:cs="Times New Roman"/>
          <w:sz w:val="24"/>
          <w:szCs w:val="24"/>
        </w:rPr>
        <w:t>. Supervisor</w:t>
      </w:r>
      <w:r w:rsidRPr="00EC1AB2">
        <w:rPr>
          <w:rFonts w:ascii="Times New Roman" w:hAnsi="Times New Roman" w:cs="Times New Roman"/>
          <w:sz w:val="24"/>
          <w:szCs w:val="24"/>
        </w:rPr>
        <w:t xml:space="preserve"> Prof. Dr. I. Mačerinskienė – Vilnius: </w:t>
      </w:r>
      <w:r w:rsidRPr="00EC1AB2">
        <w:rPr>
          <w:rFonts w:ascii="Times New Roman" w:eastAsia="TimesNewRomanPSMT" w:hAnsi="Times New Roman" w:cs="Times New Roman"/>
          <w:sz w:val="24"/>
          <w:szCs w:val="24"/>
        </w:rPr>
        <w:t xml:space="preserve">Mykolas Romeris University, </w:t>
      </w:r>
      <w:r w:rsidRPr="00EC1AB2">
        <w:rPr>
          <w:rStyle w:val="Emphasis"/>
          <w:rFonts w:ascii="Times New Roman" w:hAnsi="Times New Roman" w:cs="Times New Roman"/>
          <w:i w:val="0"/>
          <w:sz w:val="24"/>
          <w:szCs w:val="24"/>
        </w:rPr>
        <w:t>Faculty</w:t>
      </w:r>
      <w:r w:rsidRPr="00EC1AB2">
        <w:rPr>
          <w:rStyle w:val="st"/>
          <w:rFonts w:ascii="Times New Roman" w:hAnsi="Times New Roman" w:cs="Times New Roman"/>
          <w:sz w:val="24"/>
          <w:szCs w:val="24"/>
        </w:rPr>
        <w:t xml:space="preserve"> of</w:t>
      </w:r>
      <w:r w:rsidRPr="00EC1AB2">
        <w:rPr>
          <w:rStyle w:val="st"/>
          <w:rFonts w:ascii="Times New Roman" w:hAnsi="Times New Roman" w:cs="Times New Roman"/>
          <w:i/>
          <w:sz w:val="24"/>
          <w:szCs w:val="24"/>
        </w:rPr>
        <w:t xml:space="preserve"> </w:t>
      </w:r>
      <w:r w:rsidRPr="00EC1AB2">
        <w:rPr>
          <w:rStyle w:val="Emphasis"/>
          <w:rFonts w:ascii="Times New Roman" w:hAnsi="Times New Roman" w:cs="Times New Roman"/>
          <w:i w:val="0"/>
          <w:sz w:val="24"/>
          <w:szCs w:val="24"/>
        </w:rPr>
        <w:t>Economics</w:t>
      </w:r>
      <w:r w:rsidRPr="00EC1AB2">
        <w:rPr>
          <w:rStyle w:val="st"/>
          <w:rFonts w:ascii="Times New Roman" w:hAnsi="Times New Roman" w:cs="Times New Roman"/>
          <w:i/>
          <w:sz w:val="24"/>
          <w:szCs w:val="24"/>
        </w:rPr>
        <w:t xml:space="preserve"> </w:t>
      </w:r>
      <w:r w:rsidRPr="00EC1AB2">
        <w:rPr>
          <w:rStyle w:val="st"/>
          <w:rFonts w:ascii="Times New Roman" w:hAnsi="Times New Roman" w:cs="Times New Roman"/>
          <w:sz w:val="24"/>
          <w:szCs w:val="24"/>
        </w:rPr>
        <w:t>and</w:t>
      </w:r>
      <w:r w:rsidRPr="00EC1AB2">
        <w:rPr>
          <w:rStyle w:val="st"/>
          <w:rFonts w:ascii="Times New Roman" w:hAnsi="Times New Roman" w:cs="Times New Roman"/>
          <w:i/>
          <w:sz w:val="24"/>
          <w:szCs w:val="24"/>
        </w:rPr>
        <w:t xml:space="preserve"> </w:t>
      </w:r>
      <w:r w:rsidRPr="00EC1AB2">
        <w:rPr>
          <w:rStyle w:val="Emphasis"/>
          <w:rFonts w:ascii="Times New Roman" w:hAnsi="Times New Roman" w:cs="Times New Roman"/>
          <w:i w:val="0"/>
          <w:sz w:val="24"/>
          <w:szCs w:val="24"/>
        </w:rPr>
        <w:t>Finance Management</w:t>
      </w:r>
      <w:r w:rsidRPr="00EC1AB2">
        <w:rPr>
          <w:rFonts w:ascii="Times New Roman" w:eastAsia="TimesNewRomanPSMT" w:hAnsi="Times New Roman" w:cs="Times New Roman"/>
          <w:sz w:val="24"/>
          <w:szCs w:val="24"/>
        </w:rPr>
        <w:t xml:space="preserve">, 2012. - </w:t>
      </w:r>
      <w:r w:rsidR="00820713" w:rsidRPr="00EC1AB2">
        <w:rPr>
          <w:rFonts w:ascii="Times New Roman" w:eastAsia="TimesNewRomanPSMT" w:hAnsi="Times New Roman" w:cs="Times New Roman"/>
          <w:sz w:val="24"/>
          <w:szCs w:val="24"/>
        </w:rPr>
        <w:t>p</w:t>
      </w:r>
      <w:r w:rsidR="00D20A94" w:rsidRPr="00EC1AB2">
        <w:rPr>
          <w:rFonts w:ascii="Times New Roman" w:eastAsia="TimesNewRomanPSMT" w:hAnsi="Times New Roman" w:cs="Times New Roman"/>
          <w:sz w:val="24"/>
          <w:szCs w:val="24"/>
        </w:rPr>
        <w:t>. 7</w:t>
      </w:r>
      <w:r w:rsidR="00215390" w:rsidRPr="00EC1AB2">
        <w:rPr>
          <w:rFonts w:ascii="Times New Roman" w:eastAsia="TimesNewRomanPSMT" w:hAnsi="Times New Roman" w:cs="Times New Roman"/>
          <w:sz w:val="24"/>
          <w:szCs w:val="24"/>
        </w:rPr>
        <w:t>5</w:t>
      </w:r>
    </w:p>
    <w:p w:rsidR="000541DE" w:rsidRPr="00EC1AB2" w:rsidRDefault="000541DE" w:rsidP="000541DE">
      <w:pPr>
        <w:tabs>
          <w:tab w:val="left" w:pos="0"/>
        </w:tabs>
        <w:spacing w:after="0" w:line="360" w:lineRule="auto"/>
        <w:ind w:right="28"/>
        <w:rPr>
          <w:rFonts w:ascii="Times New Roman" w:eastAsia="TimesNewRomanPSMT" w:hAnsi="Times New Roman" w:cs="Times New Roman"/>
          <w:sz w:val="24"/>
          <w:szCs w:val="24"/>
        </w:rPr>
      </w:pPr>
    </w:p>
    <w:p w:rsidR="00AA65E2" w:rsidRPr="00EC1AB2" w:rsidRDefault="00AA65E2" w:rsidP="00AA65E2">
      <w:pPr>
        <w:autoSpaceDE w:val="0"/>
        <w:autoSpaceDN w:val="0"/>
        <w:adjustRightInd w:val="0"/>
        <w:spacing w:after="0" w:line="240" w:lineRule="auto"/>
        <w:rPr>
          <w:rFonts w:ascii="Times New Roman" w:eastAsia="TimesNewRomanPSMT" w:hAnsi="Times New Roman" w:cs="Times New Roman"/>
          <w:sz w:val="24"/>
          <w:szCs w:val="24"/>
        </w:rPr>
      </w:pPr>
    </w:p>
    <w:p w:rsidR="00AA65E2" w:rsidRPr="00EC1AB2" w:rsidRDefault="00AA65E2" w:rsidP="00AF08F6">
      <w:pPr>
        <w:pStyle w:val="Heading1"/>
        <w:rPr>
          <w:rFonts w:eastAsia="TimesNewRomanPSMT"/>
          <w:sz w:val="28"/>
          <w:szCs w:val="28"/>
        </w:rPr>
      </w:pPr>
      <w:bookmarkStart w:id="216" w:name="_Toc321092709"/>
      <w:r w:rsidRPr="00EC1AB2">
        <w:rPr>
          <w:rFonts w:eastAsia="TimesNewRomanPSMT"/>
          <w:sz w:val="28"/>
          <w:szCs w:val="28"/>
        </w:rPr>
        <w:t>ANNOTATION</w:t>
      </w:r>
      <w:bookmarkEnd w:id="216"/>
      <w:r w:rsidRPr="00EC1AB2">
        <w:rPr>
          <w:rFonts w:eastAsia="TimesNewRomanPSMT"/>
          <w:sz w:val="28"/>
          <w:szCs w:val="28"/>
        </w:rPr>
        <w:t xml:space="preserve"> </w:t>
      </w:r>
    </w:p>
    <w:p w:rsidR="00AA65E2" w:rsidRPr="00EC1AB2" w:rsidRDefault="00AA65E2" w:rsidP="00AA65E2">
      <w:pPr>
        <w:autoSpaceDE w:val="0"/>
        <w:autoSpaceDN w:val="0"/>
        <w:adjustRightInd w:val="0"/>
        <w:spacing w:after="0" w:line="240" w:lineRule="auto"/>
        <w:rPr>
          <w:rFonts w:ascii="Times New Roman" w:eastAsia="TimesNewRomanPSMT" w:hAnsi="Times New Roman" w:cs="Times New Roman"/>
          <w:sz w:val="24"/>
          <w:szCs w:val="24"/>
        </w:rPr>
      </w:pPr>
    </w:p>
    <w:p w:rsidR="00AA65E2" w:rsidRPr="00EC1AB2" w:rsidRDefault="00AA65E2" w:rsidP="00AA65E2">
      <w:pPr>
        <w:autoSpaceDE w:val="0"/>
        <w:autoSpaceDN w:val="0"/>
        <w:adjustRightInd w:val="0"/>
        <w:spacing w:after="0" w:line="240" w:lineRule="auto"/>
        <w:rPr>
          <w:rFonts w:ascii="Times New Roman" w:eastAsia="TimesNewRomanPSMT" w:hAnsi="Times New Roman" w:cs="Times New Roman"/>
          <w:sz w:val="24"/>
          <w:szCs w:val="24"/>
        </w:rPr>
      </w:pPr>
    </w:p>
    <w:p w:rsidR="00AA65E2" w:rsidRPr="00EC1AB2" w:rsidRDefault="00AA65E2" w:rsidP="00AA65E2">
      <w:pPr>
        <w:autoSpaceDE w:val="0"/>
        <w:autoSpaceDN w:val="0"/>
        <w:adjustRightInd w:val="0"/>
        <w:spacing w:after="0" w:line="240" w:lineRule="auto"/>
        <w:rPr>
          <w:rFonts w:ascii="Times New Roman" w:eastAsia="TimesNewRomanPSMT" w:hAnsi="Times New Roman" w:cs="Times New Roman"/>
          <w:sz w:val="24"/>
          <w:szCs w:val="24"/>
        </w:rPr>
      </w:pPr>
    </w:p>
    <w:p w:rsidR="00AA65E2" w:rsidRPr="00EC1AB2" w:rsidRDefault="00AA65E2" w:rsidP="00AA65E2">
      <w:pPr>
        <w:autoSpaceDE w:val="0"/>
        <w:autoSpaceDN w:val="0"/>
        <w:adjustRightInd w:val="0"/>
        <w:spacing w:after="0" w:line="360" w:lineRule="auto"/>
        <w:ind w:firstLine="1296"/>
        <w:jc w:val="both"/>
        <w:rPr>
          <w:rStyle w:val="hps"/>
          <w:rFonts w:ascii="Times New Roman" w:hAnsi="Times New Roman" w:cs="Times New Roman"/>
        </w:rPr>
      </w:pPr>
      <w:r w:rsidRPr="00EC1AB2">
        <w:rPr>
          <w:rStyle w:val="hps"/>
          <w:rFonts w:ascii="Times New Roman" w:hAnsi="Times New Roman" w:cs="Times New Roman"/>
          <w:sz w:val="24"/>
          <w:szCs w:val="24"/>
        </w:rPr>
        <w:t>In Master’s thesis Lithuanian</w:t>
      </w:r>
      <w:r w:rsidRPr="00EC1AB2">
        <w:rPr>
          <w:rFonts w:ascii="Times New Roman" w:hAnsi="Times New Roman" w:cs="Times New Roman"/>
          <w:sz w:val="24"/>
          <w:szCs w:val="24"/>
        </w:rPr>
        <w:t xml:space="preserve"> </w:t>
      </w:r>
      <w:r w:rsidRPr="00EC1AB2">
        <w:rPr>
          <w:rFonts w:ascii="Times New Roman" w:hAnsi="Times New Roman" w:cs="Times New Roman"/>
          <w:sz w:val="24"/>
          <w:szCs w:val="24"/>
          <w:lang w:eastAsia="lt-LT"/>
        </w:rPr>
        <w:t xml:space="preserve">innovation scoreboard </w:t>
      </w:r>
      <w:r w:rsidRPr="00EC1AB2">
        <w:rPr>
          <w:rStyle w:val="hps"/>
          <w:rFonts w:ascii="Times New Roman" w:hAnsi="Times New Roman" w:cs="Times New Roman"/>
          <w:sz w:val="24"/>
          <w:szCs w:val="24"/>
        </w:rPr>
        <w:t>is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analyzed 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strengths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weaknesses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identified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 the field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innovation</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investment impact on</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constituents</w:t>
      </w:r>
      <w:r w:rsidRPr="00EC1AB2">
        <w:rPr>
          <w:rFonts w:ascii="Times New Roman" w:hAnsi="Times New Roman" w:cs="Times New Roman"/>
          <w:sz w:val="24"/>
          <w:szCs w:val="24"/>
        </w:rPr>
        <w:t xml:space="preserve"> of </w:t>
      </w:r>
      <w:r w:rsidRPr="00EC1AB2">
        <w:rPr>
          <w:rFonts w:ascii="Times New Roman" w:hAnsi="Times New Roman" w:cs="Times New Roman"/>
          <w:sz w:val="24"/>
          <w:szCs w:val="24"/>
          <w:lang w:eastAsia="lt-LT"/>
        </w:rPr>
        <w:t xml:space="preserve">innovation scoreboard </w:t>
      </w:r>
      <w:r w:rsidRPr="00EC1AB2">
        <w:rPr>
          <w:rStyle w:val="hps"/>
          <w:rFonts w:ascii="Times New Roman" w:hAnsi="Times New Roman" w:cs="Times New Roman"/>
          <w:sz w:val="24"/>
          <w:szCs w:val="24"/>
        </w:rPr>
        <w:t>is defined; referring to 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expert</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survey</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results 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other</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indicators for</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assessing 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attractiveness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country's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venture capital investments,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main problems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affecting 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development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 Lithuania</w:t>
      </w:r>
      <w:r w:rsidRPr="00EC1AB2">
        <w:rPr>
          <w:rFonts w:ascii="Times New Roman" w:hAnsi="Times New Roman" w:cs="Times New Roman"/>
          <w:sz w:val="24"/>
          <w:szCs w:val="24"/>
        </w:rPr>
        <w:t xml:space="preserve">  are </w:t>
      </w:r>
      <w:r w:rsidRPr="00EC1AB2">
        <w:rPr>
          <w:rStyle w:val="hps"/>
          <w:rFonts w:ascii="Times New Roman" w:hAnsi="Times New Roman" w:cs="Times New Roman"/>
          <w:sz w:val="24"/>
          <w:szCs w:val="24"/>
        </w:rPr>
        <w:t>identified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guidelines for</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their elimination  are provided.</w:t>
      </w:r>
      <w:r w:rsidRPr="00EC1AB2">
        <w:rPr>
          <w:rFonts w:ascii="Times New Roman" w:hAnsi="Times New Roman" w:cs="Times New Roman"/>
          <w:sz w:val="24"/>
          <w:szCs w:val="24"/>
        </w:rPr>
        <w:t xml:space="preserve"> </w:t>
      </w:r>
    </w:p>
    <w:p w:rsidR="00AA65E2" w:rsidRPr="00EC1AB2" w:rsidRDefault="00AA65E2" w:rsidP="00AA65E2">
      <w:pPr>
        <w:spacing w:line="360" w:lineRule="auto"/>
        <w:jc w:val="both"/>
        <w:rPr>
          <w:rFonts w:ascii="Times New Roman" w:hAnsi="Times New Roman" w:cs="Times New Roman"/>
        </w:rPr>
      </w:pPr>
      <w:r w:rsidRPr="00EC1AB2">
        <w:rPr>
          <w:rStyle w:val="hps"/>
          <w:rFonts w:ascii="Times New Roman" w:hAnsi="Times New Roman" w:cs="Times New Roman"/>
          <w:sz w:val="24"/>
          <w:szCs w:val="24"/>
        </w:rPr>
        <w:tab/>
        <w:t xml:space="preserve">Theoretical aspects of Venture Capital Funds are analyzes in the first chapter (the concept of Venture Capital Funds, operational features are the legal regulation, impact on the economy and according to different authors, the conditions necessary for the development of Venture Capital Funds in the country are distinguished). Justification of the study is provided, research methodology and consistency are described and the research hypotheses are formulated in the second chapter. In the third chapter the results of Lithuania when implementing innovations are analyzed, correlation analysis of Venture Capital Funds investment and innovation scoreboard constituents was performed, based on the expert survey results and report of European Private Equity and Venture Capital Association where the legal and fiscal conditions of the countries for the development of Venture Capital Funds are evaluated and the analysis of The Global Venture Capital and Private Equity Country Attractiveness Index, the SWOT analysis of venture capital </w:t>
      </w:r>
      <w:r w:rsidR="0088581F" w:rsidRPr="00EC1AB2">
        <w:rPr>
          <w:rStyle w:val="hps"/>
          <w:rFonts w:ascii="Times New Roman" w:hAnsi="Times New Roman" w:cs="Times New Roman"/>
          <w:sz w:val="24"/>
          <w:szCs w:val="24"/>
        </w:rPr>
        <w:t xml:space="preserve">funds </w:t>
      </w:r>
      <w:r w:rsidRPr="00EC1AB2">
        <w:rPr>
          <w:rStyle w:val="hps"/>
          <w:rFonts w:ascii="Times New Roman" w:hAnsi="Times New Roman" w:cs="Times New Roman"/>
          <w:sz w:val="24"/>
          <w:szCs w:val="24"/>
        </w:rPr>
        <w:t xml:space="preserve">in Lithuania is presented. The conclusions and recommendations are provided. </w:t>
      </w:r>
    </w:p>
    <w:p w:rsidR="00AA65E2" w:rsidRPr="00EC1AB2" w:rsidRDefault="00AA65E2" w:rsidP="00AA65E2">
      <w:pPr>
        <w:autoSpaceDE w:val="0"/>
        <w:autoSpaceDN w:val="0"/>
        <w:adjustRightInd w:val="0"/>
        <w:spacing w:after="0" w:line="360" w:lineRule="auto"/>
        <w:ind w:firstLine="1296"/>
        <w:jc w:val="both"/>
        <w:rPr>
          <w:rFonts w:ascii="Times New Roman" w:hAnsi="Times New Roman" w:cs="Times New Roman"/>
          <w:sz w:val="24"/>
          <w:szCs w:val="24"/>
          <w:lang w:eastAsia="lt-LT"/>
        </w:rPr>
      </w:pPr>
    </w:p>
    <w:p w:rsidR="00BC57A1" w:rsidRPr="00EC1AB2" w:rsidRDefault="00AA65E2" w:rsidP="00C73F43">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sz w:val="24"/>
          <w:szCs w:val="24"/>
          <w:lang w:eastAsia="lt-LT"/>
        </w:rPr>
        <w:t>Key words: venture capital, development, innovation scoreboard</w:t>
      </w:r>
    </w:p>
    <w:p w:rsidR="00157D87" w:rsidRPr="00EC1AB2" w:rsidRDefault="00157D87" w:rsidP="007A02A8">
      <w:pPr>
        <w:spacing w:after="0" w:line="360" w:lineRule="auto"/>
        <w:rPr>
          <w:rFonts w:ascii="Times New Roman" w:hAnsi="Times New Roman" w:cs="Times New Roman"/>
          <w:lang w:eastAsia="x-none"/>
        </w:rPr>
      </w:pPr>
      <w:r w:rsidRPr="00EC1AB2">
        <w:rPr>
          <w:rFonts w:ascii="Times New Roman" w:hAnsi="Times New Roman" w:cs="Times New Roman"/>
          <w:lang w:eastAsia="x-none"/>
        </w:rPr>
        <w:br w:type="page"/>
      </w:r>
    </w:p>
    <w:p w:rsidR="00034424" w:rsidRPr="00EC1AB2" w:rsidRDefault="00034424" w:rsidP="007A02A8">
      <w:pPr>
        <w:pStyle w:val="Heading1"/>
        <w:spacing w:before="0" w:after="0" w:line="360" w:lineRule="auto"/>
        <w:jc w:val="both"/>
        <w:rPr>
          <w:rFonts w:eastAsia="TimesNewRomanPSMT"/>
          <w:b w:val="0"/>
          <w:sz w:val="24"/>
          <w:szCs w:val="24"/>
        </w:rPr>
      </w:pPr>
      <w:bookmarkStart w:id="217" w:name="_Toc320759780"/>
      <w:bookmarkStart w:id="218" w:name="_Toc320761777"/>
      <w:bookmarkStart w:id="219" w:name="_Toc320761946"/>
      <w:bookmarkStart w:id="220" w:name="_Toc320762181"/>
      <w:bookmarkStart w:id="221" w:name="_Toc320762584"/>
      <w:bookmarkStart w:id="222" w:name="_Toc321092710"/>
      <w:r w:rsidRPr="00EC1AB2">
        <w:rPr>
          <w:rFonts w:eastAsia="TimesNewRomanPSMT"/>
          <w:b w:val="0"/>
          <w:sz w:val="24"/>
          <w:szCs w:val="24"/>
        </w:rPr>
        <w:lastRenderedPageBreak/>
        <w:t>Šerkšnaitė A. Rizikos kapitalo fondų plėtros problemos Lietuvoje/ Finansų valdymo magistro baigiamasis darbas. Vadovė</w:t>
      </w:r>
      <w:r w:rsidRPr="00EC1AB2">
        <w:rPr>
          <w:b w:val="0"/>
          <w:sz w:val="24"/>
          <w:szCs w:val="24"/>
        </w:rPr>
        <w:t xml:space="preserve">  prof. dr. I. Mačerinskienė – Vilnius: </w:t>
      </w:r>
      <w:r w:rsidRPr="00EC1AB2">
        <w:rPr>
          <w:rFonts w:eastAsia="TimesNewRomanPSMT"/>
          <w:b w:val="0"/>
          <w:sz w:val="24"/>
          <w:szCs w:val="24"/>
        </w:rPr>
        <w:t>Mykolo Romerio universitetas, Ekonomikos ir finansų</w:t>
      </w:r>
      <w:r w:rsidRPr="00EC1AB2">
        <w:rPr>
          <w:b w:val="0"/>
          <w:sz w:val="24"/>
          <w:szCs w:val="24"/>
        </w:rPr>
        <w:t xml:space="preserve"> </w:t>
      </w:r>
      <w:r w:rsidRPr="00EC1AB2">
        <w:rPr>
          <w:rFonts w:eastAsia="TimesNewRomanPSMT"/>
          <w:b w:val="0"/>
          <w:sz w:val="24"/>
          <w:szCs w:val="24"/>
        </w:rPr>
        <w:t xml:space="preserve">valdymo fakultetas, 2012. - </w:t>
      </w:r>
      <w:r w:rsidR="00D20A94" w:rsidRPr="00EC1AB2">
        <w:rPr>
          <w:rFonts w:eastAsia="TimesNewRomanPSMT"/>
          <w:b w:val="0"/>
          <w:sz w:val="24"/>
          <w:szCs w:val="24"/>
        </w:rPr>
        <w:t>7</w:t>
      </w:r>
      <w:r w:rsidR="00215390" w:rsidRPr="00EC1AB2">
        <w:rPr>
          <w:rFonts w:eastAsia="TimesNewRomanPSMT"/>
          <w:b w:val="0"/>
          <w:sz w:val="24"/>
          <w:szCs w:val="24"/>
        </w:rPr>
        <w:t>5</w:t>
      </w:r>
      <w:r w:rsidRPr="00EC1AB2">
        <w:rPr>
          <w:rFonts w:eastAsia="TimesNewRomanPSMT"/>
          <w:b w:val="0"/>
          <w:sz w:val="24"/>
          <w:szCs w:val="24"/>
        </w:rPr>
        <w:t xml:space="preserve"> p.</w:t>
      </w:r>
      <w:bookmarkEnd w:id="217"/>
      <w:bookmarkEnd w:id="218"/>
      <w:bookmarkEnd w:id="219"/>
      <w:bookmarkEnd w:id="220"/>
      <w:bookmarkEnd w:id="221"/>
      <w:bookmarkEnd w:id="222"/>
    </w:p>
    <w:p w:rsidR="00034424" w:rsidRPr="00EC1AB2" w:rsidRDefault="00034424" w:rsidP="007A02A8">
      <w:pPr>
        <w:tabs>
          <w:tab w:val="left" w:pos="0"/>
        </w:tabs>
        <w:spacing w:after="0" w:line="360" w:lineRule="auto"/>
        <w:ind w:right="28"/>
        <w:rPr>
          <w:rFonts w:ascii="Times New Roman" w:eastAsia="TimesNewRomanPSMT" w:hAnsi="Times New Roman" w:cs="Times New Roman"/>
          <w:sz w:val="24"/>
          <w:szCs w:val="24"/>
        </w:rPr>
      </w:pPr>
    </w:p>
    <w:p w:rsidR="00034424" w:rsidRPr="00EC1AB2" w:rsidRDefault="00034424" w:rsidP="007A02A8">
      <w:pPr>
        <w:tabs>
          <w:tab w:val="left" w:pos="0"/>
        </w:tabs>
        <w:spacing w:after="0" w:line="360" w:lineRule="auto"/>
        <w:ind w:right="28"/>
        <w:rPr>
          <w:rFonts w:ascii="Times New Roman" w:eastAsia="TimesNewRomanPSMT" w:hAnsi="Times New Roman" w:cs="Times New Roman"/>
          <w:sz w:val="24"/>
          <w:szCs w:val="24"/>
        </w:rPr>
      </w:pPr>
    </w:p>
    <w:p w:rsidR="00034424" w:rsidRPr="00EC1AB2" w:rsidRDefault="00034424" w:rsidP="00AF08F6">
      <w:pPr>
        <w:pStyle w:val="Heading1"/>
        <w:rPr>
          <w:rFonts w:eastAsia="TimesNewRomanPSMT"/>
          <w:sz w:val="28"/>
          <w:szCs w:val="28"/>
        </w:rPr>
      </w:pPr>
      <w:bookmarkStart w:id="223" w:name="_Toc321092711"/>
      <w:r w:rsidRPr="00EC1AB2">
        <w:rPr>
          <w:rFonts w:eastAsia="TimesNewRomanPSMT"/>
          <w:sz w:val="28"/>
          <w:szCs w:val="28"/>
        </w:rPr>
        <w:t>SANTRAUKA</w:t>
      </w:r>
      <w:bookmarkEnd w:id="223"/>
      <w:r w:rsidRPr="00EC1AB2">
        <w:rPr>
          <w:rFonts w:eastAsia="TimesNewRomanPSMT"/>
          <w:sz w:val="28"/>
          <w:szCs w:val="28"/>
        </w:rPr>
        <w:br/>
      </w:r>
    </w:p>
    <w:p w:rsidR="00034424" w:rsidRPr="00EC1AB2" w:rsidRDefault="00034424"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Rizikos kapitalas tapo JAV inovacijų sistemos kertiniu akmeniu, todėl šiuo laikotarpiu dauguma pasaulio vyriausybių įvairiais būdais stengiasi, kad jų šaly</w:t>
      </w:r>
      <w:r w:rsidR="00B07FE3" w:rsidRPr="00EC1AB2">
        <w:rPr>
          <w:rFonts w:ascii="Times New Roman" w:hAnsi="Times New Roman" w:cs="Times New Roman"/>
          <w:sz w:val="24"/>
          <w:szCs w:val="24"/>
        </w:rPr>
        <w:t>je rizikos kapitalo fondai</w:t>
      </w:r>
      <w:r w:rsidRPr="00EC1AB2">
        <w:rPr>
          <w:rFonts w:ascii="Times New Roman" w:hAnsi="Times New Roman" w:cs="Times New Roman"/>
          <w:sz w:val="24"/>
          <w:szCs w:val="24"/>
        </w:rPr>
        <w:t xml:space="preserve"> pasiektų tokią pat sėkmę kaip JAV, nes stabilų ekonomikos augimą didžia dalimi lemia šalyje esantis inovacijų ir verslumo lygis. Aktyvios rizikos kapitalo rinkos sukūrimas, kuri teiktų stiprią paramą ankstyvos stadijos ir moderniųjų technologijų įmonėms, tapo ekonominės pol</w:t>
      </w:r>
      <w:r w:rsidR="00B07FE3" w:rsidRPr="00EC1AB2">
        <w:rPr>
          <w:rFonts w:ascii="Times New Roman" w:hAnsi="Times New Roman" w:cs="Times New Roman"/>
          <w:sz w:val="24"/>
          <w:szCs w:val="24"/>
        </w:rPr>
        <w:t>itikos prioritetu. Lietuvoje rizikos kapitalo fondų</w:t>
      </w:r>
      <w:r w:rsidRPr="00EC1AB2">
        <w:rPr>
          <w:rFonts w:ascii="Times New Roman" w:hAnsi="Times New Roman" w:cs="Times New Roman"/>
          <w:sz w:val="24"/>
          <w:szCs w:val="24"/>
        </w:rPr>
        <w:t xml:space="preserve"> investicijų santykis su BVP yra mažiausias ES, be to, Liet</w:t>
      </w:r>
      <w:r w:rsidR="00157D87" w:rsidRPr="00EC1AB2">
        <w:rPr>
          <w:rFonts w:ascii="Times New Roman" w:hAnsi="Times New Roman" w:cs="Times New Roman"/>
          <w:sz w:val="24"/>
          <w:szCs w:val="24"/>
        </w:rPr>
        <w:t>uva stipriai atsilieka ir nuo C</w:t>
      </w:r>
      <w:r w:rsidR="00932640" w:rsidRPr="00EC1AB2">
        <w:rPr>
          <w:rFonts w:ascii="Times New Roman" w:hAnsi="Times New Roman" w:cs="Times New Roman"/>
          <w:sz w:val="24"/>
          <w:szCs w:val="24"/>
        </w:rPr>
        <w:t>E</w:t>
      </w:r>
      <w:r w:rsidRPr="00EC1AB2">
        <w:rPr>
          <w:rFonts w:ascii="Times New Roman" w:hAnsi="Times New Roman" w:cs="Times New Roman"/>
          <w:sz w:val="24"/>
          <w:szCs w:val="24"/>
        </w:rPr>
        <w:t>E šalių vidurkio, todėl verta panagrinėti priežastis, lemiančias šią padėtį.</w:t>
      </w:r>
    </w:p>
    <w:p w:rsidR="00034424" w:rsidRPr="00EC1AB2" w:rsidRDefault="00D20A94"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Tyrimo</w:t>
      </w:r>
      <w:r w:rsidR="00034424" w:rsidRPr="00EC1AB2">
        <w:rPr>
          <w:rFonts w:ascii="Times New Roman" w:hAnsi="Times New Roman" w:cs="Times New Roman"/>
          <w:sz w:val="24"/>
          <w:szCs w:val="24"/>
        </w:rPr>
        <w:t xml:space="preserve"> problema – kokios priežastys lemia rizikos kapitalo fondų nepakankamą plėtrą Lietuvoje?</w:t>
      </w:r>
    </w:p>
    <w:p w:rsidR="00034424" w:rsidRPr="00EC1AB2" w:rsidRDefault="00D20A94" w:rsidP="000A4E60">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Tyrimo</w:t>
      </w:r>
      <w:r w:rsidR="00034424" w:rsidRPr="00EC1AB2">
        <w:rPr>
          <w:rFonts w:ascii="Times New Roman" w:hAnsi="Times New Roman" w:cs="Times New Roman"/>
          <w:sz w:val="24"/>
          <w:szCs w:val="24"/>
        </w:rPr>
        <w:t xml:space="preserve"> objektas – rizi</w:t>
      </w:r>
      <w:r w:rsidR="004E64CD" w:rsidRPr="00EC1AB2">
        <w:rPr>
          <w:rFonts w:ascii="Times New Roman" w:hAnsi="Times New Roman" w:cs="Times New Roman"/>
          <w:sz w:val="24"/>
          <w:szCs w:val="24"/>
        </w:rPr>
        <w:t>kos kapitalo fondų plėtra. Tyrimo</w:t>
      </w:r>
      <w:r w:rsidR="00034424" w:rsidRPr="00EC1AB2">
        <w:rPr>
          <w:rFonts w:ascii="Times New Roman" w:hAnsi="Times New Roman" w:cs="Times New Roman"/>
          <w:sz w:val="24"/>
          <w:szCs w:val="24"/>
        </w:rPr>
        <w:t xml:space="preserve"> tikslas – identifikuoti ir išanalizuoti veiksnius, neigiamai įtakojan</w:t>
      </w:r>
      <w:r w:rsidR="009435B8" w:rsidRPr="00EC1AB2">
        <w:rPr>
          <w:rFonts w:ascii="Times New Roman" w:hAnsi="Times New Roman" w:cs="Times New Roman"/>
          <w:sz w:val="24"/>
          <w:szCs w:val="24"/>
        </w:rPr>
        <w:t>čius rizikos kapitalo fondų</w:t>
      </w:r>
      <w:r w:rsidR="004E64CD" w:rsidRPr="00EC1AB2">
        <w:rPr>
          <w:rFonts w:ascii="Times New Roman" w:hAnsi="Times New Roman" w:cs="Times New Roman"/>
          <w:sz w:val="24"/>
          <w:szCs w:val="24"/>
        </w:rPr>
        <w:t xml:space="preserve"> plėtrą Lietuvoje. Tyrimo</w:t>
      </w:r>
      <w:r w:rsidR="00034424" w:rsidRPr="00EC1AB2">
        <w:rPr>
          <w:rFonts w:ascii="Times New Roman" w:hAnsi="Times New Roman" w:cs="Times New Roman"/>
          <w:sz w:val="24"/>
          <w:szCs w:val="24"/>
        </w:rPr>
        <w:t xml:space="preserve"> uždaviniai: </w:t>
      </w:r>
      <w:r w:rsidR="000A4E60" w:rsidRPr="00EC1AB2">
        <w:rPr>
          <w:rFonts w:ascii="Times New Roman" w:hAnsi="Times New Roman" w:cs="Times New Roman"/>
          <w:sz w:val="24"/>
          <w:szCs w:val="24"/>
        </w:rPr>
        <w:t>pateikti rizikos kapitalo fondų teorinius aspektus; paren</w:t>
      </w:r>
      <w:r w:rsidR="00AA2E26" w:rsidRPr="00EC1AB2">
        <w:rPr>
          <w:rFonts w:ascii="Times New Roman" w:hAnsi="Times New Roman" w:cs="Times New Roman"/>
          <w:sz w:val="24"/>
          <w:szCs w:val="24"/>
        </w:rPr>
        <w:t>g</w:t>
      </w:r>
      <w:r w:rsidR="000A4E60" w:rsidRPr="00EC1AB2">
        <w:rPr>
          <w:rFonts w:ascii="Times New Roman" w:hAnsi="Times New Roman" w:cs="Times New Roman"/>
          <w:sz w:val="24"/>
          <w:szCs w:val="24"/>
        </w:rPr>
        <w:t>ti rizikos kapitalo fondų plėtros tyrimo metodologiją; įvertinti rizikos kapit</w:t>
      </w:r>
      <w:r w:rsidR="009435B8" w:rsidRPr="00EC1AB2">
        <w:rPr>
          <w:rFonts w:ascii="Times New Roman" w:hAnsi="Times New Roman" w:cs="Times New Roman"/>
          <w:sz w:val="24"/>
          <w:szCs w:val="24"/>
        </w:rPr>
        <w:t>alo fondų įtaką ES</w:t>
      </w:r>
      <w:r w:rsidR="000A4E60" w:rsidRPr="00EC1AB2">
        <w:rPr>
          <w:rFonts w:ascii="Times New Roman" w:hAnsi="Times New Roman" w:cs="Times New Roman"/>
          <w:sz w:val="24"/>
          <w:szCs w:val="24"/>
        </w:rPr>
        <w:t xml:space="preserve"> šalių inovatyvumui; išanalizuoti pagrindines priežastis, trukdančias plėtotis rizikos kapitalo fondams Lietuvoje bei pateikti siūlymus šių kliūčių šalinimui. </w:t>
      </w:r>
    </w:p>
    <w:p w:rsidR="00034424" w:rsidRPr="00EC1AB2" w:rsidRDefault="00D20A94"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Tyrimo</w:t>
      </w:r>
      <w:r w:rsidR="00034424" w:rsidRPr="00EC1AB2">
        <w:rPr>
          <w:rFonts w:ascii="Times New Roman" w:hAnsi="Times New Roman" w:cs="Times New Roman"/>
          <w:sz w:val="24"/>
          <w:szCs w:val="24"/>
        </w:rPr>
        <w:t xml:space="preserve"> metodai - norminių aktų, mokslinės literatūros bei internetinių šaltinių duomenų </w:t>
      </w:r>
      <w:r w:rsidR="00034424" w:rsidRPr="00EC1AB2">
        <w:rPr>
          <w:rFonts w:ascii="Times New Roman" w:hAnsi="Times New Roman" w:cs="Times New Roman"/>
          <w:sz w:val="24"/>
          <w:szCs w:val="24"/>
          <w:lang w:eastAsia="lt-LT"/>
        </w:rPr>
        <w:t xml:space="preserve">loginė analizė ir sintezė, palyginimo, </w:t>
      </w:r>
      <w:r w:rsidR="00034424" w:rsidRPr="00EC1AB2">
        <w:rPr>
          <w:rFonts w:ascii="Times New Roman" w:hAnsi="Times New Roman" w:cs="Times New Roman"/>
          <w:sz w:val="24"/>
          <w:szCs w:val="24"/>
        </w:rPr>
        <w:t>statistiniai duomenų apdorojimo ir grafinio vaizdavimo metodai</w:t>
      </w:r>
      <w:r w:rsidR="00034424" w:rsidRPr="00EC1AB2">
        <w:rPr>
          <w:rFonts w:ascii="Times New Roman" w:hAnsi="Times New Roman" w:cs="Times New Roman"/>
          <w:sz w:val="24"/>
          <w:szCs w:val="24"/>
          <w:lang w:eastAsia="lt-LT"/>
        </w:rPr>
        <w:t xml:space="preserve">, koreliacinė analizė, ekspertinis tyrimas, SWOT analizė. Darbą sudaro įvadas, trys skyriai, išvados ir siūlymai. </w:t>
      </w:r>
    </w:p>
    <w:p w:rsidR="00034424" w:rsidRPr="00EC1AB2" w:rsidRDefault="000A4E60"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Nustatyta, kad rizikos kapitalo fondų</w:t>
      </w:r>
      <w:r w:rsidR="00034424" w:rsidRPr="00EC1AB2">
        <w:rPr>
          <w:rFonts w:ascii="Times New Roman" w:hAnsi="Times New Roman" w:cs="Times New Roman"/>
          <w:sz w:val="24"/>
          <w:szCs w:val="24"/>
        </w:rPr>
        <w:t xml:space="preserve"> investicijos teigiamai įtakoja suminio inovatyvumo indekso tiek nuolatinės veiklos, tiek rezultatų kategorijos rodiklius, o ypač teigiamai įtakoja ekonominio poveikio grupės rodiklius, pagal kuriuos Lietuva yra paskutinėje vietoje lyginant su kitomis ES šalimis, todėl galiama teigti, kad didelis Lietuvos atsilikimas diegiant inovaci</w:t>
      </w:r>
      <w:r w:rsidRPr="00EC1AB2">
        <w:rPr>
          <w:rFonts w:ascii="Times New Roman" w:hAnsi="Times New Roman" w:cs="Times New Roman"/>
          <w:sz w:val="24"/>
          <w:szCs w:val="24"/>
        </w:rPr>
        <w:t>jas iš dalies yra susijęs su rizikos kapitalo fondų</w:t>
      </w:r>
      <w:r w:rsidR="00034424" w:rsidRPr="00EC1AB2">
        <w:rPr>
          <w:rFonts w:ascii="Times New Roman" w:hAnsi="Times New Roman" w:cs="Times New Roman"/>
          <w:sz w:val="24"/>
          <w:szCs w:val="24"/>
        </w:rPr>
        <w:t xml:space="preserve"> nepaplitimu šalyje. </w:t>
      </w:r>
    </w:p>
    <w:p w:rsidR="00034424" w:rsidRPr="00EC1AB2" w:rsidRDefault="00034424" w:rsidP="007A02A8">
      <w:pPr>
        <w:spacing w:after="0" w:line="360" w:lineRule="auto"/>
        <w:ind w:firstLine="720"/>
        <w:jc w:val="both"/>
        <w:rPr>
          <w:rFonts w:ascii="Times New Roman" w:hAnsi="Times New Roman" w:cs="Times New Roman"/>
          <w:sz w:val="24"/>
          <w:szCs w:val="24"/>
        </w:rPr>
      </w:pPr>
    </w:p>
    <w:p w:rsidR="00034424" w:rsidRPr="00EC1AB2" w:rsidRDefault="00034424" w:rsidP="007A02A8">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lang w:eastAsia="lt-LT"/>
        </w:rPr>
        <w:lastRenderedPageBreak/>
        <w:t xml:space="preserve">Remiantis ekspertinio tyrimo rezultatais, EVCA ataskaita ir </w:t>
      </w:r>
      <w:r w:rsidRPr="00EC1AB2">
        <w:rPr>
          <w:rFonts w:ascii="Times New Roman" w:hAnsi="Times New Roman" w:cs="Times New Roman"/>
          <w:bCs/>
          <w:sz w:val="24"/>
          <w:szCs w:val="24"/>
        </w:rPr>
        <w:t>The Global Venture Capital and Private Equity Country Attractiveness Index</w:t>
      </w:r>
      <w:r w:rsidRPr="00EC1AB2">
        <w:rPr>
          <w:rFonts w:ascii="Times New Roman" w:hAnsi="Times New Roman" w:cs="Times New Roman"/>
          <w:sz w:val="24"/>
          <w:szCs w:val="24"/>
        </w:rPr>
        <w:t xml:space="preserve"> analize išskirtos šios pagrindin</w:t>
      </w:r>
      <w:r w:rsidR="00F73AF8" w:rsidRPr="00EC1AB2">
        <w:rPr>
          <w:rFonts w:ascii="Times New Roman" w:hAnsi="Times New Roman" w:cs="Times New Roman"/>
          <w:sz w:val="24"/>
          <w:szCs w:val="24"/>
        </w:rPr>
        <w:t>ės kliūtys trukdančios rizikos kapitalo fondams</w:t>
      </w:r>
      <w:r w:rsidRPr="00EC1AB2">
        <w:rPr>
          <w:rFonts w:ascii="Times New Roman" w:hAnsi="Times New Roman" w:cs="Times New Roman"/>
          <w:sz w:val="24"/>
          <w:szCs w:val="24"/>
        </w:rPr>
        <w:t xml:space="preserve"> plėtotis Lietuvoje: specifinių mokestinių lengvatų, skatinančių jaunų ir inovatyvių įmonių plėtrą ankstyvoje veiklos stadijoje, nubuvimas, maža inovacijų sklaida, mažas pensijų fondų ir draudimo įmonių dalyvavimas formuojant rizikos kapitalo </w:t>
      </w:r>
      <w:r w:rsidR="003C24AB" w:rsidRPr="00EC1AB2">
        <w:rPr>
          <w:rFonts w:ascii="Times New Roman" w:hAnsi="Times New Roman" w:cs="Times New Roman"/>
          <w:sz w:val="24"/>
          <w:szCs w:val="24"/>
        </w:rPr>
        <w:t xml:space="preserve">fondų </w:t>
      </w:r>
      <w:r w:rsidRPr="00EC1AB2">
        <w:rPr>
          <w:rFonts w:ascii="Times New Roman" w:hAnsi="Times New Roman" w:cs="Times New Roman"/>
          <w:sz w:val="24"/>
          <w:szCs w:val="24"/>
        </w:rPr>
        <w:t>investic</w:t>
      </w:r>
      <w:r w:rsidR="00787F96" w:rsidRPr="00EC1AB2">
        <w:rPr>
          <w:rFonts w:ascii="Times New Roman" w:hAnsi="Times New Roman" w:cs="Times New Roman"/>
          <w:sz w:val="24"/>
          <w:szCs w:val="24"/>
        </w:rPr>
        <w:t>ijas, dėl VP rinkos mažo likvidumo</w:t>
      </w:r>
      <w:r w:rsidR="00B22979" w:rsidRPr="00EC1AB2">
        <w:rPr>
          <w:rFonts w:ascii="Times New Roman" w:hAnsi="Times New Roman" w:cs="Times New Roman"/>
          <w:bCs/>
          <w:sz w:val="24"/>
          <w:szCs w:val="24"/>
          <w:lang w:eastAsia="lt-LT"/>
        </w:rPr>
        <w:t xml:space="preserve"> ribota</w:t>
      </w:r>
      <w:r w:rsidR="003C24AB" w:rsidRPr="00EC1AB2">
        <w:rPr>
          <w:rFonts w:ascii="Times New Roman" w:hAnsi="Times New Roman" w:cs="Times New Roman"/>
          <w:bCs/>
          <w:sz w:val="24"/>
          <w:szCs w:val="24"/>
          <w:lang w:eastAsia="lt-LT"/>
        </w:rPr>
        <w:t>s rizikos kapitalo fondų</w:t>
      </w:r>
      <w:r w:rsidRPr="00EC1AB2">
        <w:rPr>
          <w:rFonts w:ascii="Times New Roman" w:hAnsi="Times New Roman" w:cs="Times New Roman"/>
          <w:bCs/>
          <w:sz w:val="24"/>
          <w:szCs w:val="24"/>
          <w:lang w:eastAsia="lt-LT"/>
        </w:rPr>
        <w:t xml:space="preserve"> investicijų realizavimo galimybių pasirinkimas</w:t>
      </w:r>
      <w:r w:rsidRPr="00EC1AB2">
        <w:rPr>
          <w:rFonts w:ascii="Times New Roman" w:hAnsi="Times New Roman" w:cs="Times New Roman"/>
          <w:bCs/>
          <w:lang w:eastAsia="lt-LT"/>
        </w:rPr>
        <w:t>.</w:t>
      </w:r>
    </w:p>
    <w:p w:rsidR="00034424" w:rsidRPr="00EC1AB2" w:rsidRDefault="00034424" w:rsidP="007A02A8">
      <w:pPr>
        <w:autoSpaceDE w:val="0"/>
        <w:autoSpaceDN w:val="0"/>
        <w:adjustRightInd w:val="0"/>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bCs/>
          <w:sz w:val="24"/>
          <w:szCs w:val="24"/>
          <w:lang w:eastAsia="lt-LT"/>
        </w:rPr>
        <w:t xml:space="preserve">Pateikti šie siūlymai: </w:t>
      </w:r>
      <w:r w:rsidRPr="00EC1AB2">
        <w:rPr>
          <w:rFonts w:ascii="Times New Roman" w:eastAsia="Times New Roman" w:hAnsi="Times New Roman" w:cs="Times New Roman"/>
          <w:sz w:val="24"/>
          <w:szCs w:val="24"/>
          <w:lang w:eastAsia="lt-LT"/>
        </w:rPr>
        <w:t>pensijų ir draudimo įmonių skatinim</w:t>
      </w:r>
      <w:r w:rsidR="003C24AB" w:rsidRPr="00EC1AB2">
        <w:rPr>
          <w:rFonts w:ascii="Times New Roman" w:eastAsia="Times New Roman" w:hAnsi="Times New Roman" w:cs="Times New Roman"/>
          <w:sz w:val="24"/>
          <w:szCs w:val="24"/>
          <w:lang w:eastAsia="lt-LT"/>
        </w:rPr>
        <w:t>as dalyvauti formuojant rizikos kapitalo fondų investicijas</w:t>
      </w:r>
      <w:r w:rsidRPr="00EC1AB2">
        <w:rPr>
          <w:rFonts w:ascii="Times New Roman" w:eastAsia="Times New Roman" w:hAnsi="Times New Roman" w:cs="Times New Roman"/>
          <w:sz w:val="24"/>
          <w:szCs w:val="24"/>
          <w:lang w:eastAsia="lt-LT"/>
        </w:rPr>
        <w:t>, taikant mokesčių lengvatas, priemonių, skatinančių auštos pridėtinės vertė</w:t>
      </w:r>
      <w:r w:rsidR="00F73AF8" w:rsidRPr="00EC1AB2">
        <w:rPr>
          <w:rFonts w:ascii="Times New Roman" w:eastAsia="Times New Roman" w:hAnsi="Times New Roman" w:cs="Times New Roman"/>
          <w:sz w:val="24"/>
          <w:szCs w:val="24"/>
          <w:lang w:eastAsia="lt-LT"/>
        </w:rPr>
        <w:t xml:space="preserve">s verslų kūrimą, įgyvendinimas, </w:t>
      </w:r>
      <w:r w:rsidRPr="00EC1AB2">
        <w:rPr>
          <w:rFonts w:ascii="Times New Roman" w:eastAsia="Times New Roman" w:hAnsi="Times New Roman" w:cs="Times New Roman"/>
          <w:sz w:val="24"/>
          <w:szCs w:val="24"/>
          <w:lang w:eastAsia="lt-LT"/>
        </w:rPr>
        <w:t>mokslinės produkcijos gamybos ir Lietuvos ūkio reikmių duomenų bazių sudarymas.</w:t>
      </w:r>
    </w:p>
    <w:p w:rsidR="00157D87" w:rsidRPr="00EC1AB2" w:rsidRDefault="00157D87" w:rsidP="007A02A8">
      <w:pPr>
        <w:spacing w:after="0" w:line="360" w:lineRule="auto"/>
        <w:rPr>
          <w:rFonts w:ascii="Times New Roman" w:hAnsi="Times New Roman" w:cs="Times New Roman"/>
          <w:lang w:eastAsia="x-none"/>
        </w:rPr>
      </w:pPr>
      <w:r w:rsidRPr="00EC1AB2">
        <w:rPr>
          <w:rFonts w:ascii="Times New Roman" w:hAnsi="Times New Roman" w:cs="Times New Roman"/>
          <w:lang w:eastAsia="x-none"/>
        </w:rPr>
        <w:br w:type="page"/>
      </w:r>
    </w:p>
    <w:p w:rsidR="00E8257D" w:rsidRPr="00EC1AB2" w:rsidRDefault="00E8257D" w:rsidP="00E8257D">
      <w:pPr>
        <w:tabs>
          <w:tab w:val="left" w:pos="0"/>
        </w:tabs>
        <w:spacing w:after="0" w:line="360" w:lineRule="auto"/>
        <w:ind w:right="28"/>
        <w:jc w:val="both"/>
        <w:rPr>
          <w:rFonts w:ascii="Times New Roman" w:eastAsia="TimesNewRomanPSMT" w:hAnsi="Times New Roman" w:cs="Times New Roman"/>
          <w:sz w:val="24"/>
          <w:szCs w:val="24"/>
        </w:rPr>
      </w:pPr>
      <w:r w:rsidRPr="00EC1AB2">
        <w:rPr>
          <w:rFonts w:ascii="Times New Roman" w:eastAsia="TimesNewRomanPSMT" w:hAnsi="Times New Roman" w:cs="Times New Roman"/>
          <w:sz w:val="24"/>
          <w:szCs w:val="24"/>
        </w:rPr>
        <w:lastRenderedPageBreak/>
        <w:t xml:space="preserve">Šerkšnaitė A. </w:t>
      </w:r>
      <w:r w:rsidRPr="00EC1AB2">
        <w:rPr>
          <w:rStyle w:val="hps"/>
          <w:rFonts w:ascii="Times New Roman" w:hAnsi="Times New Roman" w:cs="Times New Roman"/>
          <w:sz w:val="24"/>
          <w:szCs w:val="24"/>
        </w:rPr>
        <w:t>The Development</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Problems of 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 xml:space="preserve">Capital Funds in Lithuania </w:t>
      </w:r>
      <w:r w:rsidRPr="00EC1AB2">
        <w:rPr>
          <w:rFonts w:ascii="Times New Roman" w:eastAsia="TimesNewRomanPSMT" w:hAnsi="Times New Roman" w:cs="Times New Roman"/>
          <w:sz w:val="24"/>
          <w:szCs w:val="24"/>
        </w:rPr>
        <w:t xml:space="preserve">/ </w:t>
      </w:r>
      <w:r w:rsidRPr="00EC1AB2">
        <w:rPr>
          <w:rStyle w:val="hps"/>
          <w:rFonts w:ascii="Times New Roman" w:hAnsi="Times New Roman" w:cs="Times New Roman"/>
          <w:sz w:val="24"/>
          <w:szCs w:val="24"/>
        </w:rPr>
        <w:t>Finance Management</w:t>
      </w:r>
      <w:r w:rsidRPr="00EC1AB2">
        <w:rPr>
          <w:rStyle w:val="shorttext"/>
          <w:rFonts w:ascii="Times New Roman" w:hAnsi="Times New Roman" w:cs="Times New Roman"/>
          <w:sz w:val="24"/>
          <w:szCs w:val="24"/>
        </w:rPr>
        <w:t xml:space="preserve"> </w:t>
      </w:r>
      <w:r w:rsidRPr="00EC1AB2">
        <w:rPr>
          <w:rStyle w:val="hps"/>
          <w:rFonts w:ascii="Times New Roman" w:hAnsi="Times New Roman" w:cs="Times New Roman"/>
          <w:sz w:val="24"/>
          <w:szCs w:val="24"/>
        </w:rPr>
        <w:t>Master's</w:t>
      </w:r>
      <w:r w:rsidRPr="00EC1AB2">
        <w:rPr>
          <w:rStyle w:val="shorttext"/>
          <w:rFonts w:ascii="Times New Roman" w:hAnsi="Times New Roman" w:cs="Times New Roman"/>
          <w:sz w:val="24"/>
          <w:szCs w:val="24"/>
        </w:rPr>
        <w:t xml:space="preserve"> </w:t>
      </w:r>
      <w:r w:rsidRPr="00EC1AB2">
        <w:rPr>
          <w:rStyle w:val="hps"/>
          <w:rFonts w:ascii="Times New Roman" w:hAnsi="Times New Roman" w:cs="Times New Roman"/>
          <w:sz w:val="24"/>
          <w:szCs w:val="24"/>
        </w:rPr>
        <w:t>thesis</w:t>
      </w:r>
      <w:r w:rsidRPr="00EC1AB2">
        <w:rPr>
          <w:rFonts w:ascii="Times New Roman" w:eastAsia="TimesNewRomanPSMT" w:hAnsi="Times New Roman" w:cs="Times New Roman"/>
          <w:sz w:val="24"/>
          <w:szCs w:val="24"/>
        </w:rPr>
        <w:t>. Supervisor</w:t>
      </w:r>
      <w:r w:rsidRPr="00EC1AB2">
        <w:rPr>
          <w:rFonts w:ascii="Times New Roman" w:hAnsi="Times New Roman" w:cs="Times New Roman"/>
          <w:sz w:val="24"/>
          <w:szCs w:val="24"/>
        </w:rPr>
        <w:t xml:space="preserve"> Prof. Dr. I. Mačerinskienė – Vilnius: </w:t>
      </w:r>
      <w:r w:rsidRPr="00EC1AB2">
        <w:rPr>
          <w:rFonts w:ascii="Times New Roman" w:eastAsia="TimesNewRomanPSMT" w:hAnsi="Times New Roman" w:cs="Times New Roman"/>
          <w:sz w:val="24"/>
          <w:szCs w:val="24"/>
        </w:rPr>
        <w:t xml:space="preserve">Mykolas Romeris University, </w:t>
      </w:r>
      <w:r w:rsidRPr="00EC1AB2">
        <w:rPr>
          <w:rStyle w:val="Emphasis"/>
          <w:rFonts w:ascii="Times New Roman" w:hAnsi="Times New Roman" w:cs="Times New Roman"/>
          <w:sz w:val="24"/>
          <w:szCs w:val="24"/>
        </w:rPr>
        <w:t>Faculty</w:t>
      </w:r>
      <w:r w:rsidRPr="00EC1AB2">
        <w:rPr>
          <w:rStyle w:val="st"/>
          <w:rFonts w:ascii="Times New Roman" w:hAnsi="Times New Roman" w:cs="Times New Roman"/>
          <w:sz w:val="24"/>
          <w:szCs w:val="24"/>
        </w:rPr>
        <w:t xml:space="preserve"> of</w:t>
      </w:r>
      <w:r w:rsidRPr="00EC1AB2">
        <w:rPr>
          <w:rStyle w:val="st"/>
          <w:rFonts w:ascii="Times New Roman" w:hAnsi="Times New Roman" w:cs="Times New Roman"/>
          <w:i/>
          <w:sz w:val="24"/>
          <w:szCs w:val="24"/>
        </w:rPr>
        <w:t xml:space="preserve"> </w:t>
      </w:r>
      <w:r w:rsidRPr="00EC1AB2">
        <w:rPr>
          <w:rStyle w:val="Emphasis"/>
          <w:rFonts w:ascii="Times New Roman" w:hAnsi="Times New Roman" w:cs="Times New Roman"/>
          <w:sz w:val="24"/>
          <w:szCs w:val="24"/>
        </w:rPr>
        <w:t>Economics</w:t>
      </w:r>
      <w:r w:rsidRPr="00EC1AB2">
        <w:rPr>
          <w:rStyle w:val="st"/>
          <w:rFonts w:ascii="Times New Roman" w:hAnsi="Times New Roman" w:cs="Times New Roman"/>
          <w:i/>
          <w:sz w:val="24"/>
          <w:szCs w:val="24"/>
        </w:rPr>
        <w:t xml:space="preserve"> </w:t>
      </w:r>
      <w:r w:rsidRPr="00EC1AB2">
        <w:rPr>
          <w:rStyle w:val="st"/>
          <w:rFonts w:ascii="Times New Roman" w:hAnsi="Times New Roman" w:cs="Times New Roman"/>
          <w:sz w:val="24"/>
          <w:szCs w:val="24"/>
        </w:rPr>
        <w:t>and</w:t>
      </w:r>
      <w:r w:rsidRPr="00EC1AB2">
        <w:rPr>
          <w:rStyle w:val="st"/>
          <w:rFonts w:ascii="Times New Roman" w:hAnsi="Times New Roman" w:cs="Times New Roman"/>
          <w:i/>
          <w:sz w:val="24"/>
          <w:szCs w:val="24"/>
        </w:rPr>
        <w:t xml:space="preserve"> </w:t>
      </w:r>
      <w:r w:rsidRPr="00EC1AB2">
        <w:rPr>
          <w:rStyle w:val="Emphasis"/>
          <w:rFonts w:ascii="Times New Roman" w:hAnsi="Times New Roman" w:cs="Times New Roman"/>
          <w:sz w:val="24"/>
          <w:szCs w:val="24"/>
        </w:rPr>
        <w:t>Finance Management</w:t>
      </w:r>
      <w:r w:rsidRPr="00EC1AB2">
        <w:rPr>
          <w:rFonts w:ascii="Times New Roman" w:eastAsia="TimesNewRomanPSMT" w:hAnsi="Times New Roman" w:cs="Times New Roman"/>
          <w:sz w:val="24"/>
          <w:szCs w:val="24"/>
        </w:rPr>
        <w:t xml:space="preserve">, 2012. - </w:t>
      </w:r>
      <w:r w:rsidR="0066148B" w:rsidRPr="00EC1AB2">
        <w:rPr>
          <w:rFonts w:ascii="Times New Roman" w:eastAsia="TimesNewRomanPSMT" w:hAnsi="Times New Roman" w:cs="Times New Roman"/>
          <w:sz w:val="24"/>
          <w:szCs w:val="24"/>
        </w:rPr>
        <w:t xml:space="preserve">p. </w:t>
      </w:r>
      <w:r w:rsidR="00DF1838" w:rsidRPr="00EC1AB2">
        <w:rPr>
          <w:rFonts w:ascii="Times New Roman" w:eastAsia="TimesNewRomanPSMT" w:hAnsi="Times New Roman" w:cs="Times New Roman"/>
          <w:sz w:val="24"/>
          <w:szCs w:val="24"/>
        </w:rPr>
        <w:t>7</w:t>
      </w:r>
      <w:r w:rsidR="00215390" w:rsidRPr="00EC1AB2">
        <w:rPr>
          <w:rFonts w:ascii="Times New Roman" w:eastAsia="TimesNewRomanPSMT" w:hAnsi="Times New Roman" w:cs="Times New Roman"/>
          <w:sz w:val="24"/>
          <w:szCs w:val="24"/>
        </w:rPr>
        <w:t>5</w:t>
      </w:r>
      <w:r w:rsidRPr="00EC1AB2">
        <w:rPr>
          <w:rFonts w:ascii="Times New Roman" w:eastAsia="TimesNewRomanPSMT" w:hAnsi="Times New Roman" w:cs="Times New Roman"/>
          <w:sz w:val="24"/>
          <w:szCs w:val="24"/>
        </w:rPr>
        <w:t xml:space="preserve"> </w:t>
      </w:r>
    </w:p>
    <w:p w:rsidR="00E8257D" w:rsidRPr="00EC1AB2" w:rsidRDefault="00E8257D" w:rsidP="00E8257D">
      <w:pPr>
        <w:tabs>
          <w:tab w:val="left" w:pos="0"/>
        </w:tabs>
        <w:spacing w:after="0" w:line="360" w:lineRule="auto"/>
        <w:ind w:right="28"/>
        <w:jc w:val="both"/>
        <w:rPr>
          <w:rFonts w:ascii="Times New Roman" w:eastAsia="TimesNewRomanPSMT" w:hAnsi="Times New Roman" w:cs="Times New Roman"/>
          <w:sz w:val="24"/>
          <w:szCs w:val="24"/>
        </w:rPr>
      </w:pPr>
    </w:p>
    <w:p w:rsidR="00E8257D" w:rsidRPr="00EC1AB2" w:rsidRDefault="00E8257D" w:rsidP="00E8257D">
      <w:pPr>
        <w:tabs>
          <w:tab w:val="left" w:pos="0"/>
        </w:tabs>
        <w:spacing w:after="0" w:line="360" w:lineRule="auto"/>
        <w:ind w:right="28"/>
        <w:jc w:val="both"/>
        <w:rPr>
          <w:rFonts w:ascii="Times New Roman" w:eastAsia="TimesNewRomanPSMT" w:hAnsi="Times New Roman" w:cs="Times New Roman"/>
          <w:sz w:val="24"/>
          <w:szCs w:val="24"/>
        </w:rPr>
      </w:pPr>
    </w:p>
    <w:p w:rsidR="00E8257D" w:rsidRPr="00EC1AB2" w:rsidRDefault="00E8257D" w:rsidP="00AF08F6">
      <w:pPr>
        <w:pStyle w:val="Heading1"/>
        <w:rPr>
          <w:rFonts w:eastAsia="TimesNewRomanPSMT"/>
          <w:sz w:val="28"/>
          <w:szCs w:val="28"/>
        </w:rPr>
      </w:pPr>
      <w:bookmarkStart w:id="224" w:name="_Toc321092712"/>
      <w:r w:rsidRPr="00EC1AB2">
        <w:rPr>
          <w:rFonts w:eastAsia="TimesNewRomanPSMT"/>
          <w:sz w:val="28"/>
          <w:szCs w:val="28"/>
        </w:rPr>
        <w:t>SUMMARY</w:t>
      </w:r>
      <w:bookmarkEnd w:id="224"/>
      <w:r w:rsidRPr="00EC1AB2">
        <w:rPr>
          <w:rFonts w:eastAsia="TimesNewRomanPSMT"/>
          <w:sz w:val="28"/>
          <w:szCs w:val="28"/>
        </w:rPr>
        <w:t xml:space="preserve"> </w:t>
      </w:r>
      <w:r w:rsidRPr="00EC1AB2">
        <w:rPr>
          <w:rFonts w:eastAsia="TimesNewRomanPSMT"/>
          <w:sz w:val="28"/>
          <w:szCs w:val="28"/>
        </w:rPr>
        <w:br/>
      </w:r>
    </w:p>
    <w:p w:rsidR="00E8257D" w:rsidRPr="00EC1AB2" w:rsidRDefault="00E8257D" w:rsidP="00E8257D">
      <w:pPr>
        <w:spacing w:after="0" w:line="360" w:lineRule="auto"/>
        <w:ind w:firstLine="720"/>
        <w:jc w:val="both"/>
        <w:rPr>
          <w:rFonts w:ascii="Times New Roman" w:hAnsi="Times New Roman" w:cs="Times New Roman"/>
          <w:sz w:val="24"/>
          <w:szCs w:val="24"/>
        </w:rPr>
      </w:pPr>
      <w:r w:rsidRPr="00EC1AB2">
        <w:rPr>
          <w:rStyle w:val="hps"/>
          <w:rFonts w:ascii="Times New Roman" w:hAnsi="Times New Roman" w:cs="Times New Roman"/>
          <w:sz w:val="24"/>
          <w:szCs w:val="24"/>
        </w:rPr>
        <w:t>Venture capital has become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cornerstone of USA innovation</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system</w:t>
      </w:r>
      <w:r w:rsidRPr="00EC1AB2">
        <w:rPr>
          <w:rFonts w:ascii="Times New Roman" w:hAnsi="Times New Roman" w:cs="Times New Roman"/>
          <w:sz w:val="24"/>
          <w:szCs w:val="24"/>
        </w:rPr>
        <w:t xml:space="preserve">; therefore, during this period the most governments in the world in different ways are trying that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 their country would achieve the same success as the USA because sustained economic</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growth</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is largely</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determined by</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level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innovation</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 xml:space="preserve">and entrepreneurship </w:t>
      </w:r>
      <w:r w:rsidRPr="00EC1AB2">
        <w:rPr>
          <w:rFonts w:ascii="Times New Roman" w:hAnsi="Times New Roman" w:cs="Times New Roman"/>
          <w:sz w:val="24"/>
          <w:szCs w:val="24"/>
        </w:rPr>
        <w:t xml:space="preserve">in </w:t>
      </w:r>
      <w:r w:rsidRPr="00EC1AB2">
        <w:rPr>
          <w:rStyle w:val="hps"/>
          <w:rFonts w:ascii="Times New Roman" w:hAnsi="Times New Roman" w:cs="Times New Roman"/>
          <w:sz w:val="24"/>
          <w:szCs w:val="24"/>
        </w:rPr>
        <w:t>the country. Active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Venture Capital</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Market,</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which would provide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strong support for</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early-stage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high-</w:t>
      </w:r>
      <w:r w:rsidRPr="00EC1AB2">
        <w:rPr>
          <w:rFonts w:ascii="Times New Roman" w:hAnsi="Times New Roman" w:cs="Times New Roman"/>
          <w:sz w:val="24"/>
          <w:szCs w:val="24"/>
        </w:rPr>
        <w:t xml:space="preserve">tech companies, has become a </w:t>
      </w:r>
      <w:r w:rsidRPr="00EC1AB2">
        <w:rPr>
          <w:rStyle w:val="hps"/>
          <w:rFonts w:ascii="Times New Roman" w:hAnsi="Times New Roman" w:cs="Times New Roman"/>
          <w:sz w:val="24"/>
          <w:szCs w:val="24"/>
        </w:rPr>
        <w:t>priority for</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economic policy. In Lithuania 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investment ratio to GDP is the lowest in the EU, furthermore, Lithuania lags behind the average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CEE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 xml:space="preserve">countries heavily so it makes sense to analyse the reasons leading to this situation. </w:t>
      </w:r>
    </w:p>
    <w:p w:rsidR="00E8257D" w:rsidRPr="00EC1AB2" w:rsidRDefault="00E8257D" w:rsidP="00E8257D">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 xml:space="preserve">The problem of the paper is the following: what the reasons are which determine insufficient </w:t>
      </w:r>
      <w:r w:rsidRPr="00EC1AB2">
        <w:rPr>
          <w:rStyle w:val="hps"/>
          <w:rFonts w:ascii="Times New Roman" w:hAnsi="Times New Roman" w:cs="Times New Roman"/>
          <w:sz w:val="24"/>
          <w:szCs w:val="24"/>
        </w:rPr>
        <w:t>development of 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 Lithuania</w:t>
      </w:r>
      <w:r w:rsidRPr="00EC1AB2">
        <w:rPr>
          <w:rFonts w:ascii="Times New Roman" w:hAnsi="Times New Roman" w:cs="Times New Roman"/>
          <w:sz w:val="24"/>
          <w:szCs w:val="24"/>
        </w:rPr>
        <w:t>.</w:t>
      </w:r>
    </w:p>
    <w:p w:rsidR="00511227" w:rsidRPr="00EC1AB2" w:rsidRDefault="00E8257D" w:rsidP="005D654C">
      <w:pPr>
        <w:spacing w:after="0" w:line="360" w:lineRule="auto"/>
        <w:ind w:firstLine="720"/>
        <w:jc w:val="both"/>
        <w:rPr>
          <w:rStyle w:val="hps"/>
          <w:rFonts w:ascii="Times New Roman" w:hAnsi="Times New Roman" w:cs="Times New Roman"/>
          <w:sz w:val="24"/>
          <w:szCs w:val="24"/>
        </w:rPr>
      </w:pPr>
      <w:r w:rsidRPr="00EC1AB2">
        <w:rPr>
          <w:rFonts w:ascii="Times New Roman" w:hAnsi="Times New Roman" w:cs="Times New Roman"/>
          <w:sz w:val="24"/>
          <w:szCs w:val="24"/>
        </w:rPr>
        <w:t xml:space="preserve">The object of the paper is the development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The aim</w:t>
      </w:r>
      <w:r w:rsidRPr="00EC1AB2">
        <w:rPr>
          <w:rFonts w:ascii="Times New Roman" w:hAnsi="Times New Roman" w:cs="Times New Roman"/>
          <w:sz w:val="24"/>
          <w:szCs w:val="24"/>
        </w:rPr>
        <w:t xml:space="preserve"> of the paper is </w:t>
      </w:r>
      <w:r w:rsidRPr="00EC1AB2">
        <w:rPr>
          <w:rStyle w:val="hps"/>
          <w:rFonts w:ascii="Times New Roman" w:hAnsi="Times New Roman" w:cs="Times New Roman"/>
          <w:sz w:val="24"/>
          <w:szCs w:val="24"/>
        </w:rPr>
        <w:t>to identify</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analyze 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factors that</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negatively</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influence the</w:t>
      </w:r>
      <w:r w:rsidRPr="00EC1AB2">
        <w:rPr>
          <w:rFonts w:ascii="Times New Roman" w:hAnsi="Times New Roman" w:cs="Times New Roman"/>
          <w:sz w:val="24"/>
          <w:szCs w:val="24"/>
        </w:rPr>
        <w:t xml:space="preserve"> development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in Lithuania</w:t>
      </w:r>
      <w:r w:rsidRPr="00EC1AB2">
        <w:rPr>
          <w:rFonts w:ascii="Times New Roman" w:hAnsi="Times New Roman" w:cs="Times New Roman"/>
          <w:sz w:val="24"/>
          <w:szCs w:val="24"/>
        </w:rPr>
        <w:t>. The go</w:t>
      </w:r>
      <w:r w:rsidR="00511227" w:rsidRPr="00EC1AB2">
        <w:rPr>
          <w:rFonts w:ascii="Times New Roman" w:hAnsi="Times New Roman" w:cs="Times New Roman"/>
          <w:sz w:val="24"/>
          <w:szCs w:val="24"/>
        </w:rPr>
        <w:t>als of the paper are: to lay</w:t>
      </w:r>
      <w:r w:rsidRPr="00EC1AB2">
        <w:rPr>
          <w:rFonts w:ascii="Times New Roman" w:hAnsi="Times New Roman" w:cs="Times New Roman"/>
          <w:sz w:val="24"/>
          <w:szCs w:val="24"/>
        </w:rPr>
        <w:t xml:space="preserve"> the theoretical aspects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00511227" w:rsidRPr="00EC1AB2">
        <w:rPr>
          <w:rStyle w:val="hps"/>
          <w:rFonts w:ascii="Times New Roman" w:hAnsi="Times New Roman" w:cs="Times New Roman"/>
          <w:sz w:val="24"/>
          <w:szCs w:val="24"/>
        </w:rPr>
        <w:t>Capital Funds,</w:t>
      </w:r>
      <w:r w:rsidRPr="00EC1AB2">
        <w:rPr>
          <w:rFonts w:ascii="Times New Roman" w:hAnsi="Times New Roman" w:cs="Times New Roman"/>
          <w:sz w:val="24"/>
          <w:szCs w:val="24"/>
        </w:rPr>
        <w:t xml:space="preserve"> to </w:t>
      </w:r>
      <w:r w:rsidR="00511227" w:rsidRPr="00EC1AB2">
        <w:rPr>
          <w:rFonts w:ascii="Times New Roman" w:hAnsi="Times New Roman" w:cs="Times New Roman"/>
          <w:sz w:val="24"/>
          <w:szCs w:val="24"/>
        </w:rPr>
        <w:t xml:space="preserve">prepare the research methodology, to </w:t>
      </w:r>
      <w:r w:rsidR="0095070C" w:rsidRPr="00EC1AB2">
        <w:rPr>
          <w:rFonts w:ascii="Times New Roman" w:hAnsi="Times New Roman" w:cs="Times New Roman"/>
          <w:sz w:val="24"/>
          <w:szCs w:val="24"/>
        </w:rPr>
        <w:t xml:space="preserve">define the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w:t>
      </w:r>
      <w:r w:rsidR="0095070C" w:rsidRPr="00EC1AB2">
        <w:rPr>
          <w:rStyle w:val="hps"/>
          <w:rFonts w:ascii="Times New Roman" w:hAnsi="Times New Roman" w:cs="Times New Roman"/>
          <w:sz w:val="24"/>
          <w:szCs w:val="24"/>
        </w:rPr>
        <w:t xml:space="preserve"> investments</w:t>
      </w:r>
      <w:r w:rsidRPr="00EC1AB2">
        <w:rPr>
          <w:rFonts w:ascii="Times New Roman" w:hAnsi="Times New Roman" w:cs="Times New Roman"/>
          <w:sz w:val="24"/>
          <w:szCs w:val="24"/>
        </w:rPr>
        <w:t xml:space="preserve"> </w:t>
      </w:r>
      <w:r w:rsidR="0095070C" w:rsidRPr="00EC1AB2">
        <w:rPr>
          <w:rFonts w:ascii="Times New Roman" w:hAnsi="Times New Roman" w:cs="Times New Roman"/>
          <w:sz w:val="24"/>
          <w:szCs w:val="24"/>
        </w:rPr>
        <w:t>impact on the field of innovation,</w:t>
      </w:r>
      <w:r w:rsidRPr="00EC1AB2">
        <w:rPr>
          <w:rFonts w:ascii="Times New Roman" w:hAnsi="Times New Roman" w:cs="Times New Roman"/>
          <w:sz w:val="24"/>
          <w:szCs w:val="24"/>
          <w:lang w:eastAsia="lt-LT"/>
        </w:rPr>
        <w:t xml:space="preserve"> to identify </w:t>
      </w:r>
      <w:r w:rsidRPr="00EC1AB2">
        <w:rPr>
          <w:rStyle w:val="hps"/>
          <w:rFonts w:ascii="Times New Roman" w:hAnsi="Times New Roman" w:cs="Times New Roman"/>
          <w:sz w:val="24"/>
          <w:szCs w:val="24"/>
        </w:rPr>
        <w:t>the main problems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affecting the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development of</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 Lithuania</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to provide</w:t>
      </w:r>
      <w:r w:rsidRPr="00EC1AB2">
        <w:rPr>
          <w:rFonts w:ascii="Times New Roman" w:hAnsi="Times New Roman" w:cs="Times New Roman"/>
          <w:sz w:val="24"/>
          <w:szCs w:val="24"/>
          <w:lang w:eastAsia="lt-LT"/>
        </w:rPr>
        <w:t xml:space="preserve"> </w:t>
      </w:r>
      <w:r w:rsidRPr="00EC1AB2">
        <w:rPr>
          <w:rStyle w:val="hps"/>
          <w:rFonts w:ascii="Times New Roman" w:hAnsi="Times New Roman" w:cs="Times New Roman"/>
          <w:sz w:val="24"/>
          <w:szCs w:val="24"/>
        </w:rPr>
        <w:t>proposals for elimination of these issues.</w:t>
      </w:r>
    </w:p>
    <w:p w:rsidR="00E8257D" w:rsidRPr="00EC1AB2" w:rsidRDefault="00E8257D" w:rsidP="00E8257D">
      <w:pPr>
        <w:spacing w:after="0" w:line="360" w:lineRule="auto"/>
        <w:ind w:firstLine="720"/>
        <w:jc w:val="both"/>
        <w:rPr>
          <w:rFonts w:ascii="Times New Roman" w:hAnsi="Times New Roman" w:cs="Times New Roman"/>
          <w:sz w:val="24"/>
          <w:szCs w:val="24"/>
        </w:rPr>
      </w:pPr>
      <w:r w:rsidRPr="00EC1AB2">
        <w:rPr>
          <w:rStyle w:val="hps"/>
          <w:rFonts w:ascii="Times New Roman" w:hAnsi="Times New Roman" w:cs="Times New Roman"/>
          <w:sz w:val="24"/>
          <w:szCs w:val="24"/>
        </w:rPr>
        <w:t>The methods used in the paper are the following:</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logical analysis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and synthesis of regulations</w:t>
      </w:r>
      <w:r w:rsidRPr="00EC1AB2">
        <w:rPr>
          <w:rFonts w:ascii="Times New Roman" w:hAnsi="Times New Roman" w:cs="Times New Roman"/>
          <w:sz w:val="24"/>
          <w:szCs w:val="24"/>
        </w:rPr>
        <w:t xml:space="preserve">, scientific </w:t>
      </w:r>
      <w:r w:rsidRPr="00EC1AB2">
        <w:rPr>
          <w:rStyle w:val="hps"/>
          <w:rFonts w:ascii="Times New Roman" w:hAnsi="Times New Roman" w:cs="Times New Roman"/>
          <w:sz w:val="24"/>
          <w:szCs w:val="24"/>
        </w:rPr>
        <w:t>literature 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data from online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sources,</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techniques of comparison 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statistical</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data processing and</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visualization,</w:t>
      </w:r>
      <w:r w:rsidRPr="00EC1AB2">
        <w:rPr>
          <w:rFonts w:ascii="Times New Roman" w:hAnsi="Times New Roman" w:cs="Times New Roman"/>
          <w:sz w:val="24"/>
          <w:szCs w:val="24"/>
        </w:rPr>
        <w:t xml:space="preserve"> the </w:t>
      </w:r>
      <w:r w:rsidRPr="00EC1AB2">
        <w:rPr>
          <w:rStyle w:val="hps"/>
          <w:rFonts w:ascii="Times New Roman" w:hAnsi="Times New Roman" w:cs="Times New Roman"/>
          <w:sz w:val="24"/>
          <w:szCs w:val="24"/>
        </w:rPr>
        <w:t>correlation analysis</w:t>
      </w:r>
      <w:r w:rsidRPr="00EC1AB2">
        <w:rPr>
          <w:rFonts w:ascii="Times New Roman" w:hAnsi="Times New Roman" w:cs="Times New Roman"/>
          <w:sz w:val="24"/>
          <w:szCs w:val="24"/>
        </w:rPr>
        <w:t xml:space="preserve">, the expert </w:t>
      </w:r>
      <w:r w:rsidRPr="00EC1AB2">
        <w:rPr>
          <w:rStyle w:val="hps"/>
          <w:rFonts w:ascii="Times New Roman" w:hAnsi="Times New Roman" w:cs="Times New Roman"/>
          <w:sz w:val="24"/>
          <w:szCs w:val="24"/>
        </w:rPr>
        <w:t>analysis</w:t>
      </w:r>
      <w:r w:rsidRPr="00EC1AB2">
        <w:rPr>
          <w:rFonts w:ascii="Times New Roman" w:hAnsi="Times New Roman" w:cs="Times New Roman"/>
          <w:sz w:val="24"/>
          <w:szCs w:val="24"/>
        </w:rPr>
        <w:t xml:space="preserve">, a SWOT </w:t>
      </w:r>
      <w:r w:rsidRPr="00EC1AB2">
        <w:rPr>
          <w:rStyle w:val="hps"/>
          <w:rFonts w:ascii="Times New Roman" w:hAnsi="Times New Roman" w:cs="Times New Roman"/>
          <w:sz w:val="24"/>
          <w:szCs w:val="24"/>
        </w:rPr>
        <w:t xml:space="preserve">analysis. </w:t>
      </w:r>
      <w:r w:rsidRPr="00EC1AB2">
        <w:rPr>
          <w:rFonts w:ascii="Times New Roman" w:hAnsi="Times New Roman" w:cs="Times New Roman"/>
          <w:sz w:val="24"/>
          <w:szCs w:val="24"/>
          <w:lang w:eastAsia="lt-LT"/>
        </w:rPr>
        <w:t xml:space="preserve">The paper consists of an introduction, three chapters, conclusions and recommendations. </w:t>
      </w:r>
    </w:p>
    <w:p w:rsidR="00E8257D" w:rsidRPr="00EC1AB2" w:rsidRDefault="00E8257D" w:rsidP="00E8257D">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rPr>
        <w:t xml:space="preserve">It was found that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 xml:space="preserve">Capital Funds investment influences positively both result categories of ongoing activities and indicators of the </w:t>
      </w:r>
      <w:r w:rsidRPr="00EC1AB2">
        <w:rPr>
          <w:rFonts w:ascii="Times New Roman" w:hAnsi="Times New Roman" w:cs="Times New Roman"/>
          <w:sz w:val="24"/>
          <w:szCs w:val="24"/>
          <w:lang w:eastAsia="lt-LT"/>
        </w:rPr>
        <w:t>innovation scoreboard</w:t>
      </w:r>
      <w:r w:rsidRPr="00EC1AB2">
        <w:rPr>
          <w:rFonts w:ascii="Times New Roman" w:hAnsi="Times New Roman" w:cs="Times New Roman"/>
          <w:sz w:val="24"/>
          <w:szCs w:val="24"/>
        </w:rPr>
        <w:t xml:space="preserve">, particularly there is positive impact on the economic impact group index by which Lithuania is in the last position if compared to other EU countries, therefore, it can be concluded that the large Lithuanian innovation lagging behind is partly associated with the non-prevalence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w:t>
      </w:r>
      <w:r w:rsidRPr="00EC1AB2">
        <w:rPr>
          <w:rFonts w:ascii="Times New Roman" w:hAnsi="Times New Roman" w:cs="Times New Roman"/>
          <w:sz w:val="24"/>
          <w:szCs w:val="24"/>
        </w:rPr>
        <w:t xml:space="preserve"> the country. </w:t>
      </w:r>
    </w:p>
    <w:p w:rsidR="00E8257D" w:rsidRPr="00EC1AB2" w:rsidRDefault="00E8257D" w:rsidP="00E8257D">
      <w:pPr>
        <w:spacing w:after="0" w:line="360" w:lineRule="auto"/>
        <w:ind w:firstLine="720"/>
        <w:jc w:val="both"/>
        <w:rPr>
          <w:rFonts w:ascii="Times New Roman" w:hAnsi="Times New Roman" w:cs="Times New Roman"/>
          <w:sz w:val="24"/>
          <w:szCs w:val="24"/>
        </w:rPr>
      </w:pPr>
      <w:r w:rsidRPr="00EC1AB2">
        <w:rPr>
          <w:rFonts w:ascii="Times New Roman" w:hAnsi="Times New Roman" w:cs="Times New Roman"/>
          <w:sz w:val="24"/>
          <w:szCs w:val="24"/>
          <w:lang w:eastAsia="lt-LT"/>
        </w:rPr>
        <w:lastRenderedPageBreak/>
        <w:t xml:space="preserve">Based on </w:t>
      </w:r>
      <w:r w:rsidRPr="00EC1AB2">
        <w:rPr>
          <w:rStyle w:val="hps"/>
          <w:rFonts w:ascii="Times New Roman" w:hAnsi="Times New Roman" w:cs="Times New Roman"/>
          <w:sz w:val="24"/>
          <w:szCs w:val="24"/>
        </w:rPr>
        <w:t xml:space="preserve">the expert survey results, the report of </w:t>
      </w:r>
      <w:r w:rsidRPr="00EC1AB2">
        <w:rPr>
          <w:rFonts w:ascii="Times New Roman" w:hAnsi="Times New Roman" w:cs="Times New Roman"/>
          <w:sz w:val="24"/>
          <w:szCs w:val="24"/>
          <w:lang w:eastAsia="lt-LT"/>
        </w:rPr>
        <w:t xml:space="preserve">EVCA and the analysis of </w:t>
      </w:r>
      <w:r w:rsidRPr="00EC1AB2">
        <w:rPr>
          <w:rFonts w:ascii="Times New Roman" w:hAnsi="Times New Roman" w:cs="Times New Roman"/>
          <w:bCs/>
          <w:sz w:val="24"/>
          <w:szCs w:val="24"/>
        </w:rPr>
        <w:t xml:space="preserve">The Global Venture Capital and Private Equity Country Attractiveness Index, the main issues hindering development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 Lithuania are distinguished:</w:t>
      </w:r>
      <w:r w:rsidRPr="00EC1AB2">
        <w:rPr>
          <w:rFonts w:ascii="Times New Roman" w:hAnsi="Times New Roman" w:cs="Times New Roman"/>
          <w:sz w:val="24"/>
          <w:szCs w:val="24"/>
        </w:rPr>
        <w:t xml:space="preserve"> lack of particular tax incentives encouraging the development of new and innovative businesses at an early stage of development, small spread of innovations, poor participation of retirement funds and insurance companies in the formation of venture capital investment, due to the stock market inefficiency the limited choice of implementation of </w:t>
      </w:r>
      <w:r w:rsidRPr="00EC1AB2">
        <w:rPr>
          <w:rStyle w:val="hps"/>
          <w:rFonts w:ascii="Times New Roman" w:hAnsi="Times New Roman" w:cs="Times New Roman"/>
          <w:sz w:val="24"/>
          <w:szCs w:val="24"/>
        </w:rPr>
        <w:t>Venture</w:t>
      </w:r>
      <w:r w:rsidRPr="00EC1AB2">
        <w:rPr>
          <w:rFonts w:ascii="Times New Roman" w:hAnsi="Times New Roman" w:cs="Times New Roman"/>
          <w:sz w:val="24"/>
          <w:szCs w:val="24"/>
        </w:rPr>
        <w:t xml:space="preserve"> </w:t>
      </w:r>
      <w:r w:rsidRPr="00EC1AB2">
        <w:rPr>
          <w:rStyle w:val="hps"/>
          <w:rFonts w:ascii="Times New Roman" w:hAnsi="Times New Roman" w:cs="Times New Roman"/>
          <w:sz w:val="24"/>
          <w:szCs w:val="24"/>
        </w:rPr>
        <w:t>Capital Funds investment</w:t>
      </w:r>
      <w:r w:rsidRPr="00EC1AB2">
        <w:rPr>
          <w:rFonts w:ascii="Times New Roman" w:hAnsi="Times New Roman" w:cs="Times New Roman"/>
          <w:bCs/>
          <w:sz w:val="24"/>
          <w:szCs w:val="24"/>
          <w:lang w:eastAsia="lt-LT"/>
        </w:rPr>
        <w:t>.</w:t>
      </w:r>
    </w:p>
    <w:p w:rsidR="00BC57A1" w:rsidRPr="00EC1AB2" w:rsidRDefault="00E8257D" w:rsidP="00E8257D">
      <w:pPr>
        <w:pStyle w:val="Heading1"/>
        <w:spacing w:before="0" w:after="0" w:line="360" w:lineRule="auto"/>
        <w:ind w:firstLine="720"/>
        <w:jc w:val="both"/>
        <w:rPr>
          <w:b w:val="0"/>
          <w:sz w:val="28"/>
          <w:szCs w:val="28"/>
        </w:rPr>
      </w:pPr>
      <w:bookmarkStart w:id="225" w:name="_Toc321092713"/>
      <w:r w:rsidRPr="00EC1AB2">
        <w:rPr>
          <w:b w:val="0"/>
          <w:bCs/>
          <w:sz w:val="24"/>
          <w:szCs w:val="24"/>
          <w:lang w:eastAsia="lt-LT"/>
        </w:rPr>
        <w:t xml:space="preserve">The following suggestions were presented: encouragement of the retirement and insurance companies to participate in process of </w:t>
      </w:r>
      <w:r w:rsidRPr="00EC1AB2">
        <w:rPr>
          <w:rStyle w:val="hps"/>
          <w:b w:val="0"/>
          <w:sz w:val="24"/>
          <w:szCs w:val="24"/>
        </w:rPr>
        <w:t>Venture</w:t>
      </w:r>
      <w:r w:rsidRPr="00EC1AB2">
        <w:rPr>
          <w:b w:val="0"/>
          <w:sz w:val="24"/>
          <w:szCs w:val="24"/>
        </w:rPr>
        <w:t xml:space="preserve"> </w:t>
      </w:r>
      <w:r w:rsidRPr="00EC1AB2">
        <w:rPr>
          <w:rStyle w:val="hps"/>
          <w:b w:val="0"/>
          <w:sz w:val="24"/>
          <w:szCs w:val="24"/>
        </w:rPr>
        <w:t xml:space="preserve">Capital Funds </w:t>
      </w:r>
      <w:r w:rsidRPr="00EC1AB2">
        <w:rPr>
          <w:b w:val="0"/>
          <w:bCs/>
          <w:sz w:val="24"/>
          <w:szCs w:val="24"/>
          <w:lang w:eastAsia="lt-LT"/>
        </w:rPr>
        <w:t>embodying</w:t>
      </w:r>
      <w:r w:rsidRPr="00EC1AB2">
        <w:rPr>
          <w:b w:val="0"/>
          <w:sz w:val="24"/>
          <w:szCs w:val="24"/>
          <w:lang w:eastAsia="lt-LT"/>
        </w:rPr>
        <w:t>, through tax incentives implementation of measures promoting a creatio</w:t>
      </w:r>
      <w:r w:rsidR="0050019E" w:rsidRPr="00EC1AB2">
        <w:rPr>
          <w:b w:val="0"/>
          <w:sz w:val="24"/>
          <w:szCs w:val="24"/>
          <w:lang w:eastAsia="lt-LT"/>
        </w:rPr>
        <w:t>n of high value-added business</w:t>
      </w:r>
      <w:r w:rsidRPr="00EC1AB2">
        <w:rPr>
          <w:b w:val="0"/>
          <w:sz w:val="24"/>
          <w:szCs w:val="24"/>
          <w:lang w:eastAsia="lt-LT"/>
        </w:rPr>
        <w:t>, creation of databases of scientific production and Lithuanian economy needs.</w:t>
      </w:r>
      <w:bookmarkEnd w:id="225"/>
    </w:p>
    <w:p w:rsidR="00932640" w:rsidRPr="00EC1AB2" w:rsidRDefault="00932640" w:rsidP="007A02A8">
      <w:pPr>
        <w:spacing w:after="0" w:line="360" w:lineRule="auto"/>
        <w:rPr>
          <w:rFonts w:ascii="Times New Roman" w:hAnsi="Times New Roman" w:cs="Times New Roman"/>
          <w:lang w:eastAsia="x-none"/>
        </w:rPr>
      </w:pPr>
      <w:r w:rsidRPr="00EC1AB2">
        <w:rPr>
          <w:rFonts w:ascii="Times New Roman" w:hAnsi="Times New Roman" w:cs="Times New Roman"/>
          <w:lang w:eastAsia="x-none"/>
        </w:rPr>
        <w:br w:type="page"/>
      </w:r>
    </w:p>
    <w:p w:rsidR="00A552BD" w:rsidRPr="00EC1AB2" w:rsidRDefault="00975B21" w:rsidP="00C73F43">
      <w:pPr>
        <w:pStyle w:val="Heading1"/>
        <w:spacing w:before="0" w:after="0" w:line="360" w:lineRule="auto"/>
        <w:rPr>
          <w:sz w:val="28"/>
          <w:szCs w:val="28"/>
        </w:rPr>
      </w:pPr>
      <w:bookmarkStart w:id="226" w:name="_Toc320567009"/>
      <w:bookmarkStart w:id="227" w:name="_Toc320567049"/>
      <w:bookmarkStart w:id="228" w:name="_Toc320567196"/>
      <w:bookmarkStart w:id="229" w:name="_Toc320761779"/>
      <w:bookmarkStart w:id="230" w:name="_Toc320761948"/>
      <w:bookmarkStart w:id="231" w:name="_Toc320762183"/>
      <w:bookmarkStart w:id="232" w:name="_Toc320762586"/>
      <w:bookmarkStart w:id="233" w:name="_Toc321092714"/>
      <w:r w:rsidRPr="00EC1AB2">
        <w:rPr>
          <w:sz w:val="28"/>
          <w:szCs w:val="28"/>
        </w:rPr>
        <w:lastRenderedPageBreak/>
        <w:t>PRIEDAI</w:t>
      </w:r>
      <w:bookmarkEnd w:id="226"/>
      <w:bookmarkEnd w:id="227"/>
      <w:bookmarkEnd w:id="228"/>
      <w:bookmarkEnd w:id="229"/>
      <w:bookmarkEnd w:id="230"/>
      <w:bookmarkEnd w:id="231"/>
      <w:bookmarkEnd w:id="232"/>
      <w:bookmarkEnd w:id="233"/>
    </w:p>
    <w:p w:rsidR="00FF1B3D" w:rsidRPr="00EC1AB2" w:rsidRDefault="00316E04" w:rsidP="007A02A8">
      <w:pPr>
        <w:pStyle w:val="Heading1"/>
        <w:spacing w:before="0" w:after="0" w:line="360" w:lineRule="auto"/>
        <w:jc w:val="right"/>
        <w:rPr>
          <w:sz w:val="24"/>
          <w:szCs w:val="24"/>
        </w:rPr>
      </w:pPr>
      <w:bookmarkStart w:id="234" w:name="_Toc320761780"/>
      <w:bookmarkStart w:id="235" w:name="_Toc320761949"/>
      <w:bookmarkStart w:id="236" w:name="_Toc320762184"/>
      <w:bookmarkStart w:id="237" w:name="_Toc320762587"/>
      <w:bookmarkStart w:id="238" w:name="_Toc321092715"/>
      <w:r w:rsidRPr="00EC1AB2">
        <w:rPr>
          <w:sz w:val="24"/>
          <w:szCs w:val="24"/>
        </w:rPr>
        <w:t>1 PRIEDAS</w:t>
      </w:r>
      <w:bookmarkEnd w:id="234"/>
      <w:bookmarkEnd w:id="235"/>
      <w:bookmarkEnd w:id="236"/>
      <w:bookmarkEnd w:id="237"/>
      <w:bookmarkEnd w:id="238"/>
    </w:p>
    <w:p w:rsidR="00FF1B3D" w:rsidRPr="00EC1AB2" w:rsidRDefault="00977365"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SUMINIS INOVATYVUMO INDEKSAS ES 2007-2010 M.</w:t>
      </w:r>
    </w:p>
    <w:p w:rsidR="00977365" w:rsidRPr="00EC1AB2" w:rsidRDefault="00977365" w:rsidP="007A02A8">
      <w:pPr>
        <w:autoSpaceDE w:val="0"/>
        <w:autoSpaceDN w:val="0"/>
        <w:adjustRightInd w:val="0"/>
        <w:spacing w:after="0" w:line="360" w:lineRule="auto"/>
        <w:ind w:firstLine="1296"/>
        <w:jc w:val="both"/>
        <w:rPr>
          <w:rFonts w:ascii="Times New Roman" w:hAnsi="Times New Roman" w:cs="Times New Roman"/>
          <w:sz w:val="24"/>
          <w:szCs w:val="24"/>
        </w:rPr>
      </w:pPr>
    </w:p>
    <w:p w:rsidR="00B06D5D" w:rsidRPr="00EC1AB2" w:rsidRDefault="00B06D5D" w:rsidP="007A02A8">
      <w:pPr>
        <w:tabs>
          <w:tab w:val="left" w:pos="3546"/>
        </w:tabs>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sz w:val="24"/>
          <w:szCs w:val="24"/>
          <w:lang w:eastAsia="lt-LT"/>
        </w:rPr>
        <mc:AlternateContent>
          <mc:Choice Requires="wpg">
            <w:drawing>
              <wp:anchor distT="0" distB="0" distL="114300" distR="114300" simplePos="0" relativeHeight="251954176" behindDoc="0" locked="0" layoutInCell="1" allowOverlap="1" wp14:anchorId="31B7930C" wp14:editId="6A9108ED">
                <wp:simplePos x="0" y="0"/>
                <wp:positionH relativeFrom="column">
                  <wp:posOffset>271145</wp:posOffset>
                </wp:positionH>
                <wp:positionV relativeFrom="paragraph">
                  <wp:posOffset>3000375</wp:posOffset>
                </wp:positionV>
                <wp:extent cx="3286125" cy="495300"/>
                <wp:effectExtent l="0" t="0" r="0" b="0"/>
                <wp:wrapNone/>
                <wp:docPr id="190" name="Group 190"/>
                <wp:cNvGraphicFramePr/>
                <a:graphic xmlns:a="http://schemas.openxmlformats.org/drawingml/2006/main">
                  <a:graphicData uri="http://schemas.microsoft.com/office/word/2010/wordprocessingGroup">
                    <wpg:wgp>
                      <wpg:cNvGrpSpPr/>
                      <wpg:grpSpPr>
                        <a:xfrm>
                          <a:off x="0" y="0"/>
                          <a:ext cx="3286125" cy="495300"/>
                          <a:chOff x="0" y="0"/>
                          <a:chExt cx="3286125" cy="495300"/>
                        </a:xfrm>
                      </wpg:grpSpPr>
                      <wps:wsp>
                        <wps:cNvPr id="191" name="TextBox 2"/>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B06D5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B06D5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wps:wsp>
                        <wps:cNvPr id="192" name="Rectangle 3"/>
                        <wps:cNvSpPr/>
                        <wps:spPr>
                          <a:xfrm>
                            <a:off x="133350" y="28575"/>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3" name="Rectangle 4"/>
                        <wps:cNvSpPr/>
                        <wps:spPr>
                          <a:xfrm>
                            <a:off x="1543050" y="28575"/>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4" name="Rectangle 5"/>
                        <wps:cNvSpPr/>
                        <wps:spPr>
                          <a:xfrm>
                            <a:off x="133350" y="20955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5" name="Rectangle 6"/>
                        <wps:cNvSpPr/>
                        <wps:spPr>
                          <a:xfrm>
                            <a:off x="1543050" y="20955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90" o:spid="_x0000_s1048" style="position:absolute;left:0;text-align:left;margin-left:21.35pt;margin-top:236.25pt;width:258.75pt;height:39pt;z-index:251954176;mso-height-relative:margin" coordsize="3286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KhJAQAANYVAAAOAAAAZHJzL2Uyb0RvYy54bWzsWFFv2zYQfh/Q/0DovbEsWUlsxClSNwkG&#10;ZG3QZOgzTVGyUIpkSTp29ut3PEqyaidtkgLZhvlFtsi74/Hu++4onrxb14LccWMrJafR8CCOCJdM&#10;5ZUsp9GftxdvjyNiHZU5FUryaXTPbfTu9M1vJys94YlaKJFzQ8CItJOVnkYL5/RkMLBswWtqD5Tm&#10;EiYLZWrq4NWUg9zQFVivxSCJ48PBSplcG8W4tTD6IUxGp2i/KDhzn4rCckfENALfHD4NPuf+OTg9&#10;oZPSUL2oWOMGfYEXNa0kLNqZ+kAdJUtT7ZiqK2aUVYU7YKoeqKKoGMc9wG6G8dZuLo1aatxLOVmV&#10;ugsThHYrTi82yz7eXRtS5ZC7McRH0hqShOsSPwDhWelyAlKXRt/oa9MMlOHN73hdmNr/wl7IGgN7&#10;3wWWrx1hMJgmx4fDJIsIg7nROEvjJvJsAenZUWOL8x8rDtplB967zpmVBhDZTZzsr8XpZkE1x/Bb&#10;H4EuTsM2Trewv/dqTZIQJ5TyQSJuDcMQ0nbcwuAvxqrbMp1oY90lVzXxf6aRAZAj9ujdlXWQIBBt&#10;RfyiUl1UQiDQhSSraTTOMBW1hqxbWaJuJwTKQoINH8vgNv5z94J7Y0J+5gXgBTPtBywz5XwmDAmk&#10;AmgCjFpqoTFQ8IIFOPFM3UbFa3Pk8jP1OyVcX0nX6deVVAY3jpWG+w3cUagR+VdMGjheBPk2FCEA&#10;PhZuPV8jY5Iuv3OV30PaoQ66T/AohIIwM1HpiCyU+Wt7bAX1BkL/bUkNj4hxYqZCeaKSgfw0CvmU&#10;6mzpVFFhTv3KYZnGIwC6J+erID5pEf8ZsEZlKThJW2wDM7rC0EKmpWdXFYZpmmYADKB/cpwdZV4Z&#10;ktqw3AMSJn1xGMajozANKWhLS4vmJwLeKlHlHvN+ja38Usa4dIeYerGs/1B5yPtRFoeaBMt2Kkil&#10;76x5avQYhfhuEYIcf4wsyUNgC84Mw9SC5jz44l3B+rjjC7IPwdwnU2PAt8wNkFvboR78nEk/UH4B&#10;jYT7KY0azhgVerLV7KKCenZFrbumBpowIOKphPJyUOuBahH5nlzidwldYDwcjcCcw5dRdpTAi+nP&#10;zPszclkjIaHOg1ctN3s0LYyqv8C548yvCqY2tG3+zlyohnBuYfzsDIWg32vqruSNZr4z+Cx6XN+u&#10;v1CjG2Q7YMRH1fYdOtmq6EE2IPDfUhrS3dIwel5pyEZp/A/VhqZ1YeWfxeejdOZd97Trl5A96Zte&#10;GPr+o71zT3ok+v+A9KNd0mNL993v2eeBeJwB/V/vQNAn/fj9eXZ+sSd9E4F9p/ftfN/pH/zshc/3&#10;cD2w+Qg49Lh5Oun7nf61Wf/w6difpfqfAY8fvfcngn1x+C8WB7whg8tDPNY2F53+drL/jl+wm+vY&#10;078BAAD//wMAUEsDBBQABgAIAAAAIQAjpr8n4QAAAAoBAAAPAAAAZHJzL2Rvd25yZXYueG1sTI/B&#10;asMwDIbvg72D0WC31U42tyWNU0rZdiqDtYOxmxurSWhsh9hN0refdlpPktDHr0/5erItG7APjXcK&#10;kpkAhq70pnGVgq/D29MSWIjaGd16hwquGGBd3N/lOjN+dJ847GPFKMSFTCuoY+wyzkNZo9Vh5jt0&#10;tDv53upIY19x0+uRwm3LUyHm3OrG0YVad7itsTzvL1bB+6jHzXPyOuzOp+315yA/vncJKvX4MG1W&#10;wCJO8R+GP31Sh4Kcjv7iTGCtgpd0QSTVRSqBESDnIgV2pEYKCbzI+e0LxS8AAAD//wMAUEsBAi0A&#10;FAAGAAgAAAAhALaDOJL+AAAA4QEAABMAAAAAAAAAAAAAAAAAAAAAAFtDb250ZW50X1R5cGVzXS54&#10;bWxQSwECLQAUAAYACAAAACEAOP0h/9YAAACUAQAACwAAAAAAAAAAAAAAAAAvAQAAX3JlbHMvLnJl&#10;bHNQSwECLQAUAAYACAAAACEA2PECoSQEAADWFQAADgAAAAAAAAAAAAAAAAAuAgAAZHJzL2Uyb0Rv&#10;Yy54bWxQSwECLQAUAAYACAAAACEAI6a/J+EAAAAKAQAADwAAAAAAAAAAAAAAAAB+BgAAZHJzL2Rv&#10;d25yZXYueG1sUEsFBgAAAAAEAAQA8wAAAIwHAAAAAA==&#10;">
                <v:shape id="_x0000_s1049" type="#_x0000_t202" style="position:absolute;width:3286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A03476" w:rsidRPr="00CB652D" w:rsidRDefault="00A03476" w:rsidP="00B06D5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B06D5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v:rect id="Rectangle 3" o:spid="_x0000_s1050" style="position:absolute;left:1333;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OcQA&#10;AADcAAAADwAAAGRycy9kb3ducmV2LnhtbERPTWvCQBC9F/wPywi91Y1CSxNdRYUEoUhp0h68Ddlp&#10;EpqdDdk1if/eLRR6m8f7nM1uMq0YqHeNZQXLRQSCuLS64UrBZ5E+vYJwHllja5kU3MjBbjt72GCi&#10;7cgfNOS+EiGEXYIKau+7REpX1mTQLWxHHLhv2xv0AfaV1D2OIdy0chVFL9Jgw6Ghxo6ONZU/+dUo&#10;eCv84fCeZenlOdNf8Tk7FnKfK/U4n/ZrEJ4m/y/+c590mB+v4PeZcIH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r5znEAAAA3AAAAA8AAAAAAAAAAAAAAAAAmAIAAGRycy9k&#10;b3ducmV2LnhtbFBLBQYAAAAABAAEAPUAAACJAwAAAAA=&#10;" fillcolor="#e36c0a [2409]" stroked="f" strokeweight="2pt"/>
                <v:rect id="Rectangle 4" o:spid="_x0000_s1051" style="position:absolute;left:15430;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jg8UA&#10;AADcAAAADwAAAGRycy9kb3ducmV2LnhtbERP32vCMBB+H+x/CDfY20znQLQaRSaDiSKuVcS3o7k1&#10;Zc2lNFHr/nozEPZ2H9/Pm8w6W4sztb5yrOC1l4AgLpyuuFSwyz9ehiB8QNZYOyYFV/Iwmz4+TDDV&#10;7sJfdM5CKWII+xQVmBCaVEpfGLLoe64hjty3ay2GCNtS6hYvMdzWsp8kA2mx4thgsKF3Q8VPdrIK&#10;9tl+uRkctqt6kZvR79wsh+vmqNTzUzcfgwjUhX/x3f2p4/zRG/w9Ey+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eODxQAAANwAAAAPAAAAAAAAAAAAAAAAAJgCAABkcnMv&#10;ZG93bnJldi54bWxQSwUGAAAAAAQABAD1AAAAigMAAAAA&#10;" fillcolor="#c0e43c" stroked="f" strokeweight="2pt"/>
                <v:rect id="Rectangle 5" o:spid="_x0000_s1052" style="position:absolute;left:1333;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zO8EA&#10;AADcAAAADwAAAGRycy9kb3ducmV2LnhtbERP24rCMBB9X/Afwgi+rYkXRKtRVBAEYWFVEN+GZmyL&#10;zaQ0sda/N8LCvs3hXGexam0pGqp94VjDoK9AEKfOFJxpOJ9231MQPiAbLB2Thhd5WC07XwtMjHvy&#10;LzXHkIkYwj5BDXkIVSKlT3Oy6PuuIo7czdUWQ4R1Jk2NzxhuSzlUaiItFhwbcqxom1N6Pz6shotp&#10;LoeRug3vP7vr5npSbCZj1rrXbddzEIHa8C/+c+9NnD8bw+eZeIF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szvBAAAA3AAAAA8AAAAAAAAAAAAAAAAAmAIAAGRycy9kb3du&#10;cmV2LnhtbFBLBQYAAAAABAAEAPUAAACGAwAAAAA=&#10;" fillcolor="#9be5ef" stroked="f" strokeweight="2pt"/>
                <v:rect id="Rectangle 6" o:spid="_x0000_s1053" style="position:absolute;left:15430;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picIA&#10;AADcAAAADwAAAGRycy9kb3ducmV2LnhtbERPTWvCQBC9F/oflil4Kbqp2Kqpq6ggeBNTDzmO2WkS&#10;zM6G3a2J/94VhN7m8T5nsepNI67kfG1ZwccoAUFcWF1zqeD0sxvOQPiArLGxTApu5GG1fH1ZYKpt&#10;x0e6ZqEUMYR9igqqENpUSl9UZNCPbEscuV/rDIYIXSm1wy6Gm0aOk+RLGqw5NlTY0rai4pL9GQWH&#10;fDd1iT/rzWVd2Pzd5Jummyg1eOvX3yAC9eFf/HTvdZw//4TH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GmJwgAAANwAAAAPAAAAAAAAAAAAAAAAAJgCAABkcnMvZG93&#10;bnJldi54bWxQSwUGAAAAAAQABAD1AAAAhwMAAAAA&#10;" fillcolor="#243f60 [1604]" stroked="f" strokeweight="2pt"/>
              </v:group>
            </w:pict>
          </mc:Fallback>
        </mc:AlternateContent>
      </w:r>
      <w:r w:rsidR="00B92F32" w:rsidRPr="00EC1AB2">
        <w:rPr>
          <w:rFonts w:ascii="Times New Roman" w:hAnsi="Times New Roman" w:cs="Times New Roman"/>
          <w:noProof/>
          <w:lang w:eastAsia="lt-LT"/>
        </w:rPr>
        <w:drawing>
          <wp:anchor distT="0" distB="0" distL="114300" distR="114300" simplePos="0" relativeHeight="251673600" behindDoc="1" locked="0" layoutInCell="1" allowOverlap="1" wp14:anchorId="59105692" wp14:editId="62D5FD26">
            <wp:simplePos x="0" y="0"/>
            <wp:positionH relativeFrom="column">
              <wp:posOffset>-128905</wp:posOffset>
            </wp:positionH>
            <wp:positionV relativeFrom="paragraph">
              <wp:posOffset>34925</wp:posOffset>
            </wp:positionV>
            <wp:extent cx="5867400" cy="2752725"/>
            <wp:effectExtent l="0" t="0" r="0" b="0"/>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page">
              <wp14:pctWidth>0</wp14:pctWidth>
            </wp14:sizeRelH>
            <wp14:sizeRelV relativeFrom="page">
              <wp14:pctHeight>0</wp14:pctHeight>
            </wp14:sizeRelV>
          </wp:anchor>
        </w:drawing>
      </w:r>
    </w:p>
    <w:p w:rsidR="001840E2" w:rsidRPr="00EC1AB2" w:rsidRDefault="001840E2" w:rsidP="007A02A8">
      <w:pPr>
        <w:autoSpaceDE w:val="0"/>
        <w:autoSpaceDN w:val="0"/>
        <w:adjustRightInd w:val="0"/>
        <w:spacing w:after="0" w:line="360" w:lineRule="auto"/>
        <w:ind w:firstLine="1296"/>
        <w:jc w:val="both"/>
        <w:rPr>
          <w:rFonts w:ascii="Times New Roman" w:hAnsi="Times New Roman" w:cs="Times New Roman"/>
          <w:sz w:val="24"/>
          <w:szCs w:val="24"/>
        </w:rPr>
      </w:pPr>
      <w:r w:rsidRPr="00EC1AB2">
        <w:rPr>
          <w:rFonts w:ascii="Times New Roman" w:hAnsi="Times New Roman" w:cs="Times New Roman"/>
          <w:noProof/>
          <w:lang w:eastAsia="lt-LT"/>
        </w:rPr>
        <w:drawing>
          <wp:anchor distT="0" distB="0" distL="114300" distR="114300" simplePos="0" relativeHeight="251674624" behindDoc="1" locked="0" layoutInCell="1" allowOverlap="1" wp14:anchorId="465D7A0A" wp14:editId="0B1FA64E">
            <wp:simplePos x="0" y="0"/>
            <wp:positionH relativeFrom="column">
              <wp:posOffset>-43180</wp:posOffset>
            </wp:positionH>
            <wp:positionV relativeFrom="paragraph">
              <wp:posOffset>-3175</wp:posOffset>
            </wp:positionV>
            <wp:extent cx="5867400" cy="2752725"/>
            <wp:effectExtent l="0" t="0" r="0" b="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p>
    <w:p w:rsidR="00B06D5D" w:rsidRPr="00EC1AB2" w:rsidRDefault="00B06D5D" w:rsidP="007A02A8">
      <w:pPr>
        <w:autoSpaceDE w:val="0"/>
        <w:autoSpaceDN w:val="0"/>
        <w:adjustRightInd w:val="0"/>
        <w:spacing w:after="0" w:line="360" w:lineRule="auto"/>
        <w:ind w:firstLine="1296"/>
        <w:jc w:val="right"/>
        <w:rPr>
          <w:rFonts w:ascii="Times New Roman" w:hAnsi="Times New Roman" w:cs="Times New Roman"/>
          <w:sz w:val="24"/>
          <w:szCs w:val="24"/>
        </w:rPr>
      </w:pPr>
    </w:p>
    <w:p w:rsidR="00B06D5D" w:rsidRPr="00EC1AB2" w:rsidRDefault="00B06D5D" w:rsidP="007A02A8">
      <w:pPr>
        <w:autoSpaceDE w:val="0"/>
        <w:autoSpaceDN w:val="0"/>
        <w:adjustRightInd w:val="0"/>
        <w:spacing w:after="0" w:line="360" w:lineRule="auto"/>
        <w:ind w:firstLine="1296"/>
        <w:jc w:val="right"/>
        <w:rPr>
          <w:rFonts w:ascii="Times New Roman" w:hAnsi="Times New Roman" w:cs="Times New Roman"/>
          <w:sz w:val="24"/>
          <w:szCs w:val="24"/>
        </w:rPr>
      </w:pPr>
    </w:p>
    <w:p w:rsidR="00442ED1" w:rsidRPr="00EC1AB2" w:rsidRDefault="00442ED1" w:rsidP="00A86B78">
      <w:pPr>
        <w:autoSpaceDE w:val="0"/>
        <w:autoSpaceDN w:val="0"/>
        <w:adjustRightInd w:val="0"/>
        <w:spacing w:after="0" w:line="360" w:lineRule="auto"/>
        <w:rPr>
          <w:rFonts w:ascii="Times New Roman" w:hAnsi="Times New Roman" w:cs="Times New Roman"/>
          <w:sz w:val="24"/>
          <w:szCs w:val="24"/>
        </w:rPr>
      </w:pPr>
    </w:p>
    <w:p w:rsidR="00442ED1" w:rsidRPr="00EC1AB2" w:rsidRDefault="00442ED1" w:rsidP="00A86B78">
      <w:pPr>
        <w:autoSpaceDE w:val="0"/>
        <w:autoSpaceDN w:val="0"/>
        <w:adjustRightInd w:val="0"/>
        <w:spacing w:after="0" w:line="360" w:lineRule="auto"/>
        <w:rPr>
          <w:rFonts w:ascii="Times New Roman" w:hAnsi="Times New Roman" w:cs="Times New Roman"/>
          <w:sz w:val="24"/>
          <w:szCs w:val="24"/>
        </w:rPr>
      </w:pPr>
    </w:p>
    <w:p w:rsidR="00442ED1" w:rsidRPr="00EC1AB2" w:rsidRDefault="00442ED1" w:rsidP="00A86B78">
      <w:pPr>
        <w:autoSpaceDE w:val="0"/>
        <w:autoSpaceDN w:val="0"/>
        <w:adjustRightInd w:val="0"/>
        <w:spacing w:after="0" w:line="360" w:lineRule="auto"/>
        <w:rPr>
          <w:rFonts w:ascii="Times New Roman" w:hAnsi="Times New Roman" w:cs="Times New Roman"/>
          <w:sz w:val="24"/>
          <w:szCs w:val="24"/>
        </w:rPr>
      </w:pPr>
    </w:p>
    <w:p w:rsidR="000F3B2C" w:rsidRPr="00EC1AB2" w:rsidRDefault="000F3B2C" w:rsidP="00442ED1">
      <w:pPr>
        <w:autoSpaceDE w:val="0"/>
        <w:autoSpaceDN w:val="0"/>
        <w:adjustRightInd w:val="0"/>
        <w:spacing w:after="0" w:line="360" w:lineRule="auto"/>
        <w:jc w:val="right"/>
        <w:rPr>
          <w:rFonts w:ascii="Times New Roman" w:hAnsi="Times New Roman" w:cs="Times New Roman"/>
          <w:sz w:val="24"/>
          <w:szCs w:val="24"/>
        </w:rPr>
      </w:pPr>
      <w:r w:rsidRPr="00EC1AB2">
        <w:rPr>
          <w:rFonts w:ascii="Times New Roman" w:hAnsi="Times New Roman" w:cs="Times New Roman"/>
          <w:sz w:val="24"/>
          <w:szCs w:val="24"/>
        </w:rPr>
        <w:t>1 priedo tęsinys kitame puslapyje</w:t>
      </w:r>
    </w:p>
    <w:p w:rsidR="001840E2" w:rsidRPr="00EC1AB2" w:rsidRDefault="001840E2" w:rsidP="00442ED1">
      <w:pPr>
        <w:autoSpaceDE w:val="0"/>
        <w:autoSpaceDN w:val="0"/>
        <w:adjustRightInd w:val="0"/>
        <w:spacing w:after="0" w:line="360" w:lineRule="auto"/>
        <w:jc w:val="right"/>
        <w:rPr>
          <w:rFonts w:ascii="Times New Roman" w:hAnsi="Times New Roman" w:cs="Times New Roman"/>
          <w:sz w:val="24"/>
          <w:szCs w:val="24"/>
        </w:rPr>
      </w:pPr>
      <w:r w:rsidRPr="00EC1AB2">
        <w:rPr>
          <w:rFonts w:ascii="Times New Roman" w:hAnsi="Times New Roman" w:cs="Times New Roman"/>
          <w:noProof/>
          <w:lang w:eastAsia="lt-LT"/>
        </w:rPr>
        <w:lastRenderedPageBreak/>
        <w:drawing>
          <wp:anchor distT="0" distB="0" distL="114300" distR="114300" simplePos="0" relativeHeight="251675648" behindDoc="1" locked="0" layoutInCell="1" allowOverlap="1" wp14:anchorId="583BBB8D" wp14:editId="0696F96D">
            <wp:simplePos x="0" y="0"/>
            <wp:positionH relativeFrom="column">
              <wp:posOffset>23495</wp:posOffset>
            </wp:positionH>
            <wp:positionV relativeFrom="paragraph">
              <wp:posOffset>327660</wp:posOffset>
            </wp:positionV>
            <wp:extent cx="5867400" cy="2752725"/>
            <wp:effectExtent l="0" t="0" r="0" b="0"/>
            <wp:wrapTopAndBottom/>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rsidR="000F3B2C" w:rsidRPr="00EC1AB2">
        <w:rPr>
          <w:rFonts w:ascii="Times New Roman" w:hAnsi="Times New Roman" w:cs="Times New Roman"/>
          <w:sz w:val="24"/>
          <w:szCs w:val="24"/>
        </w:rPr>
        <w:t>1 priedo tęsinys</w:t>
      </w:r>
    </w:p>
    <w:p w:rsidR="000F3B2C" w:rsidRPr="00EC1AB2" w:rsidRDefault="00B06D5D" w:rsidP="007A02A8">
      <w:pPr>
        <w:autoSpaceDE w:val="0"/>
        <w:autoSpaceDN w:val="0"/>
        <w:adjustRightInd w:val="0"/>
        <w:spacing w:after="0" w:line="360" w:lineRule="auto"/>
        <w:jc w:val="both"/>
        <w:rPr>
          <w:rFonts w:ascii="Times New Roman" w:hAnsi="Times New Roman" w:cs="Times New Roman"/>
          <w:sz w:val="24"/>
          <w:szCs w:val="24"/>
        </w:rPr>
      </w:pPr>
      <w:r w:rsidRPr="00EC1AB2">
        <w:rPr>
          <w:rFonts w:ascii="Times New Roman" w:hAnsi="Times New Roman" w:cs="Times New Roman"/>
          <w:noProof/>
          <w:sz w:val="24"/>
          <w:szCs w:val="24"/>
          <w:lang w:eastAsia="lt-LT"/>
        </w:rPr>
        <mc:AlternateContent>
          <mc:Choice Requires="wpg">
            <w:drawing>
              <wp:anchor distT="0" distB="0" distL="114300" distR="114300" simplePos="0" relativeHeight="251723776" behindDoc="0" locked="0" layoutInCell="1" allowOverlap="1" wp14:anchorId="68EB7EF8" wp14:editId="2D72EF06">
                <wp:simplePos x="0" y="0"/>
                <wp:positionH relativeFrom="column">
                  <wp:posOffset>118745</wp:posOffset>
                </wp:positionH>
                <wp:positionV relativeFrom="paragraph">
                  <wp:posOffset>2663190</wp:posOffset>
                </wp:positionV>
                <wp:extent cx="3286125" cy="495300"/>
                <wp:effectExtent l="0" t="0" r="0" b="0"/>
                <wp:wrapNone/>
                <wp:docPr id="183" name="Group 183"/>
                <wp:cNvGraphicFramePr/>
                <a:graphic xmlns:a="http://schemas.openxmlformats.org/drawingml/2006/main">
                  <a:graphicData uri="http://schemas.microsoft.com/office/word/2010/wordprocessingGroup">
                    <wpg:wgp>
                      <wpg:cNvGrpSpPr/>
                      <wpg:grpSpPr>
                        <a:xfrm>
                          <a:off x="0" y="0"/>
                          <a:ext cx="3286125" cy="495300"/>
                          <a:chOff x="0" y="0"/>
                          <a:chExt cx="3286125" cy="495300"/>
                        </a:xfrm>
                      </wpg:grpSpPr>
                      <wps:wsp>
                        <wps:cNvPr id="55" name="TextBox 2"/>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2424B6">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2424B6">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wps:wsp>
                        <wps:cNvPr id="56" name="Rectangle 3"/>
                        <wps:cNvSpPr/>
                        <wps:spPr>
                          <a:xfrm>
                            <a:off x="133350" y="28575"/>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7" name="Rectangle 4"/>
                        <wps:cNvSpPr/>
                        <wps:spPr>
                          <a:xfrm>
                            <a:off x="1543050" y="28575"/>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8" name="Rectangle 5"/>
                        <wps:cNvSpPr/>
                        <wps:spPr>
                          <a:xfrm>
                            <a:off x="133350" y="20955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9" name="Rectangle 6"/>
                        <wps:cNvSpPr/>
                        <wps:spPr>
                          <a:xfrm>
                            <a:off x="1543050" y="20955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83" o:spid="_x0000_s1054" style="position:absolute;left:0;text-align:left;margin-left:9.35pt;margin-top:209.7pt;width:258.75pt;height:39pt;z-index:251723776;mso-height-relative:margin" coordsize="3286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8pLwQAANEVAAAOAAAAZHJzL2Uyb0RvYy54bWzsWNtu2zgQfV+g/0DovbF8kR0bcYrUTYIF&#10;sm3QZNFnmqJkYSmSS9Kxsl+/w6Ekq3bSpimQXuAX2bzMcDhzzsxIJ2+qUpA7bmyh5DzqH8UR4ZKp&#10;tJD5PPr79uL1cUSsozKlQkk+j+65jd6cvvrjZKNnfKBWSqTcEFAi7Wyj59HKOT3r9Sxb8ZLaI6W5&#10;hMVMmZI6GJq8lxq6Ae2l6A3ieNzbKJNqoxi3FmbfhcXoFPVnGWfuQ5ZZ7oiYR2Cbw6fB59I/e6cn&#10;dJYbqlcFq82gz7CipIWEQ1tV76ijZG2KPVVlwYyyKnNHTJU9lWUF43gHuE0/3rnNpVFrjXfJZ5tc&#10;t24C1+746dlq2fu7a0OKFGJ3PIyIpCUECc8lfgLcs9H5DHZdGn2jr009kYeRv3GVmdL/wl1IhY69&#10;bx3LK0cYTA4Hx+P+IIkIg7XRNBnGtefZCsKzJ8ZW518W7DXH9rx1rTEbDSCyWz/Z7/PTzYpqju63&#10;3gO1nxK4RnDTLVzvrarIILgJN3kfEVfBNHi0mbcw+Z2uam9MZ9pYd8lVSfyfeWQA4wg9endlHcQH&#10;tjZb/KFSXRRCIM6FJJt5NE0wEqWGoFuZo2y7CYSFBB3elcFs/OfuBffKhPzIM4ALBtpPWGby5UIY&#10;EjgFyASWNcxCZSDgN2ZgxDfK1iJemiOVv1G+FcLzlXStfFlIZfDimGi4v8AdhRSR/oNBA8OzsL9x&#10;RXCA94WrlhUSZtDGfanSewg7pEH3AR6ZUOBmJgodkZUy/+3ObSDdgOv/XVPDI2KcWKiQnahksH8e&#10;hXhKdbZ2Kiswpv7kcExtEeDcc/MlAD9uAP8RoEZlLjipM0MLeUwLDWIacrY5oT8cDhPABZB/cJxM&#10;Es8LiGnNcY9HWPSpoR+PJmEZItAklgbMT8S7VaJIPeT9GTvhpYxx6cYYebEu/1JpCPskiUNGgmNb&#10;EWTSZ9o8MzqEQng3AEGKP8aVwUNYC8b0w9KKpjzY4k3B7LhnC5IPsdzlUq3AF8wtjhvdIR18nUhf&#10;EH4Gi4T7KotqyhgVKrLV7KKAdHZFrbumBkowIOKpfPL7INMD0yLyObfEnxJqwLQ/GoE6h4NRMhnA&#10;wHRXlt0VuS6Rj31oXDRrqNlhaWZU+Qm6jjN/Kqjasrb+u3AhGULXwvjZGW6Caq+pu5I3mvnC4KPo&#10;cX1bfaJG18h2wIj3qqk6dLaT0MPegMCfJDNM9jPDqCl6UDHbhuHxzJCMhvEPSg114cK8v4jPR8OF&#10;N92zrptBDpyvK2Go+o9WzgPnkee/P+fhhS60v9tuAAu6r31P43ynG4inCbD/5dqBLuenb8+T84sD&#10;52sPHOq8L+aHOv/QK+90n/NjD5unc75b51+a9A+3xr6R6r4DPN53H/qBQ274FXMDfhyD74bY1Nbf&#10;OP2Hye4YX1+3X2JP/wcAAP//AwBQSwMEFAAGAAgAAAAhAMGaKI/hAAAACgEAAA8AAABkcnMvZG93&#10;bnJldi54bWxMj01PwzAMhu9I/IfISNxY2q37Kk2naQJOExIbEuLmNV5brUmqJmu7f485wfG1H71+&#10;nG1G04ieOl87qyCeRCDIFk7XtlTweXx9WoHwAa3GxllScCMPm/z+LsNUu8F+UH8IpeAS61NUUIXQ&#10;plL6oiKDfuJasrw7u85g4NiVUnc4cLlp5DSKFtJgbflChS3tKiouh6tR8DbgsJ3FL/3+ct7dvo/z&#10;9699TEo9PozbZxCBxvAHw68+q0POTid3tdqLhvNqyaSCJF4nIBiYzxZTECeerJcJyDyT/1/IfwAA&#10;AP//AwBQSwECLQAUAAYACAAAACEAtoM4kv4AAADhAQAAEwAAAAAAAAAAAAAAAAAAAAAAW0NvbnRl&#10;bnRfVHlwZXNdLnhtbFBLAQItABQABgAIAAAAIQA4/SH/1gAAAJQBAAALAAAAAAAAAAAAAAAAAC8B&#10;AABfcmVscy8ucmVsc1BLAQItABQABgAIAAAAIQBTE08pLwQAANEVAAAOAAAAAAAAAAAAAAAAAC4C&#10;AABkcnMvZTJvRG9jLnhtbFBLAQItABQABgAIAAAAIQDBmiiP4QAAAAoBAAAPAAAAAAAAAAAAAAAA&#10;AIkGAABkcnMvZG93bnJldi54bWxQSwUGAAAAAAQABADzAAAAlwcAAAAA&#10;">
                <v:shape id="_x0000_s1055" type="#_x0000_t202" style="position:absolute;width:3286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A03476" w:rsidRPr="00CB652D" w:rsidRDefault="00A03476" w:rsidP="002424B6">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2424B6">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v:rect id="Rectangle 3" o:spid="_x0000_s1056" style="position:absolute;left:1333;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1PcUA&#10;AADbAAAADwAAAGRycy9kb3ducmV2LnhtbESPQWvCQBSE7wX/w/KE3upGIaGNrqKCoSBSmrQHb4/s&#10;axKafRuy2yT9965Q6HGYmW+YzW4yrRiod41lBctFBIK4tLrhSsFHcXp6BuE8ssbWMin4JQe77exh&#10;g6m2I7/TkPtKBAi7FBXU3neplK6syaBb2I44eF+2N+iD7CupexwD3LRyFUWJNNhwWKixo2NN5Xf+&#10;YxScC384vGXZ6Rpn+vPlkh0Luc+VepxP+zUIT5P/D/+1X7WCOIH7l/AD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7U9xQAAANsAAAAPAAAAAAAAAAAAAAAAAJgCAABkcnMv&#10;ZG93bnJldi54bWxQSwUGAAAAAAQABAD1AAAAigMAAAAA&#10;" fillcolor="#e36c0a [2409]" stroked="f" strokeweight="2pt"/>
                <v:rect id="Rectangle 4" o:spid="_x0000_s1057" style="position:absolute;left:15430;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es8cA&#10;AADbAAAADwAAAGRycy9kb3ducmV2LnhtbESP3WoCMRSE7wXfIRyhd5qt4E+3RhFFqFTErpXSu8Pm&#10;dLO4OVk2qW779E1B8HKYmW+Y2aK1lbhQ40vHCh4HCQji3OmSCwXvx01/CsIHZI2VY1LwQx4W825n&#10;hql2V36jSxYKESHsU1RgQqhTKX1uyKIfuJo4el+usRiibAqpG7xGuK3kMEnG0mLJccFgTStD+Tn7&#10;tgpO2Wm7H38cXqv10Tz9Ls12uqs/lXrotctnEIHacA/f2i9awWgC/1/iD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hnrPHAAAA2wAAAA8AAAAAAAAAAAAAAAAAmAIAAGRy&#10;cy9kb3ducmV2LnhtbFBLBQYAAAAABAAEAPUAAACMAwAAAAA=&#10;" fillcolor="#c0e43c" stroked="f" strokeweight="2pt"/>
                <v:rect id="Rectangle 5" o:spid="_x0000_s1058" style="position:absolute;left:1333;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BBb8A&#10;AADbAAAADwAAAGRycy9kb3ducmV2LnhtbERPy4rCMBTdC/5DuII7TXwyVKOoIAwIgjog7i7NtS02&#10;N6WJtfP3ZiG4PJz3ct3aUjRU+8KxhtFQgSBOnSk40/B32Q9+QPiAbLB0TBr+ycN61e0sMTHuxSdq&#10;ziETMYR9ghryEKpESp/mZNEPXUUcuburLYYI60yaGl8x3JZyrNRcWiw4NuRY0S6n9HF+Wg1X01wP&#10;E3UfP4772/Z2UWzmU9a632s3CxCB2vAVf9y/RsMsjo1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jEEFvwAAANsAAAAPAAAAAAAAAAAAAAAAAJgCAABkcnMvZG93bnJl&#10;di54bWxQSwUGAAAAAAQABAD1AAAAhAMAAAAA&#10;" fillcolor="#9be5ef" stroked="f" strokeweight="2pt"/>
                <v:rect id="Rectangle 6" o:spid="_x0000_s1059" style="position:absolute;left:15430;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BOMMA&#10;AADbAAAADwAAAGRycy9kb3ducmV2LnhtbESPQWvCQBSE7wX/w/KEXopuLNba6CpaELyJsYccX7PP&#10;JJh9G3ZXk/57VxB6HGbmG2a57k0jbuR8bVnBZJyAIC6srrlU8HPajeYgfEDW2FgmBX/kYb0avCwx&#10;1bbjI92yUIoIYZ+igiqENpXSFxUZ9GPbEkfvbJ3BEKUrpXbYRbhp5HuSzKTBmuNChS19V1RcsqtR&#10;cMh3ny7xv3p72RQ2fzP5tummSr0O+80CRKA+/Ief7b1W8PEFj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UBOMMAAADbAAAADwAAAAAAAAAAAAAAAACYAgAAZHJzL2Rv&#10;d25yZXYueG1sUEsFBgAAAAAEAAQA9QAAAIgDAAAAAA==&#10;" fillcolor="#243f60 [1604]" stroked="f" strokeweight="2pt"/>
              </v:group>
            </w:pict>
          </mc:Fallback>
        </mc:AlternateContent>
      </w:r>
    </w:p>
    <w:p w:rsidR="001840E2" w:rsidRPr="00EC1AB2" w:rsidRDefault="004263E5" w:rsidP="007A02A8">
      <w:pPr>
        <w:autoSpaceDE w:val="0"/>
        <w:autoSpaceDN w:val="0"/>
        <w:adjustRightInd w:val="0"/>
        <w:spacing w:after="0" w:line="360" w:lineRule="auto"/>
        <w:ind w:firstLine="567"/>
        <w:jc w:val="both"/>
        <w:rPr>
          <w:rFonts w:ascii="Times New Roman" w:hAnsi="Times New Roman" w:cs="Times New Roman"/>
          <w:sz w:val="20"/>
          <w:szCs w:val="20"/>
        </w:rPr>
      </w:pPr>
      <w:r w:rsidRPr="00EC1AB2">
        <w:rPr>
          <w:rFonts w:ascii="Times New Roman" w:hAnsi="Times New Roman" w:cs="Times New Roman"/>
          <w:noProof/>
          <w:lang w:eastAsia="lt-LT"/>
        </w:rPr>
        <w:drawing>
          <wp:anchor distT="0" distB="0" distL="114300" distR="114300" simplePos="0" relativeHeight="251676672" behindDoc="1" locked="0" layoutInCell="1" allowOverlap="1" wp14:anchorId="2D48877B" wp14:editId="52824C67">
            <wp:simplePos x="0" y="0"/>
            <wp:positionH relativeFrom="column">
              <wp:posOffset>-33655</wp:posOffset>
            </wp:positionH>
            <wp:positionV relativeFrom="paragraph">
              <wp:posOffset>-81915</wp:posOffset>
            </wp:positionV>
            <wp:extent cx="5867400" cy="2752725"/>
            <wp:effectExtent l="0" t="0" r="0" b="0"/>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r w:rsidR="00222D14" w:rsidRPr="00EC1AB2">
        <w:rPr>
          <w:rFonts w:ascii="Times New Roman" w:hAnsi="Times New Roman" w:cs="Times New Roman"/>
          <w:b/>
          <w:sz w:val="20"/>
          <w:szCs w:val="20"/>
        </w:rPr>
        <w:t>Šaltinis:</w:t>
      </w:r>
      <w:r w:rsidR="00222D14" w:rsidRPr="00EC1AB2">
        <w:rPr>
          <w:rFonts w:ascii="Times New Roman" w:hAnsi="Times New Roman" w:cs="Times New Roman"/>
          <w:sz w:val="20"/>
          <w:szCs w:val="20"/>
        </w:rPr>
        <w:t xml:space="preserve"> sudaryta pagal Innovation Union Scoreboard</w:t>
      </w:r>
    </w:p>
    <w:p w:rsidR="00222D14" w:rsidRPr="00EC1AB2" w:rsidRDefault="00222D14" w:rsidP="007A02A8">
      <w:pPr>
        <w:autoSpaceDE w:val="0"/>
        <w:autoSpaceDN w:val="0"/>
        <w:adjustRightInd w:val="0"/>
        <w:spacing w:after="0" w:line="360" w:lineRule="auto"/>
        <w:jc w:val="center"/>
        <w:rPr>
          <w:rFonts w:ascii="Times New Roman" w:hAnsi="Times New Roman" w:cs="Times New Roman"/>
          <w:b/>
          <w:sz w:val="24"/>
          <w:szCs w:val="24"/>
        </w:rPr>
      </w:pPr>
      <w:r w:rsidRPr="00EC1AB2">
        <w:rPr>
          <w:rFonts w:ascii="Times New Roman" w:hAnsi="Times New Roman" w:cs="Times New Roman"/>
          <w:sz w:val="24"/>
          <w:szCs w:val="24"/>
        </w:rPr>
        <w:t xml:space="preserve">1 pav. </w:t>
      </w:r>
      <w:r w:rsidRPr="00EC1AB2">
        <w:rPr>
          <w:rFonts w:ascii="Times New Roman" w:hAnsi="Times New Roman" w:cs="Times New Roman"/>
          <w:b/>
          <w:sz w:val="24"/>
          <w:szCs w:val="24"/>
        </w:rPr>
        <w:t>Suminis inovatyvumo indeksas ES 2007-2010 m.</w:t>
      </w:r>
    </w:p>
    <w:p w:rsidR="00FA2427" w:rsidRPr="00EC1AB2" w:rsidRDefault="00FA2427" w:rsidP="007A02A8">
      <w:pPr>
        <w:autoSpaceDE w:val="0"/>
        <w:autoSpaceDN w:val="0"/>
        <w:adjustRightInd w:val="0"/>
        <w:spacing w:after="0" w:line="360" w:lineRule="auto"/>
        <w:rPr>
          <w:rFonts w:ascii="Times New Roman" w:hAnsi="Times New Roman" w:cs="Times New Roman"/>
          <w:sz w:val="24"/>
          <w:szCs w:val="24"/>
        </w:rPr>
      </w:pPr>
      <w:r w:rsidRPr="00EC1AB2">
        <w:rPr>
          <w:rFonts w:ascii="Times New Roman" w:hAnsi="Times New Roman" w:cs="Times New Roman"/>
          <w:sz w:val="24"/>
          <w:szCs w:val="24"/>
        </w:rPr>
        <w:br w:type="page"/>
      </w:r>
    </w:p>
    <w:p w:rsidR="00A52084" w:rsidRPr="00EC1AB2" w:rsidRDefault="00A52084" w:rsidP="007A02A8">
      <w:pPr>
        <w:autoSpaceDE w:val="0"/>
        <w:autoSpaceDN w:val="0"/>
        <w:adjustRightInd w:val="0"/>
        <w:spacing w:after="0" w:line="360" w:lineRule="auto"/>
        <w:ind w:firstLine="1296"/>
        <w:jc w:val="right"/>
        <w:rPr>
          <w:rFonts w:ascii="Times New Roman" w:hAnsi="Times New Roman" w:cs="Times New Roman"/>
          <w:b/>
          <w:sz w:val="24"/>
          <w:szCs w:val="24"/>
        </w:rPr>
      </w:pPr>
      <w:r w:rsidRPr="00EC1AB2">
        <w:rPr>
          <w:rFonts w:ascii="Times New Roman" w:hAnsi="Times New Roman" w:cs="Times New Roman"/>
          <w:b/>
          <w:sz w:val="24"/>
          <w:szCs w:val="24"/>
        </w:rPr>
        <w:lastRenderedPageBreak/>
        <w:t>2 PRIEDAS</w:t>
      </w:r>
    </w:p>
    <w:p w:rsidR="00A52084" w:rsidRPr="00EC1AB2" w:rsidRDefault="00A52084" w:rsidP="007A02A8">
      <w:pPr>
        <w:autoSpaceDE w:val="0"/>
        <w:autoSpaceDN w:val="0"/>
        <w:adjustRightInd w:val="0"/>
        <w:spacing w:after="0" w:line="360" w:lineRule="auto"/>
        <w:ind w:firstLine="1296"/>
        <w:jc w:val="right"/>
        <w:rPr>
          <w:rFonts w:ascii="Times New Roman" w:hAnsi="Times New Roman" w:cs="Times New Roman"/>
          <w:sz w:val="24"/>
          <w:szCs w:val="24"/>
        </w:rPr>
      </w:pPr>
    </w:p>
    <w:p w:rsidR="00FF76E0" w:rsidRPr="00EC1AB2" w:rsidRDefault="00FF76E0"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SUMINIO INOVATYVUMO INDEKSO APSKAIČIAVIMO METODIKA</w:t>
      </w:r>
    </w:p>
    <w:p w:rsidR="00A52084" w:rsidRPr="00EC1AB2" w:rsidRDefault="00A52084" w:rsidP="007A02A8">
      <w:pPr>
        <w:autoSpaceDE w:val="0"/>
        <w:autoSpaceDN w:val="0"/>
        <w:adjustRightInd w:val="0"/>
        <w:spacing w:after="0" w:line="360" w:lineRule="auto"/>
        <w:ind w:firstLine="1296"/>
        <w:jc w:val="right"/>
        <w:rPr>
          <w:rFonts w:ascii="Times New Roman" w:hAnsi="Times New Roman" w:cs="Times New Roman"/>
          <w:sz w:val="24"/>
          <w:szCs w:val="24"/>
        </w:rPr>
      </w:pPr>
    </w:p>
    <w:p w:rsidR="00FF76E0" w:rsidRPr="00EC1AB2" w:rsidRDefault="00FF76E0" w:rsidP="007A02A8">
      <w:pPr>
        <w:autoSpaceDE w:val="0"/>
        <w:autoSpaceDN w:val="0"/>
        <w:adjustRightInd w:val="0"/>
        <w:spacing w:after="0" w:line="360" w:lineRule="auto"/>
        <w:jc w:val="center"/>
        <w:rPr>
          <w:rFonts w:ascii="Times New Roman" w:hAnsi="Times New Roman" w:cs="Times New Roman"/>
          <w:b/>
          <w:sz w:val="24"/>
          <w:szCs w:val="24"/>
        </w:rPr>
      </w:pPr>
      <w:r w:rsidRPr="00EC1AB2">
        <w:rPr>
          <w:rFonts w:ascii="Times New Roman" w:hAnsi="Times New Roman" w:cs="Times New Roman"/>
          <w:sz w:val="24"/>
          <w:szCs w:val="24"/>
        </w:rPr>
        <w:t xml:space="preserve">1 lentelė. </w:t>
      </w:r>
      <w:r w:rsidRPr="00EC1AB2">
        <w:rPr>
          <w:rFonts w:ascii="Times New Roman" w:hAnsi="Times New Roman" w:cs="Times New Roman"/>
          <w:b/>
          <w:sz w:val="24"/>
          <w:szCs w:val="24"/>
        </w:rPr>
        <w:t>Suminio inovatyvumo indekso apskaičiavimo metodika</w:t>
      </w:r>
    </w:p>
    <w:p w:rsidR="00FF76E0" w:rsidRPr="00EC1AB2" w:rsidRDefault="00FF76E0" w:rsidP="007A02A8">
      <w:pPr>
        <w:autoSpaceDE w:val="0"/>
        <w:autoSpaceDN w:val="0"/>
        <w:adjustRightInd w:val="0"/>
        <w:spacing w:after="0" w:line="360" w:lineRule="auto"/>
        <w:ind w:firstLine="1296"/>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8046"/>
        <w:gridCol w:w="1808"/>
      </w:tblGrid>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Rodiklis</w:t>
            </w:r>
          </w:p>
        </w:tc>
        <w:tc>
          <w:tcPr>
            <w:tcW w:w="1808" w:type="dxa"/>
          </w:tcPr>
          <w:p w:rsidR="00A52084" w:rsidRPr="00EC1AB2" w:rsidRDefault="00A52084" w:rsidP="007A02A8">
            <w:pPr>
              <w:autoSpaceDE w:val="0"/>
              <w:autoSpaceDN w:val="0"/>
              <w:adjustRightInd w:val="0"/>
              <w:spacing w:line="360"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Duomenų šaltinis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PRIEMONĖS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Žmogiškieji ištekliai</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p>
        </w:tc>
      </w:tr>
      <w:tr w:rsidR="00F25E1F" w:rsidRPr="00EC1AB2" w:rsidTr="00FF76E0">
        <w:trPr>
          <w:trHeight w:val="195"/>
          <w:jc w:val="center"/>
        </w:trPr>
        <w:tc>
          <w:tcPr>
            <w:tcW w:w="8046" w:type="dxa"/>
          </w:tcPr>
          <w:p w:rsidR="00A52084" w:rsidRPr="00EC1AB2" w:rsidRDefault="00A52084" w:rsidP="007A02A8">
            <w:pPr>
              <w:widowControl w:val="0"/>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1.1.1 Naujų daktaro laipsnį (ISCED 6) įgijusių asmenų, kurių amžius 25–</w:t>
            </w:r>
            <w:r w:rsidR="00FF76E0" w:rsidRPr="00EC1AB2">
              <w:rPr>
                <w:rFonts w:ascii="Times New Roman" w:hAnsi="Times New Roman" w:cs="Times New Roman"/>
                <w:sz w:val="20"/>
                <w:szCs w:val="20"/>
              </w:rPr>
              <w:t xml:space="preserve">34 m., </w:t>
            </w:r>
            <w:r w:rsidRPr="00EC1AB2">
              <w:rPr>
                <w:rFonts w:ascii="Times New Roman" w:hAnsi="Times New Roman" w:cs="Times New Roman"/>
                <w:sz w:val="20"/>
                <w:szCs w:val="20"/>
              </w:rPr>
              <w:t>1000 gyventojų</w:t>
            </w:r>
          </w:p>
        </w:tc>
        <w:tc>
          <w:tcPr>
            <w:tcW w:w="1808" w:type="dxa"/>
          </w:tcPr>
          <w:p w:rsidR="00A52084" w:rsidRPr="00EC1AB2" w:rsidRDefault="00FF76E0"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1.1.2 Aukštąjį išsilavinimą turinčių gyventojų, kurių amžius 30–34 m., procentin</w:t>
            </w:r>
            <w:r w:rsidR="00FF76E0" w:rsidRPr="00EC1AB2">
              <w:rPr>
                <w:rFonts w:ascii="Times New Roman" w:hAnsi="Times New Roman" w:cs="Times New Roman"/>
                <w:sz w:val="20"/>
                <w:szCs w:val="20"/>
              </w:rPr>
              <w:t>ė dalis</w:t>
            </w:r>
          </w:p>
        </w:tc>
        <w:tc>
          <w:tcPr>
            <w:tcW w:w="1808" w:type="dxa"/>
          </w:tcPr>
          <w:p w:rsidR="00A52084" w:rsidRPr="00EC1AB2" w:rsidRDefault="00FF76E0"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sz w:val="20"/>
                <w:szCs w:val="20"/>
              </w:rPr>
              <w:t>1.1.3 20–24 m. jaunuolių, įgijusių bent vidurinį išsilavinimą, procentinė dalis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Atviros, itin geros ir patrauklios mokslinių tyrimų sistemos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sz w:val="20"/>
                <w:szCs w:val="20"/>
              </w:rPr>
              <w:t xml:space="preserve">1.2.1 Tarptautinių mokslinių bendrų publikacijų </w:t>
            </w:r>
            <w:r w:rsidR="00B6764D" w:rsidRPr="00EC1AB2">
              <w:rPr>
                <w:rFonts w:ascii="Times New Roman" w:hAnsi="Times New Roman" w:cs="Times New Roman"/>
                <w:sz w:val="20"/>
                <w:szCs w:val="20"/>
              </w:rPr>
              <w:t xml:space="preserve">skaičius </w:t>
            </w:r>
            <w:r w:rsidRPr="00EC1AB2">
              <w:rPr>
                <w:rFonts w:ascii="Times New Roman" w:hAnsi="Times New Roman" w:cs="Times New Roman"/>
                <w:sz w:val="20"/>
                <w:szCs w:val="20"/>
              </w:rPr>
              <w:t>1 mln. gyventojų</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sz w:val="20"/>
                <w:szCs w:val="20"/>
              </w:rPr>
              <w:t>Thomson / Scopus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1.2.2 Mokslinių publikacijų tarp 10 % dažniausiai pasaulyje cituojamų mokslinių</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publikacijų procentinė dalis, lyginant su visomis šalies mokslinėmis publikacijomis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sz w:val="20"/>
                <w:szCs w:val="20"/>
              </w:rPr>
              <w:t>Thomson / Scopus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1.2.3 Ne ES doktorantai</w:t>
            </w:r>
            <w:r w:rsidR="00C72BEC" w:rsidRPr="00EC1AB2">
              <w:rPr>
                <w:rFonts w:ascii="Times New Roman" w:hAnsi="Times New Roman" w:cs="Times New Roman"/>
                <w:sz w:val="13"/>
                <w:szCs w:val="13"/>
              </w:rPr>
              <w:t xml:space="preserve"> </w:t>
            </w:r>
            <w:r w:rsidRPr="00EC1AB2">
              <w:rPr>
                <w:rFonts w:ascii="Times New Roman" w:hAnsi="Times New Roman" w:cs="Times New Roman"/>
                <w:sz w:val="13"/>
                <w:szCs w:val="13"/>
              </w:rPr>
              <w:t xml:space="preserve"> </w:t>
            </w:r>
            <w:r w:rsidRPr="00EC1AB2">
              <w:rPr>
                <w:rFonts w:ascii="Times New Roman" w:hAnsi="Times New Roman" w:cs="Times New Roman"/>
                <w:sz w:val="20"/>
                <w:szCs w:val="20"/>
              </w:rPr>
              <w:t>milijonui gyventojų</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 / EBPO</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Finansavimas ir rėmimas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CA55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1.3.1 Valstybės išlaidos MTE</w:t>
            </w:r>
            <w:r w:rsidR="00A52084" w:rsidRPr="00EC1AB2">
              <w:rPr>
                <w:rFonts w:ascii="Times New Roman" w:hAnsi="Times New Roman" w:cs="Times New Roman"/>
                <w:sz w:val="20"/>
                <w:szCs w:val="20"/>
              </w:rPr>
              <w:t xml:space="preserve">P procentais nuo BVP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1.3.2 Rizikos kapitalas (ankstyvasis etapas, plėtra ir pakeitimas) procentais nuo BVP</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EVCA / 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NUOLATINĖ VEIKLA</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Nuolatinės investicijos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CA55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2.1.1 Verslo išlaidos MTE</w:t>
            </w:r>
            <w:r w:rsidR="00A52084" w:rsidRPr="00EC1AB2">
              <w:rPr>
                <w:rFonts w:ascii="Times New Roman" w:hAnsi="Times New Roman" w:cs="Times New Roman"/>
                <w:sz w:val="20"/>
                <w:szCs w:val="20"/>
              </w:rPr>
              <w:t xml:space="preserve">P procentais nuo BVP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CA55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2.1.2 Išlaidos ne MTE</w:t>
            </w:r>
            <w:r w:rsidR="00A52084" w:rsidRPr="00EC1AB2">
              <w:rPr>
                <w:rFonts w:ascii="Times New Roman" w:hAnsi="Times New Roman" w:cs="Times New Roman"/>
                <w:sz w:val="20"/>
                <w:szCs w:val="20"/>
              </w:rPr>
              <w:t xml:space="preserve">P inovacijoms procentais nuo apyvartos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spacing w:line="360" w:lineRule="auto"/>
              <w:rPr>
                <w:rFonts w:ascii="Times New Roman" w:hAnsi="Times New Roman" w:cs="Times New Roman"/>
              </w:rPr>
            </w:pPr>
            <w:r w:rsidRPr="00EC1AB2">
              <w:rPr>
                <w:rFonts w:ascii="Times New Roman" w:hAnsi="Times New Roman" w:cs="Times New Roman"/>
                <w:b/>
                <w:bCs/>
                <w:sz w:val="20"/>
                <w:szCs w:val="20"/>
              </w:rPr>
              <w:t>Bendradarbiavimas ir verslininkystė</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2.2.1 Inovacijas vietoje diegiančių MVĮ procentinė dalis, palyginti su visomis MVĮ</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2.2.2 Novatoriškų bendradarbiaujančių MVĮ procentinė dalis, palyginti su visomis MVĮ</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 xml:space="preserve">2.2.3 Viešų ir privačių bendrų publikacijų 1 mln. gyventojų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Thomson / Scopus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Intelektinė nuosavybė</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2.3.1 Paraiškos patentui gauti pagal patentinės kooperacijos sutartį 1 mlrd. BVP (PGS EUR)</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2.3.2 Paraiškos dėl patentų, susijusių su visuomenės problemomis, pagal patentinės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kooperacijos sutartį 1 mlrd. BVP (PGS EUR) (klimato kaita, sveikatos reikalai)</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EBPO</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 xml:space="preserve">2.3.3 Bendrijos prekių ženklų 1 mlrd. BVP (PGS EUR)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OHIM / Eurostatas</w:t>
            </w: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 xml:space="preserve">2.3.4 Bendrijos pramoninio dizaino registravimas 1 mlrd. BVP (PGS EUR)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OHIM / Eurostatas</w:t>
            </w:r>
          </w:p>
        </w:tc>
      </w:tr>
    </w:tbl>
    <w:p w:rsidR="00442ED1" w:rsidRPr="00EC1AB2" w:rsidRDefault="00442ED1">
      <w:pPr>
        <w:rPr>
          <w:rFonts w:ascii="Times New Roman" w:hAnsi="Times New Roman" w:cs="Times New Roman"/>
        </w:rPr>
      </w:pPr>
    </w:p>
    <w:p w:rsidR="00442ED1" w:rsidRPr="00EC1AB2" w:rsidRDefault="00442ED1">
      <w:pPr>
        <w:rPr>
          <w:rFonts w:ascii="Times New Roman" w:hAnsi="Times New Roman" w:cs="Times New Roman"/>
        </w:rPr>
      </w:pPr>
    </w:p>
    <w:p w:rsidR="00442ED1" w:rsidRPr="00EC1AB2" w:rsidRDefault="00442ED1" w:rsidP="00442ED1">
      <w:pPr>
        <w:jc w:val="right"/>
        <w:rPr>
          <w:rFonts w:ascii="Times New Roman" w:hAnsi="Times New Roman" w:cs="Times New Roman"/>
          <w:sz w:val="24"/>
          <w:szCs w:val="24"/>
        </w:rPr>
      </w:pPr>
      <w:r w:rsidRPr="00EC1AB2">
        <w:rPr>
          <w:rFonts w:ascii="Times New Roman" w:hAnsi="Times New Roman" w:cs="Times New Roman"/>
          <w:sz w:val="24"/>
          <w:szCs w:val="24"/>
        </w:rPr>
        <w:t>2 priedo tęsinys kitame puslapyje</w:t>
      </w:r>
      <w:r w:rsidRPr="00EC1AB2">
        <w:rPr>
          <w:rFonts w:ascii="Times New Roman" w:hAnsi="Times New Roman" w:cs="Times New Roman"/>
          <w:sz w:val="24"/>
          <w:szCs w:val="24"/>
        </w:rPr>
        <w:br w:type="page"/>
      </w:r>
    </w:p>
    <w:p w:rsidR="00442ED1" w:rsidRPr="00EC1AB2" w:rsidRDefault="00471654" w:rsidP="00442ED1">
      <w:pPr>
        <w:jc w:val="right"/>
        <w:rPr>
          <w:rFonts w:ascii="Times New Roman" w:hAnsi="Times New Roman" w:cs="Times New Roman"/>
          <w:sz w:val="24"/>
          <w:szCs w:val="24"/>
        </w:rPr>
      </w:pPr>
      <w:r w:rsidRPr="00EC1AB2">
        <w:rPr>
          <w:rFonts w:ascii="Times New Roman" w:hAnsi="Times New Roman" w:cs="Times New Roman"/>
          <w:sz w:val="24"/>
          <w:szCs w:val="24"/>
        </w:rPr>
        <w:lastRenderedPageBreak/>
        <w:t>2 priedo tęsinys</w:t>
      </w:r>
    </w:p>
    <w:tbl>
      <w:tblPr>
        <w:tblStyle w:val="TableGrid"/>
        <w:tblW w:w="0" w:type="auto"/>
        <w:jc w:val="center"/>
        <w:tblLook w:val="04A0" w:firstRow="1" w:lastRow="0" w:firstColumn="1" w:lastColumn="0" w:noHBand="0" w:noVBand="1"/>
      </w:tblPr>
      <w:tblGrid>
        <w:gridCol w:w="8046"/>
        <w:gridCol w:w="1808"/>
      </w:tblGrid>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REZULTATAI</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spacing w:line="360" w:lineRule="auto"/>
              <w:rPr>
                <w:rFonts w:ascii="Times New Roman" w:hAnsi="Times New Roman" w:cs="Times New Roman"/>
              </w:rPr>
            </w:pPr>
            <w:r w:rsidRPr="00EC1AB2">
              <w:rPr>
                <w:rFonts w:ascii="Times New Roman" w:hAnsi="Times New Roman" w:cs="Times New Roman"/>
                <w:b/>
                <w:bCs/>
                <w:sz w:val="20"/>
                <w:szCs w:val="20"/>
              </w:rPr>
              <w:t>Inovacijų kūrėjai</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3.1.1 Daugiau nei 10 darbuotojų turinčių MVĮ, kuriančių novatoriškus produktus ar</w:t>
            </w:r>
          </w:p>
          <w:p w:rsidR="00A52084" w:rsidRPr="00EC1AB2" w:rsidRDefault="00A52084" w:rsidP="007A02A8">
            <w:pPr>
              <w:spacing w:line="360" w:lineRule="auto"/>
              <w:rPr>
                <w:rFonts w:ascii="Times New Roman" w:hAnsi="Times New Roman" w:cs="Times New Roman"/>
                <w:b/>
                <w:bCs/>
                <w:sz w:val="20"/>
                <w:szCs w:val="20"/>
              </w:rPr>
            </w:pPr>
            <w:r w:rsidRPr="00EC1AB2">
              <w:rPr>
                <w:rFonts w:ascii="Times New Roman" w:hAnsi="Times New Roman" w:cs="Times New Roman"/>
                <w:sz w:val="20"/>
                <w:szCs w:val="20"/>
              </w:rPr>
              <w:t>procesus, procentinė dalis, palyginti su visomis MVĮ</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3.1.2 Daugiau nei 10 darbuotojų turinčių MVĮ, diegiančių rinkodaros ar</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organizacines inovacijas, procentinė dalis, palyginti su visomis MVĮ</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b/>
                <w:bCs/>
                <w:sz w:val="20"/>
                <w:szCs w:val="20"/>
              </w:rPr>
            </w:pPr>
            <w:r w:rsidRPr="00EC1AB2">
              <w:rPr>
                <w:rFonts w:ascii="Times New Roman" w:hAnsi="Times New Roman" w:cs="Times New Roman"/>
                <w:b/>
                <w:bCs/>
                <w:sz w:val="20"/>
                <w:szCs w:val="20"/>
              </w:rPr>
              <w:t>Ekonominis poveikis</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3.2.1 Užimtumo daug žinių reikalaujančiuose sektoriuose (ŽRS) (gamyba ir paslaugos) procentinė dalis, palyginti su visu užimtumu</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3.2.2 Vidutinių ir pažangiųjų technologijų gamybos eksporto procentinė dalis,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palyginti su visu produktų eksportu</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JT / Eurostatas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3.2.3 Daug žinių reikalaujančių paslaugų (ŽRP) eksporto procentinė dalis, palyginti</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su visu paslaugų eksportu</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JT / Eurostatas</w:t>
            </w:r>
          </w:p>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p>
        </w:tc>
      </w:tr>
      <w:tr w:rsidR="00F25E1F"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 xml:space="preserve">3.2.4 Naujų inovacijų pardavimas rinkai ir įmonėms procentais nuo apyvartos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r w:rsidR="00A52084" w:rsidRPr="00EC1AB2" w:rsidTr="00FF76E0">
        <w:trPr>
          <w:jc w:val="center"/>
        </w:trPr>
        <w:tc>
          <w:tcPr>
            <w:tcW w:w="8046"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 xml:space="preserve">3.2.5 Su licencijomis ir patentais susijusios pajamos iš užsienio procentais nuo BVP </w:t>
            </w:r>
          </w:p>
        </w:tc>
        <w:tc>
          <w:tcPr>
            <w:tcW w:w="1808" w:type="dxa"/>
          </w:tcPr>
          <w:p w:rsidR="00A52084" w:rsidRPr="00EC1AB2" w:rsidRDefault="00A52084" w:rsidP="007A02A8">
            <w:pPr>
              <w:autoSpaceDE w:val="0"/>
              <w:autoSpaceDN w:val="0"/>
              <w:adjustRightInd w:val="0"/>
              <w:spacing w:line="360" w:lineRule="auto"/>
              <w:rPr>
                <w:rFonts w:ascii="Times New Roman" w:hAnsi="Times New Roman" w:cs="Times New Roman"/>
                <w:sz w:val="20"/>
                <w:szCs w:val="20"/>
              </w:rPr>
            </w:pPr>
            <w:r w:rsidRPr="00EC1AB2">
              <w:rPr>
                <w:rFonts w:ascii="Times New Roman" w:hAnsi="Times New Roman" w:cs="Times New Roman"/>
                <w:sz w:val="20"/>
                <w:szCs w:val="20"/>
              </w:rPr>
              <w:t>Eurostatas</w:t>
            </w:r>
          </w:p>
        </w:tc>
      </w:tr>
    </w:tbl>
    <w:p w:rsidR="00A52084" w:rsidRPr="00EC1AB2" w:rsidRDefault="00A52084" w:rsidP="007A02A8">
      <w:pPr>
        <w:autoSpaceDE w:val="0"/>
        <w:autoSpaceDN w:val="0"/>
        <w:adjustRightInd w:val="0"/>
        <w:spacing w:after="0" w:line="360" w:lineRule="auto"/>
        <w:rPr>
          <w:rFonts w:ascii="Times New Roman" w:hAnsi="Times New Roman" w:cs="Times New Roman"/>
          <w:sz w:val="24"/>
          <w:szCs w:val="24"/>
        </w:rPr>
      </w:pPr>
    </w:p>
    <w:p w:rsidR="00FF76E0" w:rsidRPr="00EC1AB2" w:rsidRDefault="00FF76E0" w:rsidP="007A02A8">
      <w:pPr>
        <w:autoSpaceDE w:val="0"/>
        <w:autoSpaceDN w:val="0"/>
        <w:adjustRightInd w:val="0"/>
        <w:spacing w:after="0" w:line="360" w:lineRule="auto"/>
        <w:ind w:firstLine="1296"/>
        <w:jc w:val="center"/>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Strategijos „Europa 2020“ pavyzdinė iniciatyva „Inovacijų sąjunga“, 2010</w:t>
      </w:r>
    </w:p>
    <w:p w:rsidR="00A552BD" w:rsidRPr="00EC1AB2" w:rsidRDefault="00A552BD" w:rsidP="007A02A8">
      <w:pPr>
        <w:autoSpaceDE w:val="0"/>
        <w:autoSpaceDN w:val="0"/>
        <w:adjustRightInd w:val="0"/>
        <w:spacing w:after="0" w:line="360" w:lineRule="auto"/>
        <w:ind w:firstLine="1296"/>
        <w:jc w:val="right"/>
        <w:rPr>
          <w:rFonts w:ascii="Times New Roman" w:hAnsi="Times New Roman" w:cs="Times New Roman"/>
          <w:sz w:val="20"/>
          <w:szCs w:val="20"/>
        </w:rPr>
      </w:pPr>
    </w:p>
    <w:p w:rsidR="00A552BD" w:rsidRPr="00EC1AB2" w:rsidRDefault="00A552BD" w:rsidP="007A02A8">
      <w:pPr>
        <w:autoSpaceDE w:val="0"/>
        <w:autoSpaceDN w:val="0"/>
        <w:adjustRightInd w:val="0"/>
        <w:spacing w:after="0" w:line="360" w:lineRule="auto"/>
        <w:ind w:firstLine="1296"/>
        <w:jc w:val="right"/>
        <w:rPr>
          <w:rFonts w:ascii="Times New Roman" w:hAnsi="Times New Roman" w:cs="Times New Roman"/>
          <w:sz w:val="20"/>
          <w:szCs w:val="20"/>
        </w:rPr>
      </w:pPr>
    </w:p>
    <w:p w:rsidR="00FA2427" w:rsidRPr="00EC1AB2" w:rsidRDefault="00FA2427" w:rsidP="007A02A8">
      <w:pPr>
        <w:autoSpaceDE w:val="0"/>
        <w:autoSpaceDN w:val="0"/>
        <w:adjustRightInd w:val="0"/>
        <w:spacing w:after="0" w:line="360" w:lineRule="auto"/>
        <w:ind w:firstLine="1296"/>
        <w:jc w:val="right"/>
        <w:rPr>
          <w:rFonts w:ascii="Times New Roman" w:hAnsi="Times New Roman" w:cs="Times New Roman"/>
          <w:b/>
          <w:sz w:val="24"/>
          <w:szCs w:val="24"/>
        </w:rPr>
      </w:pPr>
      <w:r w:rsidRPr="00EC1AB2">
        <w:rPr>
          <w:rFonts w:ascii="Times New Roman" w:hAnsi="Times New Roman" w:cs="Times New Roman"/>
          <w:b/>
          <w:sz w:val="24"/>
          <w:szCs w:val="24"/>
        </w:rPr>
        <w:br w:type="page"/>
      </w:r>
    </w:p>
    <w:p w:rsidR="00FF76E0" w:rsidRPr="00EC1AB2" w:rsidRDefault="001D19A8" w:rsidP="007A02A8">
      <w:pPr>
        <w:autoSpaceDE w:val="0"/>
        <w:autoSpaceDN w:val="0"/>
        <w:adjustRightInd w:val="0"/>
        <w:spacing w:after="0" w:line="360" w:lineRule="auto"/>
        <w:ind w:firstLine="1296"/>
        <w:jc w:val="right"/>
        <w:rPr>
          <w:rFonts w:ascii="Times New Roman" w:hAnsi="Times New Roman" w:cs="Times New Roman"/>
          <w:b/>
          <w:sz w:val="24"/>
          <w:szCs w:val="24"/>
        </w:rPr>
      </w:pPr>
      <w:r w:rsidRPr="00EC1AB2">
        <w:rPr>
          <w:rFonts w:ascii="Times New Roman" w:hAnsi="Times New Roman" w:cs="Times New Roman"/>
          <w:b/>
          <w:sz w:val="24"/>
          <w:szCs w:val="24"/>
        </w:rPr>
        <w:lastRenderedPageBreak/>
        <w:t>3 PRIEDAS</w:t>
      </w:r>
    </w:p>
    <w:p w:rsidR="001D19A8" w:rsidRPr="00EC1AB2" w:rsidRDefault="001D19A8" w:rsidP="007A02A8">
      <w:pPr>
        <w:autoSpaceDE w:val="0"/>
        <w:autoSpaceDN w:val="0"/>
        <w:adjustRightInd w:val="0"/>
        <w:spacing w:after="0" w:line="360" w:lineRule="auto"/>
        <w:ind w:firstLine="1296"/>
        <w:jc w:val="right"/>
        <w:rPr>
          <w:rFonts w:ascii="Times New Roman" w:hAnsi="Times New Roman" w:cs="Times New Roman"/>
          <w:sz w:val="20"/>
          <w:szCs w:val="20"/>
        </w:rPr>
      </w:pPr>
    </w:p>
    <w:p w:rsidR="00303EB6" w:rsidRPr="00EC1AB2" w:rsidRDefault="00035D45" w:rsidP="007A02A8">
      <w:pPr>
        <w:autoSpaceDE w:val="0"/>
        <w:autoSpaceDN w:val="0"/>
        <w:adjustRightInd w:val="0"/>
        <w:spacing w:after="0" w:line="360" w:lineRule="auto"/>
        <w:jc w:val="center"/>
        <w:rPr>
          <w:rFonts w:ascii="Times New Roman" w:hAnsi="Times New Roman" w:cs="Times New Roman"/>
          <w:sz w:val="24"/>
          <w:szCs w:val="24"/>
        </w:rPr>
      </w:pPr>
      <w:r w:rsidRPr="00EC1AB2">
        <w:rPr>
          <w:rFonts w:ascii="Times New Roman" w:hAnsi="Times New Roman" w:cs="Times New Roman"/>
          <w:noProof/>
          <w:sz w:val="24"/>
          <w:szCs w:val="24"/>
          <w:lang w:eastAsia="lt-LT"/>
        </w:rPr>
        <w:drawing>
          <wp:anchor distT="0" distB="0" distL="114300" distR="114300" simplePos="0" relativeHeight="251684864" behindDoc="0" locked="0" layoutInCell="1" allowOverlap="1" wp14:anchorId="6BB9F9A3" wp14:editId="58AAC378">
            <wp:simplePos x="0" y="0"/>
            <wp:positionH relativeFrom="column">
              <wp:posOffset>-52705</wp:posOffset>
            </wp:positionH>
            <wp:positionV relativeFrom="paragraph">
              <wp:posOffset>3423285</wp:posOffset>
            </wp:positionV>
            <wp:extent cx="5867400" cy="3276600"/>
            <wp:effectExtent l="0" t="0" r="0" b="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r w:rsidRPr="00EC1AB2">
        <w:rPr>
          <w:rFonts w:ascii="Times New Roman" w:hAnsi="Times New Roman" w:cs="Times New Roman"/>
          <w:noProof/>
          <w:sz w:val="24"/>
          <w:szCs w:val="24"/>
          <w:lang w:eastAsia="lt-LT"/>
        </w:rPr>
        <w:drawing>
          <wp:anchor distT="0" distB="0" distL="114300" distR="114300" simplePos="0" relativeHeight="251683840" behindDoc="0" locked="0" layoutInCell="1" allowOverlap="1" wp14:anchorId="2A19CA1B" wp14:editId="3A6B3CC9">
            <wp:simplePos x="0" y="0"/>
            <wp:positionH relativeFrom="column">
              <wp:posOffset>-52705</wp:posOffset>
            </wp:positionH>
            <wp:positionV relativeFrom="paragraph">
              <wp:posOffset>422910</wp:posOffset>
            </wp:positionV>
            <wp:extent cx="5867400" cy="3276600"/>
            <wp:effectExtent l="0" t="0" r="0" b="0"/>
            <wp:wrapTopAndBottom/>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r w:rsidR="000268D5" w:rsidRPr="00EC1AB2">
        <w:rPr>
          <w:rFonts w:ascii="Times New Roman" w:hAnsi="Times New Roman" w:cs="Times New Roman"/>
          <w:sz w:val="24"/>
          <w:szCs w:val="24"/>
        </w:rPr>
        <w:t>SUMINIS</w:t>
      </w:r>
      <w:r w:rsidR="00303EB6" w:rsidRPr="00EC1AB2">
        <w:rPr>
          <w:rFonts w:ascii="Times New Roman" w:hAnsi="Times New Roman" w:cs="Times New Roman"/>
          <w:sz w:val="24"/>
          <w:szCs w:val="24"/>
        </w:rPr>
        <w:t xml:space="preserve"> INOVAT</w:t>
      </w:r>
      <w:r w:rsidR="000268D5" w:rsidRPr="00EC1AB2">
        <w:rPr>
          <w:rFonts w:ascii="Times New Roman" w:hAnsi="Times New Roman" w:cs="Times New Roman"/>
          <w:sz w:val="24"/>
          <w:szCs w:val="24"/>
        </w:rPr>
        <w:t>YVUMO INDEKSAS PAGAL RODIKLIŲ GRUPES</w:t>
      </w:r>
      <w:r w:rsidR="009751BE" w:rsidRPr="00EC1AB2">
        <w:rPr>
          <w:rFonts w:ascii="Times New Roman" w:hAnsi="Times New Roman" w:cs="Times New Roman"/>
          <w:sz w:val="24"/>
          <w:szCs w:val="24"/>
        </w:rPr>
        <w:t xml:space="preserve"> ES 2011 M.</w:t>
      </w:r>
    </w:p>
    <w:p w:rsidR="004F15D8" w:rsidRPr="00EC1AB2" w:rsidRDefault="004F15D8" w:rsidP="007A02A8">
      <w:pPr>
        <w:autoSpaceDE w:val="0"/>
        <w:autoSpaceDN w:val="0"/>
        <w:adjustRightInd w:val="0"/>
        <w:spacing w:after="0" w:line="360" w:lineRule="auto"/>
        <w:ind w:firstLine="1296"/>
        <w:rPr>
          <w:rFonts w:ascii="Times New Roman" w:hAnsi="Times New Roman" w:cs="Times New Roman"/>
          <w:sz w:val="20"/>
          <w:szCs w:val="20"/>
        </w:rPr>
      </w:pPr>
    </w:p>
    <w:p w:rsidR="004F15D8" w:rsidRPr="00EC1AB2" w:rsidRDefault="00840A0D" w:rsidP="007A02A8">
      <w:pPr>
        <w:autoSpaceDE w:val="0"/>
        <w:autoSpaceDN w:val="0"/>
        <w:adjustRightInd w:val="0"/>
        <w:spacing w:after="0" w:line="360" w:lineRule="auto"/>
        <w:ind w:firstLine="1296"/>
        <w:rPr>
          <w:rFonts w:ascii="Times New Roman" w:hAnsi="Times New Roman" w:cs="Times New Roman"/>
          <w:sz w:val="20"/>
          <w:szCs w:val="20"/>
        </w:rPr>
      </w:pPr>
      <w:r w:rsidRPr="00EC1AB2">
        <w:rPr>
          <w:rFonts w:ascii="Times New Roman" w:hAnsi="Times New Roman" w:cs="Times New Roman"/>
          <w:noProof/>
          <w:sz w:val="24"/>
          <w:szCs w:val="24"/>
          <w:lang w:eastAsia="lt-LT"/>
        </w:rPr>
        <mc:AlternateContent>
          <mc:Choice Requires="wpg">
            <w:drawing>
              <wp:anchor distT="0" distB="0" distL="114300" distR="114300" simplePos="0" relativeHeight="251956224" behindDoc="0" locked="0" layoutInCell="1" allowOverlap="1" wp14:anchorId="3F07AFBB" wp14:editId="24ED6211">
                <wp:simplePos x="0" y="0"/>
                <wp:positionH relativeFrom="column">
                  <wp:posOffset>423545</wp:posOffset>
                </wp:positionH>
                <wp:positionV relativeFrom="paragraph">
                  <wp:posOffset>-257175</wp:posOffset>
                </wp:positionV>
                <wp:extent cx="3286125" cy="495300"/>
                <wp:effectExtent l="0" t="0" r="0" b="0"/>
                <wp:wrapNone/>
                <wp:docPr id="196" name="Group 196"/>
                <wp:cNvGraphicFramePr/>
                <a:graphic xmlns:a="http://schemas.openxmlformats.org/drawingml/2006/main">
                  <a:graphicData uri="http://schemas.microsoft.com/office/word/2010/wordprocessingGroup">
                    <wpg:wgp>
                      <wpg:cNvGrpSpPr/>
                      <wpg:grpSpPr>
                        <a:xfrm>
                          <a:off x="0" y="0"/>
                          <a:ext cx="3286125" cy="495300"/>
                          <a:chOff x="0" y="0"/>
                          <a:chExt cx="3286125" cy="495300"/>
                        </a:xfrm>
                      </wpg:grpSpPr>
                      <wps:wsp>
                        <wps:cNvPr id="197" name="TextBox 2"/>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840A0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840A0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wps:wsp>
                        <wps:cNvPr id="198" name="Rectangle 3"/>
                        <wps:cNvSpPr/>
                        <wps:spPr>
                          <a:xfrm>
                            <a:off x="133350" y="28575"/>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9" name="Rectangle 4"/>
                        <wps:cNvSpPr/>
                        <wps:spPr>
                          <a:xfrm>
                            <a:off x="1543050" y="28575"/>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00" name="Rectangle 5"/>
                        <wps:cNvSpPr/>
                        <wps:spPr>
                          <a:xfrm>
                            <a:off x="133350" y="20955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01" name="Rectangle 6"/>
                        <wps:cNvSpPr/>
                        <wps:spPr>
                          <a:xfrm>
                            <a:off x="1543050" y="20955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96" o:spid="_x0000_s1060" style="position:absolute;left:0;text-align:left;margin-left:33.35pt;margin-top:-20.25pt;width:258.75pt;height:39pt;z-index:251956224;mso-height-relative:margin" coordsize="3286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m8KQQAANYVAAAOAAAAZHJzL2Uyb0RvYy54bWzsWF1v2zYUfR+w/0DofbH8oTg24hSpmwQD&#10;sjZoMvSZpihZGEVyJB0p+/W7vJQU1U5aNwXSbvCLbPHj8vLce86lePqmLgW558YWSi6i4VEcES6Z&#10;SguZL6I/7y5/O4mIdVSmVCjJF9EDt9Gbs19/Oa30nI/UWomUGwJGpJ1XehGtndPzwcCyNS+pPVKa&#10;S+jMlCmpg1eTD1JDK7BeisEojo8HlTKpNopxa6H1XeiMztB+lnHmPmSZ5Y6IRQS+OXwafK78c3B2&#10;Sue5oXpdsMYN+gIvSlpIWLQz9Y46Sjam2DFVFswoqzJ3xFQ5UFlWMI57gN0M463dXBm10biXfF7l&#10;uoMJoN3C6cVm2fv7G0OKFGI3O46IpCUECdclvgHgqXQ+h1FXRt/qG9M05OHN77jOTOl/YS+kRmAf&#10;OmB57QiDxvHo5Hg4SiLCoG8yS8ZxgzxbQ3h2prH1xZcnDtplB967zplKQxLZR5zs9+F0u6aaI/zW&#10;I9DhNG1xuoP9vVU1GQWccJQHibgamgHStt1C43di1W2ZzrWx7oqrkvg/i8hAkmPu0ftr6yBAMLQd&#10;4heV6rIQAhNdSFItolmCoSg1RN3KHOd2g2CykGDDYxncxn/uQXBvTMiPPIN8wUj7BstMvloKQwKp&#10;IDWBZi210BhM8AMzcOIb5zZT/GyOXP7G+d0kXF9J180vC6kMbhyVhvsN3FPQiPQvDBo4noXxLRQB&#10;AI+Fq1c1MmY0buO7UukDhB100H2ARyYUwMxEoSOyVuaf7bYK9Aag/3tDDY+IcWKpgjxRyWD8Igrx&#10;lOp841RWYEz9ymGZxiNIdE/OV8l4EPGgDB8h16jMBSfd3oEZnTC0KdPSs1OF4Xg8TiAxgP6jk2Sa&#10;eOAgqA3LfUJCpxeHYTyZhm4IQSstbTbvmfBWiSL1Oe/X2IovZYxLd4yhF5vyD5WGuE+TOGgSLNtN&#10;QSp9Zs1To8cozO82Q5Djz5Fl9FSyBWeGoWtNUx588a6gPu74guzDZO6TqTHgS+ZjIre2gx58nUlf&#10;mPwCGgn3VRo1nDEq1GSr2WUBenZNrbuhBoowZMS+hPLjQOuBahH5nFzidwlVYDacTMCcw5dJMh3B&#10;i+n3rPo9clMiIYdwdNGs5WaPpplR5Sc4d5z7VcHUI22bv0sX1BDOLYyfn+MgqPeaumt5q5mvDD6K&#10;Pq/v6k/U6CazHTDivWrrDp1vKXoYGzLwZ5GG2a40TFpZ3E8aksk4/kHa0JQuVP5lfDEZL73rnnZ9&#10;CTmQvqmFoe4/WzsPpEei/+9JD99du6THku6r336k750H4lkC9H+9A0Gf9LO3F8nF5YH0DQKHSu/L&#10;+aHSP/HZC9cTu6RvLgj2JX2/0r82658+HfuzVP8z4Pmj9+FEcBCH/6I44A0ZXB7isba56PS3k/13&#10;/IJ9vI49+xcAAP//AwBQSwMEFAAGAAgAAAAhABWng4/gAAAACQEAAA8AAABkcnMvZG93bnJldi54&#10;bWxMj0FrwkAQhe+F/odlhN50EzVRYiYi0vYkhWqh9LYmYxLMzobsmsR/3+2pHof38d436XbUjeip&#10;s7VhhHAWgCDOTVFzifB1epuuQVinuFCNYUK4k4Vt9vyUqqQwA39Sf3Sl8CVsE4VQOdcmUtq8Iq3s&#10;zLTEPruYTivnz66URacGX64bOQ+CWGpVs1+oVEv7ivLr8aYR3gc17Bbha3+4Xvb3n1P08X0ICfFl&#10;Mu42IByN7h+GP32vDpl3OpsbF1Y0CHG88iTCdBlEIDwQrZdzEGeExSoCmaXy8YPsFwAA//8DAFBL&#10;AQItABQABgAIAAAAIQC2gziS/gAAAOEBAAATAAAAAAAAAAAAAAAAAAAAAABbQ29udGVudF9UeXBl&#10;c10ueG1sUEsBAi0AFAAGAAgAAAAhADj9If/WAAAAlAEAAAsAAAAAAAAAAAAAAAAALwEAAF9yZWxz&#10;Ly5yZWxzUEsBAi0AFAAGAAgAAAAhAIFQObwpBAAA1hUAAA4AAAAAAAAAAAAAAAAALgIAAGRycy9l&#10;Mm9Eb2MueG1sUEsBAi0AFAAGAAgAAAAhABWng4/gAAAACQEAAA8AAAAAAAAAAAAAAAAAgwYAAGRy&#10;cy9kb3ducmV2LnhtbFBLBQYAAAAABAAEAPMAAACQBwAAAAA=&#10;">
                <v:shape id="_x0000_s1061" type="#_x0000_t202" style="position:absolute;width:3286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A03476" w:rsidRPr="00CB652D" w:rsidRDefault="00A03476" w:rsidP="00840A0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840A0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v:rect id="Rectangle 3" o:spid="_x0000_s1062" style="position:absolute;left:1333;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Q08YA&#10;AADcAAAADwAAAGRycy9kb3ducmV2LnhtbESPQWvCQBCF7wX/wzJCb3VToVJTV1HBUBApTerB25Cd&#10;JqHZ2ZBdNf33zkHwNsN78943i9XgWnWhPjSeDbxOElDEpbcNVwZ+it3LO6gQkS22nsnAPwVYLUdP&#10;C0ytv/I3XfJYKQnhkKKBOsYu1TqUNTkME98Ri/bre4dR1r7StserhLtWT5Nkph02LA01drStqfzL&#10;z87AvoibzVeW7U5vmT3OD9m20OvcmOfxsP4AFWmID/P9+tMK/lxo5Rm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PQ08YAAADcAAAADwAAAAAAAAAAAAAAAACYAgAAZHJz&#10;L2Rvd25yZXYueG1sUEsFBgAAAAAEAAQA9QAAAIsDAAAAAA==&#10;" fillcolor="#e36c0a [2409]" stroked="f" strokeweight="2pt"/>
                <v:rect id="Rectangle 4" o:spid="_x0000_s1063" style="position:absolute;left:15430;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UacQA&#10;AADcAAAADwAAAGRycy9kb3ducmV2LnhtbERPTWvCQBC9F/oflhF6qxt7EBNdRSyFSqVoVMTbkB2z&#10;wexsyG419td3C4K3ebzPmcw6W4sLtb5yrGDQT0AQF05XXCrYbT9eRyB8QNZYOyYFN/Iwmz4/TTDT&#10;7sobuuShFDGEfYYKTAhNJqUvDFn0fdcQR+7kWoshwraUusVrDLe1fEuSobRYcWww2NDCUHHOf6yC&#10;fb5ffg8P66/6fWvS37lZjlbNUamXXjcfgwjUhYf47v7UcX6awv8z8Q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1GnEAAAA3AAAAA8AAAAAAAAAAAAAAAAAmAIAAGRycy9k&#10;b3ducmV2LnhtbFBLBQYAAAAABAAEAPUAAACJAwAAAAA=&#10;" fillcolor="#c0e43c" stroked="f" strokeweight="2pt"/>
                <v:rect id="Rectangle 5" o:spid="_x0000_s1064" style="position:absolute;left:1333;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Bw8MA&#10;AADcAAAADwAAAGRycy9kb3ducmV2LnhtbESPQWvCQBSE7wX/w/KE3uqusQSJrkEFQSgUGgXx9sg+&#10;k2D2bciuMf333UKhx2FmvmHW+WhbMVDvG8ca5jMFgrh0puFKw/l0eFuC8AHZYOuYNHyTh3wzeVlj&#10;ZtyTv2goQiUihH2GGuoQukxKX9Zk0c9cRxy9m+sthij7SpoenxFuW5kolUqLDceFGjva11Tei4fV&#10;cDHD5WOhbsn983DdXU+KTfrOWr9Ox+0KRKAx/If/2kejIRL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xBw8MAAADcAAAADwAAAAAAAAAAAAAAAACYAgAAZHJzL2Rv&#10;d25yZXYueG1sUEsFBgAAAAAEAAQA9QAAAIgDAAAAAA==&#10;" fillcolor="#9be5ef" stroked="f" strokeweight="2pt"/>
                <v:rect id="Rectangle 6" o:spid="_x0000_s1065" style="position:absolute;left:15430;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bccMA&#10;AADcAAAADwAAAGRycy9kb3ducmV2LnhtbESPQWsCMRSE7wX/Q3hCL0UTRaqsRtGC4K1UPezxuXnu&#10;Lm5eliS6679vhEKPw8x8w6w2vW3Eg3yoHWuYjBUI4sKZmksN59N+tAARIrLBxjFpeFKAzXrwtsLM&#10;uI5/6HGMpUgQDhlqqGJsMylDUZHFMHYtcfKuzluMSfpSGo9dgttGTpX6lBZrTgsVtvRVUXE73q2G&#10;73w/9ypczO62LVz+YfNd0820fh/22yWISH38D/+1D0bDVE3gd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ybccMAAADcAAAADwAAAAAAAAAAAAAAAACYAgAAZHJzL2Rv&#10;d25yZXYueG1sUEsFBgAAAAAEAAQA9QAAAIgDAAAAAA==&#10;" fillcolor="#243f60 [1604]" stroked="f" strokeweight="2pt"/>
              </v:group>
            </w:pict>
          </mc:Fallback>
        </mc:AlternateContent>
      </w:r>
    </w:p>
    <w:p w:rsidR="004F15D8" w:rsidRPr="00EC1AB2" w:rsidRDefault="004F15D8" w:rsidP="007A02A8">
      <w:pPr>
        <w:autoSpaceDE w:val="0"/>
        <w:autoSpaceDN w:val="0"/>
        <w:adjustRightInd w:val="0"/>
        <w:spacing w:after="0" w:line="360" w:lineRule="auto"/>
        <w:ind w:firstLine="1296"/>
        <w:rPr>
          <w:rFonts w:ascii="Times New Roman" w:hAnsi="Times New Roman" w:cs="Times New Roman"/>
          <w:sz w:val="20"/>
          <w:szCs w:val="20"/>
        </w:rPr>
      </w:pPr>
    </w:p>
    <w:p w:rsidR="004F15D8" w:rsidRPr="00EC1AB2" w:rsidRDefault="004F15D8" w:rsidP="007A02A8">
      <w:pPr>
        <w:autoSpaceDE w:val="0"/>
        <w:autoSpaceDN w:val="0"/>
        <w:adjustRightInd w:val="0"/>
        <w:spacing w:after="0" w:line="360" w:lineRule="auto"/>
        <w:ind w:firstLine="1296"/>
        <w:rPr>
          <w:rFonts w:ascii="Times New Roman" w:hAnsi="Times New Roman" w:cs="Times New Roman"/>
          <w:sz w:val="20"/>
          <w:szCs w:val="20"/>
        </w:rPr>
      </w:pPr>
    </w:p>
    <w:p w:rsidR="004F15D8" w:rsidRPr="00EC1AB2" w:rsidRDefault="004F15D8" w:rsidP="007A02A8">
      <w:pPr>
        <w:autoSpaceDE w:val="0"/>
        <w:autoSpaceDN w:val="0"/>
        <w:adjustRightInd w:val="0"/>
        <w:spacing w:after="0" w:line="360" w:lineRule="auto"/>
        <w:ind w:firstLine="1296"/>
        <w:rPr>
          <w:rFonts w:ascii="Times New Roman" w:hAnsi="Times New Roman" w:cs="Times New Roman"/>
          <w:sz w:val="20"/>
          <w:szCs w:val="20"/>
        </w:rPr>
      </w:pPr>
    </w:p>
    <w:p w:rsidR="00840A0D" w:rsidRPr="00EC1AB2" w:rsidRDefault="00840A0D" w:rsidP="00442ED1">
      <w:pPr>
        <w:autoSpaceDE w:val="0"/>
        <w:autoSpaceDN w:val="0"/>
        <w:adjustRightInd w:val="0"/>
        <w:spacing w:after="0" w:line="360" w:lineRule="auto"/>
        <w:rPr>
          <w:rFonts w:ascii="Times New Roman" w:hAnsi="Times New Roman" w:cs="Times New Roman"/>
          <w:sz w:val="20"/>
          <w:szCs w:val="20"/>
        </w:rPr>
      </w:pPr>
    </w:p>
    <w:p w:rsidR="004F15D8" w:rsidRPr="00EC1AB2" w:rsidRDefault="004F15D8" w:rsidP="007A02A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sz w:val="24"/>
          <w:szCs w:val="24"/>
        </w:rPr>
        <w:t>3 priedo tęsinys kitame puslapyje</w:t>
      </w:r>
    </w:p>
    <w:p w:rsidR="004F15D8" w:rsidRPr="00EC1AB2" w:rsidRDefault="00840A0D" w:rsidP="007A02A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noProof/>
          <w:lang w:eastAsia="lt-LT"/>
        </w:rPr>
        <w:lastRenderedPageBreak/>
        <w:drawing>
          <wp:anchor distT="0" distB="0" distL="114300" distR="114300" simplePos="0" relativeHeight="251685888" behindDoc="0" locked="0" layoutInCell="1" allowOverlap="1" wp14:anchorId="41D7E471" wp14:editId="12639AB8">
            <wp:simplePos x="0" y="0"/>
            <wp:positionH relativeFrom="column">
              <wp:posOffset>-128905</wp:posOffset>
            </wp:positionH>
            <wp:positionV relativeFrom="paragraph">
              <wp:posOffset>346710</wp:posOffset>
            </wp:positionV>
            <wp:extent cx="5868035" cy="3275330"/>
            <wp:effectExtent l="0" t="0" r="0" b="0"/>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r w:rsidR="00A567B6" w:rsidRPr="00EC1AB2">
        <w:rPr>
          <w:rFonts w:ascii="Times New Roman" w:hAnsi="Times New Roman" w:cs="Times New Roman"/>
          <w:sz w:val="24"/>
          <w:szCs w:val="24"/>
        </w:rPr>
        <w:t>3 priedo tęsinys</w:t>
      </w:r>
    </w:p>
    <w:p w:rsidR="004F15D8" w:rsidRPr="00EC1AB2" w:rsidRDefault="004F15D8" w:rsidP="007A02A8">
      <w:pPr>
        <w:autoSpaceDE w:val="0"/>
        <w:autoSpaceDN w:val="0"/>
        <w:adjustRightInd w:val="0"/>
        <w:spacing w:after="0" w:line="360" w:lineRule="auto"/>
        <w:ind w:firstLine="1296"/>
        <w:rPr>
          <w:rFonts w:ascii="Times New Roman" w:hAnsi="Times New Roman" w:cs="Times New Roman"/>
          <w:sz w:val="20"/>
          <w:szCs w:val="20"/>
        </w:rPr>
      </w:pPr>
    </w:p>
    <w:p w:rsidR="00F5128B" w:rsidRPr="00EC1AB2" w:rsidRDefault="00F5128B" w:rsidP="007A02A8">
      <w:pPr>
        <w:autoSpaceDE w:val="0"/>
        <w:autoSpaceDN w:val="0"/>
        <w:adjustRightInd w:val="0"/>
        <w:spacing w:after="0" w:line="360" w:lineRule="auto"/>
        <w:ind w:firstLine="1296"/>
        <w:rPr>
          <w:rFonts w:ascii="Times New Roman" w:hAnsi="Times New Roman" w:cs="Times New Roman"/>
          <w:sz w:val="20"/>
          <w:szCs w:val="20"/>
        </w:rPr>
      </w:pPr>
      <w:r w:rsidRPr="00EC1AB2">
        <w:rPr>
          <w:rFonts w:ascii="Times New Roman" w:hAnsi="Times New Roman" w:cs="Times New Roman"/>
          <w:noProof/>
          <w:lang w:eastAsia="lt-LT"/>
        </w:rPr>
        <w:drawing>
          <wp:anchor distT="0" distB="0" distL="114300" distR="114300" simplePos="0" relativeHeight="251694080" behindDoc="0" locked="0" layoutInCell="1" allowOverlap="1" wp14:anchorId="12334C41" wp14:editId="5501110F">
            <wp:simplePos x="0" y="0"/>
            <wp:positionH relativeFrom="column">
              <wp:posOffset>-52705</wp:posOffset>
            </wp:positionH>
            <wp:positionV relativeFrom="paragraph">
              <wp:posOffset>401320</wp:posOffset>
            </wp:positionV>
            <wp:extent cx="5867400" cy="32766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page">
              <wp14:pctWidth>0</wp14:pctWidth>
            </wp14:sizeRelH>
            <wp14:sizeRelV relativeFrom="page">
              <wp14:pctHeight>0</wp14:pctHeight>
            </wp14:sizeRelV>
          </wp:anchor>
        </w:drawing>
      </w:r>
      <w:r w:rsidR="00A567B6" w:rsidRPr="00EC1AB2">
        <w:rPr>
          <w:rFonts w:ascii="Times New Roman" w:hAnsi="Times New Roman" w:cs="Times New Roman"/>
          <w:noProof/>
          <w:lang w:eastAsia="lt-LT"/>
        </w:rPr>
        <w:drawing>
          <wp:anchor distT="0" distB="0" distL="114300" distR="114300" simplePos="0" relativeHeight="251686912" behindDoc="1" locked="0" layoutInCell="1" allowOverlap="1" wp14:anchorId="24F8562D" wp14:editId="660EBB23">
            <wp:simplePos x="0" y="0"/>
            <wp:positionH relativeFrom="column">
              <wp:posOffset>-167640</wp:posOffset>
            </wp:positionH>
            <wp:positionV relativeFrom="paragraph">
              <wp:posOffset>3175</wp:posOffset>
            </wp:positionV>
            <wp:extent cx="5867400" cy="3276600"/>
            <wp:effectExtent l="0" t="0" r="0" b="0"/>
            <wp:wrapThrough wrapText="bothSides">
              <wp:wrapPolygon edited="0">
                <wp:start x="8345" y="502"/>
                <wp:lineTo x="842" y="2135"/>
                <wp:lineTo x="842" y="6656"/>
                <wp:lineTo x="421" y="7158"/>
                <wp:lineTo x="210" y="7660"/>
                <wp:lineTo x="842" y="8791"/>
                <wp:lineTo x="842" y="10423"/>
                <wp:lineTo x="1122" y="10926"/>
                <wp:lineTo x="842" y="11051"/>
                <wp:lineTo x="1192" y="12809"/>
                <wp:lineTo x="2034" y="14819"/>
                <wp:lineTo x="1964" y="15195"/>
                <wp:lineTo x="2384" y="16828"/>
                <wp:lineTo x="12203" y="17205"/>
                <wp:lineTo x="15008" y="19088"/>
                <wp:lineTo x="15148" y="19591"/>
                <wp:lineTo x="15569" y="19591"/>
                <wp:lineTo x="15569" y="18837"/>
                <wp:lineTo x="17953" y="18837"/>
                <wp:lineTo x="19075" y="18209"/>
                <wp:lineTo x="19005" y="16828"/>
                <wp:lineTo x="20057" y="16828"/>
                <wp:lineTo x="21109" y="15823"/>
                <wp:lineTo x="21249" y="13186"/>
                <wp:lineTo x="1613" y="8791"/>
                <wp:lineTo x="10730" y="6781"/>
                <wp:lineTo x="1683" y="4772"/>
                <wp:lineTo x="1683" y="2763"/>
                <wp:lineTo x="12764" y="1507"/>
                <wp:lineTo x="13255" y="1130"/>
                <wp:lineTo x="12694" y="502"/>
                <wp:lineTo x="8345" y="502"/>
              </wp:wrapPolygon>
            </wp:wrapThrough>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page">
              <wp14:pctWidth>0</wp14:pctWidth>
            </wp14:sizeRelH>
            <wp14:sizeRelV relativeFrom="page">
              <wp14:pctHeight>0</wp14:pctHeight>
            </wp14:sizeRelV>
          </wp:anchor>
        </w:drawing>
      </w:r>
    </w:p>
    <w:p w:rsidR="00F575AA" w:rsidRPr="00EC1AB2" w:rsidRDefault="00F575AA" w:rsidP="007A02A8">
      <w:pPr>
        <w:autoSpaceDE w:val="0"/>
        <w:autoSpaceDN w:val="0"/>
        <w:adjustRightInd w:val="0"/>
        <w:spacing w:after="0" w:line="360" w:lineRule="auto"/>
        <w:ind w:firstLine="1296"/>
        <w:jc w:val="right"/>
        <w:rPr>
          <w:rFonts w:ascii="Times New Roman" w:hAnsi="Times New Roman" w:cs="Times New Roman"/>
          <w:sz w:val="20"/>
          <w:szCs w:val="20"/>
        </w:rPr>
      </w:pPr>
    </w:p>
    <w:p w:rsidR="00F575AA" w:rsidRPr="00EC1AB2" w:rsidRDefault="00594304" w:rsidP="007A02A8">
      <w:pPr>
        <w:autoSpaceDE w:val="0"/>
        <w:autoSpaceDN w:val="0"/>
        <w:adjustRightInd w:val="0"/>
        <w:spacing w:after="0" w:line="360" w:lineRule="auto"/>
        <w:ind w:firstLine="1296"/>
        <w:jc w:val="right"/>
        <w:rPr>
          <w:rFonts w:ascii="Times New Roman" w:hAnsi="Times New Roman" w:cs="Times New Roman"/>
          <w:sz w:val="20"/>
          <w:szCs w:val="20"/>
        </w:rPr>
      </w:pPr>
      <w:r w:rsidRPr="00EC1AB2">
        <w:rPr>
          <w:rFonts w:ascii="Times New Roman" w:hAnsi="Times New Roman" w:cs="Times New Roman"/>
          <w:noProof/>
          <w:sz w:val="24"/>
          <w:szCs w:val="24"/>
          <w:lang w:eastAsia="lt-LT"/>
        </w:rPr>
        <mc:AlternateContent>
          <mc:Choice Requires="wpg">
            <w:drawing>
              <wp:anchor distT="0" distB="0" distL="114300" distR="114300" simplePos="0" relativeHeight="251960320" behindDoc="0" locked="0" layoutInCell="1" allowOverlap="1" wp14:anchorId="5E2E0FCB" wp14:editId="2820D609">
                <wp:simplePos x="0" y="0"/>
                <wp:positionH relativeFrom="column">
                  <wp:posOffset>575945</wp:posOffset>
                </wp:positionH>
                <wp:positionV relativeFrom="paragraph">
                  <wp:posOffset>-441960</wp:posOffset>
                </wp:positionV>
                <wp:extent cx="3286125" cy="495300"/>
                <wp:effectExtent l="0" t="0" r="0" b="0"/>
                <wp:wrapNone/>
                <wp:docPr id="310" name="Group 310"/>
                <wp:cNvGraphicFramePr/>
                <a:graphic xmlns:a="http://schemas.openxmlformats.org/drawingml/2006/main">
                  <a:graphicData uri="http://schemas.microsoft.com/office/word/2010/wordprocessingGroup">
                    <wpg:wgp>
                      <wpg:cNvGrpSpPr/>
                      <wpg:grpSpPr>
                        <a:xfrm>
                          <a:off x="0" y="0"/>
                          <a:ext cx="3286125" cy="495300"/>
                          <a:chOff x="0" y="0"/>
                          <a:chExt cx="3286125" cy="495300"/>
                        </a:xfrm>
                      </wpg:grpSpPr>
                      <wps:wsp>
                        <wps:cNvPr id="311" name="TextBox 2"/>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594304">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594304">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wps:wsp>
                        <wps:cNvPr id="312" name="Rectangle 3"/>
                        <wps:cNvSpPr/>
                        <wps:spPr>
                          <a:xfrm>
                            <a:off x="133350" y="28575"/>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13" name="Rectangle 4"/>
                        <wps:cNvSpPr/>
                        <wps:spPr>
                          <a:xfrm>
                            <a:off x="1543050" y="28575"/>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14" name="Rectangle 5"/>
                        <wps:cNvSpPr/>
                        <wps:spPr>
                          <a:xfrm>
                            <a:off x="133350" y="20955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15" name="Rectangle 6"/>
                        <wps:cNvSpPr/>
                        <wps:spPr>
                          <a:xfrm>
                            <a:off x="1543050" y="20955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10" o:spid="_x0000_s1066" style="position:absolute;left:0;text-align:left;margin-left:45.35pt;margin-top:-34.8pt;width:258.75pt;height:39pt;z-index:251960320;mso-height-relative:margin" coordsize="3286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L/KQQAANYVAAAOAAAAZHJzL2Uyb0RvYy54bWzsWFFv2zYQfh+w/0DofbEsWUlsxClSNwkG&#10;ZG3QZOgzTVGyMIrkSDp29ut3PEqyaietmwJph/lFtkjekbz7vu8onr1Z14I8cGMrJafR8CiOCJdM&#10;5ZUsp9Gf91e/nUbEOipzKpTk0+iR2+jN+a+/nK30hCdqoUTODQEn0k5WehotnNOTwcCyBa+pPVKa&#10;S+gslKmpg1dTDnJDV+C9FoMkjo8HK2VybRTj1kLru9AZnaP/ouDMfSgKyx0R0wjW5vBp8Dn3z8H5&#10;GZ2UhupFxZpl0BesoqaVhEk7V++oo2Rpqh1XdcWMsqpwR0zVA1UUFeO4B9jNMN7azbVRS417KSer&#10;UndhgtBuxenFbtn7h1tDqnwapUOIj6Q1JAnnJb4BwrPS5QRGXRt9p29N01CGN7/jdWFq/wt7IWsM&#10;7GMXWL52hEFjmpweD5MsIgz6RuMsjZvIswWkZ8eMLS6/bDhopx341XWLWWkAkd3EyX5fnO4WVHMM&#10;v/UR6OI0bON0D/t7q9YkCXHCUT5IxK2hGejQtlto/M5YdVumE22su+aqJv7PNDIAcsQefbixDhIE&#10;Q9shflKpriohEOhCktU0GmeYilpD1q0s0bYbBMZCgg8fy7Bs/OceBffOhPzIC8ALZto3WGbK+UwY&#10;EkgF0AQYtdRCZ2DgBxawiG+0bUy8NUcuf6N9Z4TzK+k6+7qSyuDGUWm438ADBY3I/8KkwcKLML4N&#10;RQiAj4Vbz9fImGTU5neu8kdIO+ig+wCPQigIMxOVjshCmX+221agNxD6v5fU8IgYJ2YqyBOVDMZP&#10;o5BPqS6WThUV5tTPHKZpVgRA9+R8FcQnLeI/AtaoLAUnabt3YEYnDC1kWnp2qjBM0zQDYAD9k9Ps&#10;JPPGkNSG5R6Q0OnFYRiPTkI3pKCVlhbNewLeKlHlHvN+jq38Usa4dMeYerGs/1B5yPtJFgdNgmk7&#10;E6TSZ948NXqMQny3CEGOP0eW5CmwhcUMQ9eC5jysxS8F9XFnLcg+BHOfTI0DXzI3QG59Bz34OpO+&#10;YPwCGgn3VRo1nDEq1GSr2VUFenZDrbulBoowIGJfQvlxoPVAtYh8Ti7xu4QqMB6ORuDO4csoO0ng&#10;xfR75v0euayRkKDzsKqWmz2aFkbVn+DcceFnBVcb2jZ/Zy6oIZxbGL+4wEFQ7zV1N/JOM18ZfBY9&#10;ru/Xn6jRDbIdMOK9ausOnWwpehgbEPizSEO6Kw2dLO4nDdkojX+QNjSlC5V/Fl+O0pkXJk+7voQc&#10;SN/UwlD3n62dB9Ij0f8HpB/tkh5Luq9++5G+dx6IxxnQ//UOBH3Sj99eZpdXB9I3EThUel/OD5X+&#10;yc9e+HwP1wObj4Bjj5v9Sd+v9K/N+qdPx/4s1f8MeP7ofTgRHMThvygOeEMGl4d4rG0uOv3tZP8d&#10;v2A317Hn/wIAAP//AwBQSwMEFAAGAAgAAAAhACPHkVfgAAAACAEAAA8AAABkcnMvZG93bnJldi54&#10;bWxMj0FLw0AQhe+C/2EZwVu7SdWYxkxKKeqpFGwF8TbNTpPQ7G7IbpP037ue9Di8j/e+yVeTbsXA&#10;vWusQYjnEQg2pVWNqRA+D2+zFITzZBS11jDClR2situbnDJlR/PBw95XIpQYlxFC7X2XSenKmjW5&#10;ue3YhOxke00+nH0lVU9jKNetXERRIjU1JizU1PGm5vK8v2iE95HG9UP8OmzPp831+/C0+9rGjHh/&#10;N61fQHie/B8Mv/pBHYrgdLQXo5xoEZbRcyARZskyARGAJEoXII4I6SPIIpf/Hyh+AAAA//8DAFBL&#10;AQItABQABgAIAAAAIQC2gziS/gAAAOEBAAATAAAAAAAAAAAAAAAAAAAAAABbQ29udGVudF9UeXBl&#10;c10ueG1sUEsBAi0AFAAGAAgAAAAhADj9If/WAAAAlAEAAAsAAAAAAAAAAAAAAAAALwEAAF9yZWxz&#10;Ly5yZWxzUEsBAi0AFAAGAAgAAAAhAA4kUv8pBAAA1hUAAA4AAAAAAAAAAAAAAAAALgIAAGRycy9l&#10;Mm9Eb2MueG1sUEsBAi0AFAAGAAgAAAAhACPHkVfgAAAACAEAAA8AAAAAAAAAAAAAAAAAgwYAAGRy&#10;cy9kb3ducmV2LnhtbFBLBQYAAAAABAAEAPMAAACQBwAAAAA=&#10;">
                <v:shape id="_x0000_s1067" type="#_x0000_t202" style="position:absolute;width:3286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A03476" w:rsidRPr="00CB652D" w:rsidRDefault="00A03476" w:rsidP="00594304">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594304">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v:rect id="Rectangle 3" o:spid="_x0000_s1068" style="position:absolute;left:1333;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KgsYA&#10;AADcAAAADwAAAGRycy9kb3ducmV2LnhtbESPQWvCQBSE70L/w/IK3sxGS6VNsxEVDIUi0qQ99PbI&#10;viah2bchu2r8925B8DjMzDdMuhpNJ040uNaygnkUgyCurG65VvBV7mYvIJxH1thZJgUXcrDKHiYp&#10;Jtqe+ZNOha9FgLBLUEHjfZ9I6aqGDLrI9sTB+7WDQR/kUEs94DnATScXcbyUBlsOCw32tG2o+iuO&#10;RsFH6TebQ57vfp5z/f26z7elXBdKTR/H9RsIT6O/h2/td63gab6A/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yKgsYAAADcAAAADwAAAAAAAAAAAAAAAACYAgAAZHJz&#10;L2Rvd25yZXYueG1sUEsFBgAAAAAEAAQA9QAAAIsDAAAAAA==&#10;" fillcolor="#e36c0a [2409]" stroked="f" strokeweight="2pt"/>
                <v:rect id="Rectangle 4" o:spid="_x0000_s1069" style="position:absolute;left:15430;top:28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OOMcA&#10;AADcAAAADwAAAGRycy9kb3ducmV2LnhtbESPQWsCMRSE74L/ITyhN81aQXQ1irQUKi1iV0W8PTbP&#10;zdLNy7JJddtfbwShx2FmvmHmy9ZW4kKNLx0rGA4SEMS50yUXCva7t/4EhA/IGivHpOCXPCwX3c4c&#10;U+2u/EWXLBQiQtinqMCEUKdS+tyQRT9wNXH0zq6xGKJsCqkbvEa4reRzkoylxZLjgsGaXgzl39mP&#10;VXDIDuvN+Lj9qF53Zvq3MuvJZ31S6qnXrmYgArXhP/xov2sFo+EI7mfi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KjjjHAAAA3AAAAA8AAAAAAAAAAAAAAAAAmAIAAGRy&#10;cy9kb3ducmV2LnhtbFBLBQYAAAAABAAEAPUAAACMAwAAAAA=&#10;" fillcolor="#c0e43c" stroked="f" strokeweight="2pt"/>
                <v:rect id="Rectangle 5" o:spid="_x0000_s1070" style="position:absolute;left:1333;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gMQA&#10;AADcAAAADwAAAGRycy9kb3ducmV2LnhtbESPQWvCQBSE70L/w/IKvemuJohEV2kLQqFQMAri7ZF9&#10;JsHs25DdJum/7wqCx2FmvmE2u9E2oqfO1441zGcKBHHhTM2lhtNxP12B8AHZYOOYNPyRh932ZbLB&#10;zLiBD9TnoRQRwj5DDVUIbSalLyqy6GeuJY7e1XUWQ5RdKU2HQ4TbRi6UWkqLNceFClv6rKi45b9W&#10;w9n05+9EXRe3n/3l43JUbJYpa/32Or6vQQQawzP8aH8ZDck8hfuZeAT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3oDEAAAA3AAAAA8AAAAAAAAAAAAAAAAAmAIAAGRycy9k&#10;b3ducmV2LnhtbFBLBQYAAAAABAAEAPUAAACJAwAAAAA=&#10;" fillcolor="#9be5ef" stroked="f" strokeweight="2pt"/>
                <v:rect id="Rectangle 6" o:spid="_x0000_s1071" style="position:absolute;left:15430;top:2095;width:953;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EMsUA&#10;AADcAAAADwAAAGRycy9kb3ducmV2LnhtbESPzWrDMBCE74W8g9hCLyWR0zY/uJFDUgjkVuL24OPG&#10;2tjG1spISuy+fRUo9DjMzDfMZjuaTtzI+caygvksAUFcWt1wpeD76zBdg/ABWWNnmRT8kIdtNnnY&#10;YKrtwCe65aESEcI+RQV1CH0qpS9rMuhntieO3sU6gyFKV0ntcIhw08mXJFlKgw3HhRp7+qipbPOr&#10;UfBZHFYu8We9b3elLZ5Nse+GN6WeHsfdO4hAY/gP/7WPWsHrfAH3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wQyxQAAANwAAAAPAAAAAAAAAAAAAAAAAJgCAABkcnMv&#10;ZG93bnJldi54bWxQSwUGAAAAAAQABAD1AAAAigMAAAAA&#10;" fillcolor="#243f60 [1604]" stroked="f" strokeweight="2pt"/>
              </v:group>
            </w:pict>
          </mc:Fallback>
        </mc:AlternateContent>
      </w:r>
    </w:p>
    <w:p w:rsidR="00F575AA" w:rsidRPr="00EC1AB2" w:rsidRDefault="00F575AA" w:rsidP="00A86B78">
      <w:pPr>
        <w:autoSpaceDE w:val="0"/>
        <w:autoSpaceDN w:val="0"/>
        <w:adjustRightInd w:val="0"/>
        <w:spacing w:after="0" w:line="360" w:lineRule="auto"/>
        <w:rPr>
          <w:rFonts w:ascii="Times New Roman" w:hAnsi="Times New Roman" w:cs="Times New Roman"/>
          <w:sz w:val="20"/>
          <w:szCs w:val="20"/>
        </w:rPr>
      </w:pPr>
    </w:p>
    <w:p w:rsidR="00A86B78" w:rsidRPr="00EC1AB2" w:rsidRDefault="00A86B78" w:rsidP="00A86B78">
      <w:pPr>
        <w:autoSpaceDE w:val="0"/>
        <w:autoSpaceDN w:val="0"/>
        <w:adjustRightInd w:val="0"/>
        <w:spacing w:after="0" w:line="360" w:lineRule="auto"/>
        <w:rPr>
          <w:rFonts w:ascii="Times New Roman" w:hAnsi="Times New Roman" w:cs="Times New Roman"/>
          <w:sz w:val="20"/>
          <w:szCs w:val="20"/>
        </w:rPr>
      </w:pPr>
    </w:p>
    <w:p w:rsidR="00F575AA" w:rsidRPr="00EC1AB2" w:rsidRDefault="00F575AA" w:rsidP="007A02A8">
      <w:pPr>
        <w:autoSpaceDE w:val="0"/>
        <w:autoSpaceDN w:val="0"/>
        <w:adjustRightInd w:val="0"/>
        <w:spacing w:after="0" w:line="360" w:lineRule="auto"/>
        <w:ind w:firstLine="1296"/>
        <w:jc w:val="right"/>
        <w:rPr>
          <w:rFonts w:ascii="Times New Roman" w:hAnsi="Times New Roman" w:cs="Times New Roman"/>
          <w:sz w:val="20"/>
          <w:szCs w:val="20"/>
        </w:rPr>
      </w:pPr>
    </w:p>
    <w:p w:rsidR="009211FC" w:rsidRPr="00EC1AB2" w:rsidRDefault="009211FC" w:rsidP="00A86B7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sz w:val="24"/>
          <w:szCs w:val="24"/>
        </w:rPr>
        <w:t>3 priedo tęsinys kitame puslapyje</w:t>
      </w:r>
      <w:r w:rsidR="00A86B78" w:rsidRPr="00EC1AB2">
        <w:rPr>
          <w:rFonts w:ascii="Times New Roman" w:hAnsi="Times New Roman" w:cs="Times New Roman"/>
          <w:sz w:val="24"/>
          <w:szCs w:val="24"/>
        </w:rPr>
        <w:br w:type="page"/>
      </w:r>
    </w:p>
    <w:p w:rsidR="009211FC" w:rsidRPr="00EC1AB2" w:rsidRDefault="009211FC" w:rsidP="007A02A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sz w:val="24"/>
          <w:szCs w:val="24"/>
        </w:rPr>
        <w:lastRenderedPageBreak/>
        <w:t>3 priedo tęsinys</w:t>
      </w:r>
    </w:p>
    <w:p w:rsidR="009211FC" w:rsidRPr="00EC1AB2" w:rsidRDefault="009211FC" w:rsidP="007A02A8">
      <w:pPr>
        <w:tabs>
          <w:tab w:val="left" w:pos="8853"/>
        </w:tabs>
        <w:spacing w:after="0" w:line="360" w:lineRule="auto"/>
        <w:rPr>
          <w:rFonts w:ascii="Times New Roman" w:hAnsi="Times New Roman" w:cs="Times New Roman"/>
          <w:sz w:val="20"/>
          <w:szCs w:val="20"/>
        </w:rPr>
      </w:pPr>
    </w:p>
    <w:p w:rsidR="009211FC" w:rsidRPr="00EC1AB2" w:rsidRDefault="00C630AC" w:rsidP="007A02A8">
      <w:pPr>
        <w:tabs>
          <w:tab w:val="left" w:pos="8853"/>
        </w:tabs>
        <w:spacing w:after="0" w:line="360" w:lineRule="auto"/>
        <w:rPr>
          <w:rFonts w:ascii="Times New Roman" w:hAnsi="Times New Roman" w:cs="Times New Roman"/>
          <w:sz w:val="20"/>
          <w:szCs w:val="20"/>
        </w:rPr>
      </w:pPr>
      <w:r w:rsidRPr="00EC1AB2">
        <w:rPr>
          <w:rFonts w:ascii="Times New Roman" w:hAnsi="Times New Roman" w:cs="Times New Roman"/>
          <w:noProof/>
          <w:lang w:eastAsia="lt-LT"/>
        </w:rPr>
        <w:drawing>
          <wp:inline distT="0" distB="0" distL="0" distR="0" wp14:anchorId="0EBFD158" wp14:editId="6FCEC7AD">
            <wp:extent cx="5867401" cy="3438525"/>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CF1CEB" w:rsidRPr="00EC1AB2" w:rsidRDefault="002424B6" w:rsidP="007A02A8">
      <w:pPr>
        <w:tabs>
          <w:tab w:val="left" w:pos="8853"/>
        </w:tabs>
        <w:spacing w:after="0" w:line="360" w:lineRule="auto"/>
        <w:rPr>
          <w:rFonts w:ascii="Times New Roman" w:hAnsi="Times New Roman" w:cs="Times New Roman"/>
          <w:sz w:val="20"/>
          <w:szCs w:val="20"/>
        </w:rPr>
      </w:pP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717632" behindDoc="0" locked="0" layoutInCell="1" allowOverlap="1" wp14:anchorId="6ACF2637" wp14:editId="27F9FB40">
                <wp:simplePos x="0" y="0"/>
                <wp:positionH relativeFrom="column">
                  <wp:posOffset>1809750</wp:posOffset>
                </wp:positionH>
                <wp:positionV relativeFrom="paragraph">
                  <wp:posOffset>3072130</wp:posOffset>
                </wp:positionV>
                <wp:extent cx="95250" cy="104775"/>
                <wp:effectExtent l="0" t="0" r="0" b="9525"/>
                <wp:wrapNone/>
                <wp:docPr id="54"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142.5pt;margin-top:241.9pt;width: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oGkwIAAKEFAAAOAAAAZHJzL2Uyb0RvYy54bWysVE1v2zAMvQ/YfxB0X+0ESbsGcYqgRYcB&#10;XRu0HXpWZSkWIImapMTJfv0o2XGzdh/AsBwUSiQfyWeS84ud0WQrfFBgKzo6KSkRlkOt7LqiXx+v&#10;P3ykJERma6bBioruRaAXi/fv5q2biTE0oGvhCYLYMGtdRZsY3awoAm+EYeEEnLColOANi3j166L2&#10;rEV0o4txWZ4WLfjaeeAiBHy96pR0kfGlFDzeSRlEJLqimFvMp8/nczqLxZzN1p65RvE+DfYPWRim&#10;LAYdoK5YZGTj1Rsoo7iHADKecDAFSKm4yDVgNaPyVTUPDXMi14LkBDfQFP4fLL/drjxRdUWnE0os&#10;M/iN7pE1ZtdakNPET+vCDM0e3Mr3t4BiKnYnvUn/WAbZZU73A6diFwnHx/PpeIrEc9SMysnZ2TRB&#10;Fi++zof4SYAhSaiox9iZSLa9CbEzPZikUAG0qq+V1vmSukRcak+2DL8v41zYOMruemO+QN29T0v8&#10;9WFzYyWXnMRPaNomTAsJvQucXopUfldwluJei2Sn7b2QSByWOM4RB+S3yYSG1eJvuWTAhCwx/oDd&#10;VfMb7C7L3j65itzxg3P5p8Q658EjRwYbB2ejLPhfAWikuI/c2R9I6qhJLD1Dvce28tDNW3D8WuHn&#10;vWEhrpjHAcOOwKUR7/CQGtqKcq0cJQ3476/fkh32O2ooaXFQKxq+bZgXlOjPFifhfDSZpMnOl8n0&#10;bIwXf6x5PtbYjbkE7JURriXHs5jsoz6I0oN5wp2yTFFRxSzH2BWNB/EydusDdxIXy2U2wll2LN7Y&#10;B8cTdOIyNe3j7ol513d2xIm4hcNIs9mrBu9sk6eF5SaCVLn7X9jsWcY9kFu331lp0Rzfs9XLZl38&#10;AAAA//8DAFBLAwQUAAYACAAAACEA3cIVy98AAAALAQAADwAAAGRycy9kb3ducmV2LnhtbEyPy07D&#10;MBBF90j8gzVIbFBr07Q0CnGqFqlrRMsiSycekqh+RLbbhL9nWMFyZq7unFPuZmvYDUMcvJPwvBTA&#10;0LVeD66T8Hk+LnJgMSmnlfEOJXxjhF11f1eqQvvJfeDtlDpGJS4WSkKf0lhwHtserYpLP6Kj25cP&#10;ViUaQ8d1UBOVW8NXQrxwqwZHH3o14luP7eV0tRLe6+M2iNjow2Xf+vrJ1gczraV8fJj3r8ASzukv&#10;DL/4hA4VMTX+6nRkRsIq35BLkrDOM3KgRCYEbRoJGyEy4FXJ/ztUPwAAAP//AwBQSwECLQAUAAYA&#10;CAAAACEAtoM4kv4AAADhAQAAEwAAAAAAAAAAAAAAAAAAAAAAW0NvbnRlbnRfVHlwZXNdLnhtbFBL&#10;AQItABQABgAIAAAAIQA4/SH/1gAAAJQBAAALAAAAAAAAAAAAAAAAAC8BAABfcmVscy8ucmVsc1BL&#10;AQItABQABgAIAAAAIQA5GCoGkwIAAKEFAAAOAAAAAAAAAAAAAAAAAC4CAABkcnMvZTJvRG9jLnht&#10;bFBLAQItABQABgAIAAAAIQDdwhXL3wAAAAsBAAAPAAAAAAAAAAAAAAAAAO0EAABkcnMvZG93bnJl&#10;di54bWxQSwUGAAAAAAQABADzAAAA+QUAAAAA&#10;" fillcolor="#243f60 [1604]"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716608" behindDoc="0" locked="0" layoutInCell="1" allowOverlap="1" wp14:anchorId="3C28960D" wp14:editId="7C11355B">
                <wp:simplePos x="0" y="0"/>
                <wp:positionH relativeFrom="column">
                  <wp:posOffset>400050</wp:posOffset>
                </wp:positionH>
                <wp:positionV relativeFrom="paragraph">
                  <wp:posOffset>3072130</wp:posOffset>
                </wp:positionV>
                <wp:extent cx="95250" cy="104775"/>
                <wp:effectExtent l="0" t="0" r="0" b="9525"/>
                <wp:wrapNone/>
                <wp:docPr id="53" name="Rectangle 5"/>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5" o:spid="_x0000_s1026" style="position:absolute;margin-left:31.5pt;margin-top:241.9pt;width: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gmAIAAHoFAAAOAAAAZHJzL2Uyb0RvYy54bWysVE1vGyEQvVfqf0Dcm1273qaxso7cJK4q&#10;RUmUpMoZs+BFYhkK2Gv312dgP+KmVQ9VfcDAvHkz83aY84t9o8lOOK/AlHRyklMiDIdKmU1Jvz+t&#10;PnymxAdmKqbBiJIehKcXi/fvzls7F1OoQVfCESQxft7aktYh2HmWeV6LhvkTsMKgUYJrWMCj22SV&#10;Yy2yNzqb5vmnrAVXWQdceI+3V52RLhK/lIKHOym9CESXFHMLaXVpXcc1W5yz+cYxWyvep8H+IYuG&#10;KYNBR6orFhjZOvUbVaO4Aw8ynHBoMpBScZFqwGom+ZtqHmtmRaoFxfF2lMn/P1p+u7t3RFUlLT5S&#10;YliD3+gBVWNmowUpoj6t9XOEPdp71588bmOxe+ma+I9lkH3S9DBqKvaBcLw8K6YFCs/RMslnp6eJ&#10;Mnv1tc6HrwIaEjcldRg7Ccl2Nz5gPIQOkBjKg1bVSmmdDm6zvtSO7Bh+3bMv18X1KiaMLr/AtIlg&#10;A9GtM8ebLNbVVZJ24aBFxGnzICQqgrlPUyapF8UYh3EuTJh0pppVogtf5PgbosfujR4pl0QYmSXG&#10;H7l7ggHZkQzcXZY9PrqK1Mqjc/63xDrn0SNFBhNG50YZcH8i0FhVH7nDDyJ10kSV1lAdsF8cdA/J&#10;W75S+N1umA/3zOHLwU+N0yDc4SI1tCXlWllKanA/395FHDYyWihp8QWW1P/YMico0d8MtvjZZDaL&#10;TzYdZsXpFA/u2LI+tphtcwnYBhOcN5anbcQHPWylg+YZh8UyRkUTMxxjlzQM28vQzQUcNlwslwmE&#10;j9SycGMeLY/UUcvYjU/7Z+Zs37IBW/0WhrfK5m86t8NGTwPLbQCpUlu/qtmrjA88tUs/jOIEOT4n&#10;1OvIXLwAAAD//wMAUEsDBBQABgAIAAAAIQBOz11n3wAAAAkBAAAPAAAAZHJzL2Rvd25yZXYueG1s&#10;TI/BasMwDIbvg72D0WC31W7TZSGNU7ZBT4PB2kHpzY3VJDSWQ+ym2dtPO61HST+/vq9YT64TIw6h&#10;9aRhPlMgkCpvW6o1fO82TxmIEA1Z03lCDT8YYF3e3xUmt/5KXzhuYy24hEJuNDQx9rmUoWrQmTDz&#10;PRLfTn5wJvI41NIO5srlrpMLpVLpTEv8oTE9vjdYnbcXp2Fvx/1Hok6L8+fm8HbYKbLpkrR+fJhe&#10;VyAiTvE/DH/4jA4lMx39hWwQnYY0YZWoYZklrMCBl4wXRw3PSiUgy0LeGpS/AAAA//8DAFBLAQIt&#10;ABQABgAIAAAAIQC2gziS/gAAAOEBAAATAAAAAAAAAAAAAAAAAAAAAABbQ29udGVudF9UeXBlc10u&#10;eG1sUEsBAi0AFAAGAAgAAAAhADj9If/WAAAAlAEAAAsAAAAAAAAAAAAAAAAALwEAAF9yZWxzLy5y&#10;ZWxzUEsBAi0AFAAGAAgAAAAhALv5FWCYAgAAegUAAA4AAAAAAAAAAAAAAAAALgIAAGRycy9lMm9E&#10;b2MueG1sUEsBAi0AFAAGAAgAAAAhAE7PXWffAAAACQEAAA8AAAAAAAAAAAAAAAAA8gQAAGRycy9k&#10;b3ducmV2LnhtbFBLBQYAAAAABAAEAPMAAAD+BQAAAAA=&#10;" fillcolor="#9be5ef"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715584" behindDoc="0" locked="0" layoutInCell="1" allowOverlap="1" wp14:anchorId="3B38CC96" wp14:editId="0D0D58F5">
                <wp:simplePos x="0" y="0"/>
                <wp:positionH relativeFrom="column">
                  <wp:posOffset>1809750</wp:posOffset>
                </wp:positionH>
                <wp:positionV relativeFrom="paragraph">
                  <wp:posOffset>2891155</wp:posOffset>
                </wp:positionV>
                <wp:extent cx="95250" cy="104775"/>
                <wp:effectExtent l="0" t="0" r="0" b="9525"/>
                <wp:wrapNone/>
                <wp:docPr id="52"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142.5pt;margin-top:227.65pt;width:7.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hklQIAAHoFAAAOAAAAZHJzL2Uyb0RvYy54bWysVFFv2yAQfp+0/4B4X+1kydpGdaooXadJ&#10;VVu1nfpMMMRImGNA4mS/fgfYbtdNe5iWBwLcd99xn+/u4vLQarIXziswFZ2clJQIw6FWZlvRb0/X&#10;H84o8YGZmmkwoqJH4enl8v27i84uxBQa0LVwBEmMX3S2ok0IdlEUnjeiZf4ErDBolOBaFvDotkXt&#10;WIfsrS6mZfmp6MDV1gEX3uPtVTbSZeKXUvBwJ6UXgeiK4ttCWl1aN3EtlhdssXXMNor3z2D/8IqW&#10;KYNBR6orFhjZOfUbVau4Aw8ynHBoC5BScZFywGwm5ZtsHhtmRcoFxfF2lMn/P1p+u793RNUVnU8p&#10;MazFb/SAqjGz1YLMoj6d9QuEPdp71588bmOyB+na+I9pkEPS9DhqKg6BcLw8n0/nKDxHy6ScnZ7O&#10;I2Xx4mudD18EtCRuKuowdhKS7W98yNABEkN50Kq+Vlqng9tu1tqRPcOvuy4/zz6ue/ZfYNpEsIHo&#10;lhnjTRHzypmkXThqEXHaPAiJiuDbp+klqRbFGIdxLkyYZFPDapHDz0v8DdFj9UaPlGkijMwS44/c&#10;PcGAzCQDd35lj4+uIpXy6Fz+7WHZefRIkcGE0blVBtyfCDRm1UfO+EGkLE1UaQP1EevFQW4kb/m1&#10;wu92w3y4Zw47Bz81ToNwh4vU0FWUa2UpacD9eHsXcVjIaKGkww6sqP++Y05Qor8aLPHzyWwWWzYd&#10;ZvPTKR7ca8vmtcXs2jVgGUxw3liethEf9LCVDtpnHBarGBVNzHCMXdEwbNchzwUcNlysVgmETWpZ&#10;uDGPlkfqqGWsxqfDM3O2L9mApX4LQ6+yxZvKzdjoaWC1CyBVKusXNXuVscFTufTDKE6Q1+eEehmZ&#10;y58AAAD//wMAUEsDBBQABgAIAAAAIQD9eJwt4wAAAAsBAAAPAAAAZHJzL2Rvd25yZXYueG1sTI/N&#10;TsMwEITvSLyDtUjcqN2WlBDiVBWIQwVCkFIhbm68xBH+iWK3DTw9ywmOOzua+aZcjs6yAw6xC17C&#10;dCKAoW+C7nwr4XVzf5EDi0l5rWzwKOELIyyr05NSFToc/Qse6tQyCvGxUBJMSn3BeWwMOhUnoUdP&#10;v48wOJXoHFquB3WkcGf5TIgFd6rz1GBUj7cGm8967yRs6+36afH2/GDvNub6e2XW+WP/LuX52bi6&#10;AZZwTH9m+MUndKiIaRf2XkdmJczyjLYkCZdZNgdGjrkQpOxIuZrmwKuS/99Q/QAAAP//AwBQSwEC&#10;LQAUAAYACAAAACEAtoM4kv4AAADhAQAAEwAAAAAAAAAAAAAAAAAAAAAAW0NvbnRlbnRfVHlwZXNd&#10;LnhtbFBLAQItABQABgAIAAAAIQA4/SH/1gAAAJQBAAALAAAAAAAAAAAAAAAAAC8BAABfcmVscy8u&#10;cmVsc1BLAQItABQABgAIAAAAIQDmK7hklQIAAHoFAAAOAAAAAAAAAAAAAAAAAC4CAABkcnMvZTJv&#10;RG9jLnhtbFBLAQItABQABgAIAAAAIQD9eJwt4wAAAAsBAAAPAAAAAAAAAAAAAAAAAO8EAABkcnMv&#10;ZG93bnJldi54bWxQSwUGAAAAAAQABADzAAAA/wUAAAAA&#10;" fillcolor="#c0e43c"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714560" behindDoc="0" locked="0" layoutInCell="1" allowOverlap="1" wp14:anchorId="541A66E6" wp14:editId="13EA72BA">
                <wp:simplePos x="0" y="0"/>
                <wp:positionH relativeFrom="column">
                  <wp:posOffset>400050</wp:posOffset>
                </wp:positionH>
                <wp:positionV relativeFrom="paragraph">
                  <wp:posOffset>2891155</wp:posOffset>
                </wp:positionV>
                <wp:extent cx="95250" cy="104775"/>
                <wp:effectExtent l="0" t="0" r="0" b="9525"/>
                <wp:wrapNone/>
                <wp:docPr id="51" name="Rectangle 3"/>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3" o:spid="_x0000_s1026" style="position:absolute;margin-left:31.5pt;margin-top:227.65pt;width:7.5pt;height:8.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ZimQIAAKEFAAAOAAAAZHJzL2Uyb0RvYy54bWysVMFu2zAMvQ/YPwi6r7azpFmDOkXQosOA&#10;bi3aDj2rshQLkERNUuJkXz9KdtysK3YYdpFFkXwkn0meX+yMJlvhgwJb0+qkpERYDo2y65p+f7z+&#10;8ImSEJltmAYraroXgV4s378779xCTKAF3QhPEMSGRedq2sboFkUReCsMCyfghEWlBG9YRNGvi8az&#10;DtGNLiZleVp04BvngYsQ8PWqV9JlxpdS8HgrZRCR6JpibjGfPp/P6SyW52yx9sy1ig9psH/IwjBl&#10;MegIdcUiIxuv/oAyinsIIOMJB1OAlIqLXANWU5WvqnlomRO5FiQnuJGm8P9g+bftnSeqqemsosQy&#10;g//oHlljdq0F+Zj46VxYoNmDu/ODFPCait1Jb9IXyyC7zOl+5FTsIuH4eDabzJB4jpqqnM7nswRZ&#10;vPg6H+JnAYakS009xs5Esu1NiL3pwSSFCqBVc620zkLqEnGpPdky/L+Mc2HjaXbXG/MVmv59PivL&#10;/KcxbG6s5JKT+A1N24RpIaH3gdNLkcrvC863uNci2Wl7LyQShyVOcsQR+TiZqle1rBH9c0rl7Vwy&#10;YEKWGH/EHgDeKrQamBzsk6vIHT86l39LrC9x9MiRwcbR2SgL/i0AHcfIvf2BpJ6axNIzNHtsKw/9&#10;vAXHrxX+3hsW4h3zOGDYEbg04i0eUkNXU66Vo6QF//P1W7LDfkcNJR0Oak3Djw3zghL9xeIknFXT&#10;aZrsLExn8wkK/ljzfKyxG3MJ2CvY7JhVvib7qA9X6cE84U5ZpaioYpZj7JrGw/Uy9usDdxIXq1U2&#10;wll2LN7YB8cTdOIyNe3j7ol5N3R2xIn4BoeRZotXDd7bJk8Lq00EqXL3v7A5sIx7ILfusLPSojmW&#10;s9XLZl3+AgAA//8DAFBLAwQUAAYACAAAACEAfJpzOuAAAAAJAQAADwAAAGRycy9kb3ducmV2Lnht&#10;bEyPwU7DMBBE70j8g7VI3KhTStoQ4lRtpeaCKkQCB25uvCQR8TqK3Tb8PcsJjjs7mnmTrSfbizOO&#10;vnOkYD6LQCDVznTUKHir9ncJCB80Gd07QgXf6GGdX19lOjXuQq94LkMjOIR8qhW0IQyplL5u0Wo/&#10;cwMS/z7daHXgc2ykGfWFw20v76NoKa3uiBtaPeCuxfqrPFkFz1XYbl+KYv8RF+b98VDsKrkplbq9&#10;mTZPIAJO4c8Mv/iMDjkzHd2JjBe9guWCpwQFD3G8AMGGVcLCkYXVPAGZZ/L/gvwHAAD//wMAUEsB&#10;Ai0AFAAGAAgAAAAhALaDOJL+AAAA4QEAABMAAAAAAAAAAAAAAAAAAAAAAFtDb250ZW50X1R5cGVz&#10;XS54bWxQSwECLQAUAAYACAAAACEAOP0h/9YAAACUAQAACwAAAAAAAAAAAAAAAAAvAQAAX3JlbHMv&#10;LnJlbHNQSwECLQAUAAYACAAAACEACF4GYpkCAAChBQAADgAAAAAAAAAAAAAAAAAuAgAAZHJzL2Uy&#10;b0RvYy54bWxQSwECLQAUAAYACAAAACEAfJpzOuAAAAAJAQAADwAAAAAAAAAAAAAAAADzBAAAZHJz&#10;L2Rvd25yZXYueG1sUEsFBgAAAAAEAAQA8wAAAAAGAAAAAA==&#10;" fillcolor="#e36c0a [2409]"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713536" behindDoc="0" locked="0" layoutInCell="1" allowOverlap="1" wp14:anchorId="24401600" wp14:editId="4998BBF7">
                <wp:simplePos x="0" y="0"/>
                <wp:positionH relativeFrom="column">
                  <wp:posOffset>272415</wp:posOffset>
                </wp:positionH>
                <wp:positionV relativeFrom="paragraph">
                  <wp:posOffset>2865120</wp:posOffset>
                </wp:positionV>
                <wp:extent cx="3286125" cy="495300"/>
                <wp:effectExtent l="0" t="0" r="0" b="0"/>
                <wp:wrapNone/>
                <wp:docPr id="50" name="TextBox 2"/>
                <wp:cNvGraphicFramePr/>
                <a:graphic xmlns:a="http://schemas.openxmlformats.org/drawingml/2006/main">
                  <a:graphicData uri="http://schemas.microsoft.com/office/word/2010/wordprocessingShape">
                    <wps:wsp>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2424B6">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2424B6">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a:graphicData>
                </a:graphic>
                <wp14:sizeRelV relativeFrom="margin">
                  <wp14:pctHeight>0</wp14:pctHeight>
                </wp14:sizeRelV>
              </wp:anchor>
            </w:drawing>
          </mc:Choice>
          <mc:Fallback>
            <w:pict>
              <v:shape id="_x0000_s1072" type="#_x0000_t202" style="position:absolute;margin-left:21.45pt;margin-top:225.6pt;width:258.75pt;height:3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YGgIAAIEEAAAOAAAAZHJzL2Uyb0RvYy54bWysVMFu2zAMvQ/YPwi6L07SpWiDOMXWorsM&#10;67B2H6DIUixMEjVJiZ19/SjacYfu1GEX2abIR75H0pub3ll2VDEZ8DVfzOacKS+hMX5f8+9P9++u&#10;OEtZ+EZY8KrmJ5X4zfbtm00X1moJLdhGRYYgPq27UPM257CuqiRb5USaQVAeLzVEJzJ+xn3VRNEh&#10;urPVcj6/rDqITYggVUpovRsu+ZbwtVYyP2idVGa25lhbpjPSuStntd2I9T6K0Bo5liH+oQonjMek&#10;E9SdyIIdovkLyhkZIYHOMwmuAq2NVMQB2SzmL9g8tiIo4oLipDDJlP4frPxy/BqZaWq+Qnm8cNij&#10;J9Xnj9CzZVGnC2mNTo8B3XKPZuzy2Z7QWEj3OrryRDoM7xHoNGmLWEyi8WJ5dblYrjiTePf+enUx&#10;J/Gr5+gQU/6kwLHyUvOIvSNJxfFzylgJup5dSjIP98Za6p/1rKv59YrgXUAyye8pdnLCYOsRo9AZ&#10;yqa3fLKqgFn/TWmUgaovhiTjfndrIxtmBYcZWZ0nhsAwoDhqLOKVsWNIiVY0oq+Mn4IoP/g8xTvj&#10;IRJxWiBVCBwFjn7zg5qGhevB/yzFIEDRIve7ngYBVRz7voPmhG3H9c4PeGgLKLO0JnDWQvz10tbh&#10;GqH0Pw8iKs5itrcwbJ3wEv1rPvTTw4dDBm2opyXzkGasCOecWj3uZFmkP7/J6/nPsf0NAAD//wMA&#10;UEsDBBQABgAIAAAAIQAHsJbm3QAAAAoBAAAPAAAAZHJzL2Rvd25yZXYueG1sTI/BTsMwDIbvSLxD&#10;ZCRuLFnUTrQ0nRCIK4gNkLhljddWNE7VZGt5e8wJTrblT78/V9vFD+KMU+wDGVivFAikJrieWgNv&#10;+6ebWxAxWXJ2CIQGvjHCtr68qGzpwkyveN6lVnAIxdIa6FIaSylj06G3cRVGJN4dw+Rt4nFqpZvs&#10;zOF+kFqpjfS2J77Q2REfOmy+didv4P35+PmRqZf20efjHBYlyRfSmOur5f4ORMIl/cHwq8/qULPT&#10;IZzIRTEYyHTBJNd8rUEwkG9UBuLAjS40yLqS/1+ofwAAAP//AwBQSwECLQAUAAYACAAAACEAtoM4&#10;kv4AAADhAQAAEwAAAAAAAAAAAAAAAAAAAAAAW0NvbnRlbnRfVHlwZXNdLnhtbFBLAQItABQABgAI&#10;AAAAIQA4/SH/1gAAAJQBAAALAAAAAAAAAAAAAAAAAC8BAABfcmVscy8ucmVsc1BLAQItABQABgAI&#10;AAAAIQCK/ECYGgIAAIEEAAAOAAAAAAAAAAAAAAAAAC4CAABkcnMvZTJvRG9jLnhtbFBLAQItABQA&#10;BgAIAAAAIQAHsJbm3QAAAAoBAAAPAAAAAAAAAAAAAAAAAHQEAABkcnMvZG93bnJldi54bWxQSwUG&#10;AAAAAAQABADzAAAAfgUAAAAA&#10;" filled="f" stroked="f">
                <v:textbox>
                  <w:txbxContent>
                    <w:p w:rsidR="00A03476" w:rsidRPr="00CB652D" w:rsidRDefault="00A03476" w:rsidP="002424B6">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2424B6">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w:pict>
          </mc:Fallback>
        </mc:AlternateContent>
      </w:r>
      <w:r w:rsidR="00C630AC" w:rsidRPr="00EC1AB2">
        <w:rPr>
          <w:rFonts w:ascii="Times New Roman" w:hAnsi="Times New Roman" w:cs="Times New Roman"/>
          <w:noProof/>
          <w:lang w:eastAsia="lt-LT"/>
        </w:rPr>
        <w:drawing>
          <wp:inline distT="0" distB="0" distL="0" distR="0" wp14:anchorId="036FD4E4" wp14:editId="7446E05A">
            <wp:extent cx="5867401" cy="3276600"/>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FB2C33" w:rsidRPr="00EC1AB2" w:rsidRDefault="00FB2C33" w:rsidP="007A02A8">
      <w:pPr>
        <w:tabs>
          <w:tab w:val="left" w:pos="8853"/>
        </w:tabs>
        <w:spacing w:after="0" w:line="360" w:lineRule="auto"/>
        <w:rPr>
          <w:rFonts w:ascii="Times New Roman" w:hAnsi="Times New Roman" w:cs="Times New Roman"/>
          <w:sz w:val="20"/>
          <w:szCs w:val="20"/>
        </w:rPr>
      </w:pPr>
    </w:p>
    <w:p w:rsidR="00FB2C33" w:rsidRPr="00EC1AB2" w:rsidRDefault="00FB2C33" w:rsidP="007A02A8">
      <w:pPr>
        <w:tabs>
          <w:tab w:val="left" w:pos="8853"/>
        </w:tabs>
        <w:spacing w:after="0" w:line="360" w:lineRule="auto"/>
        <w:rPr>
          <w:rFonts w:ascii="Times New Roman" w:hAnsi="Times New Roman" w:cs="Times New Roman"/>
          <w:sz w:val="20"/>
          <w:szCs w:val="20"/>
        </w:rPr>
      </w:pPr>
    </w:p>
    <w:p w:rsidR="005911F2" w:rsidRPr="00EC1AB2" w:rsidRDefault="005911F2" w:rsidP="007A02A8">
      <w:pPr>
        <w:autoSpaceDE w:val="0"/>
        <w:autoSpaceDN w:val="0"/>
        <w:adjustRightInd w:val="0"/>
        <w:spacing w:after="0" w:line="360" w:lineRule="auto"/>
        <w:ind w:firstLine="1296"/>
        <w:jc w:val="right"/>
        <w:rPr>
          <w:rFonts w:ascii="Times New Roman" w:hAnsi="Times New Roman" w:cs="Times New Roman"/>
          <w:sz w:val="24"/>
          <w:szCs w:val="24"/>
        </w:rPr>
      </w:pPr>
    </w:p>
    <w:p w:rsidR="00A86B78" w:rsidRPr="00EC1AB2" w:rsidRDefault="00FB2C33" w:rsidP="007A02A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sz w:val="24"/>
          <w:szCs w:val="24"/>
        </w:rPr>
        <w:t>3 priedo tęsinys kitame puslapyje</w:t>
      </w:r>
      <w:r w:rsidR="00A86B78" w:rsidRPr="00EC1AB2">
        <w:rPr>
          <w:rFonts w:ascii="Times New Roman" w:hAnsi="Times New Roman" w:cs="Times New Roman"/>
          <w:sz w:val="24"/>
          <w:szCs w:val="24"/>
        </w:rPr>
        <w:br w:type="page"/>
      </w:r>
    </w:p>
    <w:p w:rsidR="00A86B78" w:rsidRPr="00EC1AB2" w:rsidRDefault="00A86B78" w:rsidP="00A86B78">
      <w:pPr>
        <w:autoSpaceDE w:val="0"/>
        <w:autoSpaceDN w:val="0"/>
        <w:adjustRightInd w:val="0"/>
        <w:spacing w:after="0" w:line="360" w:lineRule="auto"/>
        <w:rPr>
          <w:rFonts w:ascii="Times New Roman" w:hAnsi="Times New Roman" w:cs="Times New Roman"/>
          <w:sz w:val="24"/>
          <w:szCs w:val="24"/>
        </w:rPr>
      </w:pPr>
    </w:p>
    <w:p w:rsidR="00FB2C33" w:rsidRPr="00EC1AB2" w:rsidRDefault="00FB2C33" w:rsidP="007A02A8">
      <w:pPr>
        <w:autoSpaceDE w:val="0"/>
        <w:autoSpaceDN w:val="0"/>
        <w:adjustRightInd w:val="0"/>
        <w:spacing w:after="0" w:line="360" w:lineRule="auto"/>
        <w:ind w:firstLine="1296"/>
        <w:jc w:val="right"/>
        <w:rPr>
          <w:rFonts w:ascii="Times New Roman" w:hAnsi="Times New Roman" w:cs="Times New Roman"/>
          <w:sz w:val="24"/>
          <w:szCs w:val="24"/>
        </w:rPr>
      </w:pPr>
      <w:r w:rsidRPr="00EC1AB2">
        <w:rPr>
          <w:rFonts w:ascii="Times New Roman" w:hAnsi="Times New Roman" w:cs="Times New Roman"/>
          <w:sz w:val="24"/>
          <w:szCs w:val="24"/>
        </w:rPr>
        <w:t>3 priedo tęsinys</w:t>
      </w:r>
    </w:p>
    <w:p w:rsidR="00FB2C33" w:rsidRPr="00EC1AB2" w:rsidRDefault="00AA6329" w:rsidP="007A02A8">
      <w:pPr>
        <w:tabs>
          <w:tab w:val="left" w:pos="8853"/>
        </w:tabs>
        <w:spacing w:after="0" w:line="360" w:lineRule="auto"/>
        <w:rPr>
          <w:rFonts w:ascii="Times New Roman" w:hAnsi="Times New Roman" w:cs="Times New Roman"/>
          <w:sz w:val="20"/>
          <w:szCs w:val="20"/>
        </w:rPr>
      </w:pPr>
      <w:r w:rsidRPr="00EC1AB2">
        <w:rPr>
          <w:rFonts w:ascii="Times New Roman" w:hAnsi="Times New Roman" w:cs="Times New Roman"/>
          <w:noProof/>
          <w:lang w:eastAsia="lt-LT"/>
        </w:rPr>
        <w:drawing>
          <wp:inline distT="0" distB="0" distL="0" distR="0" wp14:anchorId="5E19DF5E" wp14:editId="219B10F6">
            <wp:extent cx="5867401" cy="34385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EE48BA" w:rsidRPr="00EC1AB2" w:rsidRDefault="0035368D" w:rsidP="007A02A8">
      <w:pPr>
        <w:tabs>
          <w:tab w:val="left" w:pos="8853"/>
        </w:tabs>
        <w:spacing w:after="0" w:line="360" w:lineRule="auto"/>
        <w:rPr>
          <w:rFonts w:ascii="Times New Roman" w:hAnsi="Times New Roman" w:cs="Times New Roman"/>
          <w:sz w:val="20"/>
          <w:szCs w:val="20"/>
        </w:rPr>
      </w:pP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688960" behindDoc="0" locked="0" layoutInCell="1" allowOverlap="1" wp14:anchorId="54E671DA" wp14:editId="27AA92C9">
                <wp:simplePos x="0" y="0"/>
                <wp:positionH relativeFrom="column">
                  <wp:posOffset>272415</wp:posOffset>
                </wp:positionH>
                <wp:positionV relativeFrom="paragraph">
                  <wp:posOffset>2778760</wp:posOffset>
                </wp:positionV>
                <wp:extent cx="3286125" cy="495300"/>
                <wp:effectExtent l="0" t="0" r="0" b="0"/>
                <wp:wrapNone/>
                <wp:docPr id="42" name="TextBox 2"/>
                <wp:cNvGraphicFramePr/>
                <a:graphic xmlns:a="http://schemas.openxmlformats.org/drawingml/2006/main">
                  <a:graphicData uri="http://schemas.microsoft.com/office/word/2010/wordprocessingShape">
                    <wps:wsp>
                      <wps:cNvSpPr txBox="1"/>
                      <wps:spPr>
                        <a:xfrm>
                          <a:off x="0" y="0"/>
                          <a:ext cx="32861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EC1AB2" w:rsidRPr="00CB652D" w:rsidRDefault="00EC1AB2" w:rsidP="0035368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EC1AB2" w:rsidRPr="00CB652D" w:rsidRDefault="00EC1AB2" w:rsidP="0035368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wps:txbx>
                      <wps:bodyPr vertOverflow="clip" horzOverflow="clip" wrap="square" rtlCol="0" anchor="t">
                        <a:noAutofit/>
                      </wps:bodyPr>
                    </wps:wsp>
                  </a:graphicData>
                </a:graphic>
                <wp14:sizeRelV relativeFrom="margin">
                  <wp14:pctHeight>0</wp14:pctHeight>
                </wp14:sizeRelV>
              </wp:anchor>
            </w:drawing>
          </mc:Choice>
          <mc:Fallback>
            <w:pict>
              <v:shape id="_x0000_s1073" type="#_x0000_t202" style="position:absolute;margin-left:21.45pt;margin-top:218.8pt;width:258.75pt;height:3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caGwIAAIEEAAAOAAAAZHJzL2Uyb0RvYy54bWysVMFu2zAMvQ/YPwi6L07cJmiDOMXWorsM&#10;69B2H6DIUixMEjVJiZ19/Sg6SYfu1GEX2abIR75H0qubwVm2VzEZ8A2fTaacKS+hNX7b8O/P9x+u&#10;OEtZ+FZY8KrhB5X4zfr9u1UflqqGDmyrIkMQn5Z9aHiXc1hWVZKdciJNICiPlxqiExk/47Zqo+gR&#10;3dmqnk4XVQ+xDRGkSgmtd+MlXxO+1krmB62Tysw2HGvLdEY6N+Ws1iux3EYROiOPZYh/qMIJ4zHp&#10;GepOZMF20fwF5YyMkEDniQRXgdZGKuKAbGbTV2yeOhEUcUFxUjjLlP4frPy6/xaZaRt+WXPmhcMe&#10;Pashf4KB1UWdPqQlOj0FdMsDmrHLJ3tCYyE96OjKE+kwvEedD2dtEYtJNF7UV4tZPedM4t3l9fxi&#10;SuJXL9EhpvxZgWPlpeERe0eSiv2XlLESdD25lGQe7o211D/rWd/w6znBu4Bkkt9S7NkJg61HjEJn&#10;LJve8sGqAmb9o9IoA1VfDEnG7ebWRjbOCg4zsjpNDIFhQHHUWMQbY48hJVrRiL4x/hxE+cHnc7wz&#10;HiIRpwVShcBe4Oi3P6hpWLge/U9SjAIULfKwGWgQ6sWpvxtoD9h2XO/8gIe2gDJLawJnHcRfr209&#10;rhFK/3MnouIsZnsL49YJL9G/4WM/PXzcZdCGeloyj2mOFeGcU6uPO1kW6c9v8nr5c6x/AwAA//8D&#10;AFBLAwQUAAYACAAAACEAK2sSLt8AAAAKAQAADwAAAGRycy9kb3ducmV2LnhtbEyPTU/DMAyG70j7&#10;D5GRuLFkoy2sNJ0QiCto40PiljVeW61xqiZby7+fd4KTbfnR68fFenKdOOEQWk8aFnMFAqnytqVa&#10;w+fH6+0DiBANWdN5Qg2/GGBdzq4Kk1s/0gZP21gLDqGQGw1NjH0uZagadCbMfY/Eu70fnIk8DrW0&#10;gxk53HVyqVQmnWmJLzSmx+cGq8P26DR8ve1/vhP1Xr+4tB/9pCS5ldT65np6egQRcYp/MFz0WR1K&#10;dtr5I9kgOg3JcsUk17v7DAQDaaYSEDtuFmkGsizk/xfKMwAAAP//AwBQSwECLQAUAAYACAAAACEA&#10;toM4kv4AAADhAQAAEwAAAAAAAAAAAAAAAAAAAAAAW0NvbnRlbnRfVHlwZXNdLnhtbFBLAQItABQA&#10;BgAIAAAAIQA4/SH/1gAAAJQBAAALAAAAAAAAAAAAAAAAAC8BAABfcmVscy8ucmVsc1BLAQItABQA&#10;BgAIAAAAIQBgKEcaGwIAAIEEAAAOAAAAAAAAAAAAAAAAAC4CAABkcnMvZTJvRG9jLnhtbFBLAQIt&#10;ABQABgAIAAAAIQAraxIu3wAAAAoBAAAPAAAAAAAAAAAAAAAAAHUEAABkcnMvZG93bnJldi54bWxQ&#10;SwUGAAAAAAQABADzAAAAgQUAAAAA&#10;" filled="f" stroked="f">
                <v:textbox>
                  <w:txbxContent>
                    <w:p w:rsidR="00A03476" w:rsidRPr="00CB652D" w:rsidRDefault="00A03476" w:rsidP="0035368D">
                      <w:pPr>
                        <w:pStyle w:val="NormalWeb"/>
                        <w:rPr>
                          <w:sz w:val="20"/>
                          <w:szCs w:val="20"/>
                        </w:rPr>
                      </w:pPr>
                      <w:r>
                        <w:rPr>
                          <w:rFonts w:asciiTheme="minorHAnsi" w:hAnsi="Calibri" w:cstheme="minorBidi"/>
                          <w:color w:val="000000" w:themeColor="dark1"/>
                          <w:sz w:val="22"/>
                          <w:szCs w:val="22"/>
                        </w:rPr>
                        <w:t xml:space="preserve">     </w:t>
                      </w:r>
                      <w:r w:rsidRPr="00CB652D">
                        <w:rPr>
                          <w:color w:val="000000" w:themeColor="dark1"/>
                          <w:sz w:val="20"/>
                          <w:szCs w:val="20"/>
                        </w:rPr>
                        <w:t>Nuosaikios inovatorės         Inovacijų šalininkės</w:t>
                      </w:r>
                    </w:p>
                    <w:p w:rsidR="00A03476" w:rsidRPr="00CB652D" w:rsidRDefault="00A03476" w:rsidP="0035368D">
                      <w:pPr>
                        <w:pStyle w:val="NormalWeb"/>
                        <w:rPr>
                          <w:sz w:val="20"/>
                          <w:szCs w:val="20"/>
                        </w:rPr>
                      </w:pPr>
                      <w:r w:rsidRPr="00CB652D">
                        <w:rPr>
                          <w:color w:val="000000" w:themeColor="dark1"/>
                          <w:sz w:val="20"/>
                          <w:szCs w:val="20"/>
                        </w:rPr>
                        <w:t xml:space="preserve">     Vidutinės inovatorės         </w:t>
                      </w:r>
                      <w:r>
                        <w:rPr>
                          <w:color w:val="000000" w:themeColor="dark1"/>
                          <w:sz w:val="20"/>
                          <w:szCs w:val="20"/>
                        </w:rPr>
                        <w:t xml:space="preserve">  </w:t>
                      </w:r>
                      <w:r w:rsidRPr="00CB652D">
                        <w:rPr>
                          <w:color w:val="000000" w:themeColor="dark1"/>
                          <w:sz w:val="20"/>
                          <w:szCs w:val="20"/>
                        </w:rPr>
                        <w:t xml:space="preserve"> Inovacijų lyderės</w:t>
                      </w:r>
                    </w:p>
                  </w:txbxContent>
                </v:textbox>
              </v:shape>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689984" behindDoc="0" locked="0" layoutInCell="1" allowOverlap="1" wp14:anchorId="55CDF3A6" wp14:editId="5908FDD8">
                <wp:simplePos x="0" y="0"/>
                <wp:positionH relativeFrom="column">
                  <wp:posOffset>400050</wp:posOffset>
                </wp:positionH>
                <wp:positionV relativeFrom="paragraph">
                  <wp:posOffset>2804795</wp:posOffset>
                </wp:positionV>
                <wp:extent cx="95250" cy="104775"/>
                <wp:effectExtent l="0" t="0" r="0" b="9525"/>
                <wp:wrapNone/>
                <wp:docPr id="43" name="Rectangle 3"/>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3" o:spid="_x0000_s1026" style="position:absolute;margin-left:31.5pt;margin-top:220.85pt;width:7.5pt;height:8.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25mgIAAKEFAAAOAAAAZHJzL2Uyb0RvYy54bWysVMFu2zAMvQ/YPwi6r3bSpFmDOkXQosOA&#10;rg3aDj2rshQLkERNUuJkXz9KdtysK3YYdpFFkXwkn0leXO6MJlvhgwJb0dFJSYmwHGpl1xX9/nTz&#10;6TMlITJbMw1WVHQvAr1cfPxw0bq5GEMDuhaeIIgN89ZVtInRzYsi8EYYFk7ACYtKCd6wiKJfF7Vn&#10;LaIbXYzL8qxowdfOAxch4Ot1p6SLjC+l4PFeyiAi0RXF3GI+fT5f0lksLth87ZlrFO/TYP+QhWHK&#10;YtAB6ppFRjZe/QFlFPcQQMYTDqYAKRUXuQasZlS+qeaxYU7kWpCc4Aaawv+D5XfblSeqrujklBLL&#10;DP6jB2SN2bUW5DTx07owR7NHt/K9FPCait1Jb9IXyyC7zOl+4FTsIuH4eD4dT5F4jppROZnNpgmy&#10;ePV1PsQvAgxJl4p6jJ2JZNvbEDvTg0kKFUCr+kZpnYXUJeJKe7Jl+H8Z58LGs+yuN+Yb1N37bFqW&#10;+U9j2NxYySUn8RuatgnTQkLvAqeXIpXfFZxvca9FstP2QUgkDksc54gD8nEyo07VsFp0zymV93PJ&#10;gAlZYvwBuwd4r9BRz2Rvn1xF7vjBufxbYl2Jg0eODDYOzkZZ8O8B6DhE7uwPJHXUJJZeoN5jW3no&#10;5i04fqPw996yEFfM44BhR+DSiPd4SA1tRblWjpIG/M+3b8kO+x01lLQ4qBUNPzbMC0r0V4uTcD6a&#10;TNJkZ2EynY1R8Meal2ON3ZgrwF4Z4VpyPF+TfdSHq/RgnnGnLFNUVDHLMXZF4+F6Fbv1gTuJi+Uy&#10;G+EsOxZv7aPjCTpxmZr2affMvOs7O+JE3MFhpNn8TYN3tsnTwnITQarc/a9s9izjHsit2++stGiO&#10;5Wz1ulkXvwAAAP//AwBQSwMEFAAGAAgAAAAhAEuelYDhAAAACQEAAA8AAABkcnMvZG93bnJldi54&#10;bWxMj81OwzAQhO9IvIO1SNyo09KfEOJUbaXmghAiaQ/c3HhJIuJ1FLtteHuWExx3djTzTboebScu&#10;OPjWkYLpJAKBVDnTUq3gUO4fYhA+aDK6c4QKvtHDOru9SXVi3JXe8VKEWnAI+UQraELoEyl91aDV&#10;fuJ6JP59usHqwOdQSzPoK4fbTs6iaCmtbokbGt3jrsHqqzhbBS9l2G7f8nz/scjN8ek135VyUyh1&#10;fzdunkEEHMOfGX7xGR0yZjq5MxkvOgXLR54SFMzn0xUINqxiFk4sLOIZyCyV/xdkPwAAAP//AwBQ&#10;SwECLQAUAAYACAAAACEAtoM4kv4AAADhAQAAEwAAAAAAAAAAAAAAAAAAAAAAW0NvbnRlbnRfVHlw&#10;ZXNdLnhtbFBLAQItABQABgAIAAAAIQA4/SH/1gAAAJQBAAALAAAAAAAAAAAAAAAAAC8BAABfcmVs&#10;cy8ucmVsc1BLAQItABQABgAIAAAAIQBUqH25mgIAAKEFAAAOAAAAAAAAAAAAAAAAAC4CAABkcnMv&#10;ZTJvRG9jLnhtbFBLAQItABQABgAIAAAAIQBLnpWA4QAAAAkBAAAPAAAAAAAAAAAAAAAAAPQEAABk&#10;cnMvZG93bnJldi54bWxQSwUGAAAAAAQABADzAAAAAgYAAAAA&#10;" fillcolor="#e36c0a [2409]"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691008" behindDoc="0" locked="0" layoutInCell="1" allowOverlap="1" wp14:anchorId="48FF3FCE" wp14:editId="033F90BD">
                <wp:simplePos x="0" y="0"/>
                <wp:positionH relativeFrom="column">
                  <wp:posOffset>1809750</wp:posOffset>
                </wp:positionH>
                <wp:positionV relativeFrom="paragraph">
                  <wp:posOffset>2804795</wp:posOffset>
                </wp:positionV>
                <wp:extent cx="95250" cy="104775"/>
                <wp:effectExtent l="0" t="0" r="0" b="9525"/>
                <wp:wrapNone/>
                <wp:docPr id="44" name="Rectangle 4"/>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C0E4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margin-left:142.5pt;margin-top:220.85pt;width:7.5pt;height:8.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eGlQIAAHoFAAAOAAAAZHJzL2Uyb0RvYy54bWysVE1vGyEQvVfqf0Dcm1276yaxso4sp6kq&#10;RUmUpMoZs+BFYhkK+Ku/vgPsbtK06qGqDxiYN2+YtzNzcXnoNNkJ5xWYmk5OSkqE4dAos6npt6fr&#10;D2eU+MBMwzQYUdOj8PRy8f7dxd7OxRRa0I1wBEmMn+9tTdsQ7LwoPG9Fx/wJWGHQKMF1LODRbYrG&#10;sT2yd7qYluWnYg+usQ648B5vr7KRLhK/lIKHOym9CETXFN8W0urSuo5rsbhg841jtlW8fwb7h1d0&#10;TBkMOlJdscDI1qnfqDrFHXiQ4YRDV4CUiouUA2YzKd9k89gyK1IuKI63o0z+/9Hy2929I6qpaVVR&#10;YliH3+gBVWNmowWpoj576+cIe7T3rj953MZkD9J18R/TIIek6XHUVBwC4Xh5PpvOUHiOlklZnZ7O&#10;ImXx4mudD18EdCRuauowdhKS7W58yNABEkN50Kq5Vlqng9usV9qRHcOvuyo/Vx9XPfsvMG0i2EB0&#10;y4zxpoh55UzSLhy1iDhtHoRERfDt0/SSVItijMM4FyZMsqlljcjhZyX+huixeqNHyjQRRmaJ8Ufu&#10;nmBAZpKBO7+yx0dXkUp5dC7/9rDsPHqkyGDC6NwpA+5PBBqz6iNn/CBSliaqtIbmiPXiIDeSt/xa&#10;4Xe7YT7cM4edg58ap0G4w0Vq2NeUa2UpacH9eHsXcVjIaKFkjx1YU/99y5ygRH81WOLnk6qKLZsO&#10;1ex0igf32rJ+bTHbbgVYBhOcN5anbcQHPWylg+4Zh8UyRkUTMxxj1zQM21XIcwGHDRfLZQJhk1oW&#10;bsyj5ZE6ahmr8enwzJztSzZgqd/C0Kts/qZyMzZ6GlhuA0iVyvpFzV5lbPBULv0wihPk9TmhXkbm&#10;4icAAAD//wMAUEsDBBQABgAIAAAAIQBdL5s34wAAAAsBAAAPAAAAZHJzL2Rvd25yZXYueG1sTI/B&#10;TsMwEETvSPyDtUjcqN3QlhDiVBWIQwVCkFIhbm5s4gh7HcVuG/h6lhMcd3Y086Zcjt6xgxliF1DC&#10;dCKAGWyC7rCV8Lq5v8iBxaRQKxfQSPgyEZbV6UmpCh2O+GIOdWoZhWAslASbUl9wHhtrvIqT0Buk&#10;30cYvEp0Di3XgzpSuHc8E2LBveqQGqzqza01zWe99xK29Xb9tHh7fnB3G3v9vbLr/LF/l/L8bFzd&#10;AEtmTH9m+MUndKiIaRf2qCNzErJ8TluShNlsegWMHJdCkLIjZZ5nwKuS/99Q/QAAAP//AwBQSwEC&#10;LQAUAAYACAAAACEAtoM4kv4AAADhAQAAEwAAAAAAAAAAAAAAAAAAAAAAW0NvbnRlbnRfVHlwZXNd&#10;LnhtbFBLAQItABQABgAIAAAAIQA4/SH/1gAAAJQBAAALAAAAAAAAAAAAAAAAAC8BAABfcmVscy8u&#10;cmVsc1BLAQItABQABgAIAAAAIQDGk9eGlQIAAHoFAAAOAAAAAAAAAAAAAAAAAC4CAABkcnMvZTJv&#10;RG9jLnhtbFBLAQItABQABgAIAAAAIQBdL5s34wAAAAsBAAAPAAAAAAAAAAAAAAAAAO8EAABkcnMv&#10;ZG93bnJldi54bWxQSwUGAAAAAAQABADzAAAA/wUAAAAA&#10;" fillcolor="#c0e43c"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692032" behindDoc="0" locked="0" layoutInCell="1" allowOverlap="1" wp14:anchorId="38A06067" wp14:editId="7B9F1CAB">
                <wp:simplePos x="0" y="0"/>
                <wp:positionH relativeFrom="column">
                  <wp:posOffset>400050</wp:posOffset>
                </wp:positionH>
                <wp:positionV relativeFrom="paragraph">
                  <wp:posOffset>2985770</wp:posOffset>
                </wp:positionV>
                <wp:extent cx="95250" cy="104775"/>
                <wp:effectExtent l="0" t="0" r="0" b="9525"/>
                <wp:wrapNone/>
                <wp:docPr id="45" name="Rectangle 5"/>
                <wp:cNvGraphicFramePr/>
                <a:graphic xmlns:a="http://schemas.openxmlformats.org/drawingml/2006/main">
                  <a:graphicData uri="http://schemas.microsoft.com/office/word/2010/wordprocessingShape">
                    <wps:wsp>
                      <wps:cNvSpPr/>
                      <wps:spPr>
                        <a:xfrm>
                          <a:off x="0" y="0"/>
                          <a:ext cx="95250" cy="104775"/>
                        </a:xfrm>
                        <a:prstGeom prst="rect">
                          <a:avLst/>
                        </a:prstGeom>
                        <a:solidFill>
                          <a:srgbClr val="9BE5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5" o:spid="_x0000_s1026" style="position:absolute;margin-left:31.5pt;margin-top:235.1pt;width:7.5pt;height:8.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qCmAIAAHoFAAAOAAAAZHJzL2Uyb0RvYy54bWysVE1vGyEQvVfqf0Dcm11b3qaxso7cJK4q&#10;RUmUpMoZs+BFYhkK2Gv313dgP+K6VQ9VfcDAvHkz83aYy6t9o8lOOK/AlHRyllMiDIdKmU1Jv72s&#10;PnyixAdmKqbBiJIehKdXi/fvLls7F1OoQVfCESQxft7aktYh2HmWeV6LhvkzsMKgUYJrWMCj22SV&#10;Yy2yNzqb5vnHrAVXWQdceI+3N52RLhK/lIKHBym9CESXFHMLaXVpXcc1W1yy+cYxWyvep8H+IYuG&#10;KYNBR6obFhjZOvUbVaO4Aw8ynHFoMpBScZFqwGom+Uk1zzWzItWC4ng7yuT/Hy2/3z06oqqSzgpK&#10;DGvwGz2hasxstCBF1Ke1fo6wZ/vo+pPHbSx2L10T/7EMsk+aHkZNxT4QjpcXxbRA4TlaJvns/DxR&#10;Zm++1vnwRUBD4qakDmMnIdnuzgeMh9ABEkN50KpaKa3TwW3W19qRHcOve/H5trhdxYTR5ReYNhFs&#10;ILp15niTxbq6StIuHLSIOG2ehERFMPdpyiT1ohjjMM6FCZPOVLNKdOGLHH9D9Ni90SPlkggjs8T4&#10;I3dPMCA7koG7y7LHR1eRWnl0zv+WWOc8eqTIYMLo3CgD7k8EGqvqI3f4QaROmqjSGqoD9ouD7iF5&#10;y1cKv9sd8+GROXw5+KlxGoQHXKSGtqRcK0tJDe7H6V3EYSOjhZIWX2BJ/fctc4IS/dVgi19MZrP4&#10;ZNNhVpxP8eCOLetji9k214BtMMF5Y3naRnzQw1Y6aF5xWCxjVDQxwzF2ScOwvQ7dXMBhw8VymUD4&#10;SC0Ld+bZ8kgdtYzd+LJ/Zc72LRuw1e9heKtsftK5HTZ6GlhuA0iV2vpNzV5lfOCpXfphFCfI8Tmh&#10;3kbm4icAAAD//wMAUEsDBBQABgAIAAAAIQBQFKRC3gAAAAkBAAAPAAAAZHJzL2Rvd25yZXYueG1s&#10;TI/BasMwEETvhf6D2EJvjVQn2Ma1HNpCToVCk0DITbE2tom1MpbiuH/f7ak97uww86Zcz64XE46h&#10;86TheaFAINXedtRo2O82TzmIEA1Z03tCDd8YYF3d35WmsP5GXzhtYyM4hEJhNLQxDoWUoW7RmbDw&#10;AxL/zn50JvI5NtKO5sbhrpeJUql0piNuaM2A7y3Wl+3VaTjY6fCxVOfk8rk5vh13imy6Iq0fH+bX&#10;FxAR5/hnhl98RoeKmU7+SjaIXkO65ClRwypTCQg2ZDkLJxbyNANZlfL/guoHAAD//wMAUEsBAi0A&#10;FAAGAAgAAAAhALaDOJL+AAAA4QEAABMAAAAAAAAAAAAAAAAAAAAAAFtDb250ZW50X1R5cGVzXS54&#10;bWxQSwECLQAUAAYACAAAACEAOP0h/9YAAACUAQAACwAAAAAAAAAAAAAAAAAvAQAAX3JlbHMvLnJl&#10;bHNQSwECLQAUAAYACAAAACEAm0F6gpgCAAB6BQAADgAAAAAAAAAAAAAAAAAuAgAAZHJzL2Uyb0Rv&#10;Yy54bWxQSwECLQAUAAYACAAAACEAUBSkQt4AAAAJAQAADwAAAAAAAAAAAAAAAADyBAAAZHJzL2Rv&#10;d25yZXYueG1sUEsFBgAAAAAEAAQA8wAAAP0FAAAAAA==&#10;" fillcolor="#9be5ef" stroked="f" strokeweight="2pt"/>
            </w:pict>
          </mc:Fallback>
        </mc:AlternateContent>
      </w:r>
      <w:r w:rsidRPr="00EC1AB2">
        <w:rPr>
          <w:rFonts w:ascii="Times New Roman" w:hAnsi="Times New Roman" w:cs="Times New Roman"/>
          <w:noProof/>
          <w:sz w:val="20"/>
          <w:szCs w:val="20"/>
          <w:lang w:eastAsia="lt-LT"/>
        </w:rPr>
        <mc:AlternateContent>
          <mc:Choice Requires="wps">
            <w:drawing>
              <wp:anchor distT="0" distB="0" distL="114300" distR="114300" simplePos="0" relativeHeight="251693056" behindDoc="0" locked="0" layoutInCell="1" allowOverlap="1" wp14:anchorId="221BC761" wp14:editId="1EBCA670">
                <wp:simplePos x="0" y="0"/>
                <wp:positionH relativeFrom="column">
                  <wp:posOffset>1809750</wp:posOffset>
                </wp:positionH>
                <wp:positionV relativeFrom="paragraph">
                  <wp:posOffset>2985853</wp:posOffset>
                </wp:positionV>
                <wp:extent cx="95250" cy="104775"/>
                <wp:effectExtent l="0" t="0" r="0" b="9525"/>
                <wp:wrapNone/>
                <wp:docPr id="46" name="Rectangle 6"/>
                <wp:cNvGraphicFramePr/>
                <a:graphic xmlns:a="http://schemas.openxmlformats.org/drawingml/2006/main">
                  <a:graphicData uri="http://schemas.microsoft.com/office/word/2010/wordprocessingShape">
                    <wps:wsp>
                      <wps:cNvSpPr/>
                      <wps:spPr>
                        <a:xfrm>
                          <a:off x="0" y="0"/>
                          <a:ext cx="95250" cy="1047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6" o:spid="_x0000_s1026" style="position:absolute;margin-left:142.5pt;margin-top:235.1pt;width:7.5pt;height:8.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HdkwIAAKEFAAAOAAAAZHJzL2Uyb0RvYy54bWysVE1v2zAMvQ/YfxB0X+wESboGdYqgRYcB&#10;XRu0HXpWZSkWIImapMTJfv0o2XG7dh/AsBwUSiQfyWeSZ+d7o8lO+KDAVnQ8KikRlkOt7KaiXx+u&#10;PnykJERma6bBiooeRKDny/fvzlq3EBNoQNfCEwSxYdG6ijYxukVRBN4Iw8IInLColOANi3j1m6L2&#10;rEV0o4tJWc6LFnztPHARAr5edkq6zPhSCh5vpQwiEl1RzC3m0+fzKZ3F8owtNp65RvE+DfYPWRim&#10;LAYdoC5ZZGTr1Rsoo7iHADKOOJgCpFRc5BqwmnH5qpr7hjmRa0FyghtoCv8Plt/s1p6ouqLTOSWW&#10;GfxGd8gasxstyDzx07qwQLN7t/b9LaCYit1Lb9I/lkH2mdPDwKnYR8Lx8XQ2mSHxHDXjcnpyMkuQ&#10;xbOv8yF+EmBIEirqMXYmku2uQ+xMjyYpVACt6iuldb6kLhEX2pMdw+/LOBc2jrO73povUHfvsxJ/&#10;fdjcWMklJ/ETmrYJ00JC7wKnlyKV3xWcpXjQItlpeyckEoclTnLEAfltMqFhtfhbLhkwIUuMP2B3&#10;1fwGu8uyt0+uInf84Fz+KbHOefDIkcHGwdkoC/5XABop7iN39keSOmoSS09QH7CtPHTzFhy/Uvh5&#10;r1mIa+ZxwLAjcGnEWzykhraiXCtHSQP+++u3ZIf9jhpKWhzUioZvW+YFJfqzxUk4HU+nabLzZTo7&#10;meDFv9Q8vdTYrbkA7JUxriXHs5jsoz6K0oN5xJ2ySlFRxSzH2BWNR/EidusDdxIXq1U2wll2LF7b&#10;e8cTdOIyNe3D/pF513d2xIm4geNIs8WrBu9sk6eF1TaCVLn7n9nsWcY9kFu331lp0by8Z6vnzbr8&#10;AQAA//8DAFBLAwQUAAYACAAAACEAr9lO9N4AAAALAQAADwAAAGRycy9kb3ducmV2LnhtbEyPzU7D&#10;MBCE70i8g7VIXBC1CaWJQpyqReoZ0XLI0YmXJKp/ItttwtuznOC4s6OZb6rtYg27YoijdxKeVgIY&#10;us7r0fUSPk+HxwJYTMppZbxDCd8YYVvf3lSq1H52H3g9pp5RiIulkjCkNJWcx25Aq+LKT+jo9+WD&#10;VYnO0HMd1Ezh1vBMiA23anTUMKgJ3wbszseLlfDeHPIgYqv3513nmwfb7M28lvL+btm9Aku4pD8z&#10;/OITOtTE1PqL05EZCVnxQluShHUuMmDkeBaClJaUYpMDryv+f0P9AwAA//8DAFBLAQItABQABgAI&#10;AAAAIQC2gziS/gAAAOEBAAATAAAAAAAAAAAAAAAAAAAAAABbQ29udGVudF9UeXBlc10ueG1sUEsB&#10;Ai0AFAAGAAgAAAAhADj9If/WAAAAlAEAAAsAAAAAAAAAAAAAAAAALwEAAF9yZWxzLy5yZWxzUEsB&#10;Ai0AFAAGAAgAAAAhAGXuUd2TAgAAoQUAAA4AAAAAAAAAAAAAAAAALgIAAGRycy9lMm9Eb2MueG1s&#10;UEsBAi0AFAAGAAgAAAAhAK/ZTvTeAAAACwEAAA8AAAAAAAAAAAAAAAAA7QQAAGRycy9kb3ducmV2&#10;LnhtbFBLBQYAAAAABAAEAPMAAAD4BQAAAAA=&#10;" fillcolor="#243f60 [1604]" stroked="f" strokeweight="2pt"/>
            </w:pict>
          </mc:Fallback>
        </mc:AlternateContent>
      </w:r>
      <w:r w:rsidR="00EE48BA" w:rsidRPr="00EC1AB2">
        <w:rPr>
          <w:rFonts w:ascii="Times New Roman" w:hAnsi="Times New Roman" w:cs="Times New Roman"/>
          <w:noProof/>
          <w:lang w:eastAsia="lt-LT"/>
        </w:rPr>
        <w:drawing>
          <wp:inline distT="0" distB="0" distL="0" distR="0" wp14:anchorId="4649D421" wp14:editId="195BCDBB">
            <wp:extent cx="5867401" cy="32766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35368D" w:rsidRPr="00EC1AB2" w:rsidRDefault="0035368D" w:rsidP="007A02A8">
      <w:pPr>
        <w:tabs>
          <w:tab w:val="left" w:pos="8853"/>
        </w:tabs>
        <w:spacing w:after="0" w:line="360" w:lineRule="auto"/>
        <w:rPr>
          <w:rFonts w:ascii="Times New Roman" w:hAnsi="Times New Roman" w:cs="Times New Roman"/>
          <w:sz w:val="20"/>
          <w:szCs w:val="20"/>
        </w:rPr>
      </w:pPr>
    </w:p>
    <w:p w:rsidR="00771642" w:rsidRPr="00EC1AB2" w:rsidRDefault="00771642" w:rsidP="007A02A8">
      <w:pPr>
        <w:tabs>
          <w:tab w:val="left" w:pos="8853"/>
        </w:tabs>
        <w:spacing w:after="0" w:line="360" w:lineRule="auto"/>
        <w:ind w:firstLine="567"/>
        <w:rPr>
          <w:rFonts w:ascii="Times New Roman" w:hAnsi="Times New Roman" w:cs="Times New Roman"/>
          <w:sz w:val="20"/>
          <w:szCs w:val="20"/>
        </w:rPr>
      </w:pPr>
      <w:r w:rsidRPr="00EC1AB2">
        <w:rPr>
          <w:rFonts w:ascii="Times New Roman" w:hAnsi="Times New Roman" w:cs="Times New Roman"/>
          <w:b/>
          <w:sz w:val="20"/>
          <w:szCs w:val="20"/>
        </w:rPr>
        <w:t>Šaltinis:</w:t>
      </w:r>
      <w:r w:rsidRPr="00EC1AB2">
        <w:rPr>
          <w:rFonts w:ascii="Times New Roman" w:hAnsi="Times New Roman" w:cs="Times New Roman"/>
          <w:sz w:val="20"/>
          <w:szCs w:val="20"/>
        </w:rPr>
        <w:t xml:space="preserve"> sudaryta pagal Innovation Union Scoreboard</w:t>
      </w:r>
    </w:p>
    <w:p w:rsidR="00771642" w:rsidRPr="00EC1AB2" w:rsidRDefault="00771642" w:rsidP="007A02A8">
      <w:pPr>
        <w:tabs>
          <w:tab w:val="left" w:pos="8853"/>
        </w:tabs>
        <w:spacing w:after="0" w:line="360" w:lineRule="auto"/>
        <w:jc w:val="center"/>
        <w:rPr>
          <w:rFonts w:ascii="Times New Roman" w:hAnsi="Times New Roman" w:cs="Times New Roman"/>
          <w:b/>
          <w:sz w:val="24"/>
          <w:szCs w:val="24"/>
        </w:rPr>
      </w:pPr>
      <w:r w:rsidRPr="00EC1AB2">
        <w:rPr>
          <w:rFonts w:ascii="Times New Roman" w:hAnsi="Times New Roman" w:cs="Times New Roman"/>
          <w:sz w:val="24"/>
          <w:szCs w:val="24"/>
        </w:rPr>
        <w:t xml:space="preserve">3 pav. </w:t>
      </w:r>
      <w:r w:rsidR="00C81169" w:rsidRPr="00EC1AB2">
        <w:rPr>
          <w:rFonts w:ascii="Times New Roman" w:hAnsi="Times New Roman" w:cs="Times New Roman"/>
          <w:b/>
          <w:sz w:val="24"/>
          <w:szCs w:val="24"/>
        </w:rPr>
        <w:t>Suminis inovatyvumo indeksas pagal rodiklių grupes</w:t>
      </w:r>
      <w:r w:rsidRPr="00EC1AB2">
        <w:rPr>
          <w:rFonts w:ascii="Times New Roman" w:hAnsi="Times New Roman" w:cs="Times New Roman"/>
          <w:b/>
          <w:sz w:val="24"/>
          <w:szCs w:val="24"/>
        </w:rPr>
        <w:t xml:space="preserve"> ES 2011 m.</w:t>
      </w:r>
    </w:p>
    <w:p w:rsidR="00FA2427" w:rsidRPr="00EC1AB2" w:rsidRDefault="00FA2427" w:rsidP="007A02A8">
      <w:pPr>
        <w:tabs>
          <w:tab w:val="left" w:pos="8853"/>
        </w:tabs>
        <w:spacing w:after="0" w:line="360" w:lineRule="auto"/>
        <w:jc w:val="center"/>
        <w:rPr>
          <w:rFonts w:ascii="Times New Roman" w:hAnsi="Times New Roman" w:cs="Times New Roman"/>
          <w:b/>
          <w:sz w:val="24"/>
          <w:szCs w:val="24"/>
        </w:rPr>
      </w:pPr>
      <w:r w:rsidRPr="00EC1AB2">
        <w:rPr>
          <w:rFonts w:ascii="Times New Roman" w:hAnsi="Times New Roman" w:cs="Times New Roman"/>
          <w:b/>
          <w:sz w:val="24"/>
          <w:szCs w:val="24"/>
        </w:rPr>
        <w:br w:type="page"/>
      </w:r>
    </w:p>
    <w:p w:rsidR="00E10377" w:rsidRPr="00EC1AB2" w:rsidRDefault="00E10377" w:rsidP="005911F2">
      <w:pPr>
        <w:tabs>
          <w:tab w:val="left" w:pos="8853"/>
        </w:tabs>
        <w:spacing w:after="0" w:line="360" w:lineRule="auto"/>
        <w:jc w:val="right"/>
        <w:rPr>
          <w:rFonts w:ascii="Times New Roman" w:hAnsi="Times New Roman" w:cs="Times New Roman"/>
          <w:b/>
          <w:sz w:val="24"/>
          <w:szCs w:val="24"/>
        </w:rPr>
      </w:pPr>
      <w:r w:rsidRPr="00EC1AB2">
        <w:rPr>
          <w:rFonts w:ascii="Times New Roman" w:hAnsi="Times New Roman" w:cs="Times New Roman"/>
          <w:b/>
          <w:sz w:val="24"/>
          <w:szCs w:val="24"/>
        </w:rPr>
        <w:lastRenderedPageBreak/>
        <w:t>4 PRIEDAS</w:t>
      </w:r>
    </w:p>
    <w:p w:rsidR="00833306" w:rsidRPr="00EC1AB2" w:rsidRDefault="00B87F87" w:rsidP="007A02A8">
      <w:pPr>
        <w:tabs>
          <w:tab w:val="left" w:pos="8853"/>
        </w:tabs>
        <w:spacing w:after="0" w:line="360" w:lineRule="auto"/>
        <w:jc w:val="center"/>
        <w:rPr>
          <w:rFonts w:ascii="Times New Roman" w:hAnsi="Times New Roman" w:cs="Times New Roman"/>
          <w:sz w:val="24"/>
          <w:szCs w:val="24"/>
        </w:rPr>
      </w:pPr>
      <w:r w:rsidRPr="00EC1AB2">
        <w:rPr>
          <w:rFonts w:ascii="Times New Roman" w:hAnsi="Times New Roman" w:cs="Times New Roman"/>
          <w:sz w:val="24"/>
          <w:szCs w:val="24"/>
        </w:rPr>
        <w:t>2011 M. PRAMONINĖS NUOSAVYBĖS TEISIŲ APSAUGOS PROJEKTAI</w:t>
      </w:r>
    </w:p>
    <w:p w:rsidR="00B87F87" w:rsidRPr="00EC1AB2" w:rsidRDefault="007255DC" w:rsidP="007A02A8">
      <w:pPr>
        <w:tabs>
          <w:tab w:val="left" w:pos="8853"/>
        </w:tabs>
        <w:spacing w:after="0" w:line="360" w:lineRule="auto"/>
        <w:jc w:val="center"/>
        <w:rPr>
          <w:rFonts w:ascii="Times New Roman" w:hAnsi="Times New Roman" w:cs="Times New Roman"/>
          <w:b/>
          <w:sz w:val="24"/>
          <w:szCs w:val="24"/>
        </w:rPr>
      </w:pPr>
      <w:r w:rsidRPr="00EC1AB2">
        <w:rPr>
          <w:rFonts w:ascii="Times New Roman" w:hAnsi="Times New Roman" w:cs="Times New Roman"/>
          <w:sz w:val="24"/>
          <w:szCs w:val="24"/>
        </w:rPr>
        <w:t xml:space="preserve">1 lentelė. </w:t>
      </w:r>
      <w:r w:rsidR="000262C7" w:rsidRPr="00EC1AB2">
        <w:rPr>
          <w:rFonts w:ascii="Times New Roman" w:hAnsi="Times New Roman" w:cs="Times New Roman"/>
          <w:b/>
          <w:sz w:val="24"/>
          <w:szCs w:val="24"/>
        </w:rPr>
        <w:t>2011 m. pramoninės nuosavybės teisių apsaugos projektai</w:t>
      </w:r>
    </w:p>
    <w:p w:rsidR="00201CA9" w:rsidRPr="00EC1AB2" w:rsidRDefault="00201CA9" w:rsidP="007A02A8">
      <w:pPr>
        <w:tabs>
          <w:tab w:val="left" w:pos="8853"/>
        </w:tabs>
        <w:spacing w:after="0" w:line="360" w:lineRule="auto"/>
        <w:jc w:val="center"/>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567"/>
        <w:gridCol w:w="2127"/>
        <w:gridCol w:w="3685"/>
        <w:gridCol w:w="1559"/>
        <w:gridCol w:w="1418"/>
      </w:tblGrid>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Nr.</w:t>
            </w:r>
          </w:p>
        </w:tc>
        <w:tc>
          <w:tcPr>
            <w:tcW w:w="2127" w:type="dxa"/>
            <w:vAlign w:val="center"/>
          </w:tcPr>
          <w:p w:rsidR="00833306" w:rsidRPr="00EC1AB2" w:rsidRDefault="00833306" w:rsidP="00E9448D">
            <w:pPr>
              <w:spacing w:line="276"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Lėšų gavėjas</w:t>
            </w:r>
          </w:p>
        </w:tc>
        <w:tc>
          <w:tcPr>
            <w:tcW w:w="3685" w:type="dxa"/>
            <w:vAlign w:val="center"/>
          </w:tcPr>
          <w:p w:rsidR="00833306" w:rsidRPr="00EC1AB2" w:rsidRDefault="00833306" w:rsidP="00E9448D">
            <w:pPr>
              <w:spacing w:line="276"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Projekto pavadinimas</w:t>
            </w:r>
          </w:p>
        </w:tc>
        <w:tc>
          <w:tcPr>
            <w:tcW w:w="1559" w:type="dxa"/>
            <w:vAlign w:val="center"/>
          </w:tcPr>
          <w:p w:rsidR="00833306" w:rsidRPr="00EC1AB2" w:rsidRDefault="00833306" w:rsidP="00E9448D">
            <w:pPr>
              <w:spacing w:line="276"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Bendra projekto vertė</w:t>
            </w:r>
          </w:p>
        </w:tc>
        <w:tc>
          <w:tcPr>
            <w:tcW w:w="1418" w:type="dxa"/>
            <w:vAlign w:val="center"/>
          </w:tcPr>
          <w:p w:rsidR="00833306" w:rsidRPr="00EC1AB2" w:rsidRDefault="00833306" w:rsidP="00E9448D">
            <w:pPr>
              <w:spacing w:line="276" w:lineRule="auto"/>
              <w:jc w:val="center"/>
              <w:rPr>
                <w:rFonts w:ascii="Times New Roman" w:hAnsi="Times New Roman" w:cs="Times New Roman"/>
                <w:b/>
                <w:bCs/>
                <w:sz w:val="20"/>
                <w:szCs w:val="20"/>
              </w:rPr>
            </w:pPr>
            <w:r w:rsidRPr="00EC1AB2">
              <w:rPr>
                <w:rFonts w:ascii="Times New Roman" w:hAnsi="Times New Roman" w:cs="Times New Roman"/>
                <w:b/>
                <w:bCs/>
                <w:sz w:val="20"/>
                <w:szCs w:val="20"/>
              </w:rPr>
              <w:t>Finansavimo intensyvumas</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AB „Žemaitijos pienas“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Sūrio lazdelių Bendrijos dizaino registracija</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2.969,41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2.</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„BaltLED“</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Šviesos diodų lempučių Bendrijos dizaino registravimas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6.492,40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3.</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„Cautus“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Paviršiaus rašto Bendrijos dizaino registravimas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1.692,48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4.</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„Kalnapilio-Tauro grupė“</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Alaus butelio Bendrijos dizaino registracija</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2.140,74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„Kalnapilio-Tauro grupė“</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Gėrimų skardinės Bendrijos dizaino registracija</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1.608,48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6.</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„Antrocelas LT“</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„Sukibimo (adhezijos) komponentas asfalto mišiniams“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18.685,69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7.</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„BMG Consulting“</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„Daugiafunkcinių elektroninių paslaugų apskaitos ir valdymo sistema“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31.789,92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8.</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UAB „Fermentas“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„Nukleorūgščių produkcija“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151.985,95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50%</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Vilniaus Gedimino technikos universitetas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„Plieninio lyno kokybės diagnostikos būdas ir įranga“ patentavimas pagal PKS procedūrą</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22.521,06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10.</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Vilniaus universitetas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„Monokloninių antikūnų gavimo būdas“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48.147,19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11.</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Vilniaus universitetas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„Tiadiazolai kaip šaperono Hsp90 slopikliai“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3.617,84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12.</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Vilniaus universitetas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„Daugiaspalviai kietakūniai šviesos šaltiniai, skirti apšviečiamų paviršių spalvų sodrio valdymui“ patentavimas pagal PKS procedūrą</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13.035,77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F25E1F" w:rsidRPr="00EC1AB2" w:rsidTr="00E9448D">
        <w:tc>
          <w:tcPr>
            <w:tcW w:w="56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13.</w:t>
            </w:r>
          </w:p>
        </w:tc>
        <w:tc>
          <w:tcPr>
            <w:tcW w:w="2127"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Vilniaus universitetas</w:t>
            </w:r>
          </w:p>
        </w:tc>
        <w:tc>
          <w:tcPr>
            <w:tcW w:w="3685"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Išradimo „Biomolekulių derivatizacija nekofaktoriniais junginiais esant metiltransferazėms“ patentavimas</w:t>
            </w:r>
          </w:p>
        </w:tc>
        <w:tc>
          <w:tcPr>
            <w:tcW w:w="1559"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27.004,76 Lt</w:t>
            </w:r>
          </w:p>
        </w:tc>
        <w:tc>
          <w:tcPr>
            <w:tcW w:w="1418" w:type="dxa"/>
            <w:vAlign w:val="center"/>
          </w:tcPr>
          <w:p w:rsidR="00833306" w:rsidRPr="00EC1AB2" w:rsidRDefault="00833306"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95%</w:t>
            </w:r>
          </w:p>
        </w:tc>
      </w:tr>
      <w:tr w:rsidR="000262C7" w:rsidRPr="00EC1AB2" w:rsidTr="005911F2">
        <w:trPr>
          <w:trHeight w:val="504"/>
        </w:trPr>
        <w:tc>
          <w:tcPr>
            <w:tcW w:w="6379" w:type="dxa"/>
            <w:gridSpan w:val="3"/>
            <w:vAlign w:val="center"/>
          </w:tcPr>
          <w:p w:rsidR="000262C7" w:rsidRPr="00EC1AB2" w:rsidRDefault="000262C7"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Iš viso</w:t>
            </w:r>
            <w:r w:rsidR="005911F2" w:rsidRPr="00EC1AB2">
              <w:rPr>
                <w:rFonts w:ascii="Times New Roman" w:hAnsi="Times New Roman" w:cs="Times New Roman"/>
                <w:sz w:val="20"/>
                <w:szCs w:val="20"/>
              </w:rPr>
              <w:t>:</w:t>
            </w:r>
          </w:p>
        </w:tc>
        <w:tc>
          <w:tcPr>
            <w:tcW w:w="1559" w:type="dxa"/>
            <w:vAlign w:val="center"/>
          </w:tcPr>
          <w:p w:rsidR="000262C7" w:rsidRPr="00EC1AB2" w:rsidRDefault="000262C7" w:rsidP="00E9448D">
            <w:pPr>
              <w:spacing w:line="276" w:lineRule="auto"/>
              <w:jc w:val="center"/>
              <w:rPr>
                <w:rFonts w:ascii="Times New Roman" w:hAnsi="Times New Roman" w:cs="Times New Roman"/>
                <w:sz w:val="20"/>
                <w:szCs w:val="20"/>
              </w:rPr>
            </w:pPr>
            <w:r w:rsidRPr="00EC1AB2">
              <w:rPr>
                <w:rFonts w:ascii="Times New Roman" w:hAnsi="Times New Roman" w:cs="Times New Roman"/>
                <w:sz w:val="20"/>
                <w:szCs w:val="20"/>
              </w:rPr>
              <w:t>358.946,13 Lt</w:t>
            </w:r>
          </w:p>
          <w:p w:rsidR="000262C7" w:rsidRPr="00EC1AB2" w:rsidRDefault="000262C7" w:rsidP="00E9448D">
            <w:pPr>
              <w:spacing w:line="276" w:lineRule="auto"/>
              <w:rPr>
                <w:rFonts w:ascii="Times New Roman" w:hAnsi="Times New Roman" w:cs="Times New Roman"/>
                <w:sz w:val="20"/>
                <w:szCs w:val="20"/>
              </w:rPr>
            </w:pPr>
          </w:p>
        </w:tc>
        <w:tc>
          <w:tcPr>
            <w:tcW w:w="1418" w:type="dxa"/>
            <w:vAlign w:val="center"/>
          </w:tcPr>
          <w:p w:rsidR="000262C7" w:rsidRPr="00EC1AB2" w:rsidRDefault="000262C7" w:rsidP="00E9448D">
            <w:pPr>
              <w:spacing w:line="276" w:lineRule="auto"/>
              <w:jc w:val="center"/>
              <w:rPr>
                <w:rFonts w:ascii="Times New Roman" w:hAnsi="Times New Roman" w:cs="Times New Roman"/>
                <w:sz w:val="20"/>
                <w:szCs w:val="20"/>
              </w:rPr>
            </w:pPr>
          </w:p>
        </w:tc>
      </w:tr>
    </w:tbl>
    <w:p w:rsidR="00E9448D" w:rsidRPr="00EC1AB2" w:rsidRDefault="00E9448D" w:rsidP="005911F2">
      <w:pPr>
        <w:tabs>
          <w:tab w:val="left" w:pos="8853"/>
        </w:tabs>
        <w:spacing w:after="0" w:line="360" w:lineRule="auto"/>
        <w:rPr>
          <w:rFonts w:ascii="Times New Roman" w:hAnsi="Times New Roman" w:cs="Times New Roman"/>
          <w:b/>
          <w:sz w:val="20"/>
          <w:szCs w:val="20"/>
        </w:rPr>
      </w:pPr>
    </w:p>
    <w:p w:rsidR="00E9448D" w:rsidRPr="00EC1AB2" w:rsidRDefault="00AE514D" w:rsidP="005911F2">
      <w:pPr>
        <w:tabs>
          <w:tab w:val="left" w:pos="8853"/>
        </w:tabs>
        <w:spacing w:after="0" w:line="360" w:lineRule="auto"/>
        <w:rPr>
          <w:rFonts w:ascii="Times New Roman" w:hAnsi="Times New Roman" w:cs="Times New Roman"/>
          <w:sz w:val="20"/>
          <w:szCs w:val="20"/>
        </w:rPr>
      </w:pPr>
      <w:r w:rsidRPr="00EC1AB2">
        <w:rPr>
          <w:rFonts w:ascii="Times New Roman" w:hAnsi="Times New Roman" w:cs="Times New Roman"/>
          <w:b/>
          <w:sz w:val="20"/>
          <w:szCs w:val="20"/>
        </w:rPr>
        <w:t>Šaltinis:</w:t>
      </w:r>
      <w:r w:rsidR="00AC28CE" w:rsidRPr="00EC1AB2">
        <w:rPr>
          <w:rFonts w:ascii="Times New Roman" w:hAnsi="Times New Roman" w:cs="Times New Roman"/>
          <w:b/>
          <w:sz w:val="20"/>
          <w:szCs w:val="20"/>
        </w:rPr>
        <w:t xml:space="preserve"> </w:t>
      </w:r>
      <w:r w:rsidR="000244B5" w:rsidRPr="00EC1AB2">
        <w:rPr>
          <w:rFonts w:ascii="Times New Roman" w:hAnsi="Times New Roman" w:cs="Times New Roman"/>
          <w:sz w:val="20"/>
          <w:szCs w:val="20"/>
        </w:rPr>
        <w:t>Mokslo, inovacijų ir technologijų agentūra</w:t>
      </w:r>
      <w:r w:rsidR="00D12AB2" w:rsidRPr="00EC1AB2">
        <w:rPr>
          <w:rFonts w:ascii="Times New Roman" w:hAnsi="Times New Roman" w:cs="Times New Roman"/>
          <w:sz w:val="20"/>
          <w:szCs w:val="20"/>
        </w:rPr>
        <w:t>, 2011</w:t>
      </w:r>
      <w:r w:rsidR="00E9448D" w:rsidRPr="00EC1AB2">
        <w:rPr>
          <w:rFonts w:ascii="Times New Roman" w:hAnsi="Times New Roman" w:cs="Times New Roman"/>
          <w:sz w:val="20"/>
          <w:szCs w:val="20"/>
        </w:rPr>
        <w:br w:type="page"/>
      </w:r>
    </w:p>
    <w:p w:rsidR="00D12AB2" w:rsidRPr="00EC1AB2" w:rsidRDefault="009B5C01" w:rsidP="009B5C01">
      <w:pPr>
        <w:tabs>
          <w:tab w:val="left" w:pos="8853"/>
        </w:tabs>
        <w:spacing w:after="0" w:line="360" w:lineRule="auto"/>
        <w:jc w:val="right"/>
        <w:rPr>
          <w:rFonts w:ascii="Times New Roman" w:hAnsi="Times New Roman" w:cs="Times New Roman"/>
          <w:sz w:val="24"/>
          <w:szCs w:val="24"/>
        </w:rPr>
      </w:pPr>
      <w:r w:rsidRPr="00EC1AB2">
        <w:rPr>
          <w:rFonts w:ascii="Times New Roman" w:hAnsi="Times New Roman" w:cs="Times New Roman"/>
          <w:sz w:val="24"/>
          <w:szCs w:val="24"/>
        </w:rPr>
        <w:lastRenderedPageBreak/>
        <w:t>5 PRIEDAS</w:t>
      </w:r>
    </w:p>
    <w:p w:rsidR="00D12AB2" w:rsidRPr="00EC1AB2" w:rsidRDefault="00395AAB" w:rsidP="007A02A8">
      <w:pPr>
        <w:tabs>
          <w:tab w:val="left" w:pos="8853"/>
        </w:tabs>
        <w:spacing w:after="0" w:line="360" w:lineRule="auto"/>
        <w:jc w:val="right"/>
        <w:rPr>
          <w:rFonts w:ascii="Times New Roman" w:hAnsi="Times New Roman" w:cs="Times New Roman"/>
          <w:b/>
          <w:sz w:val="24"/>
          <w:szCs w:val="24"/>
        </w:rPr>
      </w:pPr>
      <w:bookmarkStart w:id="239" w:name="_GoBack"/>
      <w:bookmarkEnd w:id="239"/>
      <w:r w:rsidRPr="00EC1AB2">
        <w:rPr>
          <w:rFonts w:ascii="Times New Roman" w:hAnsi="Times New Roman" w:cs="Times New Roman"/>
          <w:noProof/>
          <w:lang w:eastAsia="lt-LT"/>
        </w:rPr>
        <mc:AlternateContent>
          <mc:Choice Requires="wpg">
            <w:drawing>
              <wp:anchor distT="0" distB="0" distL="114300" distR="114300" simplePos="0" relativeHeight="251958272" behindDoc="0" locked="0" layoutInCell="1" allowOverlap="1" wp14:anchorId="71F04D4E" wp14:editId="2AD2A964">
                <wp:simplePos x="0" y="0"/>
                <wp:positionH relativeFrom="column">
                  <wp:posOffset>-1718222</wp:posOffset>
                </wp:positionH>
                <wp:positionV relativeFrom="paragraph">
                  <wp:posOffset>1622752</wp:posOffset>
                </wp:positionV>
                <wp:extent cx="9424036" cy="6205955"/>
                <wp:effectExtent l="8890" t="0" r="14605" b="33655"/>
                <wp:wrapNone/>
                <wp:docPr id="244" name="Group 244"/>
                <wp:cNvGraphicFramePr/>
                <a:graphic xmlns:a="http://schemas.openxmlformats.org/drawingml/2006/main">
                  <a:graphicData uri="http://schemas.microsoft.com/office/word/2010/wordprocessingGroup">
                    <wpg:wgp>
                      <wpg:cNvGrpSpPr/>
                      <wpg:grpSpPr>
                        <a:xfrm rot="16200000">
                          <a:off x="0" y="0"/>
                          <a:ext cx="9424038" cy="6205953"/>
                          <a:chOff x="-2" y="1"/>
                          <a:chExt cx="9748173" cy="6409424"/>
                        </a:xfrm>
                      </wpg:grpSpPr>
                      <wps:wsp>
                        <wps:cNvPr id="245" name="Text Box 245"/>
                        <wps:cNvSpPr txBox="1"/>
                        <wps:spPr>
                          <a:xfrm>
                            <a:off x="2743198" y="1"/>
                            <a:ext cx="4002333" cy="46582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4"/>
                                  <w:szCs w:val="24"/>
                                </w:rPr>
                              </w:pPr>
                              <w:r w:rsidRPr="00F20288">
                                <w:rPr>
                                  <w:rFonts w:ascii="Times New Roman" w:hAnsi="Times New Roman" w:cs="Times New Roman"/>
                                  <w:b/>
                                  <w:sz w:val="24"/>
                                  <w:szCs w:val="24"/>
                                </w:rPr>
                                <w:t>RIZIKOS KAPITALO SEKTORIAUS PLĖTROS VEIKNSIAI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Text Box 246"/>
                        <wps:cNvSpPr txBox="1"/>
                        <wps:spPr>
                          <a:xfrm>
                            <a:off x="560713" y="517585"/>
                            <a:ext cx="3424555" cy="249555"/>
                          </a:xfrm>
                          <a:prstGeom prst="rect">
                            <a:avLst/>
                          </a:prstGeom>
                          <a:noFill/>
                          <a:ln w="19050">
                            <a:solidFill>
                              <a:prstClr val="black"/>
                            </a:solidFill>
                          </a:ln>
                          <a:effectLst/>
                        </wps:spPr>
                        <wps:txbx>
                          <w:txbxContent>
                            <w:p w:rsidR="00EC1AB2" w:rsidRPr="00F20288" w:rsidRDefault="00EC1AB2" w:rsidP="00395AAB">
                              <w:pPr>
                                <w:jc w:val="center"/>
                                <w:rPr>
                                  <w:rFonts w:ascii="Times New Roman" w:eastAsia="Batang" w:hAnsi="Times New Roman" w:cs="Times New Roman"/>
                                  <w:b/>
                                  <w:color w:val="000000" w:themeColor="text1"/>
                                  <w:sz w:val="20"/>
                                  <w:szCs w:val="20"/>
                                </w:rPr>
                              </w:pPr>
                              <w:r w:rsidRPr="00F20288">
                                <w:rPr>
                                  <w:rFonts w:ascii="Times New Roman" w:eastAsia="Batang" w:hAnsi="Times New Roman" w:cs="Times New Roman"/>
                                  <w:b/>
                                  <w:color w:val="000000" w:themeColor="text1"/>
                                  <w:sz w:val="20"/>
                                  <w:szCs w:val="20"/>
                                </w:rPr>
                                <w:t>PASIŪLOS VEIKSNIAI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Text Box 247"/>
                        <wps:cNvSpPr txBox="1"/>
                        <wps:spPr>
                          <a:xfrm>
                            <a:off x="5598541" y="517585"/>
                            <a:ext cx="3536315" cy="223520"/>
                          </a:xfrm>
                          <a:prstGeom prst="rect">
                            <a:avLst/>
                          </a:prstGeom>
                          <a:noFill/>
                          <a:ln w="19050">
                            <a:solidFill>
                              <a:prstClr val="black"/>
                            </a:solidFill>
                          </a:ln>
                          <a:effectLst/>
                        </wps:spPr>
                        <wps:txbx>
                          <w:txbxContent>
                            <w:p w:rsidR="00EC1AB2" w:rsidRPr="00F20288" w:rsidRDefault="00EC1AB2" w:rsidP="00395AAB">
                              <w:pPr>
                                <w:jc w:val="center"/>
                                <w:rPr>
                                  <w:rFonts w:ascii="Times New Roman" w:eastAsia="Batang" w:hAnsi="Times New Roman" w:cs="Times New Roman"/>
                                  <w:b/>
                                  <w:color w:val="000000" w:themeColor="text1"/>
                                  <w:sz w:val="20"/>
                                  <w:szCs w:val="20"/>
                                </w:rPr>
                              </w:pPr>
                              <w:r w:rsidRPr="00F20288">
                                <w:rPr>
                                  <w:rFonts w:ascii="Times New Roman" w:eastAsia="Batang" w:hAnsi="Times New Roman" w:cs="Times New Roman"/>
                                  <w:b/>
                                  <w:color w:val="000000" w:themeColor="text1"/>
                                  <w:sz w:val="20"/>
                                  <w:szCs w:val="20"/>
                                </w:rPr>
                                <w:t>PAKLAUSOS VEIKSNIAI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Text Box 248"/>
                        <wps:cNvSpPr txBox="1"/>
                        <wps:spPr>
                          <a:xfrm>
                            <a:off x="3183146" y="871268"/>
                            <a:ext cx="3277870" cy="284480"/>
                          </a:xfrm>
                          <a:prstGeom prst="rect">
                            <a:avLst/>
                          </a:prstGeom>
                          <a:noFill/>
                          <a:ln w="19050">
                            <a:solidFill>
                              <a:prstClr val="black"/>
                            </a:solidFill>
                          </a:ln>
                          <a:effectLst/>
                        </wps:spPr>
                        <wps:txbx>
                          <w:txbxContent>
                            <w:p w:rsidR="00EC1AB2" w:rsidRPr="00F20288" w:rsidRDefault="00EC1AB2" w:rsidP="00395AAB">
                              <w:pPr>
                                <w:rPr>
                                  <w:rFonts w:ascii="Times New Roman" w:hAnsi="Times New Roman" w:cs="Times New Roman"/>
                                  <w:b/>
                                  <w:sz w:val="20"/>
                                  <w:szCs w:val="20"/>
                                </w:rPr>
                              </w:pPr>
                              <w:r>
                                <w:rPr>
                                  <w:rFonts w:ascii="Times New Roman" w:hAnsi="Times New Roman" w:cs="Times New Roman"/>
                                  <w:b/>
                                  <w:sz w:val="20"/>
                                  <w:szCs w:val="20"/>
                                </w:rPr>
                                <w:t>Teisinė</w:t>
                              </w:r>
                              <w:r w:rsidRPr="00F20288">
                                <w:rPr>
                                  <w:rFonts w:ascii="Times New Roman" w:hAnsi="Times New Roman" w:cs="Times New Roman"/>
                                  <w:b/>
                                  <w:sz w:val="20"/>
                                  <w:szCs w:val="20"/>
                                </w:rPr>
                                <w:t>s ir administracin</w:t>
                              </w:r>
                              <w:r>
                                <w:rPr>
                                  <w:rFonts w:ascii="Times New Roman" w:hAnsi="Times New Roman" w:cs="Times New Roman"/>
                                  <w:b/>
                                  <w:sz w:val="20"/>
                                  <w:szCs w:val="20"/>
                                </w:rPr>
                                <w:t>ė</w:t>
                              </w:r>
                              <w:r w:rsidRPr="00F20288">
                                <w:rPr>
                                  <w:rFonts w:ascii="Times New Roman" w:hAnsi="Times New Roman" w:cs="Times New Roman"/>
                                  <w:b/>
                                  <w:sz w:val="20"/>
                                  <w:szCs w:val="20"/>
                                </w:rPr>
                                <w:t xml:space="preserve">s sistemos </w:t>
                              </w:r>
                              <w:r>
                                <w:rPr>
                                  <w:rFonts w:ascii="Times New Roman" w:hAnsi="Times New Roman" w:cs="Times New Roman"/>
                                  <w:b/>
                                  <w:sz w:val="20"/>
                                  <w:szCs w:val="20"/>
                                </w:rPr>
                                <w:t>sta</w:t>
                              </w:r>
                              <w:r w:rsidRPr="00F20288">
                                <w:rPr>
                                  <w:rFonts w:ascii="Times New Roman" w:hAnsi="Times New Roman" w:cs="Times New Roman"/>
                                  <w:b/>
                                  <w:sz w:val="20"/>
                                  <w:szCs w:val="20"/>
                                </w:rPr>
                                <w:t>bilumas</w:t>
                              </w:r>
                            </w:p>
                            <w:p w:rsidR="00EC1AB2" w:rsidRDefault="00EC1AB2" w:rsidP="00395AAB">
                              <w:r>
                                <w:rPr>
                                  <w:rFonts w:ascii="Times New Roman" w:hAnsi="Times New Roman" w:cs="Times New Roman"/>
                                </w:rPr>
                                <w:t>Teisinės ir administracinės sistemos stabilumas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 name="Text Box 249"/>
                        <wps:cNvSpPr txBox="1"/>
                        <wps:spPr>
                          <a:xfrm>
                            <a:off x="3183146" y="1647645"/>
                            <a:ext cx="3277870" cy="240665"/>
                          </a:xfrm>
                          <a:prstGeom prst="rect">
                            <a:avLst/>
                          </a:prstGeom>
                          <a:noFill/>
                          <a:ln w="19050">
                            <a:solidFill>
                              <a:prstClr val="black"/>
                            </a:solidFill>
                          </a:ln>
                          <a:effectLst/>
                        </wps:spPr>
                        <wps:txbx>
                          <w:txbxContent>
                            <w:p w:rsidR="00EC1AB2" w:rsidRPr="00F20288" w:rsidRDefault="00EC1AB2" w:rsidP="00395AAB">
                              <w:pPr>
                                <w:jc w:val="center"/>
                                <w:rPr>
                                  <w:rFonts w:ascii="Times New Roman" w:hAnsi="Times New Roman" w:cs="Times New Roman"/>
                                  <w:b/>
                                  <w:sz w:val="20"/>
                                  <w:szCs w:val="20"/>
                                </w:rPr>
                              </w:pPr>
                              <w:r w:rsidRPr="00F20288">
                                <w:rPr>
                                  <w:rFonts w:ascii="Times New Roman" w:hAnsi="Times New Roman" w:cs="Times New Roman"/>
                                  <w:b/>
                                  <w:sz w:val="20"/>
                                  <w:szCs w:val="20"/>
                                </w:rPr>
                                <w:t>Makroekonominis stabilumas</w:t>
                              </w:r>
                            </w:p>
                            <w:p w:rsidR="00EC1AB2" w:rsidRDefault="00EC1AB2" w:rsidP="00395AAB">
                              <w:r>
                                <w:rPr>
                                  <w:rFonts w:ascii="Times New Roman" w:hAnsi="Times New Roman" w:cs="Times New Roman"/>
                                </w:rPr>
                                <w:t>Teisinės ir administracinės sistemos stabilumas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 name="Text Box 250"/>
                        <wps:cNvSpPr txBox="1"/>
                        <wps:spPr>
                          <a:xfrm>
                            <a:off x="3183146" y="1233577"/>
                            <a:ext cx="3275965" cy="370936"/>
                          </a:xfrm>
                          <a:prstGeom prst="rect">
                            <a:avLst/>
                          </a:prstGeom>
                          <a:noFill/>
                          <a:ln w="6350">
                            <a:solidFill>
                              <a:prstClr val="black"/>
                            </a:solidFill>
                          </a:ln>
                          <a:effectLst/>
                        </wps:spPr>
                        <wps:txbx>
                          <w:txbxContent>
                            <w:p w:rsidR="00EC1AB2" w:rsidRPr="003556DD" w:rsidRDefault="00EC1AB2" w:rsidP="00395AAB">
                              <w:pPr>
                                <w:pStyle w:val="ListParagraph"/>
                                <w:numPr>
                                  <w:ilvl w:val="0"/>
                                  <w:numId w:val="16"/>
                                </w:numPr>
                                <w:spacing w:after="0" w:line="240" w:lineRule="auto"/>
                                <w:ind w:left="714" w:hanging="357"/>
                                <w:rPr>
                                  <w:rFonts w:ascii="Times New Roman" w:hAnsi="Times New Roman" w:cs="Times New Roman"/>
                                  <w:sz w:val="16"/>
                                  <w:szCs w:val="16"/>
                                </w:rPr>
                              </w:pPr>
                              <w:r w:rsidRPr="003556DD">
                                <w:rPr>
                                  <w:rFonts w:ascii="Times New Roman" w:hAnsi="Times New Roman" w:cs="Times New Roman"/>
                                  <w:sz w:val="16"/>
                                  <w:szCs w:val="16"/>
                                </w:rPr>
                                <w:t>Administraciniai barjerai</w:t>
                              </w:r>
                            </w:p>
                            <w:p w:rsidR="00EC1AB2" w:rsidRPr="003556DD" w:rsidRDefault="00EC1AB2" w:rsidP="00395AAB">
                              <w:pPr>
                                <w:pStyle w:val="ListParagraph"/>
                                <w:numPr>
                                  <w:ilvl w:val="0"/>
                                  <w:numId w:val="16"/>
                                </w:numPr>
                                <w:spacing w:after="0" w:line="240" w:lineRule="auto"/>
                                <w:ind w:left="714" w:hanging="357"/>
                                <w:rPr>
                                  <w:rFonts w:ascii="Times New Roman" w:hAnsi="Times New Roman" w:cs="Times New Roman"/>
                                  <w:sz w:val="16"/>
                                  <w:szCs w:val="16"/>
                                </w:rPr>
                              </w:pPr>
                              <w:r w:rsidRPr="003556DD">
                                <w:rPr>
                                  <w:rFonts w:ascii="Times New Roman" w:hAnsi="Times New Roman" w:cs="Times New Roman"/>
                                  <w:sz w:val="16"/>
                                  <w:szCs w:val="16"/>
                                </w:rPr>
                                <w:t>Biurokratijos lygis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3183145" y="1984075"/>
                            <a:ext cx="3275965" cy="267335"/>
                          </a:xfrm>
                          <a:prstGeom prst="rect">
                            <a:avLst/>
                          </a:prstGeom>
                          <a:noFill/>
                          <a:ln w="6350">
                            <a:solidFill>
                              <a:prstClr val="black"/>
                            </a:solidFill>
                          </a:ln>
                          <a:effectLst/>
                        </wps:spPr>
                        <wps:txbx>
                          <w:txbxContent>
                            <w:p w:rsidR="00EC1AB2" w:rsidRPr="003556DD" w:rsidRDefault="00EC1AB2" w:rsidP="00395AAB">
                              <w:pPr>
                                <w:pStyle w:val="ListParagraph"/>
                                <w:numPr>
                                  <w:ilvl w:val="0"/>
                                  <w:numId w:val="16"/>
                                </w:numPr>
                                <w:rPr>
                                  <w:rFonts w:ascii="Times New Roman" w:hAnsi="Times New Roman" w:cs="Times New Roman"/>
                                  <w:sz w:val="16"/>
                                  <w:szCs w:val="16"/>
                                </w:rPr>
                              </w:pPr>
                              <w:r w:rsidRPr="003556DD">
                                <w:rPr>
                                  <w:rFonts w:ascii="Times New Roman" w:hAnsi="Times New Roman" w:cs="Times New Roman"/>
                                  <w:sz w:val="16"/>
                                  <w:szCs w:val="16"/>
                                </w:rPr>
                                <w:t>Stabilus ekonomikos augimas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3183146" y="2424023"/>
                            <a:ext cx="3277870" cy="3962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sidRPr="00F20288">
                                <w:rPr>
                                  <w:rFonts w:ascii="Times New Roman" w:hAnsi="Times New Roman" w:cs="Times New Roman"/>
                                  <w:b/>
                                  <w:sz w:val="20"/>
                                  <w:szCs w:val="20"/>
                                </w:rPr>
                                <w:t>Finansų sistemos išsivystymo lygis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3088256" y="2889848"/>
                            <a:ext cx="3277870" cy="482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Ekonominis inovacinis-technologinis šalies potencialas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Text Box 254"/>
                        <wps:cNvSpPr txBox="1"/>
                        <wps:spPr>
                          <a:xfrm>
                            <a:off x="3183145" y="3459192"/>
                            <a:ext cx="3277870" cy="4394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Mokesčių sistemos patrauklumas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 name="Text Box 255"/>
                        <wps:cNvSpPr txBox="1"/>
                        <wps:spPr>
                          <a:xfrm>
                            <a:off x="3183146" y="3976777"/>
                            <a:ext cx="3277870" cy="3962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Žmogiškojo kapitalo potencialas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3183146" y="4477109"/>
                            <a:ext cx="3277870" cy="49149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Antrepreneriškos kultūros lygis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2932980" y="5201728"/>
                            <a:ext cx="1809115" cy="49974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Teisinė bazė rizikos kapitalo investicijoms šalyje formuoti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xt Box 258"/>
                        <wps:cNvSpPr txBox="1"/>
                        <wps:spPr>
                          <a:xfrm>
                            <a:off x="2932980" y="5779697"/>
                            <a:ext cx="1809750" cy="49149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Investuotojų rinkos struktūra/Investuotojų tipas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4787659" y="5201728"/>
                            <a:ext cx="2009775" cy="49974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9B5C01" w:rsidRDefault="00EC1AB2" w:rsidP="00395AAB">
                              <w:pPr>
                                <w:jc w:val="center"/>
                                <w:rPr>
                                  <w:rFonts w:ascii="Times New Roman" w:hAnsi="Times New Roman" w:cs="Times New Roman"/>
                                  <w:b/>
                                  <w:sz w:val="20"/>
                                  <w:szCs w:val="20"/>
                                  <w:vertAlign w:val="subscript"/>
                                </w:rPr>
                              </w:pPr>
                              <w:r w:rsidRPr="009B5C01">
                                <w:rPr>
                                  <w:rFonts w:ascii="Times New Roman" w:hAnsi="Times New Roman" w:cs="Times New Roman"/>
                                  <w:b/>
                                  <w:sz w:val="20"/>
                                  <w:szCs w:val="20"/>
                                  <w:vertAlign w:val="subscript"/>
                                </w:rPr>
                                <w:t>Įmonės veiklos pobūdis/Ekonominės veiklos sektorius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4787658" y="5779697"/>
                            <a:ext cx="2018030" cy="482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053DDA"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Įmonės veiklos išsivystymo stadija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6642337" y="2432649"/>
                            <a:ext cx="244856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C41162" w:rsidRDefault="00EC1AB2" w:rsidP="00395AAB">
                              <w:pPr>
                                <w:pStyle w:val="ListParagraph"/>
                                <w:numPr>
                                  <w:ilvl w:val="0"/>
                                  <w:numId w:val="21"/>
                                </w:numPr>
                                <w:spacing w:after="0" w:line="240" w:lineRule="auto"/>
                                <w:contextualSpacing w:val="0"/>
                                <w:rPr>
                                  <w:rFonts w:ascii="Times New Roman" w:hAnsi="Times New Roman" w:cs="Times New Roman"/>
                                  <w:sz w:val="16"/>
                                  <w:szCs w:val="16"/>
                                </w:rPr>
                              </w:pPr>
                              <w:r>
                                <w:rPr>
                                  <w:rFonts w:ascii="Times New Roman" w:hAnsi="Times New Roman" w:cs="Times New Roman"/>
                                  <w:sz w:val="16"/>
                                  <w:szCs w:val="16"/>
                                </w:rPr>
                                <w:t>Vyraujantis finansų sistemos pobūdis</w:t>
                              </w:r>
                            </w:p>
                            <w:p w:rsidR="00EC1AB2" w:rsidRPr="00C41162" w:rsidRDefault="00EC1AB2" w:rsidP="00395AAB">
                              <w:pPr>
                                <w:pStyle w:val="ListParagraph"/>
                                <w:numPr>
                                  <w:ilvl w:val="0"/>
                                  <w:numId w:val="21"/>
                                </w:numPr>
                                <w:spacing w:after="0" w:line="240" w:lineRule="auto"/>
                                <w:contextualSpacing w:val="0"/>
                                <w:rPr>
                                  <w:rFonts w:ascii="Times New Roman" w:hAnsi="Times New Roman" w:cs="Times New Roman"/>
                                  <w:sz w:val="16"/>
                                  <w:szCs w:val="16"/>
                                </w:rPr>
                              </w:pPr>
                              <w:r>
                                <w:rPr>
                                  <w:rFonts w:ascii="Times New Roman" w:hAnsi="Times New Roman" w:cs="Times New Roman"/>
                                  <w:sz w:val="16"/>
                                  <w:szCs w:val="16"/>
                                </w:rPr>
                                <w:t>Verslo finansavimo alternatyvos</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560715" y="5193101"/>
                            <a:ext cx="2251075" cy="499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8"/>
                                </w:numPr>
                                <w:rPr>
                                  <w:rFonts w:ascii="Times New Roman" w:hAnsi="Times New Roman" w:cs="Times New Roman"/>
                                  <w:sz w:val="16"/>
                                  <w:szCs w:val="16"/>
                                </w:rPr>
                              </w:pPr>
                              <w:r w:rsidRPr="003B56C6">
                                <w:rPr>
                                  <w:rFonts w:ascii="Times New Roman" w:hAnsi="Times New Roman" w:cs="Times New Roman"/>
                                  <w:sz w:val="16"/>
                                  <w:szCs w:val="16"/>
                                </w:rPr>
                                <w:t>Akcininkų susitarimų</w:t>
                              </w:r>
                              <w:r>
                                <w:rPr>
                                  <w:rFonts w:ascii="Times New Roman" w:hAnsi="Times New Roman" w:cs="Times New Roman"/>
                                  <w:sz w:val="16"/>
                                  <w:szCs w:val="16"/>
                                </w:rPr>
                                <w:t xml:space="preserve">, </w:t>
                              </w:r>
                              <w:r w:rsidRPr="003B56C6">
                                <w:rPr>
                                  <w:rFonts w:ascii="Times New Roman" w:hAnsi="Times New Roman" w:cs="Times New Roman"/>
                                  <w:sz w:val="16"/>
                                  <w:szCs w:val="16"/>
                                </w:rPr>
                                <w:t>partnerystės reglamentavimas</w:t>
                              </w:r>
                            </w:p>
                            <w:p w:rsidR="00EC1AB2" w:rsidRPr="00CE4167" w:rsidRDefault="00EC1AB2" w:rsidP="00395AAB">
                              <w:pPr>
                                <w:pStyle w:val="ListParagraph"/>
                                <w:numPr>
                                  <w:ilvl w:val="0"/>
                                  <w:numId w:val="18"/>
                                </w:numPr>
                                <w:rPr>
                                  <w:rFonts w:ascii="Times New Roman" w:hAnsi="Times New Roman" w:cs="Times New Roman"/>
                                  <w:sz w:val="16"/>
                                  <w:szCs w:val="16"/>
                                </w:rPr>
                              </w:pPr>
                              <w:r w:rsidRPr="00CE4167">
                                <w:rPr>
                                  <w:rFonts w:ascii="Times New Roman" w:hAnsi="Times New Roman" w:cs="Times New Roman"/>
                                  <w:sz w:val="16"/>
                                  <w:szCs w:val="16"/>
                                </w:rPr>
                                <w:t>Kolektyvinio investavimo galimybės</w:t>
                              </w:r>
                            </w:p>
                            <w:p w:rsidR="00EC1AB2" w:rsidRPr="003B56C6" w:rsidRDefault="00EC1AB2" w:rsidP="00395AAB">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560714" y="2424022"/>
                            <a:ext cx="244856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Kapitalo rinkos likvidumas</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VP rinkos efektyvumas</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264"/>
                        <wps:cNvSpPr txBox="1"/>
                        <wps:spPr>
                          <a:xfrm>
                            <a:off x="560715" y="2889848"/>
                            <a:ext cx="2448560" cy="448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Technologinių inovacijų sklaida</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Bendras įmonių inovatyvumo lygis</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Text Box 265"/>
                        <wps:cNvSpPr txBox="1"/>
                        <wps:spPr>
                          <a:xfrm>
                            <a:off x="560715" y="3450566"/>
                            <a:ext cx="244856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Kapitalo prieaugio mokesčių dydis</w:t>
                              </w:r>
                            </w:p>
                            <w:p w:rsidR="00EC1AB2" w:rsidRPr="00C4116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Mokesčių lengvatos RK įmonės ir fondams</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560714" y="3976776"/>
                            <a:ext cx="244856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7E5CE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2"/>
                                  <w:szCs w:val="12"/>
                                </w:rPr>
                              </w:pPr>
                              <w:r w:rsidRPr="007E5CE2">
                                <w:rPr>
                                  <w:rFonts w:ascii="Times New Roman" w:hAnsi="Times New Roman" w:cs="Times New Roman"/>
                                  <w:sz w:val="12"/>
                                  <w:szCs w:val="12"/>
                                </w:rPr>
                                <w:t>Techninių, vadybinių, finansinių žinių derinimas</w:t>
                              </w:r>
                            </w:p>
                            <w:p w:rsidR="00EC1AB2" w:rsidRPr="007E5CE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2"/>
                                  <w:szCs w:val="12"/>
                                </w:rPr>
                              </w:pPr>
                              <w:r w:rsidRPr="007E5CE2">
                                <w:rPr>
                                  <w:rFonts w:ascii="Times New Roman" w:hAnsi="Times New Roman" w:cs="Times New Roman"/>
                                  <w:sz w:val="12"/>
                                  <w:szCs w:val="12"/>
                                </w:rPr>
                                <w:t>Polinkis mokytis visą gyvenimą</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Text Box 267"/>
                        <wps:cNvSpPr txBox="1"/>
                        <wps:spPr>
                          <a:xfrm>
                            <a:off x="560715" y="4477108"/>
                            <a:ext cx="2448560" cy="491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Tradiciškai susiformavęs požiūris į verslą, rizikos prisiėmimą</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Antrepreneriškas išsilavinimas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6642337" y="2881223"/>
                            <a:ext cx="24485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Verslo ir mokslo bendradarbiavimas</w:t>
                              </w:r>
                            </w:p>
                            <w:p w:rsidR="00EC1AB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Intelektinės nuosavybės apimtys</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MTEP finansavimo intensyvumas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6642338" y="3441939"/>
                            <a:ext cx="24485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Įmonių mokamų pelno mokesčių dydis</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Mokestinės lengvatos jaunoms technologinėms įmonėms</w:t>
                              </w:r>
                            </w:p>
                            <w:p w:rsidR="00EC1AB2" w:rsidRPr="00F20288" w:rsidRDefault="00EC1AB2" w:rsidP="00395AAB">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6642337" y="3976776"/>
                            <a:ext cx="244856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0037EF" w:rsidRDefault="00EC1AB2" w:rsidP="00395AAB">
                              <w:pPr>
                                <w:pStyle w:val="ListParagraph"/>
                                <w:numPr>
                                  <w:ilvl w:val="0"/>
                                  <w:numId w:val="17"/>
                                </w:numPr>
                                <w:spacing w:after="0" w:line="240" w:lineRule="auto"/>
                                <w:contextualSpacing w:val="0"/>
                                <w:rPr>
                                  <w:rFonts w:ascii="Times New Roman" w:hAnsi="Times New Roman" w:cs="Times New Roman"/>
                                  <w:b/>
                                  <w:sz w:val="20"/>
                                  <w:szCs w:val="20"/>
                                </w:rPr>
                              </w:pPr>
                              <w:r>
                                <w:rPr>
                                  <w:rFonts w:ascii="Times New Roman" w:hAnsi="Times New Roman" w:cs="Times New Roman"/>
                                  <w:sz w:val="16"/>
                                  <w:szCs w:val="16"/>
                                </w:rPr>
                                <w:t>Techninių specialistų būvimas</w:t>
                              </w:r>
                            </w:p>
                            <w:p w:rsidR="00EC1AB2" w:rsidRPr="000037EF" w:rsidRDefault="00EC1AB2" w:rsidP="00395AAB">
                              <w:pPr>
                                <w:pStyle w:val="ListParagraph"/>
                                <w:numPr>
                                  <w:ilvl w:val="0"/>
                                  <w:numId w:val="17"/>
                                </w:numPr>
                                <w:spacing w:after="0" w:line="240" w:lineRule="auto"/>
                                <w:contextualSpacing w:val="0"/>
                                <w:rPr>
                                  <w:rFonts w:ascii="Times New Roman" w:hAnsi="Times New Roman" w:cs="Times New Roman"/>
                                  <w:b/>
                                  <w:sz w:val="20"/>
                                  <w:szCs w:val="20"/>
                                </w:rPr>
                              </w:pPr>
                              <w:r w:rsidRPr="000037EF">
                                <w:rPr>
                                  <w:rFonts w:ascii="Times New Roman" w:hAnsi="Times New Roman" w:cs="Times New Roman"/>
                                  <w:sz w:val="16"/>
                                  <w:szCs w:val="16"/>
                                </w:rPr>
                                <w:t>Aukštąjį mokslą baigusių asmenų skaičius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6633712" y="4477108"/>
                            <a:ext cx="2448560" cy="491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Tradiciškai susiformavęs požiūris į verslą, rizikos prisiėmimą</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Antrepreneriškos savybės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560715" y="5779697"/>
                            <a:ext cx="2251075" cy="499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3B56C6"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Pensijų fondų ir draudimo įmonių dalyvavimas, formuojant rizikos kapitalo investicijas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Text Box 273"/>
                        <wps:cNvSpPr txBox="1"/>
                        <wps:spPr>
                          <a:xfrm>
                            <a:off x="6927009" y="5184474"/>
                            <a:ext cx="2251075" cy="499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Pr="0070504B" w:rsidRDefault="00EC1AB2" w:rsidP="00395AAB">
                              <w:pPr>
                                <w:pStyle w:val="ListParagraph"/>
                                <w:numPr>
                                  <w:ilvl w:val="0"/>
                                  <w:numId w:val="20"/>
                                </w:numPr>
                                <w:rPr>
                                  <w:rFonts w:ascii="Times New Roman" w:hAnsi="Times New Roman" w:cs="Times New Roman"/>
                                  <w:sz w:val="16"/>
                                  <w:szCs w:val="16"/>
                                </w:rPr>
                              </w:pPr>
                              <w:r w:rsidRPr="0070504B">
                                <w:rPr>
                                  <w:rFonts w:ascii="Times New Roman" w:hAnsi="Times New Roman" w:cs="Times New Roman"/>
                                  <w:sz w:val="16"/>
                                  <w:szCs w:val="16"/>
                                </w:rPr>
                                <w:t>Aukštųjų technologijų sektorius</w:t>
                              </w:r>
                            </w:p>
                            <w:p w:rsidR="00EC1AB2" w:rsidRPr="0070504B" w:rsidRDefault="00EC1AB2" w:rsidP="00395AAB">
                              <w:pPr>
                                <w:pStyle w:val="ListParagraph"/>
                                <w:numPr>
                                  <w:ilvl w:val="0"/>
                                  <w:numId w:val="19"/>
                                </w:numPr>
                                <w:rPr>
                                  <w:rFonts w:ascii="Times New Roman" w:hAnsi="Times New Roman" w:cs="Times New Roman"/>
                                  <w:sz w:val="16"/>
                                  <w:szCs w:val="16"/>
                                </w:rPr>
                              </w:pPr>
                              <w:r w:rsidRPr="0070504B">
                                <w:rPr>
                                  <w:rFonts w:ascii="Times New Roman" w:hAnsi="Times New Roman" w:cs="Times New Roman"/>
                                  <w:sz w:val="16"/>
                                  <w:szCs w:val="16"/>
                                </w:rPr>
                                <w:t>Vidutiniškai aukštųjų technologijų sektorius</w:t>
                              </w:r>
                            </w:p>
                            <w:p w:rsidR="00EC1AB2" w:rsidRPr="003B56C6" w:rsidRDefault="00EC1AB2" w:rsidP="00395AAB">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Text Box 274"/>
                        <wps:cNvSpPr txBox="1"/>
                        <wps:spPr>
                          <a:xfrm>
                            <a:off x="6918383" y="5762444"/>
                            <a:ext cx="2251075" cy="499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AB2"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parengiamoji stadija</w:t>
                              </w:r>
                            </w:p>
                            <w:p w:rsidR="00EC1AB2"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pradžios stadija</w:t>
                              </w:r>
                            </w:p>
                            <w:p w:rsidR="00EC1AB2" w:rsidRPr="003B56C6"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plėtros stadija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 name="Straight Connector 275"/>
                        <wps:cNvCnPr/>
                        <wps:spPr>
                          <a:xfrm>
                            <a:off x="4744527" y="465825"/>
                            <a:ext cx="0" cy="1901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6" name="Straight Arrow Connector 276"/>
                        <wps:cNvCnPr/>
                        <wps:spPr>
                          <a:xfrm flipH="1">
                            <a:off x="3985402" y="655606"/>
                            <a:ext cx="759257"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7" name="Straight Arrow Connector 277"/>
                        <wps:cNvCnPr/>
                        <wps:spPr>
                          <a:xfrm>
                            <a:off x="4744527" y="655607"/>
                            <a:ext cx="85431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8" name="Straight Connector 278"/>
                        <wps:cNvCnPr/>
                        <wps:spPr>
                          <a:xfrm>
                            <a:off x="2812210" y="767750"/>
                            <a:ext cx="0" cy="61308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9" name="Straight Connector 279"/>
                        <wps:cNvCnPr/>
                        <wps:spPr>
                          <a:xfrm>
                            <a:off x="6918383" y="733245"/>
                            <a:ext cx="0" cy="61308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0" name="Rectangle 280"/>
                        <wps:cNvSpPr/>
                        <wps:spPr>
                          <a:xfrm>
                            <a:off x="3088255" y="810882"/>
                            <a:ext cx="3449955" cy="150939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Straight Arrow Connector 281"/>
                        <wps:cNvCnPr/>
                        <wps:spPr>
                          <a:xfrm>
                            <a:off x="2812209" y="1380225"/>
                            <a:ext cx="27604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2" name="Straight Arrow Connector 282"/>
                        <wps:cNvCnPr/>
                        <wps:spPr>
                          <a:xfrm flipH="1">
                            <a:off x="6530195" y="1345721"/>
                            <a:ext cx="380173"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3" name="Rectangle 283"/>
                        <wps:cNvSpPr/>
                        <wps:spPr>
                          <a:xfrm>
                            <a:off x="517583" y="2380889"/>
                            <a:ext cx="8806696" cy="2639683"/>
                          </a:xfrm>
                          <a:prstGeom prst="rect">
                            <a:avLst/>
                          </a:prstGeom>
                          <a:noFill/>
                          <a:ln w="1270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517583" y="5098210"/>
                            <a:ext cx="8806696" cy="1311215"/>
                          </a:xfrm>
                          <a:prstGeom prst="rect">
                            <a:avLst/>
                          </a:prstGeom>
                          <a:noFill/>
                          <a:ln w="12700">
                            <a:solidFill>
                              <a:schemeClr val="tx2">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Straight Arrow Connector 285"/>
                        <wps:cNvCnPr/>
                        <wps:spPr>
                          <a:xfrm>
                            <a:off x="2130723" y="767751"/>
                            <a:ext cx="17253" cy="161313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6" name="Straight Arrow Connector 286"/>
                        <wps:cNvCnPr/>
                        <wps:spPr>
                          <a:xfrm>
                            <a:off x="7392837" y="750497"/>
                            <a:ext cx="17253" cy="161313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7" name="Straight Connector 287"/>
                        <wps:cNvCnPr/>
                        <wps:spPr>
                          <a:xfrm flipH="1">
                            <a:off x="-2" y="655607"/>
                            <a:ext cx="5607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flipH="1">
                            <a:off x="9135372" y="646981"/>
                            <a:ext cx="5607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 y="655607"/>
                            <a:ext cx="51758" cy="50457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9696090" y="646981"/>
                            <a:ext cx="51435" cy="50457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51758" y="5693435"/>
                            <a:ext cx="466149"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Straight Arrow Connector 292"/>
                        <wps:cNvCnPr/>
                        <wps:spPr>
                          <a:xfrm rot="10800000" flipV="1">
                            <a:off x="9282022" y="5684807"/>
                            <a:ext cx="466149"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4744528" y="1155941"/>
                            <a:ext cx="0" cy="776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4744528" y="1889185"/>
                            <a:ext cx="0" cy="948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flipH="1">
                            <a:off x="3010618" y="2613804"/>
                            <a:ext cx="1738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flipH="1">
                            <a:off x="3010618" y="3148641"/>
                            <a:ext cx="1639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flipH="1">
                            <a:off x="3010618" y="3700732"/>
                            <a:ext cx="163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flipH="1">
                            <a:off x="3019244" y="4175186"/>
                            <a:ext cx="163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flipH="1">
                            <a:off x="3010618" y="4701397"/>
                            <a:ext cx="163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flipH="1">
                            <a:off x="6469811" y="2613804"/>
                            <a:ext cx="1738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flipH="1">
                            <a:off x="6469810" y="3105509"/>
                            <a:ext cx="1733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flipH="1">
                            <a:off x="6469810" y="3700732"/>
                            <a:ext cx="1733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flipH="1">
                            <a:off x="6469810" y="4175185"/>
                            <a:ext cx="1733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flipH="1">
                            <a:off x="6469810" y="4701397"/>
                            <a:ext cx="1733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Straight Connector 305"/>
                        <wps:cNvCnPr/>
                        <wps:spPr>
                          <a:xfrm flipH="1">
                            <a:off x="2812211" y="5434641"/>
                            <a:ext cx="1207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flipH="1">
                            <a:off x="2812211" y="6012611"/>
                            <a:ext cx="120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Straight Connector 307"/>
                        <wps:cNvCnPr/>
                        <wps:spPr>
                          <a:xfrm flipH="1">
                            <a:off x="6806241" y="5434641"/>
                            <a:ext cx="120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 name="Straight Connector 308"/>
                        <wps:cNvCnPr/>
                        <wps:spPr>
                          <a:xfrm flipH="1">
                            <a:off x="6797615" y="5969479"/>
                            <a:ext cx="120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44" o:spid="_x0000_s1074" style="position:absolute;left:0;text-align:left;margin-left:-135.3pt;margin-top:127.8pt;width:742.05pt;height:488.65pt;rotation:-90;z-index:251958272;mso-width-relative:margin;mso-height-relative:margin" coordorigin="" coordsize="97481,6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CM8Q4AAF7YAAAOAAAAZHJzL2Uyb0RvYy54bWzsXWuTm8gV/Z6q/AdK3+2heTQw5fHWZLze&#10;pMrxutZO/Bkj9KhFQIDxjPPrc7obGoSQRo9YY6Pr2ppFvASte0/fx+l7X/3yuEqMr3FRLrP0ZsJe&#10;mhMjTqNsukznN5N/fXr7wp8YZRWm0zDJ0vhm8i0uJ7+8/utfXj3k17GVLbJkGhcGbpKW1w/5zWRR&#10;Vfn11VUZLeJVWL7M8jjFwVlWrMIKH4v51bQIH3D3VXJlmSa/esiKaV5kUVyW2PtGHZy8lvefzeKo&#10;+n02K+PKSG4meLZK/i3k3y/i79XrV+H1vAjzxTKqHyM84ilW4TLFl+pbvQmr0Lgvlhu3Wi2jIiuz&#10;WfUyylZX2Wy2jGL5DngbZvbe5rciu8/lu8yvH+a5HiYMbW+cjr5t9P7rh8JYTm8mluNMjDRc4UeS&#10;32uIHRieh3x+jbN+K/KP+Yei3jFXn8QbP86KlVFkGFnG8YvgnxwIvJrxKMf5mx7n+LEyIuwMHMsx&#10;bUhGhGO4yA1cW/0S0QI/l7juhTUxcJA1u39tLvUcn3l2faljiluJc67Ug2BDPK9+vIccYlW2I1ee&#10;NnIfF2Eeyx+kFGOiR85tRu6TeMW/ZY8YPFc8lvh+nChGzqgecaB+JbG/xM5mAMX/6xGzPMdmAQan&#10;ff1m3BzTtGy7fnmHu77F1949vM6LsvotzlaG2LiZFJB/+WuEX9+VlRqm5hTxlWWWLKdvl0kiPwid&#10;i++SwvgaQluSSg4+BnbtrCQ1HvASgemq33ntoLi3vsGXJIz+rJ+vcxZumKTi+2KpnvVztQMit6pv&#10;SSzOSdI/4hnEU0rSwEOGURSn+kHl2eKsGV7pkAvr89unOuRi9R64Qn5zllb64tUyzQo5/hLP2rGd&#10;/tmM7UydL+UWIqHeWwxB9fjlUeml1wjSl2z6DXIkdQ1YVubR2yUG/F1YVh/CArCFnYDi6nf8mSUZ&#10;fqas3poYi6z479B+cT50AkcnxgNg8GZS/uc+LOKJkfwjhbYEzHEEbsoPjutZ+FB0j3zpHknvV3cZ&#10;ZIfJp5Ob4vwqaTZnRbb6DMS+Fd+KQ2Ea4btvJlWzeVcpcAbiR/HtrTwJSJmH1bv0Yx6JW4thFoL2&#10;6fFzWOS1pFfQkfdZo5/hdU/g1bniyjS7va+y2VJqgxhoNar1DwCsUEp7BtDgA6Ah9Vk81YGg4XLT&#10;YwAGYIbLPNeX4AMVq1HTBkq6LlBKAK7lBGK7C5oHA0eaCdTALYSKngEQWm3wSRtGqQ3egDZo5DtU&#10;G9zAdx2A0DZ1cG1us0YdLNsFqv2k6hCQOoxSHWD/KVu8Y1Fq6DtQHWzm28zBdAN18D1mcXmjzuxg&#10;eZ7vYTaWs4PvOP7Pqg62fPB2VidbaSS2UjCgDhr6TlAHxh2PK1dtmz44Juc/q7VkSzeD9GFsvgN8&#10;743pAftgwxzhO3SnB4b4gutJu2tNH9wAOiDnB9szA/vEsMOG98Dt7xlN0M6DbTVDRK70mFxpF6Z+&#10;31rCvlPUAdIOawlxOMf0+s605bXqYHEPGiO+SkcgT3emz6UOMuhKs8PoZgfEzjfUQUPfCdaSJeL2&#10;Vh2q17GlrvdgBxynnKYOnVgxYs8UlIYJr0PMe4fC9RXfJyht16mhJnxKjtY4HC3k4TahQ08Th0KH&#10;6fuWq+IOlu9jLt0VeHCQzULu8KSZlKBDDd+PnM9S1hJZHaOzOjR9oA1ZunqaOBQ6ZMhSGeG24wYs&#10;kPbLmk/axiwdGzQAgo7Rp8JV3IGgY3TQAUXfcFikU31iOMsOPO4NhLNa6CCHBXSNC2DR2DqXTKG/&#10;UYX+Blg0cDlOCf0ph8VxPI+ZMse0zeoANyogq2P8VofOuxN0jAo6BihHrp4mDnRYrMC2AvAmJOUI&#10;VG7P6sU6mG8GrOEcOUHgqazz8VkDinX8BLEOzVEg6BgVdAzQs1w9TZwCHZ4X8KCXfxfQ4YmUv+Bn&#10;OWR1XITDorJoFOsYXaxjgMrm6mniQOhwEMjguHqr1YEFWYEHAkMNHWR1XEKsA8z32v8lq2NMVgcf&#10;YP1h33GxDgUdapkhGH+bVgecGN8EoVpBByVnL8Pq0DQhgo5RQccAQ5LraeJAq4NzBzRhRE/gjliO&#10;bXGnFybFynEfKxJrwvBzUsK+L5OyXq5Ly5Sn8Es1S4iQY1TIMUAm5XqWOBA55DJlxepwWWAzU0JQ&#10;m1+xLJcJvvXzuysEHLqqwnemkjZVRohKOq76BnyASop9x3krEjhAMJMWhyCh9+hgZHH0iPIXQOlo&#10;K+yQxTEqi2OASMqPJZJ2LI5BCvoacMBtgU0iIOoZ0rJkcZzN4tD8IAKOUQHHAI1ULd0/gkbaAQ4Q&#10;0E2XS6HpuCrdGMezEtAJOM4GHJodRMAxKuAYIJEqfT8WOJSroujnu4DjWennBBxnAw7NDSLgGBVw&#10;DFBIuZ4kjg+OKvJ5j0G67qo8Jw2MgONswKGZQQQcowKOAQKpKst3hMWxlo/1fWb1S3SsI8dzUjkI&#10;Oc6FHG05MEKOUSHHAH+U61niQJNDIYcigdmOg5TsLiaHLP9N4dGxF5xvK6cRcowJOUSF3/4qe+w7&#10;LiHbtTkozKHq4Ou+D3VnjPXSZReQkXU1L4iQY1TIMcAe9Y5nj4I7ylR7H4pzEHLIJjeq/xOtdhvb&#10;ajdvgD2KfcfZHJ2U7PCKFWKPXp7JoYlBZHKMyuQYYI+i7d9xwMEDy8NCWLVMlqHBiSelpkPmIOS4&#10;POTQBeYIOUaFHAP0UaXvx6RWAhQi9evGeh5qm6vVCoQcl9yRs60vR8gxKuTQ/NGPVREu54vKuMvS&#10;FD10s8JA04+O9XGX1q2Qt7bxhY3huJZaJCtb9crLW+CoV8eikS5TYbPtlPNkmYqmwxtNTUWjXxU/&#10;2NGBs7cupHqUcRt8Wad+GD6Jlrxondy8jtwaaMKruq/27vmTRjbbodjahFfpt1gPIAbkjM1hPc1I&#10;1KJ4WxTZw5pAaho7sn5bBNKYJcv8703X3LrDtC26Y5oqAsddeNU9hiLa21gohCcXYT6R7itrRdF6&#10;ogSk1333/yao4XUVLpNf06lRfcvRqDwUYyLUkiRYtp1udLhtI/18EqypcTskuEuV2yLBAuBque1C&#10;qpRbeXkLqZBq3dWV5PaAvunnbhfxQyOvZmZpudXgBiNAE3m3Y25HYi1BxsKKMrFuVVQiV6ScVmJr&#10;I4Az2/QlCJMRgLbiyKOKMdTrzr9n06MfWhQ11WdQFLukn6fBk3c8WbSsQz94MW+SKMar+C4pjK/h&#10;Rh18QsX3Xz8UMj1nicrGijvyB9yhMJ0nsSF2rsdj609l/qEQovU4K6R/0pidsh2Uqv7hM/FhXQJB&#10;QAsCty7+wVy0GQ2kjG7HxALPsssx2ugzykQcWF7R8X42msy1mLB2Vl6U1ZuwXChZmWLrMMvTUl88&#10;HGgV41Uuwmms7u6a+FffXntbtZlbw2Mtngoc9/DLzi3OiWa6PuFejbJ3XFQVEyNMo0VW3FXFzQT6&#10;M8uKKL69ldtRNsau9b7miegJa8NrxTktaDw9bUkLqk7dMNtH4Y/evGV53MRcRs7qGh7swUA7Nx60&#10;qPoEHkA8zh1uwVRUT287BLdLW9giuIPhFu7aJsNUJpwAhrXkntWregWxZshtkgiTCGNeuIK5tIzi&#10;q4esmF6hCKspt/Iii+KyXKbzj4swF+HgOpulLTSdMO9aaP2M+W4LzWWeWye7LAglWnauW2i+b3Ie&#10;IDQpCtFbHIuXcbZQ19bWE0aSCPcZYuNm8pwWWjIX1tqbrMJ/9VPuGeUmS02lAvphRLLUpAkvRPvT&#10;4+ewyGspr9AL+33WKOZGnkadKyz8NLu9r7LZsmrmOBWefYYJTyfJu2ihuVT1MqK90QLOmi/iXLig&#10;jSisoQWzGbPQ/uZ50EIpdHK/+mc2fcrB2uHzyUMEJTeT1TLNiiF3lpy+y3P6YNmq0NAO21kqfm2x&#10;bLGdBXTUkSIL8XAPi5h12LxnMKO7lmhULqwQhtg5U6sWt1shJWUpO4sWyfHrxDX3yLOrzMzewuvZ&#10;geXX1dGR8HE2ujmR8NYF04XGk8t3gsu3mWLvpCr9PZLrg/GKFx1mSC/DLldg1P5fE55uovw9z49I&#10;S0P20TpVSmc4pSZkksKh4vlbDawfOoq2M3Xu75E6H5THgNmuLRYSYbrnDg9UBLn1M0go+61paIbv&#10;zPA7k+gqwrX33P4CCQ4hhYI014dGETtTNikmfddT2c3tNinh48XhI5qF9z2lznytWonvLYpo2MVN&#10;ccdtqMgcu06LSXl8qq41yePlyeMe6drgsHStzCBImXR5YAsJXAsJOpwzNIuiTBe5Pce7PcEeyVqc&#10;Uwevt/M0VTYDRCTBtRH8DFDl/92jysOVt0SzEYGyLvcdvz/tk0QP0ZGIfnBQ7jbQuVsdQu0aBt0k&#10;7tPBU8WSVzXdGHPdwOlFTyHqInLqeRxRqp35GLIJLs8m0InBQVHsZggPFEWwCZjfswdqUQwcX1m/&#10;5C4R/V1zjgVlqpdY6qLiHimlwXASyFgmZwofLWSPfLNXDAJcLB/VrfYxUgkgLw8gNzNGXak8ek1m&#10;Rypt5vi8P2sz0K3Emk0xdVPoXVDOKMrZRjmRZNyFlcemgrpYaWPphGf31mxAKv2mRzxJJUklVsnD&#10;4W44qcHOhBCOPu2jD65fB50alVikU+4g7M5Uhr7NCJFUUkZoO1M62JkRwtGjpVLblY5ngpTUyxCR&#10;VJJUbpVKW0Qgt3o74uhxUqkS5iptSd6OMJ0F10IvqaR1vztXlcD+2ymVeySHBn1wJZWQeDgz6Ljr&#10;gj8u5Lszg2OJerMUmOxKsivX7Epb+ME7sHKf3M+QXbkmlYPeDknlZJ3BRj649nZsc1cWRxw9ZQZX&#10;WKm8nV4QHfFKwsooIob70LpQG9HtXVi5R0LnyRl82NshqSSs3LZa2TZ35XbE0eOwUtXbUt4OisE5&#10;m1F0y/REHySKokvTnaLo3XiljUKYu7Dy2NxOVyq5yeCG9xgZzDI5SsORVLYlgygP3kTRsRRyp1Qe&#10;m9vhKOZgIcsoqW1bsJKkkuzKpqxBzUyvczsoWLlTKo/N7XAv8DjqBEipBMfd8fqRIcLKn9KuREWR&#10;+fXDPJfVYuZFmC+W0ZuwCrufZR2M69jKFlkyjYvX/wMAAP//AwBQSwMEFAAGAAgAAAAhADEP7jbi&#10;AAAACgEAAA8AAABkcnMvZG93bnJldi54bWxMj8FOwkAQhu8kvsNmTLwQ2LaSirVbYiQaDiRE8OJt&#10;245t4+5s6S5Q3t7xpKfJ5P/yzzf5arRGnHHwnSMF8TwCgVS5uqNGwcfhdbYE4YOmWhtHqOCKHlbF&#10;zSTXWe0u9I7nfWgEl5DPtII2hD6T0lctWu3nrkfi7MsNVgdeh0bWg75wuTUyiaJUWt0RX2h1jy8t&#10;Vt/7k1UQzPpzu9nturdDKK/b43Exrqcbpe5ux+cnEAHH8AfDrz6rQ8FOpTtR7YVRMIsfEkYVJDw4&#10;f0yjGETJ4GKZ3oMscvn/heIHAAD//wMAUEsBAi0AFAAGAAgAAAAhALaDOJL+AAAA4QEAABMAAAAA&#10;AAAAAAAAAAAAAAAAAFtDb250ZW50X1R5cGVzXS54bWxQSwECLQAUAAYACAAAACEAOP0h/9YAAACU&#10;AQAACwAAAAAAAAAAAAAAAAAvAQAAX3JlbHMvLnJlbHNQSwECLQAUAAYACAAAACEABcdwjPEOAABe&#10;2AAADgAAAAAAAAAAAAAAAAAuAgAAZHJzL2Uyb0RvYy54bWxQSwECLQAUAAYACAAAACEAMQ/uNuIA&#10;AAAKAQAADwAAAAAAAAAAAAAAAABLEQAAZHJzL2Rvd25yZXYueG1sUEsFBgAAAAAEAAQA8wAAAFoS&#10;AAAAAA==&#10;">
                <v:shapetype id="_x0000_t202" coordsize="21600,21600" o:spt="202" path="m,l,21600r21600,l21600,xe">
                  <v:stroke joinstyle="miter"/>
                  <v:path gradientshapeok="t" o:connecttype="rect"/>
                </v:shapetype>
                <v:shape id="Text Box 245" o:spid="_x0000_s1075" type="#_x0000_t202" style="position:absolute;left:27431;width:40024;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gy8UA&#10;AADcAAAADwAAAGRycy9kb3ducmV2LnhtbESPT4vCMBTE78J+h/AWvGla/yxrNYqKgu5tXWGvj+Zt&#10;W7Z5KUnU6qc3guBxmJnfMLNFa2pxJucrywrSfgKCOLe64kLB8Wfb+wThA7LG2jIpuJKHxfytM8NM&#10;2wt/0/kQChEh7DNUUIbQZFL6vCSDvm8b4uj9WWcwROkKqR1eItzUcpAkH9JgxXGhxIbWJeX/h5NR&#10;sFl9TYb767453orbqA7D9NeNU6W67+1yCiJQG17hZ3unFQxGY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CDLxQAAANwAAAAPAAAAAAAAAAAAAAAAAJgCAABkcnMv&#10;ZG93bnJldi54bWxQSwUGAAAAAAQABAD1AAAAigMAAAAA&#10;" fillcolor="white [3201]" strokeweight="1.5pt">
                  <v:textbox>
                    <w:txbxContent>
                      <w:p w:rsidR="00EC1AB2" w:rsidRPr="00F20288" w:rsidRDefault="00EC1AB2" w:rsidP="00395AAB">
                        <w:pPr>
                          <w:jc w:val="center"/>
                          <w:rPr>
                            <w:rFonts w:ascii="Times New Roman" w:hAnsi="Times New Roman" w:cs="Times New Roman"/>
                            <w:b/>
                            <w:sz w:val="24"/>
                            <w:szCs w:val="24"/>
                          </w:rPr>
                        </w:pPr>
                        <w:r w:rsidRPr="00F20288">
                          <w:rPr>
                            <w:rFonts w:ascii="Times New Roman" w:hAnsi="Times New Roman" w:cs="Times New Roman"/>
                            <w:b/>
                            <w:sz w:val="24"/>
                            <w:szCs w:val="24"/>
                          </w:rPr>
                          <w:t>RIZIKOS KAPITALO SEKTORIAUS PLĖTROS VEIKNSIAI</w:t>
                        </w:r>
                      </w:p>
                    </w:txbxContent>
                  </v:textbox>
                </v:shape>
                <v:shape id="Text Box 246" o:spid="_x0000_s1076" type="#_x0000_t202" style="position:absolute;left:5607;top:5175;width:34245;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ZzsYA&#10;AADcAAAADwAAAGRycy9kb3ducmV2LnhtbESPQWsCMRSE74X+h/CE3mpWKWJXo0ipUIoeXC3o7bF5&#10;brbdvKxJquu/N0Khx2FmvmGm88424kw+1I4VDPoZCOLS6ZorBbvt8nkMIkRkjY1jUnClAPPZ48MU&#10;c+0uvKFzESuRIBxyVGBibHMpQ2nIYui7ljh5R+ctxiR9JbXHS4LbRg6zbCQt1pwWDLb0Zqj8KX6t&#10;gqV/L+rdwPjT6+pzfzh9bdft6lupp163mICI1MX/8F/7QysYvozgfi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gZzsYAAADcAAAADwAAAAAAAAAAAAAAAACYAgAAZHJz&#10;L2Rvd25yZXYueG1sUEsFBgAAAAAEAAQA9QAAAIsDAAAAAA==&#10;" filled="f" strokeweight="1.5pt">
                  <v:textbox>
                    <w:txbxContent>
                      <w:p w:rsidR="00EC1AB2" w:rsidRPr="00F20288" w:rsidRDefault="00EC1AB2" w:rsidP="00395AAB">
                        <w:pPr>
                          <w:jc w:val="center"/>
                          <w:rPr>
                            <w:rFonts w:ascii="Times New Roman" w:eastAsia="Batang" w:hAnsi="Times New Roman" w:cs="Times New Roman"/>
                            <w:b/>
                            <w:color w:val="000000" w:themeColor="text1"/>
                            <w:sz w:val="20"/>
                            <w:szCs w:val="20"/>
                          </w:rPr>
                        </w:pPr>
                        <w:r w:rsidRPr="00F20288">
                          <w:rPr>
                            <w:rFonts w:ascii="Times New Roman" w:eastAsia="Batang" w:hAnsi="Times New Roman" w:cs="Times New Roman"/>
                            <w:b/>
                            <w:color w:val="000000" w:themeColor="text1"/>
                            <w:sz w:val="20"/>
                            <w:szCs w:val="20"/>
                          </w:rPr>
                          <w:t>PASIŪLOS VEIKSNIAI</w:t>
                        </w:r>
                      </w:p>
                    </w:txbxContent>
                  </v:textbox>
                </v:shape>
                <v:shape id="Text Box 247" o:spid="_x0000_s1077" type="#_x0000_t202" style="position:absolute;left:55985;top:5175;width:35363;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8VcgA&#10;AADcAAAADwAAAGRycy9kb3ducmV2LnhtbESPzWrDMBCE74W+g9hCb42cUPrjWA6hNFBKeqiTQHJb&#10;rI3lxFo5kpq4b18VCj0OM/MNU8wG24kz+dA6VjAeZSCIa6dbbhSsV4u7JxAhImvsHJOCbwowK6+v&#10;Csy1u/AnnavYiAThkKMCE2OfSxlqQxbDyPXEyds7bzEm6RupPV4S3HZykmUP0mLLacFgTy+G6mP1&#10;ZRUs/GvVrsfGn56X79vdabP66JcHpW5vhvkURKQh/of/2m9aweT+EX7PpCMg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NLxVyAAAANwAAAAPAAAAAAAAAAAAAAAAAJgCAABk&#10;cnMvZG93bnJldi54bWxQSwUGAAAAAAQABAD1AAAAjQMAAAAA&#10;" filled="f" strokeweight="1.5pt">
                  <v:textbox>
                    <w:txbxContent>
                      <w:p w:rsidR="00EC1AB2" w:rsidRPr="00F20288" w:rsidRDefault="00EC1AB2" w:rsidP="00395AAB">
                        <w:pPr>
                          <w:jc w:val="center"/>
                          <w:rPr>
                            <w:rFonts w:ascii="Times New Roman" w:eastAsia="Batang" w:hAnsi="Times New Roman" w:cs="Times New Roman"/>
                            <w:b/>
                            <w:color w:val="000000" w:themeColor="text1"/>
                            <w:sz w:val="20"/>
                            <w:szCs w:val="20"/>
                          </w:rPr>
                        </w:pPr>
                        <w:r w:rsidRPr="00F20288">
                          <w:rPr>
                            <w:rFonts w:ascii="Times New Roman" w:eastAsia="Batang" w:hAnsi="Times New Roman" w:cs="Times New Roman"/>
                            <w:b/>
                            <w:color w:val="000000" w:themeColor="text1"/>
                            <w:sz w:val="20"/>
                            <w:szCs w:val="20"/>
                          </w:rPr>
                          <w:t>PAKLAUSOS VEIKSNIAI</w:t>
                        </w:r>
                      </w:p>
                    </w:txbxContent>
                  </v:textbox>
                </v:shape>
                <v:shape id="Text Box 248" o:spid="_x0000_s1078" type="#_x0000_t202" style="position:absolute;left:31831;top:8712;width:3277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oJ8MA&#10;AADcAAAADwAAAGRycy9kb3ducmV2LnhtbERPTWsCMRC9F/wPYQRvNauU0q5GEVEoxR66Kuht2Iyb&#10;1c1kTaJu/31zKPT4eN/TeWcbcScfascKRsMMBHHpdM2Vgt12/fwGIkRkjY1jUvBDAeaz3tMUc+0e&#10;/E33IlYihXDIUYGJsc2lDKUhi2HoWuLEnZy3GBP0ldQeHyncNnKcZa/SYs2pwWBLS0PlpbhZBWu/&#10;KurdyPjr++bzcLzut1/t5qzUoN8tJiAidfFf/Of+0ArGL2ltOpOO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soJ8MAAADcAAAADwAAAAAAAAAAAAAAAACYAgAAZHJzL2Rv&#10;d25yZXYueG1sUEsFBgAAAAAEAAQA9QAAAIgDAAAAAA==&#10;" filled="f" strokeweight="1.5pt">
                  <v:textbox>
                    <w:txbxContent>
                      <w:p w:rsidR="00EC1AB2" w:rsidRPr="00F20288" w:rsidRDefault="00EC1AB2" w:rsidP="00395AAB">
                        <w:pPr>
                          <w:rPr>
                            <w:rFonts w:ascii="Times New Roman" w:hAnsi="Times New Roman" w:cs="Times New Roman"/>
                            <w:b/>
                            <w:sz w:val="20"/>
                            <w:szCs w:val="20"/>
                          </w:rPr>
                        </w:pPr>
                        <w:r>
                          <w:rPr>
                            <w:rFonts w:ascii="Times New Roman" w:hAnsi="Times New Roman" w:cs="Times New Roman"/>
                            <w:b/>
                            <w:sz w:val="20"/>
                            <w:szCs w:val="20"/>
                          </w:rPr>
                          <w:t>Teisinė</w:t>
                        </w:r>
                        <w:r w:rsidRPr="00F20288">
                          <w:rPr>
                            <w:rFonts w:ascii="Times New Roman" w:hAnsi="Times New Roman" w:cs="Times New Roman"/>
                            <w:b/>
                            <w:sz w:val="20"/>
                            <w:szCs w:val="20"/>
                          </w:rPr>
                          <w:t>s ir administracin</w:t>
                        </w:r>
                        <w:r>
                          <w:rPr>
                            <w:rFonts w:ascii="Times New Roman" w:hAnsi="Times New Roman" w:cs="Times New Roman"/>
                            <w:b/>
                            <w:sz w:val="20"/>
                            <w:szCs w:val="20"/>
                          </w:rPr>
                          <w:t>ė</w:t>
                        </w:r>
                        <w:r w:rsidRPr="00F20288">
                          <w:rPr>
                            <w:rFonts w:ascii="Times New Roman" w:hAnsi="Times New Roman" w:cs="Times New Roman"/>
                            <w:b/>
                            <w:sz w:val="20"/>
                            <w:szCs w:val="20"/>
                          </w:rPr>
                          <w:t xml:space="preserve">s sistemos </w:t>
                        </w:r>
                        <w:r>
                          <w:rPr>
                            <w:rFonts w:ascii="Times New Roman" w:hAnsi="Times New Roman" w:cs="Times New Roman"/>
                            <w:b/>
                            <w:sz w:val="20"/>
                            <w:szCs w:val="20"/>
                          </w:rPr>
                          <w:t>sta</w:t>
                        </w:r>
                        <w:r w:rsidRPr="00F20288">
                          <w:rPr>
                            <w:rFonts w:ascii="Times New Roman" w:hAnsi="Times New Roman" w:cs="Times New Roman"/>
                            <w:b/>
                            <w:sz w:val="20"/>
                            <w:szCs w:val="20"/>
                          </w:rPr>
                          <w:t>bilumas</w:t>
                        </w:r>
                      </w:p>
                      <w:p w:rsidR="00EC1AB2" w:rsidRDefault="00EC1AB2" w:rsidP="00395AAB">
                        <w:r>
                          <w:rPr>
                            <w:rFonts w:ascii="Times New Roman" w:hAnsi="Times New Roman" w:cs="Times New Roman"/>
                          </w:rPr>
                          <w:t>Teisinės ir administracinės sistemos stabilumas</w:t>
                        </w:r>
                      </w:p>
                    </w:txbxContent>
                  </v:textbox>
                </v:shape>
                <v:shape id="Text Box 249" o:spid="_x0000_s1079" type="#_x0000_t202" style="position:absolute;left:31831;top:16476;width:32779;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NvMYA&#10;AADcAAAADwAAAGRycy9kb3ducmV2LnhtbESPQWsCMRSE74X+h/AKvdWsIlK3RpFSQcQeuirY22Pz&#10;utm6eVmTVLf/3giCx2FmvmEms8424kQ+1I4V9HsZCOLS6ZorBdvN4uUVRIjIGhvHpOCfAsymjw8T&#10;zLU78xediliJBOGQowITY5tLGUpDFkPPtcTJ+3HeYkzSV1J7PCe4beQgy0bSYs1pwWBL74bKQ/Fn&#10;FSz8R1Fv+8Yfx+vV/vu423y261+lnp+6+RuISF28h2/tpVYwGI7h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eNvMYAAADcAAAADwAAAAAAAAAAAAAAAACYAgAAZHJz&#10;L2Rvd25yZXYueG1sUEsFBgAAAAAEAAQA9QAAAIsDAAAAAA==&#10;" filled="f" strokeweight="1.5pt">
                  <v:textbox>
                    <w:txbxContent>
                      <w:p w:rsidR="00EC1AB2" w:rsidRPr="00F20288" w:rsidRDefault="00EC1AB2" w:rsidP="00395AAB">
                        <w:pPr>
                          <w:jc w:val="center"/>
                          <w:rPr>
                            <w:rFonts w:ascii="Times New Roman" w:hAnsi="Times New Roman" w:cs="Times New Roman"/>
                            <w:b/>
                            <w:sz w:val="20"/>
                            <w:szCs w:val="20"/>
                          </w:rPr>
                        </w:pPr>
                        <w:r w:rsidRPr="00F20288">
                          <w:rPr>
                            <w:rFonts w:ascii="Times New Roman" w:hAnsi="Times New Roman" w:cs="Times New Roman"/>
                            <w:b/>
                            <w:sz w:val="20"/>
                            <w:szCs w:val="20"/>
                          </w:rPr>
                          <w:t>Makroekonominis stabilumas</w:t>
                        </w:r>
                      </w:p>
                      <w:p w:rsidR="00EC1AB2" w:rsidRDefault="00EC1AB2" w:rsidP="00395AAB">
                        <w:r>
                          <w:rPr>
                            <w:rFonts w:ascii="Times New Roman" w:hAnsi="Times New Roman" w:cs="Times New Roman"/>
                          </w:rPr>
                          <w:t>Teisinės ir administracinės sistemos stabilumas</w:t>
                        </w:r>
                      </w:p>
                    </w:txbxContent>
                  </v:textbox>
                </v:shape>
                <v:shape id="Text Box 250" o:spid="_x0000_s1080" type="#_x0000_t202" style="position:absolute;left:31831;top:12335;width:32760;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tpi8MA&#10;AADcAAAADwAAAGRycy9kb3ducmV2LnhtbERPTWsCMRC9C/6HMEJvNVtBW1ajFFGoIIXaUj2Om3Gz&#10;mEy2m3Rd++ubg+Dx8b5ni85Z0VITKs8KnoYZCOLC64pLBV+f68cXECEia7SeScGVAizm/d4Mc+0v&#10;/EHtLpYihXDIUYGJsc6lDIUhh2Hoa+LEnXzjMCbYlFI3eEnhzspRlk2kw4pTg8GaloaK8+7XKdh+&#10;739W6/dDtqejrcatfTabv6NSD4PudQoiUhfv4pv7TSsYjdP8dCYd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tpi8MAAADcAAAADwAAAAAAAAAAAAAAAACYAgAAZHJzL2Rv&#10;d25yZXYueG1sUEsFBgAAAAAEAAQA9QAAAIgDAAAAAA==&#10;" filled="f" strokeweight=".5pt">
                  <v:textbox>
                    <w:txbxContent>
                      <w:p w:rsidR="00EC1AB2" w:rsidRPr="003556DD" w:rsidRDefault="00EC1AB2" w:rsidP="00395AAB">
                        <w:pPr>
                          <w:pStyle w:val="ListParagraph"/>
                          <w:numPr>
                            <w:ilvl w:val="0"/>
                            <w:numId w:val="16"/>
                          </w:numPr>
                          <w:spacing w:after="0" w:line="240" w:lineRule="auto"/>
                          <w:ind w:left="714" w:hanging="357"/>
                          <w:rPr>
                            <w:rFonts w:ascii="Times New Roman" w:hAnsi="Times New Roman" w:cs="Times New Roman"/>
                            <w:sz w:val="16"/>
                            <w:szCs w:val="16"/>
                          </w:rPr>
                        </w:pPr>
                        <w:r w:rsidRPr="003556DD">
                          <w:rPr>
                            <w:rFonts w:ascii="Times New Roman" w:hAnsi="Times New Roman" w:cs="Times New Roman"/>
                            <w:sz w:val="16"/>
                            <w:szCs w:val="16"/>
                          </w:rPr>
                          <w:t>Administraciniai barjerai</w:t>
                        </w:r>
                      </w:p>
                      <w:p w:rsidR="00EC1AB2" w:rsidRPr="003556DD" w:rsidRDefault="00EC1AB2" w:rsidP="00395AAB">
                        <w:pPr>
                          <w:pStyle w:val="ListParagraph"/>
                          <w:numPr>
                            <w:ilvl w:val="0"/>
                            <w:numId w:val="16"/>
                          </w:numPr>
                          <w:spacing w:after="0" w:line="240" w:lineRule="auto"/>
                          <w:ind w:left="714" w:hanging="357"/>
                          <w:rPr>
                            <w:rFonts w:ascii="Times New Roman" w:hAnsi="Times New Roman" w:cs="Times New Roman"/>
                            <w:sz w:val="16"/>
                            <w:szCs w:val="16"/>
                          </w:rPr>
                        </w:pPr>
                        <w:r w:rsidRPr="003556DD">
                          <w:rPr>
                            <w:rFonts w:ascii="Times New Roman" w:hAnsi="Times New Roman" w:cs="Times New Roman"/>
                            <w:sz w:val="16"/>
                            <w:szCs w:val="16"/>
                          </w:rPr>
                          <w:t>Biurokratijos lygis</w:t>
                        </w:r>
                      </w:p>
                    </w:txbxContent>
                  </v:textbox>
                </v:shape>
                <v:shape id="Text Box 251" o:spid="_x0000_s1081" type="#_x0000_t202" style="position:absolute;left:31831;top:19840;width:32760;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MEMYA&#10;AADcAAAADwAAAGRycy9kb3ducmV2LnhtbESPQWsCMRSE7wX/Q3iF3mpWwVZWoxSpUKEI1VI9PjfP&#10;zWLyst3Ede2vb4RCj8PMfMNM552zoqUmVJ4VDPoZCOLC64pLBZ/b5eMYRIjIGq1nUnClAPNZ726K&#10;ufYX/qB2E0uRIBxyVGBirHMpQ2HIYej7mjh5R984jEk2pdQNXhLcWTnMsifpsOK0YLCmhaHitDk7&#10;Be9fu+/X5Xqf7ehgq1Frn83q56DUw333MgERqYv/4b/2m1YwHA3gdi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fMEMYAAADcAAAADwAAAAAAAAAAAAAAAACYAgAAZHJz&#10;L2Rvd25yZXYueG1sUEsFBgAAAAAEAAQA9QAAAIsDAAAAAA==&#10;" filled="f" strokeweight=".5pt">
                  <v:textbox>
                    <w:txbxContent>
                      <w:p w:rsidR="00EC1AB2" w:rsidRPr="003556DD" w:rsidRDefault="00EC1AB2" w:rsidP="00395AAB">
                        <w:pPr>
                          <w:pStyle w:val="ListParagraph"/>
                          <w:numPr>
                            <w:ilvl w:val="0"/>
                            <w:numId w:val="16"/>
                          </w:numPr>
                          <w:rPr>
                            <w:rFonts w:ascii="Times New Roman" w:hAnsi="Times New Roman" w:cs="Times New Roman"/>
                            <w:sz w:val="16"/>
                            <w:szCs w:val="16"/>
                          </w:rPr>
                        </w:pPr>
                        <w:r w:rsidRPr="003556DD">
                          <w:rPr>
                            <w:rFonts w:ascii="Times New Roman" w:hAnsi="Times New Roman" w:cs="Times New Roman"/>
                            <w:sz w:val="16"/>
                            <w:szCs w:val="16"/>
                          </w:rPr>
                          <w:t>Stabilus ekonomikos augimas</w:t>
                        </w:r>
                      </w:p>
                    </w:txbxContent>
                  </v:textbox>
                </v:shape>
                <v:shape id="Text Box 252" o:spid="_x0000_s1082" type="#_x0000_t202" style="position:absolute;left:31831;top:24240;width:32779;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uYsUA&#10;AADcAAAADwAAAGRycy9kb3ducmV2LnhtbESPQWvCQBSE7wX/w/IK3uomsRaNrmJFQb1VBa+P7DMJ&#10;zb4Nu1uN/vquUOhxmJlvmNmiM424kvO1ZQXpIAFBXFhdc6ngdNy8jUH4gKyxsUwK7uRhMe+9zDDX&#10;9sZfdD2EUkQI+xwVVCG0uZS+qMigH9iWOHoX6wyGKF0ptcNbhJtGZknyIQ3WHBcqbGlVUfF9+DEK&#10;1p/7yXB337WnR/l4b8IwPbtRqlT/tVtOQQTqwn/4r73VCrJRB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C5ixQAAANwAAAAPAAAAAAAAAAAAAAAAAJgCAABkcnMv&#10;ZG93bnJldi54bWxQSwUGAAAAAAQABAD1AAAAigMAAAAA&#10;" fillcolor="white [3201]" strokeweight="1.5pt">
                  <v:textbox>
                    <w:txbxContent>
                      <w:p w:rsidR="00EC1AB2" w:rsidRPr="00F20288" w:rsidRDefault="00EC1AB2" w:rsidP="00395AAB">
                        <w:pPr>
                          <w:jc w:val="center"/>
                          <w:rPr>
                            <w:rFonts w:ascii="Times New Roman" w:hAnsi="Times New Roman" w:cs="Times New Roman"/>
                            <w:b/>
                            <w:sz w:val="20"/>
                            <w:szCs w:val="20"/>
                          </w:rPr>
                        </w:pPr>
                        <w:r w:rsidRPr="00F20288">
                          <w:rPr>
                            <w:rFonts w:ascii="Times New Roman" w:hAnsi="Times New Roman" w:cs="Times New Roman"/>
                            <w:b/>
                            <w:sz w:val="20"/>
                            <w:szCs w:val="20"/>
                          </w:rPr>
                          <w:t>Finansų sistemos išsivystymo lygis</w:t>
                        </w:r>
                      </w:p>
                    </w:txbxContent>
                  </v:textbox>
                </v:shape>
                <v:shape id="Text Box 253" o:spid="_x0000_s1083" type="#_x0000_t202" style="position:absolute;left:30882;top:28898;width:32779;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L+cUA&#10;AADcAAAADwAAAGRycy9kb3ducmV2LnhtbESPQWvCQBSE7wX/w/IK3uomphaNrmJFQb1VBa+P7DMJ&#10;zb4Nu1uN/vquUOhxmJlvmNmiM424kvO1ZQXpIAFBXFhdc6ngdNy8jUH4gKyxsUwK7uRhMe+9zDDX&#10;9sZfdD2EUkQI+xwVVCG0uZS+qMigH9iWOHoX6wyGKF0ptcNbhJtGDpPkQxqsOS5U2NKqouL78GMU&#10;rD/3k2x337WnR/l4b0KWnt0oVar/2i2nIAJ14T/8195qBcNRB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Iv5xQAAANwAAAAPAAAAAAAAAAAAAAAAAJgCAABkcnMv&#10;ZG93bnJldi54bWxQSwUGAAAAAAQABAD1AAAAigM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Ekonominis inovacinis-technologinis šalies potencialas</w:t>
                        </w:r>
                      </w:p>
                    </w:txbxContent>
                  </v:textbox>
                </v:shape>
                <v:shape id="Text Box 254" o:spid="_x0000_s1084" type="#_x0000_t202" style="position:absolute;left:31831;top:34591;width:32779;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0TjcUA&#10;AADcAAAADwAAAGRycy9kb3ducmV2LnhtbESPT4vCMBTE78J+h/AWvGla/yxrNYqKgu5tXWGvj+Zt&#10;W7Z5KUnU6qc3guBxmJnfMLNFa2pxJucrywrSfgKCOLe64kLB8Wfb+wThA7LG2jIpuJKHxfytM8NM&#10;2wt/0/kQChEh7DNUUIbQZFL6vCSDvm8b4uj9WWcwROkKqR1eItzUcpAkH9JgxXGhxIbWJeX/h5NR&#10;sFl9TYb767453orbqA7D9NeNU6W67+1yCiJQG17hZ3unFQzGI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LRONxQAAANwAAAAPAAAAAAAAAAAAAAAAAJgCAABkcnMv&#10;ZG93bnJldi54bWxQSwUGAAAAAAQABAD1AAAAigM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Mokesčių sistemos patrauklumas</w:t>
                        </w:r>
                      </w:p>
                    </w:txbxContent>
                  </v:textbox>
                </v:shape>
                <v:shape id="Text Box 255" o:spid="_x0000_s1085" type="#_x0000_t202" style="position:absolute;left:31831;top:39767;width:32779;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2FsUA&#10;AADcAAAADwAAAGRycy9kb3ducmV2LnhtbESPQWvCQBSE74L/YXlCb3UTNVJTV7GlBfWmFbw+sq9J&#10;MPs27G41+utdoeBxmJlvmPmyM404k/O1ZQXpMAFBXFhdc6ng8PP9+gbCB2SNjWVScCUPy0W/N8dc&#10;2wvv6LwPpYgQ9jkqqEJocyl9UZFBP7QtcfR+rTMYonSl1A4vEW4aOUqSqTRYc1yosKXPiorT/s8o&#10;+PrYzsab66Y93MrbpAnj9OiyVKmXQbd6BxGoC8/wf3utFYyyD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bYWxQAAANwAAAAPAAAAAAAAAAAAAAAAAJgCAABkcnMv&#10;ZG93bnJldi54bWxQSwUGAAAAAAQABAD1AAAAigM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Žmogiškojo kapitalo potencialas</w:t>
                        </w:r>
                      </w:p>
                    </w:txbxContent>
                  </v:textbox>
                </v:shape>
                <v:shape id="Text Box 256" o:spid="_x0000_s1086" type="#_x0000_t202" style="position:absolute;left:31831;top:44771;width:32779;height: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oYcYA&#10;AADcAAAADwAAAGRycy9kb3ducmV2LnhtbESPT2vCQBTE70K/w/IKvekm/gltmo3U0kL1phV6fWRf&#10;k9Ds27C7avTTuwXB4zAzv2GK5WA6cSTnW8sK0kkCgriyuuVawf77c/wMwgdkjZ1lUnAmD8vyYVRg&#10;ru2Jt3TchVpECPscFTQh9LmUvmrIoJ/Ynjh6v9YZDFG6WmqHpwg3nZwmSSYNthwXGuzpvaHqb3cw&#10;Cj5Wm5fZ+rzu95f6Mu/CLP1xi1Spp8fh7RVEoCHcw7f2l1YwXWTwfyYeAV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MoYcYAAADcAAAADwAAAAAAAAAAAAAAAACYAgAAZHJz&#10;L2Rvd25yZXYueG1sUEsFBgAAAAAEAAQA9QAAAIsDA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Antrepreneriškos kultūros lygis</w:t>
                        </w:r>
                      </w:p>
                    </w:txbxContent>
                  </v:textbox>
                </v:shape>
                <v:shape id="Text Box 257" o:spid="_x0000_s1087" type="#_x0000_t202" style="position:absolute;left:29329;top:52017;width:18091;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sYA&#10;AADcAAAADwAAAGRycy9kb3ducmV2LnhtbESPQWvCQBSE70L/w/IK3uomWm2NbkJbWqi9aYVeH9ln&#10;Esy+DburRn+9KxQ8DjPzDbMsetOKIznfWFaQjhIQxKXVDVcKtr9fT68gfEDW2FomBWfyUOQPgyVm&#10;2p54TcdNqESEsM9QQR1Cl0npy5oM+pHtiKO3s85giNJVUjs8Rbhp5ThJZtJgw3Ghxo4+air3m4NR&#10;8Pn+M5+szqtue6kuz22YpH9umio1fOzfFiAC9eEe/m9/awXj6Qv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N+sYAAADcAAAADwAAAAAAAAAAAAAAAACYAgAAZHJz&#10;L2Rvd25yZXYueG1sUEsFBgAAAAAEAAQA9QAAAIsDA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Teisinė bazė rizikos kapitalo investicijoms šalyje formuoti</w:t>
                        </w:r>
                      </w:p>
                    </w:txbxContent>
                  </v:textbox>
                </v:shape>
                <v:shape id="Text Box 258" o:spid="_x0000_s1088" type="#_x0000_t202" style="position:absolute;left:29329;top:57796;width:18098;height:4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ZiMEA&#10;AADcAAAADwAAAGRycy9kb3ducmV2LnhtbERPy4rCMBTdC/MP4Q6407Q+Bq1GmREFdacjuL00d9oy&#10;zU1Jola/3iwEl4fzni9bU4srOV9ZVpD2ExDEudUVFwpOv5veBIQPyBpry6TgTh6Wi4/OHDNtb3yg&#10;6zEUIoawz1BBGUKTSenzkgz6vm2II/dnncEQoSukdniL4aaWgyT5kgYrjg0lNrQqKf8/XoyC9c9+&#10;Otzdd83pUTxGdRimZzdOlep+tt8zEIHa8Ba/3FutYDCOa+OZe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gGYjBAAAA3AAAAA8AAAAAAAAAAAAAAAAAmAIAAGRycy9kb3du&#10;cmV2LnhtbFBLBQYAAAAABAAEAPUAAACGAwAAAAA=&#10;" fillcolor="white [3201]" strokeweight="1.5pt">
                  <v:textbox>
                    <w:txbxContent>
                      <w:p w:rsidR="00EC1AB2" w:rsidRPr="00F20288"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Investuotojų rinkos struktūra/Investuotojų tipas</w:t>
                        </w:r>
                      </w:p>
                    </w:txbxContent>
                  </v:textbox>
                </v:shape>
                <v:shape id="Text Box 259" o:spid="_x0000_s1089" type="#_x0000_t202" style="position:absolute;left:47876;top:52017;width:20098;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8E8YA&#10;AADcAAAADwAAAGRycy9kb3ducmV2LnhtbESPT2vCQBTE74V+h+UJvdVN/FOa1FVqaUG9mQZ6fWRf&#10;k2D2bdhdNfrpXaHQ4zAzv2EWq8F04kTOt5YVpOMEBHFldcu1gvL76/kVhA/IGjvLpOBCHlbLx4cF&#10;5tqeeU+nItQiQtjnqKAJoc+l9FVDBv3Y9sTR+7XOYIjS1VI7PEe46eQkSV6kwZbjQoM9fTRUHYqj&#10;UfC53mXT7WXbl9f6OuvCNP1x81Spp9Hw/gYi0BD+w3/tjVYwmW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8E8YAAADcAAAADwAAAAAAAAAAAAAAAACYAgAAZHJz&#10;L2Rvd25yZXYueG1sUEsFBgAAAAAEAAQA9QAAAIsDAAAAAA==&#10;" fillcolor="white [3201]" strokeweight="1.5pt">
                  <v:textbox>
                    <w:txbxContent>
                      <w:p w:rsidR="00EC1AB2" w:rsidRPr="009B5C01" w:rsidRDefault="00EC1AB2" w:rsidP="00395AAB">
                        <w:pPr>
                          <w:jc w:val="center"/>
                          <w:rPr>
                            <w:rFonts w:ascii="Times New Roman" w:hAnsi="Times New Roman" w:cs="Times New Roman"/>
                            <w:b/>
                            <w:sz w:val="20"/>
                            <w:szCs w:val="20"/>
                            <w:vertAlign w:val="subscript"/>
                          </w:rPr>
                        </w:pPr>
                        <w:r w:rsidRPr="009B5C01">
                          <w:rPr>
                            <w:rFonts w:ascii="Times New Roman" w:hAnsi="Times New Roman" w:cs="Times New Roman"/>
                            <w:b/>
                            <w:sz w:val="20"/>
                            <w:szCs w:val="20"/>
                            <w:vertAlign w:val="subscript"/>
                          </w:rPr>
                          <w:t>Įmonės veiklos pobūdis/Ekonominės veiklos sektorius</w:t>
                        </w:r>
                      </w:p>
                    </w:txbxContent>
                  </v:textbox>
                </v:shape>
                <v:shape id="Text Box 260" o:spid="_x0000_s1090" type="#_x0000_t202" style="position:absolute;left:47876;top:57796;width:20180;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fM8MA&#10;AADcAAAADwAAAGRycy9kb3ducmV2LnhtbERPz2vCMBS+D/Y/hDfYzabVKbMzyhwK05uu4PXRvLVl&#10;zUtJom3965fDYMeP7/dqM5hW3Mj5xrKCLElBEJdWN1wpKL72k1cQPiBrbC2TgpE8bNaPDyvMte35&#10;RLdzqEQMYZ+jgjqELpfSlzUZ9IntiCP3bZ3BEKGrpHbYx3DTymmaLqTBhmNDjR191FT+nK9GwW57&#10;XM4O46Er7tX9pQ2z7OLmmVLPT8P7G4hAQ/gX/7k/tYLpIs6P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rfM8MAAADcAAAADwAAAAAAAAAAAAAAAACYAgAAZHJzL2Rv&#10;d25yZXYueG1sUEsFBgAAAAAEAAQA9QAAAIgDAAAAAA==&#10;" fillcolor="white [3201]" strokeweight="1.5pt">
                  <v:textbox>
                    <w:txbxContent>
                      <w:p w:rsidR="00EC1AB2" w:rsidRPr="00053DDA" w:rsidRDefault="00EC1AB2" w:rsidP="00395AAB">
                        <w:pPr>
                          <w:jc w:val="center"/>
                          <w:rPr>
                            <w:rFonts w:ascii="Times New Roman" w:hAnsi="Times New Roman" w:cs="Times New Roman"/>
                            <w:b/>
                            <w:sz w:val="20"/>
                            <w:szCs w:val="20"/>
                          </w:rPr>
                        </w:pPr>
                        <w:r>
                          <w:rPr>
                            <w:rFonts w:ascii="Times New Roman" w:hAnsi="Times New Roman" w:cs="Times New Roman"/>
                            <w:b/>
                            <w:sz w:val="20"/>
                            <w:szCs w:val="20"/>
                          </w:rPr>
                          <w:t>Įmonės veiklos išsivystymo stadija</w:t>
                        </w:r>
                      </w:p>
                    </w:txbxContent>
                  </v:textbox>
                </v:shape>
                <v:shape id="Text Box 261" o:spid="_x0000_s1091" type="#_x0000_t202" style="position:absolute;left:66423;top:24326;width:24485;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uFsIA&#10;AADcAAAADwAAAGRycy9kb3ducmV2LnhtbESPQWsCMRSE74X+h/AKvdWsHmRdjaLFloIntfT82DyT&#10;4OZlSdJ1++8bodDjMDPfMKvN6DsxUEwusILppAJB3Abt2Cj4PL+91CBSRtbYBSYFP5Rgs358WGGj&#10;w42PNJyyEQXCqUEFNue+kTK1ljymSeiJi3cJ0WMuMhqpI94K3HdyVlVz6dFxWbDY06ul9nr69gr2&#10;O7MwbY3R7mvt3DB+XQ7mXannp3G7BJFpzP/hv/aHVjCbT+F+p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a4WwgAAANwAAAAPAAAAAAAAAAAAAAAAAJgCAABkcnMvZG93&#10;bnJldi54bWxQSwUGAAAAAAQABAD1AAAAhwMAAAAA&#10;" fillcolor="white [3201]" strokeweight=".5pt">
                  <v:textbox>
                    <w:txbxContent>
                      <w:p w:rsidR="00EC1AB2" w:rsidRPr="00C41162" w:rsidRDefault="00EC1AB2" w:rsidP="00395AAB">
                        <w:pPr>
                          <w:pStyle w:val="ListParagraph"/>
                          <w:numPr>
                            <w:ilvl w:val="0"/>
                            <w:numId w:val="21"/>
                          </w:numPr>
                          <w:spacing w:after="0" w:line="240" w:lineRule="auto"/>
                          <w:contextualSpacing w:val="0"/>
                          <w:rPr>
                            <w:rFonts w:ascii="Times New Roman" w:hAnsi="Times New Roman" w:cs="Times New Roman"/>
                            <w:sz w:val="16"/>
                            <w:szCs w:val="16"/>
                          </w:rPr>
                        </w:pPr>
                        <w:r>
                          <w:rPr>
                            <w:rFonts w:ascii="Times New Roman" w:hAnsi="Times New Roman" w:cs="Times New Roman"/>
                            <w:sz w:val="16"/>
                            <w:szCs w:val="16"/>
                          </w:rPr>
                          <w:t>Vyraujantis finansų sistemos pobūdis</w:t>
                        </w:r>
                      </w:p>
                      <w:p w:rsidR="00EC1AB2" w:rsidRPr="00C41162" w:rsidRDefault="00EC1AB2" w:rsidP="00395AAB">
                        <w:pPr>
                          <w:pStyle w:val="ListParagraph"/>
                          <w:numPr>
                            <w:ilvl w:val="0"/>
                            <w:numId w:val="21"/>
                          </w:numPr>
                          <w:spacing w:after="0" w:line="240" w:lineRule="auto"/>
                          <w:contextualSpacing w:val="0"/>
                          <w:rPr>
                            <w:rFonts w:ascii="Times New Roman" w:hAnsi="Times New Roman" w:cs="Times New Roman"/>
                            <w:sz w:val="16"/>
                            <w:szCs w:val="16"/>
                          </w:rPr>
                        </w:pPr>
                        <w:r>
                          <w:rPr>
                            <w:rFonts w:ascii="Times New Roman" w:hAnsi="Times New Roman" w:cs="Times New Roman"/>
                            <w:sz w:val="16"/>
                            <w:szCs w:val="16"/>
                          </w:rPr>
                          <w:t>Verslo finansavimo alternatyvos</w:t>
                        </w:r>
                      </w:p>
                      <w:p w:rsidR="00EC1AB2" w:rsidRPr="00F20288" w:rsidRDefault="00EC1AB2" w:rsidP="00395AAB">
                        <w:pPr>
                          <w:jc w:val="center"/>
                          <w:rPr>
                            <w:rFonts w:ascii="Times New Roman" w:hAnsi="Times New Roman" w:cs="Times New Roman"/>
                            <w:b/>
                            <w:sz w:val="20"/>
                            <w:szCs w:val="20"/>
                          </w:rPr>
                        </w:pPr>
                      </w:p>
                    </w:txbxContent>
                  </v:textbox>
                </v:shape>
                <v:shape id="Text Box 262" o:spid="_x0000_s1092" type="#_x0000_t202" style="position:absolute;left:5607;top:51931;width:2251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wYcIA&#10;AADcAAAADwAAAGRycy9kb3ducmV2LnhtbESPQUsDMRSE74L/ITzBm826h7LdNi1VqgieWqXnx+Y1&#10;Cd28LEncrv/eCIUeh5n5hlltJt+LkWJygRU8zyoQxF3Qjo2C76+3pwZEysga+8Ck4JcSbNb3dyts&#10;dbjwnsZDNqJAOLWowOY8tFKmzpLHNAsDcfFOIXrMRUYjdcRLgfte1lU1lx4dlwWLA71a6s6HH69g&#10;92IWpmsw2l2jnRun4+nTvCv1+DBtlyAyTfkWvrY/tIJ6X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zBhwgAAANwAAAAPAAAAAAAAAAAAAAAAAJgCAABkcnMvZG93&#10;bnJldi54bWxQSwUGAAAAAAQABAD1AAAAhwMAAAAA&#10;" fillcolor="white [3201]" strokeweight=".5pt">
                  <v:textbox>
                    <w:txbxContent>
                      <w:p w:rsidR="00EC1AB2" w:rsidRDefault="00EC1AB2" w:rsidP="00395AAB">
                        <w:pPr>
                          <w:pStyle w:val="ListParagraph"/>
                          <w:numPr>
                            <w:ilvl w:val="0"/>
                            <w:numId w:val="18"/>
                          </w:numPr>
                          <w:rPr>
                            <w:rFonts w:ascii="Times New Roman" w:hAnsi="Times New Roman" w:cs="Times New Roman"/>
                            <w:sz w:val="16"/>
                            <w:szCs w:val="16"/>
                          </w:rPr>
                        </w:pPr>
                        <w:r w:rsidRPr="003B56C6">
                          <w:rPr>
                            <w:rFonts w:ascii="Times New Roman" w:hAnsi="Times New Roman" w:cs="Times New Roman"/>
                            <w:sz w:val="16"/>
                            <w:szCs w:val="16"/>
                          </w:rPr>
                          <w:t>Akcininkų susitarimų</w:t>
                        </w:r>
                        <w:r>
                          <w:rPr>
                            <w:rFonts w:ascii="Times New Roman" w:hAnsi="Times New Roman" w:cs="Times New Roman"/>
                            <w:sz w:val="16"/>
                            <w:szCs w:val="16"/>
                          </w:rPr>
                          <w:t xml:space="preserve">, </w:t>
                        </w:r>
                        <w:r w:rsidRPr="003B56C6">
                          <w:rPr>
                            <w:rFonts w:ascii="Times New Roman" w:hAnsi="Times New Roman" w:cs="Times New Roman"/>
                            <w:sz w:val="16"/>
                            <w:szCs w:val="16"/>
                          </w:rPr>
                          <w:t>partnerystės reglamentavimas</w:t>
                        </w:r>
                      </w:p>
                      <w:p w:rsidR="00EC1AB2" w:rsidRPr="00CE4167" w:rsidRDefault="00EC1AB2" w:rsidP="00395AAB">
                        <w:pPr>
                          <w:pStyle w:val="ListParagraph"/>
                          <w:numPr>
                            <w:ilvl w:val="0"/>
                            <w:numId w:val="18"/>
                          </w:numPr>
                          <w:rPr>
                            <w:rFonts w:ascii="Times New Roman" w:hAnsi="Times New Roman" w:cs="Times New Roman"/>
                            <w:sz w:val="16"/>
                            <w:szCs w:val="16"/>
                          </w:rPr>
                        </w:pPr>
                        <w:r w:rsidRPr="00CE4167">
                          <w:rPr>
                            <w:rFonts w:ascii="Times New Roman" w:hAnsi="Times New Roman" w:cs="Times New Roman"/>
                            <w:sz w:val="16"/>
                            <w:szCs w:val="16"/>
                          </w:rPr>
                          <w:t>Kolektyvinio investavimo galimybės</w:t>
                        </w:r>
                      </w:p>
                      <w:p w:rsidR="00EC1AB2" w:rsidRPr="003B56C6" w:rsidRDefault="00EC1AB2" w:rsidP="00395AAB">
                        <w:pPr>
                          <w:jc w:val="center"/>
                          <w:rPr>
                            <w:rFonts w:ascii="Times New Roman" w:hAnsi="Times New Roman" w:cs="Times New Roman"/>
                            <w:sz w:val="16"/>
                            <w:szCs w:val="16"/>
                          </w:rPr>
                        </w:pPr>
                      </w:p>
                    </w:txbxContent>
                  </v:textbox>
                </v:shape>
                <v:shape id="Text Box 263" o:spid="_x0000_s1093" type="#_x0000_t202" style="position:absolute;left:5607;top:24240;width:24485;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sMA&#10;AADcAAAADwAAAGRycy9kb3ducmV2LnhtbESPQWsCMRSE74X+h/AKvdVsL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V+sMAAADcAAAADwAAAAAAAAAAAAAAAACYAgAAZHJzL2Rv&#10;d25yZXYueG1sUEsFBgAAAAAEAAQA9QAAAIgDAAAAAA==&#10;" fillcolor="white [3201]" strokeweight=".5pt">
                  <v:textbox>
                    <w:txbxContent>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Kapitalo rinkos likvidumas</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VP rinkos efektyvumas</w:t>
                        </w:r>
                      </w:p>
                      <w:p w:rsidR="00EC1AB2" w:rsidRPr="00F20288" w:rsidRDefault="00EC1AB2" w:rsidP="00395AAB">
                        <w:pPr>
                          <w:jc w:val="center"/>
                          <w:rPr>
                            <w:rFonts w:ascii="Times New Roman" w:hAnsi="Times New Roman" w:cs="Times New Roman"/>
                            <w:b/>
                            <w:sz w:val="20"/>
                            <w:szCs w:val="20"/>
                          </w:rPr>
                        </w:pPr>
                      </w:p>
                    </w:txbxContent>
                  </v:textbox>
                </v:shape>
                <v:shape id="Text Box 264" o:spid="_x0000_s1094" type="#_x0000_t202" style="position:absolute;left:5607;top:28898;width:24485;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NjsMA&#10;AADcAAAADwAAAGRycy9kb3ducmV2LnhtbESPQWsCMRSE74X+h/AKvdVsp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NjsMAAADcAAAADwAAAAAAAAAAAAAAAACYAgAAZHJzL2Rv&#10;d25yZXYueG1sUEsFBgAAAAAEAAQA9QAAAIgDAAAAAA==&#10;" fillcolor="white [3201]" strokeweight=".5pt">
                  <v:textbox>
                    <w:txbxContent>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Technologinių inovacijų sklaida</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sidRPr="00C41162">
                          <w:rPr>
                            <w:rFonts w:ascii="Times New Roman" w:hAnsi="Times New Roman" w:cs="Times New Roman"/>
                            <w:sz w:val="16"/>
                            <w:szCs w:val="16"/>
                          </w:rPr>
                          <w:t>Bendras įmonių inovatyvumo lygis</w:t>
                        </w:r>
                      </w:p>
                      <w:p w:rsidR="00EC1AB2" w:rsidRPr="00F20288" w:rsidRDefault="00EC1AB2" w:rsidP="00395AAB">
                        <w:pPr>
                          <w:jc w:val="center"/>
                          <w:rPr>
                            <w:rFonts w:ascii="Times New Roman" w:hAnsi="Times New Roman" w:cs="Times New Roman"/>
                            <w:b/>
                            <w:sz w:val="20"/>
                            <w:szCs w:val="20"/>
                          </w:rPr>
                        </w:pPr>
                      </w:p>
                    </w:txbxContent>
                  </v:textbox>
                </v:shape>
                <v:shape id="Text Box 265" o:spid="_x0000_s1095" type="#_x0000_t202" style="position:absolute;left:5607;top:34505;width:24485;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oFcMA&#10;AADcAAAADwAAAGRycy9kb3ducmV2LnhtbESPQWsCMRSE74X+h/AKvdVshcp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qoFcMAAADcAAAADwAAAAAAAAAAAAAAAACYAgAAZHJzL2Rv&#10;d25yZXYueG1sUEsFBgAAAAAEAAQA9QAAAIgDAAAAAA==&#10;" fillcolor="white [3201]" strokeweight=".5pt">
                  <v:textbo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Kapitalo prieaugio mokesčių dydis</w:t>
                        </w:r>
                      </w:p>
                      <w:p w:rsidR="00EC1AB2" w:rsidRPr="00C4116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Mokesčių lengvatos RK įmonės ir fondams</w:t>
                        </w:r>
                      </w:p>
                      <w:p w:rsidR="00EC1AB2" w:rsidRPr="00F20288" w:rsidRDefault="00EC1AB2" w:rsidP="00395AAB">
                        <w:pPr>
                          <w:jc w:val="center"/>
                          <w:rPr>
                            <w:rFonts w:ascii="Times New Roman" w:hAnsi="Times New Roman" w:cs="Times New Roman"/>
                            <w:b/>
                            <w:sz w:val="20"/>
                            <w:szCs w:val="20"/>
                          </w:rPr>
                        </w:pPr>
                      </w:p>
                    </w:txbxContent>
                  </v:textbox>
                </v:shape>
                <v:shape id="Text Box 266" o:spid="_x0000_s1096" type="#_x0000_t202" style="position:absolute;left:5607;top:39767;width:24485;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YsIA&#10;AADcAAAADwAAAGRycy9kb3ducmV2LnhtbESPQUsDMRSE74L/ITzBm83aw7JdmxaVtgg9tYrnx+Y1&#10;CW5eliRu139vCoUeh5n5hlmuJ9+LkWJygRU8zyoQxF3Qjo2Cr8/tUwMiZWSNfWBS8EcJ1qv7uyW2&#10;Opz5QOMxG1EgnFpUYHMeWilTZ8ljmoWBuHinED3mIqOROuK5wH0v51VVS4+Oy4LFgd4tdT/HX69g&#10;82YWpmsw2k2jnRun79Pe7JR6fJheX0BkmvItfG1/aAXzuobLmXI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DZiwgAAANwAAAAPAAAAAAAAAAAAAAAAAJgCAABkcnMvZG93&#10;bnJldi54bWxQSwUGAAAAAAQABAD1AAAAhwMAAAAA&#10;" fillcolor="white [3201]" strokeweight=".5pt">
                  <v:textbox>
                    <w:txbxContent>
                      <w:p w:rsidR="00EC1AB2" w:rsidRPr="007E5CE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2"/>
                            <w:szCs w:val="12"/>
                          </w:rPr>
                        </w:pPr>
                        <w:r w:rsidRPr="007E5CE2">
                          <w:rPr>
                            <w:rFonts w:ascii="Times New Roman" w:hAnsi="Times New Roman" w:cs="Times New Roman"/>
                            <w:sz w:val="12"/>
                            <w:szCs w:val="12"/>
                          </w:rPr>
                          <w:t>Techninių, vadybinių, finansinių žinių derinimas</w:t>
                        </w:r>
                      </w:p>
                      <w:p w:rsidR="00EC1AB2" w:rsidRPr="007E5CE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2"/>
                            <w:szCs w:val="12"/>
                          </w:rPr>
                        </w:pPr>
                        <w:r w:rsidRPr="007E5CE2">
                          <w:rPr>
                            <w:rFonts w:ascii="Times New Roman" w:hAnsi="Times New Roman" w:cs="Times New Roman"/>
                            <w:sz w:val="12"/>
                            <w:szCs w:val="12"/>
                          </w:rPr>
                          <w:t>Polinkis mokytis visą gyvenimą</w:t>
                        </w:r>
                      </w:p>
                      <w:p w:rsidR="00EC1AB2" w:rsidRPr="00F20288" w:rsidRDefault="00EC1AB2" w:rsidP="00395AAB">
                        <w:pPr>
                          <w:jc w:val="center"/>
                          <w:rPr>
                            <w:rFonts w:ascii="Times New Roman" w:hAnsi="Times New Roman" w:cs="Times New Roman"/>
                            <w:b/>
                            <w:sz w:val="20"/>
                            <w:szCs w:val="20"/>
                          </w:rPr>
                        </w:pPr>
                      </w:p>
                    </w:txbxContent>
                  </v:textbox>
                </v:shape>
                <v:shape id="Text Box 267" o:spid="_x0000_s1097" type="#_x0000_t202" style="position:absolute;left:5607;top:44771;width:24485;height: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T+cMA&#10;AADcAAAADwAAAGRycy9kb3ducmV2LnhtbESPQWsCMRSE74X+h/AKvdVsPeh2NYotthQ8VYvnx+aZ&#10;BDcvS5Ku23/fCEKPw8x8wyzXo+/EQDG5wAqeJxUI4jZox0bB9+H9qQaRMrLGLjAp+KUE69X93RIb&#10;HS78RcM+G1EgnBpUYHPuGylTa8ljmoSeuHinED3mIqOROuKlwH0np1U1kx4dlwWLPb1Zas/7H69g&#10;+2peTFtjtNtaOzeMx9POfCj1+DBuFiAyjfk/fGt/agXT2Ryu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ST+cMAAADcAAAADwAAAAAAAAAAAAAAAACYAgAAZHJzL2Rv&#10;d25yZXYueG1sUEsFBgAAAAAEAAQA9QAAAIgDAAAAAA==&#10;" fillcolor="white [3201]" strokeweight=".5pt">
                  <v:textbo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Tradiciškai susiformavęs požiūris į verslą, rizikos prisiėmimą</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Antrepreneriškas išsilavinimas</w:t>
                        </w:r>
                      </w:p>
                    </w:txbxContent>
                  </v:textbox>
                </v:shape>
                <v:shape id="Text Box 268" o:spid="_x0000_s1098" type="#_x0000_t202" style="position:absolute;left:66423;top:28812;width:2448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Hi78A&#10;AADcAAAADwAAAGRycy9kb3ducmV2LnhtbERPTWsCMRC9F/ofwgi91aweZF2NosWWgie19DxsxiS4&#10;mSxJum7/fXMoeHy87/V29J0YKCYXWMFsWoEgboN2bBR8Xd5faxApI2vsApOCX0qw3Tw/rbHR4c4n&#10;Gs7ZiBLCqUEFNue+kTK1ljymaeiJC3cN0WMuMBqpI95LuO/kvKoW0qPj0mCxpzdL7e384xUc9mZp&#10;2hqjPdTauWH8vh7Nh1Ivk3G3ApFpzA/xv/tTK5gvytpyphwB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weLvwAAANwAAAAPAAAAAAAAAAAAAAAAAJgCAABkcnMvZG93bnJl&#10;di54bWxQSwUGAAAAAAQABAD1AAAAhAMAAAAA&#10;" fillcolor="white [3201]" strokeweight=".5pt">
                  <v:textbox>
                    <w:txbxContent>
                      <w:p w:rsidR="00EC1AB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Verslo ir mokslo bendradarbiavimas</w:t>
                        </w:r>
                      </w:p>
                      <w:p w:rsidR="00EC1AB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Intelektinės nuosavybės apimtys</w:t>
                        </w:r>
                      </w:p>
                      <w:p w:rsidR="00EC1AB2" w:rsidRPr="00C41162" w:rsidRDefault="00EC1AB2" w:rsidP="00395AAB">
                        <w:pPr>
                          <w:pStyle w:val="ListParagraph"/>
                          <w:numPr>
                            <w:ilvl w:val="0"/>
                            <w:numId w:val="16"/>
                          </w:numPr>
                          <w:spacing w:after="0" w:line="240" w:lineRule="auto"/>
                          <w:ind w:left="714" w:hanging="357"/>
                          <w:contextualSpacing w:val="0"/>
                          <w:rPr>
                            <w:rFonts w:ascii="Times New Roman" w:hAnsi="Times New Roman" w:cs="Times New Roman"/>
                            <w:sz w:val="16"/>
                            <w:szCs w:val="16"/>
                          </w:rPr>
                        </w:pPr>
                        <w:r>
                          <w:rPr>
                            <w:rFonts w:ascii="Times New Roman" w:hAnsi="Times New Roman" w:cs="Times New Roman"/>
                            <w:sz w:val="16"/>
                            <w:szCs w:val="16"/>
                          </w:rPr>
                          <w:t>MTEP finansavimo intensyvumas</w:t>
                        </w:r>
                      </w:p>
                    </w:txbxContent>
                  </v:textbox>
                </v:shape>
                <v:shape id="Text Box 269" o:spid="_x0000_s1099" type="#_x0000_t202" style="position:absolute;left:66423;top:34419;width:2448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iEMIA&#10;AADcAAAADwAAAGRycy9kb3ducmV2LnhtbESPQWsCMRSE74X+h/AKvdVsPci6GkWLLYKnaun5sXkm&#10;wc3LkqTr9t83gtDjMDPfMMv16DsxUEwusILXSQWCuA3asVHwdXp/qUGkjKyxC0wKfinBevX4sMRG&#10;hyt/0nDMRhQIpwYV2Jz7RsrUWvKYJqEnLt45RI+5yGikjngtcN/JaVXNpEfHZcFiT2+W2svxxyvY&#10;bc3ctDVGu6u1c8P4fT6YD6Wen8bNAkSmMf+H7+29VjCdzeF2phw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6IQwgAAANwAAAAPAAAAAAAAAAAAAAAAAJgCAABkcnMvZG93&#10;bnJldi54bWxQSwUGAAAAAAQABAD1AAAAhwMAAAAA&#10;" fillcolor="white [3201]" strokeweight=".5pt">
                  <v:textbo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Įmonių mokamų pelno mokesčių dydis</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Mokestinės lengvatos jaunoms technologinėms įmonėms</w:t>
                        </w:r>
                      </w:p>
                      <w:p w:rsidR="00EC1AB2" w:rsidRPr="00F20288" w:rsidRDefault="00EC1AB2" w:rsidP="00395AAB">
                        <w:pPr>
                          <w:jc w:val="center"/>
                          <w:rPr>
                            <w:rFonts w:ascii="Times New Roman" w:hAnsi="Times New Roman" w:cs="Times New Roman"/>
                            <w:b/>
                            <w:sz w:val="20"/>
                            <w:szCs w:val="20"/>
                          </w:rPr>
                        </w:pPr>
                      </w:p>
                    </w:txbxContent>
                  </v:textbox>
                </v:shape>
                <v:shape id="Text Box 270" o:spid="_x0000_s1100" type="#_x0000_t202" style="position:absolute;left:66423;top:39767;width:24485;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dUMAA&#10;AADcAAAADwAAAGRycy9kb3ducmV2LnhtbERPTWsCMRC9F/ofwhR6q9l6sNutUWxRKXhSS8/DZkyC&#10;m8mSpOv235uD4PHxvufL0XdioJhcYAWvkwoEcRu0Y6Pg57h5qUGkjKyxC0wK/inBcvH4MMdGhwvv&#10;aThkI0oIpwYV2Jz7RsrUWvKYJqEnLtwpRI+5wGikjngp4b6T06qaSY+OS4PFnr4stefDn1ew/jTv&#10;pq0x2nWtnRvG39PObJV6fhpXHyAyjfkuvrm/tYLpW5lfzpQjIB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SdUMAAAADcAAAADwAAAAAAAAAAAAAAAACYAgAAZHJzL2Rvd25y&#10;ZXYueG1sUEsFBgAAAAAEAAQA9QAAAIUDAAAAAA==&#10;" fillcolor="white [3201]" strokeweight=".5pt">
                  <v:textbox>
                    <w:txbxContent>
                      <w:p w:rsidR="00EC1AB2" w:rsidRPr="000037EF" w:rsidRDefault="00EC1AB2" w:rsidP="00395AAB">
                        <w:pPr>
                          <w:pStyle w:val="ListParagraph"/>
                          <w:numPr>
                            <w:ilvl w:val="0"/>
                            <w:numId w:val="17"/>
                          </w:numPr>
                          <w:spacing w:after="0" w:line="240" w:lineRule="auto"/>
                          <w:contextualSpacing w:val="0"/>
                          <w:rPr>
                            <w:rFonts w:ascii="Times New Roman" w:hAnsi="Times New Roman" w:cs="Times New Roman"/>
                            <w:b/>
                            <w:sz w:val="20"/>
                            <w:szCs w:val="20"/>
                          </w:rPr>
                        </w:pPr>
                        <w:r>
                          <w:rPr>
                            <w:rFonts w:ascii="Times New Roman" w:hAnsi="Times New Roman" w:cs="Times New Roman"/>
                            <w:sz w:val="16"/>
                            <w:szCs w:val="16"/>
                          </w:rPr>
                          <w:t>Techninių specialistų būvimas</w:t>
                        </w:r>
                      </w:p>
                      <w:p w:rsidR="00EC1AB2" w:rsidRPr="000037EF" w:rsidRDefault="00EC1AB2" w:rsidP="00395AAB">
                        <w:pPr>
                          <w:pStyle w:val="ListParagraph"/>
                          <w:numPr>
                            <w:ilvl w:val="0"/>
                            <w:numId w:val="17"/>
                          </w:numPr>
                          <w:spacing w:after="0" w:line="240" w:lineRule="auto"/>
                          <w:contextualSpacing w:val="0"/>
                          <w:rPr>
                            <w:rFonts w:ascii="Times New Roman" w:hAnsi="Times New Roman" w:cs="Times New Roman"/>
                            <w:b/>
                            <w:sz w:val="20"/>
                            <w:szCs w:val="20"/>
                          </w:rPr>
                        </w:pPr>
                        <w:r w:rsidRPr="000037EF">
                          <w:rPr>
                            <w:rFonts w:ascii="Times New Roman" w:hAnsi="Times New Roman" w:cs="Times New Roman"/>
                            <w:sz w:val="16"/>
                            <w:szCs w:val="16"/>
                          </w:rPr>
                          <w:t>Aukštąjį mokslą baigusių asmenų skaičius</w:t>
                        </w:r>
                      </w:p>
                    </w:txbxContent>
                  </v:textbox>
                </v:shape>
                <v:shape id="Text Box 271" o:spid="_x0000_s1101" type="#_x0000_t202" style="position:absolute;left:66337;top:44771;width:24485;height: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4y8MA&#10;AADcAAAADwAAAGRycy9kb3ducmV2LnhtbESPQWsCMRSE74X+h/AKvdWsHup2NYotthQ8VYvnx+aZ&#10;BDcvS5Ku23/fCEKPw8x8wyzXo+/EQDG5wAqmkwoEcRu0Y6Pg+/D+VINIGVljF5gU/FKC9er+bomN&#10;Dhf+omGfjSgQTg0qsDn3jZSpteQxTUJPXLxTiB5zkdFIHfFS4L6Ts6p6lh4dlwWLPb1Zas/7H69g&#10;+2peTFtjtNtaOzeMx9POfCj1+DBuFiAyjfk/fGt/agWz+RSu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g4y8MAAADcAAAADwAAAAAAAAAAAAAAAACYAgAAZHJzL2Rv&#10;d25yZXYueG1sUEsFBgAAAAAEAAQA9QAAAIgDAAAAAA==&#10;" fillcolor="white [3201]" strokeweight=".5pt">
                  <v:textbox>
                    <w:txbxContent>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Tradiciškai susiformavęs požiūris į verslą, rizikos prisiėmimą</w:t>
                        </w:r>
                      </w:p>
                      <w:p w:rsidR="00EC1AB2" w:rsidRDefault="00EC1AB2" w:rsidP="00395AAB">
                        <w:pPr>
                          <w:pStyle w:val="ListParagraph"/>
                          <w:numPr>
                            <w:ilvl w:val="0"/>
                            <w:numId w:val="16"/>
                          </w:numPr>
                          <w:spacing w:after="0" w:line="240" w:lineRule="auto"/>
                          <w:ind w:left="714" w:hanging="357"/>
                          <w:contextualSpacing w:val="0"/>
                          <w:jc w:val="both"/>
                          <w:rPr>
                            <w:rFonts w:ascii="Times New Roman" w:hAnsi="Times New Roman" w:cs="Times New Roman"/>
                            <w:sz w:val="16"/>
                            <w:szCs w:val="16"/>
                          </w:rPr>
                        </w:pPr>
                        <w:r>
                          <w:rPr>
                            <w:rFonts w:ascii="Times New Roman" w:hAnsi="Times New Roman" w:cs="Times New Roman"/>
                            <w:sz w:val="16"/>
                            <w:szCs w:val="16"/>
                          </w:rPr>
                          <w:t>Antrepreneriškos savybės</w:t>
                        </w:r>
                      </w:p>
                    </w:txbxContent>
                  </v:textbox>
                </v:shape>
                <v:shape id="Text Box 272" o:spid="_x0000_s1102" type="#_x0000_t202" style="position:absolute;left:5607;top:57796;width:22510;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mvMMA&#10;AADcAAAADwAAAGRycy9kb3ducmV2LnhtbESPQUsDMRSE74L/ITzBm812D3a7bVqqVBE82Yrnx+Y1&#10;Cd28LEncrv/eFASPw8x8w6y3k+/FSDG5wArmswoEcRe0Y6Pg8/jy0IBIGVljH5gU/FCC7eb2Zo2t&#10;Dhf+oPGQjSgQTi0qsDkPrZSps+QxzcJAXLxTiB5zkdFIHfFS4L6XdVU9So+Oy4LFgZ4tdefDt1ew&#10;fzJL0zUY7b7Rzo3T1+ndvCp1fzftViAyTfk//Nd+0wrqRQ3XM+U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qmvMMAAADcAAAADwAAAAAAAAAAAAAAAACYAgAAZHJzL2Rv&#10;d25yZXYueG1sUEsFBgAAAAAEAAQA9QAAAIgDAAAAAA==&#10;" fillcolor="white [3201]" strokeweight=".5pt">
                  <v:textbox>
                    <w:txbxContent>
                      <w:p w:rsidR="00EC1AB2" w:rsidRPr="003B56C6"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Pensijų fondų ir draudimo įmonių dalyvavimas, formuojant rizikos kapitalo investicijas</w:t>
                        </w:r>
                      </w:p>
                    </w:txbxContent>
                  </v:textbox>
                </v:shape>
                <v:shape id="Text Box 273" o:spid="_x0000_s1103" type="#_x0000_t202" style="position:absolute;left:69270;top:51844;width:22510;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DJ8MA&#10;AADcAAAADwAAAGRycy9kb3ducmV2LnhtbESPQUsDMRSE74L/ITzBm83agl3XpkWlSqGnVvH82Lwm&#10;wc3LkqTb7b9vCoLHYWa+YRar0XdioJhcYAWPkwoEcRu0Y6Pg++vjoQaRMrLGLjApOFOC1fL2ZoGN&#10;Dife0bDPRhQIpwYV2Jz7RsrUWvKYJqEnLt4hRI+5yGikjngqcN/JaVU9SY+Oy4LFnt4ttb/7o1ew&#10;fjPPpq0x2nWtnRvGn8PWfCp1fze+voDINOb/8F97oxVM5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DJ8MAAADcAAAADwAAAAAAAAAAAAAAAACYAgAAZHJzL2Rv&#10;d25yZXYueG1sUEsFBgAAAAAEAAQA9QAAAIgDAAAAAA==&#10;" fillcolor="white [3201]" strokeweight=".5pt">
                  <v:textbox>
                    <w:txbxContent>
                      <w:p w:rsidR="00EC1AB2" w:rsidRPr="0070504B" w:rsidRDefault="00EC1AB2" w:rsidP="00395AAB">
                        <w:pPr>
                          <w:pStyle w:val="ListParagraph"/>
                          <w:numPr>
                            <w:ilvl w:val="0"/>
                            <w:numId w:val="20"/>
                          </w:numPr>
                          <w:rPr>
                            <w:rFonts w:ascii="Times New Roman" w:hAnsi="Times New Roman" w:cs="Times New Roman"/>
                            <w:sz w:val="16"/>
                            <w:szCs w:val="16"/>
                          </w:rPr>
                        </w:pPr>
                        <w:r w:rsidRPr="0070504B">
                          <w:rPr>
                            <w:rFonts w:ascii="Times New Roman" w:hAnsi="Times New Roman" w:cs="Times New Roman"/>
                            <w:sz w:val="16"/>
                            <w:szCs w:val="16"/>
                          </w:rPr>
                          <w:t>Aukštųjų technologijų sektorius</w:t>
                        </w:r>
                      </w:p>
                      <w:p w:rsidR="00EC1AB2" w:rsidRPr="0070504B" w:rsidRDefault="00EC1AB2" w:rsidP="00395AAB">
                        <w:pPr>
                          <w:pStyle w:val="ListParagraph"/>
                          <w:numPr>
                            <w:ilvl w:val="0"/>
                            <w:numId w:val="19"/>
                          </w:numPr>
                          <w:rPr>
                            <w:rFonts w:ascii="Times New Roman" w:hAnsi="Times New Roman" w:cs="Times New Roman"/>
                            <w:sz w:val="16"/>
                            <w:szCs w:val="16"/>
                          </w:rPr>
                        </w:pPr>
                        <w:r w:rsidRPr="0070504B">
                          <w:rPr>
                            <w:rFonts w:ascii="Times New Roman" w:hAnsi="Times New Roman" w:cs="Times New Roman"/>
                            <w:sz w:val="16"/>
                            <w:szCs w:val="16"/>
                          </w:rPr>
                          <w:t>Vidutiniškai aukštųjų technologijų sektorius</w:t>
                        </w:r>
                      </w:p>
                      <w:p w:rsidR="00EC1AB2" w:rsidRPr="003B56C6" w:rsidRDefault="00EC1AB2" w:rsidP="00395AAB">
                        <w:pPr>
                          <w:jc w:val="center"/>
                          <w:rPr>
                            <w:rFonts w:ascii="Times New Roman" w:hAnsi="Times New Roman" w:cs="Times New Roman"/>
                            <w:sz w:val="16"/>
                            <w:szCs w:val="16"/>
                          </w:rPr>
                        </w:pPr>
                      </w:p>
                    </w:txbxContent>
                  </v:textbox>
                </v:shape>
                <v:shape id="Text Box 274" o:spid="_x0000_s1104" type="#_x0000_t202" style="position:absolute;left:69183;top:57624;width:22511;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bU8MA&#10;AADcAAAADwAAAGRycy9kb3ducmV2LnhtbESPQUsDMRSE74L/ITzBm81ail3XpkWlSqGnVvH82Lwm&#10;wc3LkqTb7b9vCoLHYWa+YRar0XdioJhcYAWPkwoEcRu0Y6Pg++vjoQaRMrLGLjApOFOC1fL2ZoGN&#10;Dife0bDPRhQIpwYV2Jz7RsrUWvKYJqEnLt4hRI+5yGikjngqcN/JaVU9SY+Oy4LFnt4ttb/7o1ew&#10;fjPPpq0x2nWtnRvGn8PWfCp1fze+voDINOb/8F97oxVM5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bU8MAAADcAAAADwAAAAAAAAAAAAAAAACYAgAAZHJzL2Rv&#10;d25yZXYueG1sUEsFBgAAAAAEAAQA9QAAAIgDAAAAAA==&#10;" fillcolor="white [3201]" strokeweight=".5pt">
                  <v:textbox>
                    <w:txbxContent>
                      <w:p w:rsidR="00EC1AB2"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parengiamoji stadija</w:t>
                        </w:r>
                      </w:p>
                      <w:p w:rsidR="00EC1AB2"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pradžios stadija</w:t>
                        </w:r>
                      </w:p>
                      <w:p w:rsidR="00EC1AB2" w:rsidRPr="003B56C6" w:rsidRDefault="00EC1AB2" w:rsidP="00395AAB">
                        <w:pPr>
                          <w:pStyle w:val="ListParagraph"/>
                          <w:numPr>
                            <w:ilvl w:val="0"/>
                            <w:numId w:val="18"/>
                          </w:numPr>
                          <w:rPr>
                            <w:rFonts w:ascii="Times New Roman" w:hAnsi="Times New Roman" w:cs="Times New Roman"/>
                            <w:sz w:val="16"/>
                            <w:szCs w:val="16"/>
                          </w:rPr>
                        </w:pPr>
                        <w:r>
                          <w:rPr>
                            <w:rFonts w:ascii="Times New Roman" w:hAnsi="Times New Roman" w:cs="Times New Roman"/>
                            <w:sz w:val="16"/>
                            <w:szCs w:val="16"/>
                          </w:rPr>
                          <w:t>Įmonės veiklos plėtros stadija</w:t>
                        </w:r>
                      </w:p>
                    </w:txbxContent>
                  </v:textbox>
                </v:shape>
                <v:line id="Straight Connector 275" o:spid="_x0000_s1105" style="position:absolute;visibility:visible;mso-wrap-style:square" from="47445,4658" to="47445,6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tO+cQAAADcAAAADwAAAGRycy9kb3ducmV2LnhtbESPwWrDMBBE74X+g9hCb40cQ9vgRAlJ&#10;IGmutdNDb4u1sUyslZHk2P37qFDocZiZN8xqM9lO3MiH1rGC+SwDQVw73XKj4FwdXhYgQkTW2Dkm&#10;BT8UYLN+fFhhod3In3QrYyMShEOBCkyMfSFlqA1ZDDPXEyfv4rzFmKRvpPY4JrjtZJ5lb9Jiy2nB&#10;YE97Q/W1HKyC72EX/Uclt2M57Y8mP3T14L6Uen6atksQkab4H/5rn7SC/P0V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S075xAAAANwAAAAPAAAAAAAAAAAA&#10;AAAAAKECAABkcnMvZG93bnJldi54bWxQSwUGAAAAAAQABAD5AAAAkgMAAAAA&#10;" strokecolor="black [3213]" strokeweight="1.5pt"/>
                <v:shapetype id="_x0000_t32" coordsize="21600,21600" o:spt="32" o:oned="t" path="m,l21600,21600e" filled="f">
                  <v:path arrowok="t" fillok="f" o:connecttype="none"/>
                  <o:lock v:ext="edit" shapetype="t"/>
                </v:shapetype>
                <v:shape id="Straight Arrow Connector 276" o:spid="_x0000_s1106" type="#_x0000_t32" style="position:absolute;left:39854;top:6556;width:75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kz8cUAAADcAAAADwAAAGRycy9kb3ducmV2LnhtbESPzWrDMBCE74G+g9hCLyGR64Nt3Cgh&#10;lAR6aEv+HmBrbWwTa2Uk1XbfvioUchxm55ud1WYynRjI+daygudlAoK4srrlWsHlvF8UIHxA1thZ&#10;JgU/5GGzfpitsNR25CMNp1CLCGFfooImhL6U0lcNGfRL2xNH72qdwRClq6V2OEa46WSaJJk02HJs&#10;aLCn14aq2+nbxDfeD/tim+0+P6b6vJtfXO4sfyn19DhtX0AEmsL9+D/9phWkeQZ/YyIB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kz8cUAAADcAAAADwAAAAAAAAAA&#10;AAAAAAChAgAAZHJzL2Rvd25yZXYueG1sUEsFBgAAAAAEAAQA+QAAAJMDAAAAAA==&#10;" strokecolor="black [3213]" strokeweight="1.5pt">
                  <v:stroke endarrow="open"/>
                </v:shape>
                <v:shape id="Straight Arrow Connector 277" o:spid="_x0000_s1107" type="#_x0000_t32" style="position:absolute;left:47445;top:6556;width:8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bUI8UAAADcAAAADwAAAGRycy9kb3ducmV2LnhtbESP3WoCMRSE7wXfIRyhd5rVi67dGkX6&#10;A70oFFcf4LA5JqvJybJJ3e3bN4WCl8PMfMNsdqN34kZ9bAMrWC4KEMRN0C0bBafj+3wNIiZkjS4w&#10;KfihCLvtdLLBSoeBD3SrkxEZwrFCBTalrpIyNpY8xkXoiLN3Dr3HlGVvpO5xyHDv5KooHqXHlvOC&#10;xY5eLDXX+tsruHyVT6frq1mezWfhDrUbjvZtUOphNu6fQSQa0z383/7QClZlCX9n8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bUI8UAAADcAAAADwAAAAAAAAAA&#10;AAAAAAChAgAAZHJzL2Rvd25yZXYueG1sUEsFBgAAAAAEAAQA+QAAAJMDAAAAAA==&#10;" strokecolor="black [3213]" strokeweight="1.5pt">
                  <v:stroke endarrow="open"/>
                </v:shape>
                <v:line id="Straight Connector 278" o:spid="_x0000_s1108" style="position:absolute;visibility:visible;mso-wrap-style:square" from="28122,7677" to="28122,13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rhZ78AAADcAAAADwAAAGRycy9kb3ducmV2LnhtbERPPW/CMBDdK/EfrEPqVhwytFXAIEAC&#10;ujbAwHaKjzgiPke2Q8K/x0Oljk/ve7kebSse5EPjWMF8loEgrpxuuFZwPu0/vkGEiKyxdUwKnhRg&#10;vZq8LbHQbuBfepSxFimEQ4EKTIxdIWWoDFkMM9cRJ+7mvMWYoK+l9jikcNvKPMs+pcWGU4PBjnaG&#10;qnvZWwXXfhv98SQ3QznuDibft1XvLkq9T8fNAkSkMf6L/9w/WkH+ldamM+kI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0rhZ78AAADcAAAADwAAAAAAAAAAAAAAAACh&#10;AgAAZHJzL2Rvd25yZXYueG1sUEsFBgAAAAAEAAQA+QAAAI0DAAAAAA==&#10;" strokecolor="black [3213]" strokeweight="1.5pt"/>
                <v:line id="Straight Connector 279" o:spid="_x0000_s1109" style="position:absolute;visibility:visible;mso-wrap-style:square" from="69183,7332" to="69183,1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ZE/MQAAADcAAAADwAAAGRycy9kb3ducmV2LnhtbESPwW7CMBBE75X6D9ZW6q045NCWgEGA&#10;BOXahB56W8VLHBGvI9sh6d/jSpV6HM3MG81qM9lO3MiH1rGC+SwDQVw73XKj4FwdXt5BhIissXNM&#10;Cn4owGb9+LDCQruRP+lWxkYkCIcCFZgY+0LKUBuyGGauJ07exXmLMUnfSO1xTHDbyTzLXqXFltOC&#10;wZ72huprOVgF38Mu+o9Kbsdy2h9NfujqwX0p9fw0bZcgIk3xP/zXPmkF+dsC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kT8xAAAANwAAAAPAAAAAAAAAAAA&#10;AAAAAKECAABkcnMvZG93bnJldi54bWxQSwUGAAAAAAQABAD5AAAAkgMAAAAA&#10;" strokecolor="black [3213]" strokeweight="1.5pt"/>
                <v:rect id="Rectangle 280" o:spid="_x0000_s1110" style="position:absolute;left:30882;top:8108;width:34500;height:15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51sEA&#10;AADcAAAADwAAAGRycy9kb3ducmV2LnhtbERPy4rCMBTdD/gP4QruxsQupHZMyzAquHDhC2aWl+ZO&#10;W2xuShO1/r1ZCC4P570sBtuKG/W+caxhNlUgiEtnGq40nE+bzxSED8gGW8ek4UEeinz0scTMuDsf&#10;6HYMlYgh7DPUUIfQZVL6siaLfuo64sj9u95iiLCvpOnxHsNtKxOl5tJiw7Ghxo5+aiovx6vVsDvt&#10;6XI9J7+p/dsli6ZUTq3WWk/Gw/cXiEBDeItf7q3RkKR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AudbBAAAA3AAAAA8AAAAAAAAAAAAAAAAAmAIAAGRycy9kb3du&#10;cmV2LnhtbFBLBQYAAAAABAAEAPUAAACGAwAAAAA=&#10;" filled="f" strokecolor="black [3213]" strokeweight="1pt">
                  <v:stroke dashstyle="dash"/>
                </v:rect>
                <v:shape id="Straight Arrow Connector 281" o:spid="_x0000_s1111" type="#_x0000_t32" style="position:absolute;left:28122;top:13802;width:2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aZ68UAAADcAAAADwAAAGRycy9kb3ducmV2LnhtbESPQWsCMRSE70L/Q3iF3jS7HqrdGkW0&#10;hR6E4uoPeGyeyWrysmxSd/vvm0Khx2FmvmFWm9E7cac+toEVlLMCBHETdMtGwfn0Pl2CiAlZowtM&#10;Cr4pwmb9MFlhpcPAR7rXyYgM4VihAptSV0kZG0se4yx0xNm7hN5jyrI3Uvc4ZLh3cl4Uz9Jjy3nB&#10;Ykc7S82t/vIKrp+Ll/Ntb8qLORTuWLvhZN8GpZ4ex+0riERj+g//tT+0gvmyhN8z+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aZ68UAAADcAAAADwAAAAAAAAAA&#10;AAAAAAChAgAAZHJzL2Rvd25yZXYueG1sUEsFBgAAAAAEAAQA+QAAAJMDAAAAAA==&#10;" strokecolor="black [3213]" strokeweight="1.5pt">
                  <v:stroke endarrow="open"/>
                </v:shape>
                <v:shape id="Straight Arrow Connector 282" o:spid="_x0000_s1112" type="#_x0000_t32" style="position:absolute;left:65301;top:13457;width:380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F1cYAAADcAAAADwAAAGRycy9kb3ducmV2LnhtbESPwWrDMBBE74X+g9hAL6WW60NqnCgh&#10;lAR6SEqT+AO21sY2sVZGUm3n76NCocdhdt7sLNeT6cRAzreWFbwmKQjiyuqWawXlefeSg/ABWWNn&#10;mRTcyMN69fiwxELbkY80nEItIoR9gQqaEPpCSl81ZNAntieO3sU6gyFKV0vtcIxw08ksTefSYMux&#10;ocGe3huqrqcfE9/Yf+3yzXz7eZjq8/a5dG/O8rdST7NpswARaAr/x3/pD60gyzP4HRMJ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nRdXGAAAA3AAAAA8AAAAAAAAA&#10;AAAAAAAAoQIAAGRycy9kb3ducmV2LnhtbFBLBQYAAAAABAAEAPkAAACUAwAAAAA=&#10;" strokecolor="black [3213]" strokeweight="1.5pt">
                  <v:stroke endarrow="open"/>
                </v:shape>
                <v:rect id="Rectangle 283" o:spid="_x0000_s1113" style="position:absolute;left:5175;top:23808;width:88067;height:26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o8MA&#10;AADcAAAADwAAAGRycy9kb3ducmV2LnhtbESPS2vCQBSF9wX/w3AFd3WiQiupo/hALG6qUbu+ZK5J&#10;MHMnZsYY/32nILg8nMfHmcxaU4qGaldYVjDoRyCIU6sLzhQcD+v3MQjnkTWWlknBgxzMpp23Ccba&#10;3nlPTeIzEUbYxagg976KpXRpTgZd31bEwTvb2qAPss6krvEexk0ph1H0IQ0WHAg5VrTMKb0kNxMg&#10;zYKv64T2v9vdavMjk+bzcJJK9brt/AuEp9a/ws/2t1YwHI/g/0w4An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s/o8MAAADcAAAADwAAAAAAAAAAAAAAAACYAgAAZHJzL2Rv&#10;d25yZXYueG1sUEsFBgAAAAAEAAQA9QAAAIgDAAAAAA==&#10;" filled="f" strokecolor="black [3213]" strokeweight="1pt">
                  <v:stroke dashstyle="longDashDotDot"/>
                </v:rect>
                <v:rect id="Rectangle 284" o:spid="_x0000_s1114" style="position:absolute;left:5175;top:50982;width:88067;height:1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RAMQA&#10;AADcAAAADwAAAGRycy9kb3ducmV2LnhtbESP3YrCMBSE74V9h3AWvFvTLSJSjeLPKqs34s8DHJtj&#10;W2xOShK1+/ZGWPBymJlvmPG0NbW4k/OVZQXfvQQEcW51xYWC03H1NQThA7LG2jIp+CMP08lHZ4yZ&#10;tg/e0/0QChEh7DNUUIbQZFL6vCSDvmcb4uhdrDMYonSF1A4fEW5qmSbJQBqsOC6U2NCipPx6uBkF&#10;bp1u1juW12r5M6vPi/l2KYutUt3PdjYCEagN7/B/+1crSId9eJ2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20QDEAAAA3AAAAA8AAAAAAAAAAAAAAAAAmAIAAGRycy9k&#10;b3ducmV2LnhtbFBLBQYAAAAABAAEAPUAAACJAwAAAAA=&#10;" filled="f" strokecolor="#0f243e [1615]" strokeweight="1pt"/>
                <v:shape id="Straight Arrow Connector 285" o:spid="_x0000_s1115" type="#_x0000_t32" style="position:absolute;left:21307;top:7677;width:172;height:16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2f6MUAAADcAAAADwAAAGRycy9kb3ducmV2LnhtbESP3WoCMRSE7wXfIRyhd5pVaNXVKKU/&#10;0IuCuPoAh80xWU1Olk3qbt++KRR6OczMN8x2P3gn7tTFJrCC+awAQVwH3bBRcD69T1cgYkLW6AKT&#10;gm+KsN+NR1ssdej5SPcqGZEhHEtUYFNqSyljbcljnIWWOHuX0HlMWXZG6g77DPdOLoriSXpsOC9Y&#10;bOnFUn2rvryC62G5Pt9ezfxiPgt3rFx/sm+9Ug+T4XkDItGQ/sN/7Q+tYLF6hN8z+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2f6MUAAADcAAAADwAAAAAAAAAA&#10;AAAAAAChAgAAZHJzL2Rvd25yZXYueG1sUEsFBgAAAAAEAAQA+QAAAJMDAAAAAA==&#10;" strokecolor="black [3213]" strokeweight="1.5pt">
                  <v:stroke endarrow="open"/>
                </v:shape>
                <v:shape id="Straight Arrow Connector 286" o:spid="_x0000_s1116" type="#_x0000_t32" style="position:absolute;left:73928;top:7504;width:172;height:161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8Bn8QAAADcAAAADwAAAGRycy9kb3ducmV2LnhtbESPQWsCMRSE70L/Q3iF3jSrB6urUUqr&#10;0EOhuPoDHptnspq8LJvU3f77RhB6HGbmG2a9HbwTN+piE1jBdFKAIK6DbtgoOB334wWImJA1usCk&#10;4JcibDdPozWWOvR8oFuVjMgQjiUqsCm1pZSxtuQxTkJLnL1z6DymLDsjdYd9hnsnZ0Uxlx4bzgsW&#10;W3q3VF+rH6/g8v26PF0/zPRsvgp3qFx/tLteqZfn4W0FItGQ/sOP9qdWMFvM4X4mHw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GfxAAAANwAAAAPAAAAAAAAAAAA&#10;AAAAAKECAABkcnMvZG93bnJldi54bWxQSwUGAAAAAAQABAD5AAAAkgMAAAAA&#10;" strokecolor="black [3213]" strokeweight="1.5pt">
                  <v:stroke endarrow="open"/>
                </v:shape>
                <v:line id="Straight Connector 287" o:spid="_x0000_s1117" style="position:absolute;flip:x;visibility:visible;mso-wrap-style:square" from="0,6556" to="5607,6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yQ0MUAAADcAAAADwAAAGRycy9kb3ducmV2LnhtbESPT2vCQBTE70K/w/IK3ppNRK1EV2nF&#10;ingQ/9T7I/u6Cc2+Ddmtxm/vCgWPw8z8hpktOluLC7W+cqwgS1IQxIXTFRsF36evtwkIH5A11o5J&#10;wY08LOYvvRnm2l35QJdjMCJC2OeooAyhyaX0RUkWfeIa4uj9uNZiiLI1Urd4jXBby0GajqXFiuNC&#10;iQ0tSyp+j39WwQr1enjYjlb6tNsbM+yy9POcKdV/7T6mIAJ14Rn+b2+0gsHkHR5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yQ0MUAAADcAAAADwAAAAAAAAAA&#10;AAAAAAChAgAAZHJzL2Rvd25yZXYueG1sUEsFBgAAAAAEAAQA+QAAAJMDAAAAAA==&#10;" strokecolor="black [3213]" strokeweight="1.5pt"/>
                <v:line id="Straight Connector 288" o:spid="_x0000_s1118" style="position:absolute;flip:x;visibility:visible;mso-wrap-style:square" from="91353,6469" to="96960,6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MEosAAAADcAAAADwAAAGRycy9kb3ducmV2LnhtbERPy4rCMBTdC/5DuMLsNK2olI5RVByR&#10;WYiv2V+aO2mZ5qY0UevfTxaCy8N5z5edrcWdWl85VpCOEhDEhdMVGwXXy9cwA+EDssbaMSl4kofl&#10;ot+bY67dg090PwcjYgj7HBWUITS5lL4oyaIfuYY4cr+utRgibI3ULT5iuK3lOElm0mLFsaHEhjYl&#10;FX/nm1WwRb2bnL6nW305HI2ZdGmy/kmV+hh0q08QgbrwFr/ce61gnMW18Uw8AnLx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DBKLAAAAA3AAAAA8AAAAAAAAAAAAAAAAA&#10;oQIAAGRycy9kb3ducmV2LnhtbFBLBQYAAAAABAAEAPkAAACOAwAAAAA=&#10;" strokecolor="black [3213]" strokeweight="1.5pt"/>
                <v:line id="Straight Connector 289" o:spid="_x0000_s1119" style="position:absolute;visibility:visible;mso-wrap-style:square" from="0,6556" to="517,5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M028MAAADcAAAADwAAAGRycy9kb3ducmV2LnhtbESPzWrDMBCE74W+g9hCb41cH0rqRjZp&#10;ID/XOsmht8XaWqbWykhy7Lx9FCj0OMzMN8yqmm0vLuRD51jB6yIDQdw43XGr4HTcvixBhIissXdM&#10;Cq4UoCofH1ZYaDfxF13q2IoE4VCgAhPjUEgZGkMWw8INxMn7cd5iTNK3UnucEtz2Ms+yN2mx47Rg&#10;cKCNoea3Hq2C7/Ez+v1Rrqd63uxMvu2b0Z2Ven6a1x8gIs3xP/zXPmgF+fId7mfSEZ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TNNvDAAAA3AAAAA8AAAAAAAAAAAAA&#10;AAAAoQIAAGRycy9kb3ducmV2LnhtbFBLBQYAAAAABAAEAPkAAACRAwAAAAA=&#10;" strokecolor="black [3213]" strokeweight="1.5pt"/>
                <v:line id="Straight Connector 290" o:spid="_x0000_s1120" style="position:absolute;visibility:visible;mso-wrap-style:square" from="96960,6469" to="97475,56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ALm78AAADcAAAADwAAAGRycy9kb3ducmV2LnhtbERPPW/CMBDdK/EfrEPqVhwyVG3AIEAC&#10;ujbAwHaKjzgiPke2Q8K/x0Oljk/ve7kebSse5EPjWMF8loEgrpxuuFZwPu0/vkCEiKyxdUwKnhRg&#10;vZq8LbHQbuBfepSxFimEQ4EKTIxdIWWoDFkMM9cRJ+7mvMWYoK+l9jikcNvKPMs+pcWGU4PBjnaG&#10;qnvZWwXXfhv98SQ3QznuDibft1XvLkq9T8fNAkSkMf6L/9w/WkH+neanM+kI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TALm78AAADcAAAADwAAAAAAAAAAAAAAAACh&#10;AgAAZHJzL2Rvd25yZXYueG1sUEsFBgAAAAAEAAQA+QAAAI0DAAAAAA==&#10;" strokecolor="black [3213]" strokeweight="1.5pt"/>
                <v:shape id="Straight Arrow Connector 291" o:spid="_x0000_s1121" type="#_x0000_t32" style="position:absolute;left:517;top:56934;width:4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8PNsUAAADcAAAADwAAAGRycy9kb3ducmV2LnhtbESPQWsCMRSE74X+h/AKvdXseqh1NUpp&#10;FXooiKs/4LF5JqvJy7JJ3e2/bwShx2FmvmGW69E7caU+toEVlJMCBHETdMtGwfGwfXkDEROyRheY&#10;FPxShPXq8WGJlQ4D7+laJyMyhGOFCmxKXSVlbCx5jJPQEWfvFHqPKcveSN3jkOHeyWlRvEqPLecF&#10;ix19WGou9Y9XcN7N5sfLpylP5rtw+9oNB7sZlHp+Gt8XIBKN6T98b39pBdN5Cbcz+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8PNsUAAADcAAAADwAAAAAAAAAA&#10;AAAAAAChAgAAZHJzL2Rvd25yZXYueG1sUEsFBgAAAAAEAAQA+QAAAJMDAAAAAA==&#10;" strokecolor="black [3213]" strokeweight="1.5pt">
                  <v:stroke endarrow="open"/>
                </v:shape>
                <v:shape id="Straight Arrow Connector 292" o:spid="_x0000_s1122" type="#_x0000_t32" style="position:absolute;left:92820;top:56848;width:4661;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PSMUAAADcAAAADwAAAGRycy9kb3ducmV2LnhtbESPQWvCQBSE7wX/w/KEXkrdJIeiqauU&#10;iLSngtGgx0f2NQlm34bsGpN/3xUKPQ4z8w2z3o6mFQP1rrGsIF5EIIhLqxuuFJyO+9clCOeRNbaW&#10;ScFEDrab2dMaU23vfKAh95UIEHYpKqi971IpXVmTQbewHXHwfmxv0AfZV1L3eA9w08okit6kwYbD&#10;Qo0dZTWV1/xmFBS35fk7m66fhX8phktBOxNfjko9z8ePdxCeRv8f/mt/aQXJKoHH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dPSMUAAADcAAAADwAAAAAAAAAA&#10;AAAAAAChAgAAZHJzL2Rvd25yZXYueG1sUEsFBgAAAAAEAAQA+QAAAJMDAAAAAA==&#10;" strokecolor="black [3213]" strokeweight="1.5pt">
                  <v:stroke endarrow="open"/>
                </v:shape>
                <v:line id="Straight Connector 293" o:spid="_x0000_s1123" style="position:absolute;visibility:visible;mso-wrap-style:square" from="47445,11559" to="47445,1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V7MQAAADcAAAADwAAAGRycy9kb3ducmV2LnhtbESPwWrDMBBE74X+g9hCb40cF0rjRAlJ&#10;IGmutdNDb4u1sUyslZHk2P37qFDocZiZN8xqM9lO3MiH1rGC+SwDQVw73XKj4FwdXt5BhIissXNM&#10;Cn4owGb9+LDCQruRP+lWxkYkCIcCFZgY+0LKUBuyGGauJ07exXmLMUnfSO1xTHDbyTzL3qTFltOC&#10;wZ72huprOVgF38Mu+o9Kbsdy2h9NfujqwX0p9fw0bZcgIk3xP/zXPmkF+eIV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4pXsxAAAANwAAAAPAAAAAAAAAAAA&#10;AAAAAKECAABkcnMvZG93bnJldi54bWxQSwUGAAAAAAQABAD5AAAAkgMAAAAA&#10;" strokecolor="black [3213]" strokeweight="1.5pt"/>
                <v:line id="Straight Connector 294" o:spid="_x0000_s1124" style="position:absolute;visibility:visible;mso-wrap-style:square" from="47445,18891" to="47445,19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NmMQAAADcAAAADwAAAGRycy9kb3ducmV2LnhtbESPwWrDMBBE74X+g9hCb40cU0rjRAlJ&#10;IGmutdNDb4u1sUyslZHk2P37qFDocZiZN8xqM9lO3MiH1rGC+SwDQVw73XKj4FwdXt5BhIissXNM&#10;Cn4owGb9+LDCQruRP+lWxkYkCIcCFZgY+0LKUBuyGGauJ07exXmLMUnfSO1xTHDbyTzL3qTFltOC&#10;wZ72huprOVgF38Mu+o9Kbsdy2h9NfujqwX0p9fw0bZcgIk3xP/zXPmkF+eIV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2YxAAAANwAAAAPAAAAAAAAAAAA&#10;AAAAAKECAABkcnMvZG93bnJldi54bWxQSwUGAAAAAAQABAD5AAAAkgMAAAAA&#10;" strokecolor="black [3213]" strokeweight="1.5pt"/>
                <v:line id="Straight Connector 295" o:spid="_x0000_s1125" style="position:absolute;flip:x;visibility:visible;mso-wrap-style:square" from="30106,26138" to="31844,26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s94cQAAADcAAAADwAAAGRycy9kb3ducmV2LnhtbESPQWvCQBSE7wX/w/IK3uomoqIxq9ii&#10;UjyImvb+yD43odm3Ibtq+u+7hUKPw8x8w+Tr3jbiTp2vHStIRwkI4tLpmo2Cj2L3MgfhA7LGxjEp&#10;+CYP69XgKcdMuwef6X4JRkQI+wwVVCG0mZS+rMiiH7mWOHpX11kMUXZG6g4fEW4bOU6SmbRYc1yo&#10;sKW3isqvy80q2KLeT86H6VYXx5Mxkz5NXj9TpYbP/WYJIlAf/sN/7XetYLyY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z3hxAAAANwAAAAPAAAAAAAAAAAA&#10;AAAAAKECAABkcnMvZG93bnJldi54bWxQSwUGAAAAAAQABAD5AAAAkgMAAAAA&#10;" strokecolor="black [3213]" strokeweight="1.5pt"/>
                <v:line id="Straight Connector 296" o:spid="_x0000_s1126" style="position:absolute;flip:x;visibility:visible;mso-wrap-style:square" from="30106,31486" to="31745,3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mjlsQAAADcAAAADwAAAGRycy9kb3ducmV2LnhtbESPQWvCQBSE7wX/w/IK3nQTsaLRVVRU&#10;pIfSaHt/ZJ+b0OzbkF01/fduQehxmJlvmMWqs7W4UesrxwrSYQKCuHC6YqPg67wfTEH4gKyxdkwK&#10;fsnDatl7WWCm3Z1zup2CERHCPkMFZQhNJqUvSrLoh64hjt7FtRZDlK2RusV7hNtajpJkIi1WHBdK&#10;bGhbUvFzuloFO9SHcf7+ttPnj09jxl2abL5Tpfqv3XoOIlAX/sPP9lErGM0m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yaOWxAAAANwAAAAPAAAAAAAAAAAA&#10;AAAAAKECAABkcnMvZG93bnJldi54bWxQSwUGAAAAAAQABAD5AAAAkgMAAAAA&#10;" strokecolor="black [3213]" strokeweight="1.5pt"/>
                <v:line id="Straight Connector 297" o:spid="_x0000_s1127" style="position:absolute;flip:x;visibility:visible;mso-wrap-style:square" from="30106,37007" to="31744,37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GDcUAAADcAAAADwAAAGRycy9kb3ducmV2LnhtbESPT2vCQBTE7wW/w/IEb3WToLVNXYMt&#10;WqSH4t/7I/u6CWbfhuyq6bd3C4Ueh5n5DTMvetuIK3W+dqwgHScgiEunazYKjof14zMIH5A1No5J&#10;wQ95KBaDhznm2t14R9d9MCJC2OeooAqhzaX0ZUUW/di1xNH7dp3FEGVnpO7wFuG2kVmSPEmLNceF&#10;Clt6r6g87y9WwQr1x2T3OV3pw9fWmEmfJm+nVKnRsF++ggjUh//wX3ujFWQvM/g9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UGDcUAAADcAAAADwAAAAAAAAAA&#10;AAAAAAChAgAAZHJzL2Rvd25yZXYueG1sUEsFBgAAAAAEAAQA+QAAAJMDAAAAAA==&#10;" strokecolor="black [3213]" strokeweight="1.5pt"/>
                <v:line id="Straight Connector 298" o:spid="_x0000_s1128" style="position:absolute;flip:x;visibility:visible;mso-wrap-style:square" from="30192,41751" to="31830,41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Sf8EAAADcAAAADwAAAGRycy9kb3ducmV2LnhtbERPy4rCMBTdC/5DuII7TSsq2jGKijMM&#10;LsTHzP7S3EmLzU1pota/nywEl4fzXqxaW4k7Nb50rCAdJiCIc6dLNgp+Lp+DGQgfkDVWjknBkzys&#10;lt3OAjPtHnyi+zkYEUPYZ6igCKHOpPR5QRb90NXEkftzjcUQYWOkbvARw20lR0kylRZLjg0F1rQt&#10;KL+eb1bBDvXX+LSf7PTlcDRm3KbJ5jdVqt9r1x8gArXhLX65v7WC0T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GpJ/wQAAANwAAAAPAAAAAAAAAAAAAAAA&#10;AKECAABkcnMvZG93bnJldi54bWxQSwUGAAAAAAQABAD5AAAAjwMAAAAA&#10;" strokecolor="black [3213]" strokeweight="1.5pt"/>
                <v:line id="Straight Connector 299" o:spid="_x0000_s1129" style="position:absolute;flip:x;visibility:visible;mso-wrap-style:square" from="30106,47013" to="31744,4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35MUAAADcAAAADwAAAGRycy9kb3ducmV2LnhtbESPT2vCQBTE70K/w/IK3ppNRKVGV2nF&#10;ingQ/9T7I/u6Cc2+Ddmtxm/vCgWPw8z8hpktOluLC7W+cqwgS1IQxIXTFRsF36evt3cQPiBrrB2T&#10;ght5WMxfejPMtbvygS7HYESEsM9RQRlCk0vpi5Is+sQ1xNH7ca3FEGVrpG7xGuG2loM0HUuLFceF&#10;EhtallT8Hv+sghXq9fCwHa30abc3Zthl6ec5U6r/2n1MQQTqwjP8395oBYPJBB5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Y35MUAAADcAAAADwAAAAAAAAAA&#10;AAAAAAChAgAAZHJzL2Rvd25yZXYueG1sUEsFBgAAAAAEAAQA+QAAAJMDAAAAAA==&#10;" strokecolor="black [3213]" strokeweight="1.5pt"/>
                <v:line id="Straight Connector 300" o:spid="_x0000_s1130" style="position:absolute;flip:x;visibility:visible;mso-wrap-style:square" from="64698,26138" to="66436,26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EY8EAAADcAAAADwAAAGRycy9kb3ducmV2LnhtbERPy2oCMRTdF/oP4RbcaTI+ioxGaUVF&#10;upD62l8mt5mhk5thEnX8e7ModHk47/myc7W4URsqzxqygQJBXHhTsdVwPm36UxAhIhusPZOGBwVY&#10;Ll5f5pgbf+cD3Y7RihTCIUcNZYxNLmUoSnIYBr4hTtyPbx3GBFsrTYv3FO5qOVTqXTqsODWU2NCq&#10;pOL3eHUa1mi248PXZG1O+29rx12mPi+Z1r237mMGIlIX/8V/7p3RMFJpfj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wRjwQAAANwAAAAPAAAAAAAAAAAAAAAA&#10;AKECAABkcnMvZG93bnJldi54bWxQSwUGAAAAAAQABAD5AAAAjwMAAAAA&#10;" strokecolor="black [3213]" strokeweight="1.5pt"/>
                <v:line id="Straight Connector 301" o:spid="_x0000_s1131" style="position:absolute;flip:x;visibility:visible;mso-wrap-style:square" from="64698,31055" to="66431,3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uh+MQAAADcAAAADwAAAGRycy9kb3ducmV2LnhtbESPT2sCMRTE7wW/Q3hCb5psa0VWo9ii&#10;Ij2U+u/+2Dyzi5uXZZPq9ts3gtDjMDO/YWaLztXiSm2oPGvIhgoEceFNxVbD8bAeTECEiGyw9kwa&#10;finAYt57mmFu/I13dN1HKxKEQ44ayhibXMpQlOQwDH1DnLyzbx3GJFsrTYu3BHe1fFFqLB1WnBZK&#10;bOijpOKy/3EaVmg2o93n28ocvr6tHXWZej9lWj/3u+UURKQu/ocf7a3R8KoyuJ9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y6H4xAAAANwAAAAPAAAAAAAAAAAA&#10;AAAAAKECAABkcnMvZG93bnJldi54bWxQSwUGAAAAAAQABAD5AAAAkgMAAAAA&#10;" strokecolor="black [3213]" strokeweight="1.5pt"/>
                <v:line id="Straight Connector 302" o:spid="_x0000_s1132" style="position:absolute;flip:x;visibility:visible;mso-wrap-style:square" from="64698,37007" to="66431,37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j8QAAADcAAAADwAAAGRycy9kb3ducmV2LnhtbESPQWsCMRSE7wX/Q3iCN01WbSmrUVpR&#10;kR6kar0/Nq/ZpZuXZRN1++8bQehxmJlvmPmyc7W4UhsqzxqykQJBXHhTsdXwddoMX0GEiGyw9kwa&#10;finActF7mmNu/I0PdD1GKxKEQ44ayhibXMpQlOQwjHxDnLxv3zqMSbZWmhZvCe5qOVbqRTqsOC2U&#10;2NCqpOLneHEa1mi208PH89qc9p/WTrtMvZ8zrQf97m0GIlIX/8OP9s5omKgx3M+k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T+PxAAAANwAAAAPAAAAAAAAAAAA&#10;AAAAAKECAABkcnMvZG93bnJldi54bWxQSwUGAAAAAAQABAD5AAAAkgMAAAAA&#10;" strokecolor="black [3213]" strokeweight="1.5pt"/>
                <v:line id="Straight Connector 303" o:spid="_x0000_s1133" style="position:absolute;flip:x;visibility:visible;mso-wrap-style:square" from="64698,41751" to="66431,41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aFMQAAADcAAAADwAAAGRycy9kb3ducmV2LnhtbESPQWsCMRSE7wX/Q3iCN01WbSmrUVpR&#10;kR6kar0/Nq/ZpZuXZRN1++8bQehxmJlvmPmyc7W4UhsqzxqykQJBXHhTsdXwddoMX0GEiGyw9kwa&#10;finActF7mmNu/I0PdD1GKxKEQ44ayhibXMpQlOQwjHxDnLxv3zqMSbZWmhZvCe5qOVbqRTqsOC2U&#10;2NCqpOLneHEa1mi208PH89qc9p/WTrtMvZ8zrQf97m0GIlIX/8OP9s5omKgJ3M+k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ZoUxAAAANwAAAAPAAAAAAAAAAAA&#10;AAAAAKECAABkcnMvZG93bnJldi54bWxQSwUGAAAAAAQABAD5AAAAkgMAAAAA&#10;" strokecolor="black [3213]" strokeweight="1.5pt"/>
                <v:line id="Straight Connector 304" o:spid="_x0000_s1134" style="position:absolute;flip:x;visibility:visible;mso-wrap-style:square" from="64698,47013" to="66431,4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wCYMQAAADcAAAADwAAAGRycy9kb3ducmV2LnhtbESPQWsCMRSE7wX/Q3iF3jTZuhVZjWJF&#10;pfRQqrb3x+aZXbp5WTaprv/eFIQeh5n5hpkve9eIM3Wh9qwhGykQxKU3NVsNX8ftcAoiRGSDjWfS&#10;cKUAy8XgYY6F8Rfe0/kQrUgQDgVqqGJsCylDWZHDMPItcfJOvnMYk+ysNB1eEtw18lmpiXRYc1qo&#10;sKV1ReXP4ddp2KDZ5fv3l405fnxam/eZev3OtH567FczEJH6+B++t9+MhrHK4e9MOg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AJgxAAAANwAAAAPAAAAAAAAAAAA&#10;AAAAAKECAABkcnMvZG93bnJldi54bWxQSwUGAAAAAAQABAD5AAAAkgMAAAAA&#10;" strokecolor="black [3213]" strokeweight="1.5pt"/>
                <v:line id="Straight Connector 305" o:spid="_x0000_s1135" style="position:absolute;flip:x;visibility:visible;mso-wrap-style:square" from="28122,54346" to="29329,54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Cn+8QAAADcAAAADwAAAGRycy9kb3ducmV2LnhtbESPQWsCMRSE74L/ITyht5psq6WsRtFi&#10;pXiQrtb7Y/OaXbp5WTaprv++EQoeh5n5hpkve9eIM3Wh9qwhGysQxKU3NVsNX8f3x1cQISIbbDyT&#10;hisFWC6Ggznmxl+4oPMhWpEgHHLUUMXY5lKGsiKHYexb4uR9+85hTLKz0nR4SXDXyCelXqTDmtNC&#10;hS29VVT+HH6dhg2a7aTYTTfmuP+0dtJnan3KtH4Y9asZiEh9vIf/2x9Gw7Oawu1MOg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8Kf7xAAAANwAAAAPAAAAAAAAAAAA&#10;AAAAAKECAABkcnMvZG93bnJldi54bWxQSwUGAAAAAAQABAD5AAAAkgMAAAAA&#10;" strokecolor="black [3213]" strokeweight="1.5pt"/>
                <v:line id="Straight Connector 306" o:spid="_x0000_s1136" style="position:absolute;flip:x;visibility:visible;mso-wrap-style:square" from="28122,60126" to="29328,60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I5jMQAAADcAAAADwAAAGRycy9kb3ducmV2LnhtbESPQWsCMRSE7wX/Q3iF3jRZq1JWo2ix&#10;RTxI1fb+2DyzSzcvyybV9d8bQehxmJlvmNmic7U4UxsqzxqygQJBXHhTsdXwffzov4EIEdlg7Zk0&#10;XCnAYt57mmFu/IX3dD5EKxKEQ44ayhibXMpQlOQwDHxDnLyTbx3GJFsrTYuXBHe1HCo1kQ4rTgsl&#10;NvReUvF7+HMa1mg+R/vteG2Ouy9rR12mVj+Z1i/P3XIKIlIX/8OP9sZoeFUTuJ9JR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IjmMxAAAANwAAAAPAAAAAAAAAAAA&#10;AAAAAKECAABkcnMvZG93bnJldi54bWxQSwUGAAAAAAQABAD5AAAAkgMAAAAA&#10;" strokecolor="black [3213]" strokeweight="1.5pt"/>
                <v:line id="Straight Connector 307" o:spid="_x0000_s1137" style="position:absolute;flip:x;visibility:visible;mso-wrap-style:square" from="68062,54346" to="69268,54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6cF8QAAADcAAAADwAAAGRycy9kb3ducmV2LnhtbESPT2sCMRTE7wW/Q3hCb5qstVVWo9hi&#10;S/FQ/Ht/bJ7Zxc3Lskl1++2bgtDjMDO/YebLztXiSm2oPGvIhgoEceFNxVbD8fA+mIIIEdlg7Zk0&#10;/FCA5aL3MMfc+Bvv6LqPViQIhxw1lDE2uZShKMlhGPqGOHln3zqMSbZWmhZvCe5qOVLqRTqsOC2U&#10;2NBbScVl/+00rNF8jHeb57U5fG2tHXeZej1lWj/2u9UMRKQu/ofv7U+j4UlN4O9MOg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pwXxAAAANwAAAAPAAAAAAAAAAAA&#10;AAAAAKECAABkcnMvZG93bnJldi54bWxQSwUGAAAAAAQABAD5AAAAkgMAAAAA&#10;" strokecolor="black [3213]" strokeweight="1.5pt"/>
                <v:line id="Straight Connector 308" o:spid="_x0000_s1138" style="position:absolute;flip:x;visibility:visible;mso-wrap-style:square" from="67976,59694" to="69182,59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IZcEAAADcAAAADwAAAGRycy9kb3ducmV2LnhtbERPy2oCMRTdF/oP4RbcaTI+ioxGaUVF&#10;upD62l8mt5mhk5thEnX8e7ModHk47/myc7W4URsqzxqygQJBXHhTsdVwPm36UxAhIhusPZOGBwVY&#10;Ll5f5pgbf+cD3Y7RihTCIUcNZYxNLmUoSnIYBr4hTtyPbx3GBFsrTYv3FO5qOVTqXTqsODWU2NCq&#10;pOL3eHUa1mi248PXZG1O+29rx12mPi+Z1r237mMGIlIX/8V/7p3RMFJpbT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8QhlwQAAANwAAAAPAAAAAAAAAAAAAAAA&#10;AKECAABkcnMvZG93bnJldi54bWxQSwUGAAAAAAQABAD5AAAAjwMAAAAA&#10;" strokecolor="black [3213]" strokeweight="1.5pt"/>
              </v:group>
            </w:pict>
          </mc:Fallback>
        </mc:AlternateContent>
      </w:r>
    </w:p>
    <w:sectPr w:rsidR="00D12AB2" w:rsidRPr="00EC1AB2" w:rsidSect="00395AAB">
      <w:pgSz w:w="11906" w:h="16838"/>
      <w:pgMar w:top="567" w:right="1134" w:bottom="1418"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62" w:rsidRDefault="00554B62" w:rsidP="00222D14">
      <w:pPr>
        <w:spacing w:after="0" w:line="240" w:lineRule="auto"/>
      </w:pPr>
      <w:r>
        <w:separator/>
      </w:r>
    </w:p>
  </w:endnote>
  <w:endnote w:type="continuationSeparator" w:id="0">
    <w:p w:rsidR="00554B62" w:rsidRDefault="00554B62" w:rsidP="0022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62" w:rsidRDefault="00554B62" w:rsidP="00222D14">
      <w:pPr>
        <w:spacing w:after="0" w:line="240" w:lineRule="auto"/>
      </w:pPr>
      <w:r>
        <w:separator/>
      </w:r>
    </w:p>
  </w:footnote>
  <w:footnote w:type="continuationSeparator" w:id="0">
    <w:p w:rsidR="00554B62" w:rsidRDefault="00554B62" w:rsidP="00222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AB2" w:rsidRDefault="00EC1AB2" w:rsidP="00F3420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839"/>
      <w:docPartObj>
        <w:docPartGallery w:val="Page Numbers (Top of Page)"/>
        <w:docPartUnique/>
      </w:docPartObj>
    </w:sdtPr>
    <w:sdtEndPr>
      <w:rPr>
        <w:rFonts w:ascii="Times New Roman" w:hAnsi="Times New Roman" w:cs="Times New Roman"/>
        <w:sz w:val="24"/>
        <w:szCs w:val="24"/>
      </w:rPr>
    </w:sdtEndPr>
    <w:sdtContent>
      <w:p w:rsidR="00EC1AB2" w:rsidRPr="00283F81" w:rsidRDefault="00EC1AB2">
        <w:pPr>
          <w:pStyle w:val="Header"/>
          <w:jc w:val="center"/>
          <w:rPr>
            <w:rFonts w:ascii="Times New Roman" w:hAnsi="Times New Roman" w:cs="Times New Roman"/>
            <w:sz w:val="24"/>
            <w:szCs w:val="24"/>
          </w:rPr>
        </w:pPr>
        <w:r w:rsidRPr="00283F81">
          <w:rPr>
            <w:rFonts w:ascii="Times New Roman" w:hAnsi="Times New Roman" w:cs="Times New Roman"/>
            <w:sz w:val="24"/>
            <w:szCs w:val="24"/>
          </w:rPr>
          <w:fldChar w:fldCharType="begin"/>
        </w:r>
        <w:r w:rsidRPr="00283F81">
          <w:rPr>
            <w:rFonts w:ascii="Times New Roman" w:hAnsi="Times New Roman" w:cs="Times New Roman"/>
            <w:sz w:val="24"/>
            <w:szCs w:val="24"/>
          </w:rPr>
          <w:instrText>PAGE   \* MERGEFORMAT</w:instrText>
        </w:r>
        <w:r w:rsidRPr="00283F81">
          <w:rPr>
            <w:rFonts w:ascii="Times New Roman" w:hAnsi="Times New Roman" w:cs="Times New Roman"/>
            <w:sz w:val="24"/>
            <w:szCs w:val="24"/>
          </w:rPr>
          <w:fldChar w:fldCharType="separate"/>
        </w:r>
        <w:r w:rsidR="007E5CE2">
          <w:rPr>
            <w:rFonts w:ascii="Times New Roman" w:hAnsi="Times New Roman" w:cs="Times New Roman"/>
            <w:noProof/>
            <w:sz w:val="24"/>
            <w:szCs w:val="24"/>
          </w:rPr>
          <w:t>75</w:t>
        </w:r>
        <w:r w:rsidRPr="00283F81">
          <w:rPr>
            <w:rFonts w:ascii="Times New Roman" w:hAnsi="Times New Roman" w:cs="Times New Roman"/>
            <w:sz w:val="24"/>
            <w:szCs w:val="24"/>
          </w:rPr>
          <w:fldChar w:fldCharType="end"/>
        </w:r>
      </w:p>
    </w:sdtContent>
  </w:sdt>
  <w:p w:rsidR="00EC1AB2" w:rsidRDefault="00EC1AB2" w:rsidP="00F3420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D73"/>
    <w:multiLevelType w:val="hybridMultilevel"/>
    <w:tmpl w:val="06927AF2"/>
    <w:lvl w:ilvl="0" w:tplc="214CBA8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23B4A27"/>
    <w:multiLevelType w:val="hybridMultilevel"/>
    <w:tmpl w:val="079665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990C94"/>
    <w:multiLevelType w:val="hybridMultilevel"/>
    <w:tmpl w:val="B03C6DBA"/>
    <w:lvl w:ilvl="0" w:tplc="3132C7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E17129"/>
    <w:multiLevelType w:val="hybridMultilevel"/>
    <w:tmpl w:val="7A8CA9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8112EEA"/>
    <w:multiLevelType w:val="hybridMultilevel"/>
    <w:tmpl w:val="E2E4BFB4"/>
    <w:lvl w:ilvl="0" w:tplc="65F4BC36">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85A1B95"/>
    <w:multiLevelType w:val="hybridMultilevel"/>
    <w:tmpl w:val="3FCCFE54"/>
    <w:lvl w:ilvl="0" w:tplc="C0728C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0AD6541C"/>
    <w:multiLevelType w:val="hybridMultilevel"/>
    <w:tmpl w:val="2650324A"/>
    <w:lvl w:ilvl="0" w:tplc="039607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3AE3D28"/>
    <w:multiLevelType w:val="hybridMultilevel"/>
    <w:tmpl w:val="74127A94"/>
    <w:lvl w:ilvl="0" w:tplc="44642DB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nsid w:val="17CC2F07"/>
    <w:multiLevelType w:val="hybridMultilevel"/>
    <w:tmpl w:val="BC98BAB4"/>
    <w:lvl w:ilvl="0" w:tplc="E0141808">
      <w:start w:val="1"/>
      <w:numFmt w:val="bullet"/>
      <w:lvlText w:val=""/>
      <w:lvlJc w:val="left"/>
      <w:pPr>
        <w:ind w:left="720" w:hanging="360"/>
      </w:pPr>
      <w:rPr>
        <w:rFonts w:ascii="Symbol" w:hAnsi="Symbol" w:hint="default"/>
        <w:sz w:val="16"/>
        <w14:ligatures w14:val="none"/>
        <w14:numForm w14:val="default"/>
        <w14:numSpacing w14:val="default"/>
        <w14:stylisticSets/>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7F011E1"/>
    <w:multiLevelType w:val="hybridMultilevel"/>
    <w:tmpl w:val="B5E45BCA"/>
    <w:lvl w:ilvl="0" w:tplc="C60A2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9255E7A"/>
    <w:multiLevelType w:val="hybridMultilevel"/>
    <w:tmpl w:val="F04654A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236D40"/>
    <w:multiLevelType w:val="hybridMultilevel"/>
    <w:tmpl w:val="F9DE7E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7B0276"/>
    <w:multiLevelType w:val="hybridMultilevel"/>
    <w:tmpl w:val="5150C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C453D29"/>
    <w:multiLevelType w:val="hybridMultilevel"/>
    <w:tmpl w:val="24F2D1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1D1A1AC2"/>
    <w:multiLevelType w:val="multilevel"/>
    <w:tmpl w:val="568CA7DE"/>
    <w:lvl w:ilvl="0">
      <w:start w:val="1"/>
      <w:numFmt w:val="decimal"/>
      <w:lvlText w:val="%1."/>
      <w:lvlJc w:val="left"/>
      <w:pPr>
        <w:ind w:left="927" w:hanging="360"/>
      </w:pPr>
      <w:rPr>
        <w:rFonts w:ascii="Times New Roman" w:eastAsia="+mn-ea" w:hAnsi="Times New Roman" w:cstheme="minorBidi"/>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D2C6285"/>
    <w:multiLevelType w:val="hybridMultilevel"/>
    <w:tmpl w:val="940C12A0"/>
    <w:lvl w:ilvl="0" w:tplc="0A7C90CA">
      <w:start w:val="1"/>
      <w:numFmt w:val="bullet"/>
      <w:lvlText w:val=""/>
      <w:lvlJc w:val="left"/>
      <w:pPr>
        <w:ind w:left="720" w:hanging="360"/>
      </w:pPr>
      <w:rPr>
        <w:rFonts w:ascii="Symbol" w:hAnsi="Symbol" w:hint="default"/>
        <w:sz w:val="16"/>
        <w14:ligatures w14:val="none"/>
        <w14:numForm w14:val="default"/>
        <w14:numSpacing w14:val="default"/>
        <w14:stylisticSets/>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EAB3FB5"/>
    <w:multiLevelType w:val="multilevel"/>
    <w:tmpl w:val="C602B2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336AD2"/>
    <w:multiLevelType w:val="hybridMultilevel"/>
    <w:tmpl w:val="A8EAA8CA"/>
    <w:lvl w:ilvl="0" w:tplc="5E28B78A">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8">
    <w:nsid w:val="2DC17711"/>
    <w:multiLevelType w:val="multilevel"/>
    <w:tmpl w:val="2674BB4C"/>
    <w:lvl w:ilvl="0">
      <w:start w:val="1"/>
      <w:numFmt w:val="decimal"/>
      <w:lvlText w:val="%1."/>
      <w:lvlJc w:val="left"/>
      <w:pPr>
        <w:ind w:left="720" w:hanging="360"/>
      </w:pPr>
      <w:rPr>
        <w:rFonts w:hint="default"/>
      </w:rPr>
    </w:lvl>
    <w:lvl w:ilvl="1">
      <w:start w:val="1"/>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19">
    <w:nsid w:val="2FFB68B0"/>
    <w:multiLevelType w:val="hybridMultilevel"/>
    <w:tmpl w:val="F04654A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5D61727"/>
    <w:multiLevelType w:val="hybridMultilevel"/>
    <w:tmpl w:val="6BBA5806"/>
    <w:lvl w:ilvl="0" w:tplc="EC4493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395C401A"/>
    <w:multiLevelType w:val="hybridMultilevel"/>
    <w:tmpl w:val="AA1A54CE"/>
    <w:lvl w:ilvl="0" w:tplc="B8B460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7F766B"/>
    <w:multiLevelType w:val="hybridMultilevel"/>
    <w:tmpl w:val="2B2EED36"/>
    <w:lvl w:ilvl="0" w:tplc="7856FF98">
      <w:start w:val="1"/>
      <w:numFmt w:val="decimal"/>
      <w:lvlText w:val="%1."/>
      <w:lvlJc w:val="left"/>
      <w:pPr>
        <w:ind w:left="927" w:hanging="360"/>
      </w:pPr>
      <w:rPr>
        <w:rFonts w:hint="default"/>
        <w: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B6C6DE6"/>
    <w:multiLevelType w:val="multilevel"/>
    <w:tmpl w:val="BA52515C"/>
    <w:lvl w:ilvl="0">
      <w:start w:val="1"/>
      <w:numFmt w:val="decimal"/>
      <w:lvlText w:val="%1."/>
      <w:lvlJc w:val="left"/>
      <w:pPr>
        <w:ind w:left="360" w:hanging="360"/>
      </w:pPr>
      <w:rPr>
        <w:rFonts w:eastAsia="Calibri" w:hint="default"/>
        <w:color w:val="104A96"/>
      </w:rPr>
    </w:lvl>
    <w:lvl w:ilvl="1">
      <w:start w:val="1"/>
      <w:numFmt w:val="decimal"/>
      <w:lvlText w:val="%1.%2."/>
      <w:lvlJc w:val="left"/>
      <w:pPr>
        <w:ind w:left="580" w:hanging="360"/>
      </w:pPr>
      <w:rPr>
        <w:rFonts w:eastAsia="Calibri" w:hint="default"/>
        <w:color w:val="104A96"/>
      </w:rPr>
    </w:lvl>
    <w:lvl w:ilvl="2">
      <w:start w:val="1"/>
      <w:numFmt w:val="decimal"/>
      <w:lvlText w:val="%1.%2.%3."/>
      <w:lvlJc w:val="left"/>
      <w:pPr>
        <w:ind w:left="1160" w:hanging="720"/>
      </w:pPr>
      <w:rPr>
        <w:rFonts w:eastAsia="Calibri" w:hint="default"/>
        <w:color w:val="104A96"/>
      </w:rPr>
    </w:lvl>
    <w:lvl w:ilvl="3">
      <w:start w:val="1"/>
      <w:numFmt w:val="decimal"/>
      <w:lvlText w:val="%1.%2.%3.%4."/>
      <w:lvlJc w:val="left"/>
      <w:pPr>
        <w:ind w:left="1380" w:hanging="720"/>
      </w:pPr>
      <w:rPr>
        <w:rFonts w:eastAsia="Calibri" w:hint="default"/>
        <w:color w:val="104A96"/>
      </w:rPr>
    </w:lvl>
    <w:lvl w:ilvl="4">
      <w:start w:val="1"/>
      <w:numFmt w:val="decimal"/>
      <w:lvlText w:val="%1.%2.%3.%4.%5."/>
      <w:lvlJc w:val="left"/>
      <w:pPr>
        <w:ind w:left="1960" w:hanging="1080"/>
      </w:pPr>
      <w:rPr>
        <w:rFonts w:eastAsia="Calibri" w:hint="default"/>
        <w:color w:val="104A96"/>
      </w:rPr>
    </w:lvl>
    <w:lvl w:ilvl="5">
      <w:start w:val="1"/>
      <w:numFmt w:val="decimal"/>
      <w:lvlText w:val="%1.%2.%3.%4.%5.%6."/>
      <w:lvlJc w:val="left"/>
      <w:pPr>
        <w:ind w:left="2180" w:hanging="1080"/>
      </w:pPr>
      <w:rPr>
        <w:rFonts w:eastAsia="Calibri" w:hint="default"/>
        <w:color w:val="104A96"/>
      </w:rPr>
    </w:lvl>
    <w:lvl w:ilvl="6">
      <w:start w:val="1"/>
      <w:numFmt w:val="decimal"/>
      <w:lvlText w:val="%1.%2.%3.%4.%5.%6.%7."/>
      <w:lvlJc w:val="left"/>
      <w:pPr>
        <w:ind w:left="2760" w:hanging="1440"/>
      </w:pPr>
      <w:rPr>
        <w:rFonts w:eastAsia="Calibri" w:hint="default"/>
        <w:color w:val="104A96"/>
      </w:rPr>
    </w:lvl>
    <w:lvl w:ilvl="7">
      <w:start w:val="1"/>
      <w:numFmt w:val="decimal"/>
      <w:lvlText w:val="%1.%2.%3.%4.%5.%6.%7.%8."/>
      <w:lvlJc w:val="left"/>
      <w:pPr>
        <w:ind w:left="2980" w:hanging="1440"/>
      </w:pPr>
      <w:rPr>
        <w:rFonts w:eastAsia="Calibri" w:hint="default"/>
        <w:color w:val="104A96"/>
      </w:rPr>
    </w:lvl>
    <w:lvl w:ilvl="8">
      <w:start w:val="1"/>
      <w:numFmt w:val="decimal"/>
      <w:lvlText w:val="%1.%2.%3.%4.%5.%6.%7.%8.%9."/>
      <w:lvlJc w:val="left"/>
      <w:pPr>
        <w:ind w:left="3560" w:hanging="1800"/>
      </w:pPr>
      <w:rPr>
        <w:rFonts w:eastAsia="Calibri" w:hint="default"/>
        <w:color w:val="104A96"/>
      </w:rPr>
    </w:lvl>
  </w:abstractNum>
  <w:abstractNum w:abstractNumId="24">
    <w:nsid w:val="3FDA5DAA"/>
    <w:multiLevelType w:val="hybridMultilevel"/>
    <w:tmpl w:val="3208CBF8"/>
    <w:lvl w:ilvl="0" w:tplc="70225960">
      <w:start w:val="1"/>
      <w:numFmt w:val="decimal"/>
      <w:lvlText w:val="%1."/>
      <w:lvlJc w:val="left"/>
      <w:pPr>
        <w:ind w:left="720" w:hanging="360"/>
      </w:pPr>
      <w:rPr>
        <w:rFonts w:hint="default"/>
        <w:b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4F7F6B"/>
    <w:multiLevelType w:val="hybridMultilevel"/>
    <w:tmpl w:val="54DE193A"/>
    <w:lvl w:ilvl="0" w:tplc="1D76B9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45035420"/>
    <w:multiLevelType w:val="hybridMultilevel"/>
    <w:tmpl w:val="22E28888"/>
    <w:lvl w:ilvl="0" w:tplc="FF54C35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6DE08D2"/>
    <w:multiLevelType w:val="hybridMultilevel"/>
    <w:tmpl w:val="25B02CBA"/>
    <w:lvl w:ilvl="0" w:tplc="0427000F">
      <w:start w:val="1"/>
      <w:numFmt w:val="decimal"/>
      <w:lvlText w:val="%1."/>
      <w:lvlJc w:val="left"/>
      <w:pPr>
        <w:tabs>
          <w:tab w:val="num" w:pos="1080"/>
        </w:tabs>
        <w:ind w:left="1080" w:hanging="360"/>
      </w:pPr>
      <w:rPr>
        <w:rFonts w:hint="default"/>
      </w:rPr>
    </w:lvl>
    <w:lvl w:ilvl="1" w:tplc="AE3CB94A" w:tentative="1">
      <w:start w:val="1"/>
      <w:numFmt w:val="bullet"/>
      <w:lvlText w:val="•"/>
      <w:lvlJc w:val="left"/>
      <w:pPr>
        <w:tabs>
          <w:tab w:val="num" w:pos="1800"/>
        </w:tabs>
        <w:ind w:left="1800" w:hanging="360"/>
      </w:pPr>
      <w:rPr>
        <w:rFonts w:ascii="Arial" w:hAnsi="Arial" w:hint="default"/>
      </w:rPr>
    </w:lvl>
    <w:lvl w:ilvl="2" w:tplc="0144E52E" w:tentative="1">
      <w:start w:val="1"/>
      <w:numFmt w:val="bullet"/>
      <w:lvlText w:val="•"/>
      <w:lvlJc w:val="left"/>
      <w:pPr>
        <w:tabs>
          <w:tab w:val="num" w:pos="2520"/>
        </w:tabs>
        <w:ind w:left="2520" w:hanging="360"/>
      </w:pPr>
      <w:rPr>
        <w:rFonts w:ascii="Arial" w:hAnsi="Arial" w:hint="default"/>
      </w:rPr>
    </w:lvl>
    <w:lvl w:ilvl="3" w:tplc="D7880096" w:tentative="1">
      <w:start w:val="1"/>
      <w:numFmt w:val="bullet"/>
      <w:lvlText w:val="•"/>
      <w:lvlJc w:val="left"/>
      <w:pPr>
        <w:tabs>
          <w:tab w:val="num" w:pos="3240"/>
        </w:tabs>
        <w:ind w:left="3240" w:hanging="360"/>
      </w:pPr>
      <w:rPr>
        <w:rFonts w:ascii="Arial" w:hAnsi="Arial" w:hint="default"/>
      </w:rPr>
    </w:lvl>
    <w:lvl w:ilvl="4" w:tplc="EFFAD38A" w:tentative="1">
      <w:start w:val="1"/>
      <w:numFmt w:val="bullet"/>
      <w:lvlText w:val="•"/>
      <w:lvlJc w:val="left"/>
      <w:pPr>
        <w:tabs>
          <w:tab w:val="num" w:pos="3960"/>
        </w:tabs>
        <w:ind w:left="3960" w:hanging="360"/>
      </w:pPr>
      <w:rPr>
        <w:rFonts w:ascii="Arial" w:hAnsi="Arial" w:hint="default"/>
      </w:rPr>
    </w:lvl>
    <w:lvl w:ilvl="5" w:tplc="10169D16" w:tentative="1">
      <w:start w:val="1"/>
      <w:numFmt w:val="bullet"/>
      <w:lvlText w:val="•"/>
      <w:lvlJc w:val="left"/>
      <w:pPr>
        <w:tabs>
          <w:tab w:val="num" w:pos="4680"/>
        </w:tabs>
        <w:ind w:left="4680" w:hanging="360"/>
      </w:pPr>
      <w:rPr>
        <w:rFonts w:ascii="Arial" w:hAnsi="Arial" w:hint="default"/>
      </w:rPr>
    </w:lvl>
    <w:lvl w:ilvl="6" w:tplc="E16ECC64" w:tentative="1">
      <w:start w:val="1"/>
      <w:numFmt w:val="bullet"/>
      <w:lvlText w:val="•"/>
      <w:lvlJc w:val="left"/>
      <w:pPr>
        <w:tabs>
          <w:tab w:val="num" w:pos="5400"/>
        </w:tabs>
        <w:ind w:left="5400" w:hanging="360"/>
      </w:pPr>
      <w:rPr>
        <w:rFonts w:ascii="Arial" w:hAnsi="Arial" w:hint="default"/>
      </w:rPr>
    </w:lvl>
    <w:lvl w:ilvl="7" w:tplc="9E245DA2" w:tentative="1">
      <w:start w:val="1"/>
      <w:numFmt w:val="bullet"/>
      <w:lvlText w:val="•"/>
      <w:lvlJc w:val="left"/>
      <w:pPr>
        <w:tabs>
          <w:tab w:val="num" w:pos="6120"/>
        </w:tabs>
        <w:ind w:left="6120" w:hanging="360"/>
      </w:pPr>
      <w:rPr>
        <w:rFonts w:ascii="Arial" w:hAnsi="Arial" w:hint="default"/>
      </w:rPr>
    </w:lvl>
    <w:lvl w:ilvl="8" w:tplc="A23AF970" w:tentative="1">
      <w:start w:val="1"/>
      <w:numFmt w:val="bullet"/>
      <w:lvlText w:val="•"/>
      <w:lvlJc w:val="left"/>
      <w:pPr>
        <w:tabs>
          <w:tab w:val="num" w:pos="6840"/>
        </w:tabs>
        <w:ind w:left="6840" w:hanging="360"/>
      </w:pPr>
      <w:rPr>
        <w:rFonts w:ascii="Arial" w:hAnsi="Arial" w:hint="default"/>
      </w:rPr>
    </w:lvl>
  </w:abstractNum>
  <w:abstractNum w:abstractNumId="28">
    <w:nsid w:val="4BAD7A68"/>
    <w:multiLevelType w:val="hybridMultilevel"/>
    <w:tmpl w:val="A7A4CC0E"/>
    <w:lvl w:ilvl="0" w:tplc="FE549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4DB6729F"/>
    <w:multiLevelType w:val="hybridMultilevel"/>
    <w:tmpl w:val="7B6EB8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4E665751"/>
    <w:multiLevelType w:val="hybridMultilevel"/>
    <w:tmpl w:val="10E69A56"/>
    <w:lvl w:ilvl="0" w:tplc="C4DE1EEE">
      <w:start w:val="1"/>
      <w:numFmt w:val="decimal"/>
      <w:lvlText w:val="%1."/>
      <w:lvlJc w:val="left"/>
      <w:pPr>
        <w:ind w:left="927" w:hanging="360"/>
      </w:pPr>
      <w:rPr>
        <w:rFonts w:eastAsia="+mn-e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nsid w:val="51C10E77"/>
    <w:multiLevelType w:val="hybridMultilevel"/>
    <w:tmpl w:val="15804D88"/>
    <w:lvl w:ilvl="0" w:tplc="BD04C5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1390D"/>
    <w:multiLevelType w:val="hybridMultilevel"/>
    <w:tmpl w:val="400A0982"/>
    <w:lvl w:ilvl="0" w:tplc="3C528524">
      <w:start w:val="1"/>
      <w:numFmt w:val="decimal"/>
      <w:lvlText w:val="%1."/>
      <w:lvlJc w:val="left"/>
      <w:pPr>
        <w:ind w:left="720" w:hanging="360"/>
      </w:pPr>
      <w:rPr>
        <w:rFonts w:asciiTheme="minorHAnsi" w:hAnsiTheme="minorHAns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94A2A69"/>
    <w:multiLevelType w:val="multilevel"/>
    <w:tmpl w:val="5C4C39EE"/>
    <w:lvl w:ilvl="0">
      <w:start w:val="1"/>
      <w:numFmt w:val="decimal"/>
      <w:lvlText w:val="%1."/>
      <w:lvlJc w:val="left"/>
      <w:pPr>
        <w:ind w:left="360" w:hanging="360"/>
      </w:pPr>
      <w:rPr>
        <w:rFonts w:ascii="Calibri" w:eastAsia="Calibri" w:hAnsi="Calibri" w:cs="Times New Roman" w:hint="default"/>
        <w:color w:val="104A96"/>
      </w:rPr>
    </w:lvl>
    <w:lvl w:ilvl="1">
      <w:start w:val="1"/>
      <w:numFmt w:val="decimal"/>
      <w:lvlText w:val="%1.%2."/>
      <w:lvlJc w:val="left"/>
      <w:pPr>
        <w:ind w:left="580" w:hanging="360"/>
      </w:pPr>
      <w:rPr>
        <w:rFonts w:ascii="Calibri" w:eastAsia="Calibri" w:hAnsi="Calibri" w:cs="Times New Roman" w:hint="default"/>
        <w:color w:val="104A96"/>
      </w:rPr>
    </w:lvl>
    <w:lvl w:ilvl="2">
      <w:start w:val="1"/>
      <w:numFmt w:val="decimal"/>
      <w:lvlText w:val="%1.%2.%3."/>
      <w:lvlJc w:val="left"/>
      <w:pPr>
        <w:ind w:left="1160" w:hanging="720"/>
      </w:pPr>
      <w:rPr>
        <w:rFonts w:ascii="Calibri" w:eastAsia="Calibri" w:hAnsi="Calibri" w:cs="Times New Roman" w:hint="default"/>
        <w:color w:val="104A96"/>
      </w:rPr>
    </w:lvl>
    <w:lvl w:ilvl="3">
      <w:start w:val="1"/>
      <w:numFmt w:val="decimal"/>
      <w:lvlText w:val="%1.%2.%3.%4."/>
      <w:lvlJc w:val="left"/>
      <w:pPr>
        <w:ind w:left="1380" w:hanging="720"/>
      </w:pPr>
      <w:rPr>
        <w:rFonts w:ascii="Calibri" w:eastAsia="Calibri" w:hAnsi="Calibri" w:cs="Times New Roman" w:hint="default"/>
        <w:color w:val="104A96"/>
      </w:rPr>
    </w:lvl>
    <w:lvl w:ilvl="4">
      <w:start w:val="1"/>
      <w:numFmt w:val="decimal"/>
      <w:lvlText w:val="%1.%2.%3.%4.%5."/>
      <w:lvlJc w:val="left"/>
      <w:pPr>
        <w:ind w:left="1960" w:hanging="1080"/>
      </w:pPr>
      <w:rPr>
        <w:rFonts w:ascii="Calibri" w:eastAsia="Calibri" w:hAnsi="Calibri" w:cs="Times New Roman" w:hint="default"/>
        <w:color w:val="104A96"/>
      </w:rPr>
    </w:lvl>
    <w:lvl w:ilvl="5">
      <w:start w:val="1"/>
      <w:numFmt w:val="decimal"/>
      <w:lvlText w:val="%1.%2.%3.%4.%5.%6."/>
      <w:lvlJc w:val="left"/>
      <w:pPr>
        <w:ind w:left="2180" w:hanging="1080"/>
      </w:pPr>
      <w:rPr>
        <w:rFonts w:ascii="Calibri" w:eastAsia="Calibri" w:hAnsi="Calibri" w:cs="Times New Roman" w:hint="default"/>
        <w:color w:val="104A96"/>
      </w:rPr>
    </w:lvl>
    <w:lvl w:ilvl="6">
      <w:start w:val="1"/>
      <w:numFmt w:val="decimal"/>
      <w:lvlText w:val="%1.%2.%3.%4.%5.%6.%7."/>
      <w:lvlJc w:val="left"/>
      <w:pPr>
        <w:ind w:left="2760" w:hanging="1440"/>
      </w:pPr>
      <w:rPr>
        <w:rFonts w:ascii="Calibri" w:eastAsia="Calibri" w:hAnsi="Calibri" w:cs="Times New Roman" w:hint="default"/>
        <w:color w:val="104A96"/>
      </w:rPr>
    </w:lvl>
    <w:lvl w:ilvl="7">
      <w:start w:val="1"/>
      <w:numFmt w:val="decimal"/>
      <w:lvlText w:val="%1.%2.%3.%4.%5.%6.%7.%8."/>
      <w:lvlJc w:val="left"/>
      <w:pPr>
        <w:ind w:left="2980" w:hanging="1440"/>
      </w:pPr>
      <w:rPr>
        <w:rFonts w:ascii="Calibri" w:eastAsia="Calibri" w:hAnsi="Calibri" w:cs="Times New Roman" w:hint="default"/>
        <w:color w:val="104A96"/>
      </w:rPr>
    </w:lvl>
    <w:lvl w:ilvl="8">
      <w:start w:val="1"/>
      <w:numFmt w:val="decimal"/>
      <w:lvlText w:val="%1.%2.%3.%4.%5.%6.%7.%8.%9."/>
      <w:lvlJc w:val="left"/>
      <w:pPr>
        <w:ind w:left="3560" w:hanging="1800"/>
      </w:pPr>
      <w:rPr>
        <w:rFonts w:ascii="Calibri" w:eastAsia="Calibri" w:hAnsi="Calibri" w:cs="Times New Roman" w:hint="default"/>
        <w:color w:val="104A96"/>
      </w:rPr>
    </w:lvl>
  </w:abstractNum>
  <w:abstractNum w:abstractNumId="34">
    <w:nsid w:val="5C3A6D69"/>
    <w:multiLevelType w:val="hybridMultilevel"/>
    <w:tmpl w:val="42787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D907EE"/>
    <w:multiLevelType w:val="multilevel"/>
    <w:tmpl w:val="5E8A68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E720C73"/>
    <w:multiLevelType w:val="hybridMultilevel"/>
    <w:tmpl w:val="B7024310"/>
    <w:lvl w:ilvl="0" w:tplc="E1A06392">
      <w:start w:val="1"/>
      <w:numFmt w:val="bullet"/>
      <w:lvlText w:val="•"/>
      <w:lvlJc w:val="left"/>
      <w:pPr>
        <w:tabs>
          <w:tab w:val="num" w:pos="720"/>
        </w:tabs>
        <w:ind w:left="720" w:hanging="360"/>
      </w:pPr>
      <w:rPr>
        <w:rFonts w:ascii="Times New Roman" w:hAnsi="Times New Roman" w:hint="default"/>
      </w:rPr>
    </w:lvl>
    <w:lvl w:ilvl="1" w:tplc="0427000F">
      <w:start w:val="1"/>
      <w:numFmt w:val="decimal"/>
      <w:lvlText w:val="%2."/>
      <w:lvlJc w:val="left"/>
      <w:pPr>
        <w:tabs>
          <w:tab w:val="num" w:pos="1440"/>
        </w:tabs>
        <w:ind w:left="1440" w:hanging="360"/>
      </w:pPr>
      <w:rPr>
        <w:rFonts w:hint="default"/>
      </w:rPr>
    </w:lvl>
    <w:lvl w:ilvl="2" w:tplc="637AA372">
      <w:numFmt w:val="bullet"/>
      <w:lvlText w:val="-"/>
      <w:lvlJc w:val="left"/>
      <w:pPr>
        <w:ind w:left="2160" w:hanging="360"/>
      </w:pPr>
      <w:rPr>
        <w:rFonts w:ascii="Times New Roman" w:eastAsia="Calibri" w:hAnsi="Times New Roman" w:cs="Times New Roman" w:hint="default"/>
      </w:rPr>
    </w:lvl>
    <w:lvl w:ilvl="3" w:tplc="E54E64E6" w:tentative="1">
      <w:start w:val="1"/>
      <w:numFmt w:val="bullet"/>
      <w:lvlText w:val="•"/>
      <w:lvlJc w:val="left"/>
      <w:pPr>
        <w:tabs>
          <w:tab w:val="num" w:pos="2880"/>
        </w:tabs>
        <w:ind w:left="2880" w:hanging="360"/>
      </w:pPr>
      <w:rPr>
        <w:rFonts w:ascii="Times New Roman" w:hAnsi="Times New Roman" w:hint="default"/>
      </w:rPr>
    </w:lvl>
    <w:lvl w:ilvl="4" w:tplc="4266B598" w:tentative="1">
      <w:start w:val="1"/>
      <w:numFmt w:val="bullet"/>
      <w:lvlText w:val="•"/>
      <w:lvlJc w:val="left"/>
      <w:pPr>
        <w:tabs>
          <w:tab w:val="num" w:pos="3600"/>
        </w:tabs>
        <w:ind w:left="3600" w:hanging="360"/>
      </w:pPr>
      <w:rPr>
        <w:rFonts w:ascii="Times New Roman" w:hAnsi="Times New Roman" w:hint="default"/>
      </w:rPr>
    </w:lvl>
    <w:lvl w:ilvl="5" w:tplc="05ACE720" w:tentative="1">
      <w:start w:val="1"/>
      <w:numFmt w:val="bullet"/>
      <w:lvlText w:val="•"/>
      <w:lvlJc w:val="left"/>
      <w:pPr>
        <w:tabs>
          <w:tab w:val="num" w:pos="4320"/>
        </w:tabs>
        <w:ind w:left="4320" w:hanging="360"/>
      </w:pPr>
      <w:rPr>
        <w:rFonts w:ascii="Times New Roman" w:hAnsi="Times New Roman" w:hint="default"/>
      </w:rPr>
    </w:lvl>
    <w:lvl w:ilvl="6" w:tplc="4E64AFB6" w:tentative="1">
      <w:start w:val="1"/>
      <w:numFmt w:val="bullet"/>
      <w:lvlText w:val="•"/>
      <w:lvlJc w:val="left"/>
      <w:pPr>
        <w:tabs>
          <w:tab w:val="num" w:pos="5040"/>
        </w:tabs>
        <w:ind w:left="5040" w:hanging="360"/>
      </w:pPr>
      <w:rPr>
        <w:rFonts w:ascii="Times New Roman" w:hAnsi="Times New Roman" w:hint="default"/>
      </w:rPr>
    </w:lvl>
    <w:lvl w:ilvl="7" w:tplc="8DEADCCC" w:tentative="1">
      <w:start w:val="1"/>
      <w:numFmt w:val="bullet"/>
      <w:lvlText w:val="•"/>
      <w:lvlJc w:val="left"/>
      <w:pPr>
        <w:tabs>
          <w:tab w:val="num" w:pos="5760"/>
        </w:tabs>
        <w:ind w:left="5760" w:hanging="360"/>
      </w:pPr>
      <w:rPr>
        <w:rFonts w:ascii="Times New Roman" w:hAnsi="Times New Roman" w:hint="default"/>
      </w:rPr>
    </w:lvl>
    <w:lvl w:ilvl="8" w:tplc="226E2CA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2603EE9"/>
    <w:multiLevelType w:val="hybridMultilevel"/>
    <w:tmpl w:val="6C2AFCA4"/>
    <w:lvl w:ilvl="0" w:tplc="EE90B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nsid w:val="66866597"/>
    <w:multiLevelType w:val="hybridMultilevel"/>
    <w:tmpl w:val="473073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nsid w:val="67FE4400"/>
    <w:multiLevelType w:val="hybridMultilevel"/>
    <w:tmpl w:val="64765D1C"/>
    <w:lvl w:ilvl="0" w:tplc="C5561A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6A0759E2"/>
    <w:multiLevelType w:val="hybridMultilevel"/>
    <w:tmpl w:val="2B629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0F764F"/>
    <w:multiLevelType w:val="multilevel"/>
    <w:tmpl w:val="469E6A96"/>
    <w:lvl w:ilvl="0">
      <w:start w:val="1"/>
      <w:numFmt w:val="decimal"/>
      <w:lvlText w:val="%1."/>
      <w:lvlJc w:val="left"/>
      <w:pPr>
        <w:ind w:left="720" w:hanging="360"/>
      </w:pPr>
      <w:rPr>
        <w:rFonts w:hint="default"/>
      </w:rPr>
    </w:lvl>
    <w:lvl w:ilvl="1">
      <w:start w:val="1"/>
      <w:numFmt w:val="upperRoman"/>
      <w:lvlText w:val="%2."/>
      <w:lvlJc w:val="right"/>
      <w:pPr>
        <w:ind w:left="165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42">
    <w:nsid w:val="714662D8"/>
    <w:multiLevelType w:val="hybridMultilevel"/>
    <w:tmpl w:val="FFAAC794"/>
    <w:lvl w:ilvl="0" w:tplc="1250F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18F4589"/>
    <w:multiLevelType w:val="hybridMultilevel"/>
    <w:tmpl w:val="75E2FB4E"/>
    <w:lvl w:ilvl="0" w:tplc="E9560A96">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3F0024A"/>
    <w:multiLevelType w:val="multilevel"/>
    <w:tmpl w:val="AB92864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5">
    <w:nsid w:val="79546FE5"/>
    <w:multiLevelType w:val="hybridMultilevel"/>
    <w:tmpl w:val="D1869B4A"/>
    <w:lvl w:ilvl="0" w:tplc="79C050D8">
      <w:start w:val="1"/>
      <w:numFmt w:val="decimal"/>
      <w:lvlText w:val="%1."/>
      <w:lvlJc w:val="left"/>
      <w:pPr>
        <w:ind w:left="927" w:hanging="360"/>
      </w:pPr>
      <w:rPr>
        <w:rFonts w:eastAsia="+mn-e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nsid w:val="7B51314C"/>
    <w:multiLevelType w:val="hybridMultilevel"/>
    <w:tmpl w:val="E2AA24F6"/>
    <w:lvl w:ilvl="0" w:tplc="A02C63E0">
      <w:start w:val="1"/>
      <w:numFmt w:val="bullet"/>
      <w:lvlText w:val=""/>
      <w:lvlJc w:val="left"/>
      <w:pPr>
        <w:ind w:left="720" w:hanging="360"/>
      </w:pPr>
      <w:rPr>
        <w:rFonts w:ascii="Symbol" w:hAnsi="Symbol" w:hint="default"/>
        <w:sz w:val="16"/>
        <w14:ligatures w14:val="none"/>
        <w14:numForm w14:val="default"/>
        <w14:numSpacing w14:val="default"/>
        <w14:stylisticSets/>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C813537"/>
    <w:multiLevelType w:val="hybridMultilevel"/>
    <w:tmpl w:val="9BF46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18"/>
  </w:num>
  <w:num w:numId="3">
    <w:abstractNumId w:val="35"/>
  </w:num>
  <w:num w:numId="4">
    <w:abstractNumId w:val="16"/>
  </w:num>
  <w:num w:numId="5">
    <w:abstractNumId w:val="17"/>
  </w:num>
  <w:num w:numId="6">
    <w:abstractNumId w:val="12"/>
  </w:num>
  <w:num w:numId="7">
    <w:abstractNumId w:val="2"/>
  </w:num>
  <w:num w:numId="8">
    <w:abstractNumId w:val="1"/>
  </w:num>
  <w:num w:numId="9">
    <w:abstractNumId w:val="34"/>
  </w:num>
  <w:num w:numId="10">
    <w:abstractNumId w:val="42"/>
  </w:num>
  <w:num w:numId="11">
    <w:abstractNumId w:val="13"/>
  </w:num>
  <w:num w:numId="12">
    <w:abstractNumId w:val="38"/>
  </w:num>
  <w:num w:numId="13">
    <w:abstractNumId w:val="27"/>
  </w:num>
  <w:num w:numId="14">
    <w:abstractNumId w:val="36"/>
  </w:num>
  <w:num w:numId="15">
    <w:abstractNumId w:val="31"/>
  </w:num>
  <w:num w:numId="16">
    <w:abstractNumId w:val="43"/>
  </w:num>
  <w:num w:numId="17">
    <w:abstractNumId w:val="26"/>
  </w:num>
  <w:num w:numId="18">
    <w:abstractNumId w:val="4"/>
  </w:num>
  <w:num w:numId="19">
    <w:abstractNumId w:val="15"/>
  </w:num>
  <w:num w:numId="20">
    <w:abstractNumId w:val="8"/>
  </w:num>
  <w:num w:numId="21">
    <w:abstractNumId w:val="46"/>
  </w:num>
  <w:num w:numId="22">
    <w:abstractNumId w:val="44"/>
  </w:num>
  <w:num w:numId="23">
    <w:abstractNumId w:val="23"/>
  </w:num>
  <w:num w:numId="24">
    <w:abstractNumId w:val="33"/>
  </w:num>
  <w:num w:numId="25">
    <w:abstractNumId w:val="29"/>
  </w:num>
  <w:num w:numId="26">
    <w:abstractNumId w:val="7"/>
  </w:num>
  <w:num w:numId="27">
    <w:abstractNumId w:val="9"/>
  </w:num>
  <w:num w:numId="28">
    <w:abstractNumId w:val="37"/>
  </w:num>
  <w:num w:numId="29">
    <w:abstractNumId w:val="25"/>
  </w:num>
  <w:num w:numId="30">
    <w:abstractNumId w:val="6"/>
  </w:num>
  <w:num w:numId="31">
    <w:abstractNumId w:val="22"/>
  </w:num>
  <w:num w:numId="32">
    <w:abstractNumId w:val="14"/>
  </w:num>
  <w:num w:numId="33">
    <w:abstractNumId w:val="30"/>
  </w:num>
  <w:num w:numId="34">
    <w:abstractNumId w:val="45"/>
  </w:num>
  <w:num w:numId="35">
    <w:abstractNumId w:val="39"/>
  </w:num>
  <w:num w:numId="36">
    <w:abstractNumId w:val="20"/>
  </w:num>
  <w:num w:numId="37">
    <w:abstractNumId w:val="5"/>
  </w:num>
  <w:num w:numId="38">
    <w:abstractNumId w:val="3"/>
  </w:num>
  <w:num w:numId="39">
    <w:abstractNumId w:val="11"/>
  </w:num>
  <w:num w:numId="40">
    <w:abstractNumId w:val="28"/>
  </w:num>
  <w:num w:numId="41">
    <w:abstractNumId w:val="21"/>
  </w:num>
  <w:num w:numId="42">
    <w:abstractNumId w:val="32"/>
  </w:num>
  <w:num w:numId="43">
    <w:abstractNumId w:val="0"/>
  </w:num>
  <w:num w:numId="44">
    <w:abstractNumId w:val="10"/>
  </w:num>
  <w:num w:numId="45">
    <w:abstractNumId w:val="19"/>
  </w:num>
  <w:num w:numId="46">
    <w:abstractNumId w:val="24"/>
  </w:num>
  <w:num w:numId="47">
    <w:abstractNumId w:val="47"/>
  </w:num>
  <w:num w:numId="4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F9"/>
    <w:rsid w:val="000009AE"/>
    <w:rsid w:val="00000AF2"/>
    <w:rsid w:val="0000106D"/>
    <w:rsid w:val="0000142D"/>
    <w:rsid w:val="000015E8"/>
    <w:rsid w:val="00001704"/>
    <w:rsid w:val="00001876"/>
    <w:rsid w:val="00002A7F"/>
    <w:rsid w:val="0000430D"/>
    <w:rsid w:val="00004960"/>
    <w:rsid w:val="000065ED"/>
    <w:rsid w:val="00006FE7"/>
    <w:rsid w:val="00007E65"/>
    <w:rsid w:val="00011C18"/>
    <w:rsid w:val="00012725"/>
    <w:rsid w:val="00013CFD"/>
    <w:rsid w:val="00015ADE"/>
    <w:rsid w:val="00016CDE"/>
    <w:rsid w:val="000171BB"/>
    <w:rsid w:val="00017857"/>
    <w:rsid w:val="0002135C"/>
    <w:rsid w:val="00023CA6"/>
    <w:rsid w:val="000244B5"/>
    <w:rsid w:val="0002470D"/>
    <w:rsid w:val="00024B49"/>
    <w:rsid w:val="00024CD8"/>
    <w:rsid w:val="00026108"/>
    <w:rsid w:val="000262C7"/>
    <w:rsid w:val="000268D5"/>
    <w:rsid w:val="0003064F"/>
    <w:rsid w:val="00031AAA"/>
    <w:rsid w:val="00031F3E"/>
    <w:rsid w:val="00032401"/>
    <w:rsid w:val="00034424"/>
    <w:rsid w:val="00035D45"/>
    <w:rsid w:val="0003719B"/>
    <w:rsid w:val="0004186F"/>
    <w:rsid w:val="000438C7"/>
    <w:rsid w:val="00043CEA"/>
    <w:rsid w:val="00044C4E"/>
    <w:rsid w:val="00046F92"/>
    <w:rsid w:val="0005263B"/>
    <w:rsid w:val="00052A6E"/>
    <w:rsid w:val="000541DE"/>
    <w:rsid w:val="00055259"/>
    <w:rsid w:val="00055706"/>
    <w:rsid w:val="00057832"/>
    <w:rsid w:val="0006174C"/>
    <w:rsid w:val="00061ED5"/>
    <w:rsid w:val="00062F79"/>
    <w:rsid w:val="00064480"/>
    <w:rsid w:val="000648F1"/>
    <w:rsid w:val="0006531E"/>
    <w:rsid w:val="000725C0"/>
    <w:rsid w:val="000728C1"/>
    <w:rsid w:val="0007627A"/>
    <w:rsid w:val="00076FF4"/>
    <w:rsid w:val="00077F6F"/>
    <w:rsid w:val="00081C80"/>
    <w:rsid w:val="00081D87"/>
    <w:rsid w:val="00082246"/>
    <w:rsid w:val="00082E41"/>
    <w:rsid w:val="00083686"/>
    <w:rsid w:val="00084AE1"/>
    <w:rsid w:val="00087787"/>
    <w:rsid w:val="00087883"/>
    <w:rsid w:val="00090890"/>
    <w:rsid w:val="00090DF6"/>
    <w:rsid w:val="00091BB8"/>
    <w:rsid w:val="00091C3D"/>
    <w:rsid w:val="00091CC5"/>
    <w:rsid w:val="00093237"/>
    <w:rsid w:val="00094C17"/>
    <w:rsid w:val="00096D67"/>
    <w:rsid w:val="00097165"/>
    <w:rsid w:val="000A11A6"/>
    <w:rsid w:val="000A2054"/>
    <w:rsid w:val="000A3A53"/>
    <w:rsid w:val="000A4E60"/>
    <w:rsid w:val="000A77FF"/>
    <w:rsid w:val="000B0C5C"/>
    <w:rsid w:val="000B21D4"/>
    <w:rsid w:val="000B345A"/>
    <w:rsid w:val="000B7269"/>
    <w:rsid w:val="000C0A0B"/>
    <w:rsid w:val="000C10A9"/>
    <w:rsid w:val="000C16F4"/>
    <w:rsid w:val="000C2B8E"/>
    <w:rsid w:val="000C4C8C"/>
    <w:rsid w:val="000C551A"/>
    <w:rsid w:val="000C5B99"/>
    <w:rsid w:val="000C5D41"/>
    <w:rsid w:val="000C68D9"/>
    <w:rsid w:val="000C7B00"/>
    <w:rsid w:val="000D0096"/>
    <w:rsid w:val="000D04B1"/>
    <w:rsid w:val="000D2AC2"/>
    <w:rsid w:val="000D471A"/>
    <w:rsid w:val="000D621F"/>
    <w:rsid w:val="000D7115"/>
    <w:rsid w:val="000D73DA"/>
    <w:rsid w:val="000E0086"/>
    <w:rsid w:val="000E52BD"/>
    <w:rsid w:val="000E5D75"/>
    <w:rsid w:val="000E6F22"/>
    <w:rsid w:val="000E7269"/>
    <w:rsid w:val="000E7449"/>
    <w:rsid w:val="000F2064"/>
    <w:rsid w:val="000F3A76"/>
    <w:rsid w:val="000F3B2C"/>
    <w:rsid w:val="000F467F"/>
    <w:rsid w:val="000F64C4"/>
    <w:rsid w:val="000F6742"/>
    <w:rsid w:val="000F6EC6"/>
    <w:rsid w:val="00100BB5"/>
    <w:rsid w:val="001031F5"/>
    <w:rsid w:val="00106CDA"/>
    <w:rsid w:val="0010732A"/>
    <w:rsid w:val="001074E1"/>
    <w:rsid w:val="00107F5A"/>
    <w:rsid w:val="00111A5D"/>
    <w:rsid w:val="00111B87"/>
    <w:rsid w:val="001132FD"/>
    <w:rsid w:val="001137B1"/>
    <w:rsid w:val="00114211"/>
    <w:rsid w:val="0011526A"/>
    <w:rsid w:val="001164CC"/>
    <w:rsid w:val="001212FF"/>
    <w:rsid w:val="001215A6"/>
    <w:rsid w:val="00121C25"/>
    <w:rsid w:val="00122868"/>
    <w:rsid w:val="00123742"/>
    <w:rsid w:val="00123E83"/>
    <w:rsid w:val="0012470F"/>
    <w:rsid w:val="001248CF"/>
    <w:rsid w:val="0012580C"/>
    <w:rsid w:val="00126BBD"/>
    <w:rsid w:val="0012780E"/>
    <w:rsid w:val="0012790C"/>
    <w:rsid w:val="00130E12"/>
    <w:rsid w:val="00130E9B"/>
    <w:rsid w:val="00130F9B"/>
    <w:rsid w:val="001310BF"/>
    <w:rsid w:val="00131F57"/>
    <w:rsid w:val="00131F81"/>
    <w:rsid w:val="00132356"/>
    <w:rsid w:val="00133D05"/>
    <w:rsid w:val="00135528"/>
    <w:rsid w:val="0013557E"/>
    <w:rsid w:val="001356C8"/>
    <w:rsid w:val="00135C47"/>
    <w:rsid w:val="001374DE"/>
    <w:rsid w:val="00142EDF"/>
    <w:rsid w:val="0014384D"/>
    <w:rsid w:val="00143E77"/>
    <w:rsid w:val="001440C1"/>
    <w:rsid w:val="00144C73"/>
    <w:rsid w:val="00146A91"/>
    <w:rsid w:val="001502F3"/>
    <w:rsid w:val="00151F3E"/>
    <w:rsid w:val="00152542"/>
    <w:rsid w:val="001533B0"/>
    <w:rsid w:val="0015364D"/>
    <w:rsid w:val="00155078"/>
    <w:rsid w:val="001562C9"/>
    <w:rsid w:val="0015671B"/>
    <w:rsid w:val="001568E2"/>
    <w:rsid w:val="00157D87"/>
    <w:rsid w:val="00157ED2"/>
    <w:rsid w:val="00157FF6"/>
    <w:rsid w:val="0016099D"/>
    <w:rsid w:val="0016115B"/>
    <w:rsid w:val="00162C08"/>
    <w:rsid w:val="00162DC2"/>
    <w:rsid w:val="0016355B"/>
    <w:rsid w:val="00163C2C"/>
    <w:rsid w:val="00165F47"/>
    <w:rsid w:val="00167F49"/>
    <w:rsid w:val="00172D3D"/>
    <w:rsid w:val="001734C8"/>
    <w:rsid w:val="00173754"/>
    <w:rsid w:val="001743EA"/>
    <w:rsid w:val="00175A04"/>
    <w:rsid w:val="001761AC"/>
    <w:rsid w:val="00176ADE"/>
    <w:rsid w:val="00177BAB"/>
    <w:rsid w:val="00177C92"/>
    <w:rsid w:val="00180992"/>
    <w:rsid w:val="001819E2"/>
    <w:rsid w:val="00183564"/>
    <w:rsid w:val="001840E2"/>
    <w:rsid w:val="0018443E"/>
    <w:rsid w:val="00184A3A"/>
    <w:rsid w:val="00185180"/>
    <w:rsid w:val="00185408"/>
    <w:rsid w:val="001856BA"/>
    <w:rsid w:val="00191389"/>
    <w:rsid w:val="001921C6"/>
    <w:rsid w:val="0019285C"/>
    <w:rsid w:val="0019382D"/>
    <w:rsid w:val="0019503C"/>
    <w:rsid w:val="00196830"/>
    <w:rsid w:val="001A0E6A"/>
    <w:rsid w:val="001A31B3"/>
    <w:rsid w:val="001A3C3E"/>
    <w:rsid w:val="001A3EEB"/>
    <w:rsid w:val="001A6A63"/>
    <w:rsid w:val="001A738C"/>
    <w:rsid w:val="001A7C16"/>
    <w:rsid w:val="001B053C"/>
    <w:rsid w:val="001B3914"/>
    <w:rsid w:val="001B4190"/>
    <w:rsid w:val="001B54BB"/>
    <w:rsid w:val="001B651A"/>
    <w:rsid w:val="001B65B2"/>
    <w:rsid w:val="001B6D65"/>
    <w:rsid w:val="001B7B43"/>
    <w:rsid w:val="001C0E0C"/>
    <w:rsid w:val="001C13F4"/>
    <w:rsid w:val="001C1D49"/>
    <w:rsid w:val="001C2638"/>
    <w:rsid w:val="001C3BFA"/>
    <w:rsid w:val="001C446E"/>
    <w:rsid w:val="001C56D3"/>
    <w:rsid w:val="001C6188"/>
    <w:rsid w:val="001C798E"/>
    <w:rsid w:val="001D0899"/>
    <w:rsid w:val="001D0A57"/>
    <w:rsid w:val="001D19A8"/>
    <w:rsid w:val="001D1E36"/>
    <w:rsid w:val="001D2BE6"/>
    <w:rsid w:val="001D3CF2"/>
    <w:rsid w:val="001D45BE"/>
    <w:rsid w:val="001D75B2"/>
    <w:rsid w:val="001E09CA"/>
    <w:rsid w:val="001E1A95"/>
    <w:rsid w:val="001E2637"/>
    <w:rsid w:val="001E2A86"/>
    <w:rsid w:val="001E3407"/>
    <w:rsid w:val="001E3C2B"/>
    <w:rsid w:val="001E4726"/>
    <w:rsid w:val="001E58B3"/>
    <w:rsid w:val="001E71BD"/>
    <w:rsid w:val="001E78B4"/>
    <w:rsid w:val="001E7A58"/>
    <w:rsid w:val="001F03F5"/>
    <w:rsid w:val="001F1252"/>
    <w:rsid w:val="001F2980"/>
    <w:rsid w:val="001F45AD"/>
    <w:rsid w:val="001F556B"/>
    <w:rsid w:val="001F723C"/>
    <w:rsid w:val="001F798C"/>
    <w:rsid w:val="0020052E"/>
    <w:rsid w:val="002006D4"/>
    <w:rsid w:val="00200ED7"/>
    <w:rsid w:val="00201CA9"/>
    <w:rsid w:val="00203040"/>
    <w:rsid w:val="00205F6B"/>
    <w:rsid w:val="00207594"/>
    <w:rsid w:val="00212905"/>
    <w:rsid w:val="00213950"/>
    <w:rsid w:val="00213DF9"/>
    <w:rsid w:val="00214C7B"/>
    <w:rsid w:val="00215390"/>
    <w:rsid w:val="0021588B"/>
    <w:rsid w:val="00215B6B"/>
    <w:rsid w:val="002201F0"/>
    <w:rsid w:val="00220647"/>
    <w:rsid w:val="002224FC"/>
    <w:rsid w:val="00222D14"/>
    <w:rsid w:val="00222E37"/>
    <w:rsid w:val="00222F9E"/>
    <w:rsid w:val="00223F41"/>
    <w:rsid w:val="0022504B"/>
    <w:rsid w:val="0022543A"/>
    <w:rsid w:val="002265CD"/>
    <w:rsid w:val="00230B95"/>
    <w:rsid w:val="002323AE"/>
    <w:rsid w:val="0023358A"/>
    <w:rsid w:val="002337A6"/>
    <w:rsid w:val="00234516"/>
    <w:rsid w:val="00235845"/>
    <w:rsid w:val="00235D7E"/>
    <w:rsid w:val="002372B5"/>
    <w:rsid w:val="0024142C"/>
    <w:rsid w:val="0024192E"/>
    <w:rsid w:val="00241FFA"/>
    <w:rsid w:val="002424B6"/>
    <w:rsid w:val="0024255F"/>
    <w:rsid w:val="0024405B"/>
    <w:rsid w:val="0024409B"/>
    <w:rsid w:val="00244734"/>
    <w:rsid w:val="00244CFB"/>
    <w:rsid w:val="00246C5E"/>
    <w:rsid w:val="00246F44"/>
    <w:rsid w:val="00247D03"/>
    <w:rsid w:val="00251394"/>
    <w:rsid w:val="00251EE2"/>
    <w:rsid w:val="00252C0C"/>
    <w:rsid w:val="002530F4"/>
    <w:rsid w:val="0025412D"/>
    <w:rsid w:val="002543AE"/>
    <w:rsid w:val="00254967"/>
    <w:rsid w:val="00254D4C"/>
    <w:rsid w:val="00255B25"/>
    <w:rsid w:val="002568AE"/>
    <w:rsid w:val="00256A92"/>
    <w:rsid w:val="00256FE8"/>
    <w:rsid w:val="00260E68"/>
    <w:rsid w:val="00262184"/>
    <w:rsid w:val="00265C83"/>
    <w:rsid w:val="0026687A"/>
    <w:rsid w:val="00266E3E"/>
    <w:rsid w:val="00267630"/>
    <w:rsid w:val="00272CDD"/>
    <w:rsid w:val="00272EC2"/>
    <w:rsid w:val="0027323B"/>
    <w:rsid w:val="00274E87"/>
    <w:rsid w:val="00274E99"/>
    <w:rsid w:val="002757E1"/>
    <w:rsid w:val="00276FCE"/>
    <w:rsid w:val="0027745E"/>
    <w:rsid w:val="00281678"/>
    <w:rsid w:val="00281AC0"/>
    <w:rsid w:val="00283F81"/>
    <w:rsid w:val="00284B79"/>
    <w:rsid w:val="00285668"/>
    <w:rsid w:val="00285AFE"/>
    <w:rsid w:val="002862CE"/>
    <w:rsid w:val="00286B97"/>
    <w:rsid w:val="00286C5D"/>
    <w:rsid w:val="002877D1"/>
    <w:rsid w:val="00292A0D"/>
    <w:rsid w:val="00292F94"/>
    <w:rsid w:val="00293042"/>
    <w:rsid w:val="002951E4"/>
    <w:rsid w:val="002955F7"/>
    <w:rsid w:val="002A0E5B"/>
    <w:rsid w:val="002A1CD2"/>
    <w:rsid w:val="002A347E"/>
    <w:rsid w:val="002A3F7F"/>
    <w:rsid w:val="002A4D40"/>
    <w:rsid w:val="002A6B8B"/>
    <w:rsid w:val="002A6EAE"/>
    <w:rsid w:val="002A7A3E"/>
    <w:rsid w:val="002B0A9F"/>
    <w:rsid w:val="002B0B38"/>
    <w:rsid w:val="002B1818"/>
    <w:rsid w:val="002B1918"/>
    <w:rsid w:val="002B2DDD"/>
    <w:rsid w:val="002B6BA0"/>
    <w:rsid w:val="002B7295"/>
    <w:rsid w:val="002B79DE"/>
    <w:rsid w:val="002B7B1F"/>
    <w:rsid w:val="002C00DA"/>
    <w:rsid w:val="002C041F"/>
    <w:rsid w:val="002C0E8F"/>
    <w:rsid w:val="002C22C1"/>
    <w:rsid w:val="002C25A6"/>
    <w:rsid w:val="002C563A"/>
    <w:rsid w:val="002D1D79"/>
    <w:rsid w:val="002D2178"/>
    <w:rsid w:val="002D3E62"/>
    <w:rsid w:val="002D4C7B"/>
    <w:rsid w:val="002D5208"/>
    <w:rsid w:val="002E09B1"/>
    <w:rsid w:val="002E0AF5"/>
    <w:rsid w:val="002E13B9"/>
    <w:rsid w:val="002E199D"/>
    <w:rsid w:val="002E42AB"/>
    <w:rsid w:val="002E643E"/>
    <w:rsid w:val="002E7D7F"/>
    <w:rsid w:val="002F0C84"/>
    <w:rsid w:val="002F2E58"/>
    <w:rsid w:val="002F34A1"/>
    <w:rsid w:val="002F3709"/>
    <w:rsid w:val="002F4357"/>
    <w:rsid w:val="002F48C7"/>
    <w:rsid w:val="002F629D"/>
    <w:rsid w:val="002F6749"/>
    <w:rsid w:val="002F78B9"/>
    <w:rsid w:val="002F7DB4"/>
    <w:rsid w:val="00302416"/>
    <w:rsid w:val="00302BC4"/>
    <w:rsid w:val="00302FEC"/>
    <w:rsid w:val="003034B6"/>
    <w:rsid w:val="00303EB6"/>
    <w:rsid w:val="0030513C"/>
    <w:rsid w:val="00305A64"/>
    <w:rsid w:val="003062FD"/>
    <w:rsid w:val="003064F4"/>
    <w:rsid w:val="0030726E"/>
    <w:rsid w:val="00307691"/>
    <w:rsid w:val="00310CD0"/>
    <w:rsid w:val="0031140C"/>
    <w:rsid w:val="00312CF2"/>
    <w:rsid w:val="00312E70"/>
    <w:rsid w:val="00312E71"/>
    <w:rsid w:val="0031375F"/>
    <w:rsid w:val="0031639F"/>
    <w:rsid w:val="00316E04"/>
    <w:rsid w:val="00317184"/>
    <w:rsid w:val="003208BF"/>
    <w:rsid w:val="00320E6A"/>
    <w:rsid w:val="003210E1"/>
    <w:rsid w:val="003221BF"/>
    <w:rsid w:val="00322353"/>
    <w:rsid w:val="00326048"/>
    <w:rsid w:val="00326334"/>
    <w:rsid w:val="00326E01"/>
    <w:rsid w:val="0032750D"/>
    <w:rsid w:val="003309ED"/>
    <w:rsid w:val="0033124A"/>
    <w:rsid w:val="00331AB6"/>
    <w:rsid w:val="00332EDD"/>
    <w:rsid w:val="00333B3B"/>
    <w:rsid w:val="003363EA"/>
    <w:rsid w:val="003378D1"/>
    <w:rsid w:val="0034081A"/>
    <w:rsid w:val="0034095E"/>
    <w:rsid w:val="00343040"/>
    <w:rsid w:val="003438EF"/>
    <w:rsid w:val="00343B7B"/>
    <w:rsid w:val="00343E77"/>
    <w:rsid w:val="00344E49"/>
    <w:rsid w:val="0034522E"/>
    <w:rsid w:val="003465BD"/>
    <w:rsid w:val="00346D52"/>
    <w:rsid w:val="0035046B"/>
    <w:rsid w:val="00351911"/>
    <w:rsid w:val="00351B5E"/>
    <w:rsid w:val="003529BB"/>
    <w:rsid w:val="0035305A"/>
    <w:rsid w:val="0035368D"/>
    <w:rsid w:val="003560A8"/>
    <w:rsid w:val="00357EA5"/>
    <w:rsid w:val="00360B90"/>
    <w:rsid w:val="003618C0"/>
    <w:rsid w:val="00362984"/>
    <w:rsid w:val="00362BCB"/>
    <w:rsid w:val="00363340"/>
    <w:rsid w:val="003647AF"/>
    <w:rsid w:val="0036634F"/>
    <w:rsid w:val="00366D9A"/>
    <w:rsid w:val="00367DFF"/>
    <w:rsid w:val="00370EA5"/>
    <w:rsid w:val="00372370"/>
    <w:rsid w:val="00373D73"/>
    <w:rsid w:val="003749D6"/>
    <w:rsid w:val="003765ED"/>
    <w:rsid w:val="00376990"/>
    <w:rsid w:val="0037762C"/>
    <w:rsid w:val="00382F9D"/>
    <w:rsid w:val="00385363"/>
    <w:rsid w:val="0038565A"/>
    <w:rsid w:val="0038568A"/>
    <w:rsid w:val="00385792"/>
    <w:rsid w:val="00385DD2"/>
    <w:rsid w:val="0038717F"/>
    <w:rsid w:val="003875CD"/>
    <w:rsid w:val="00387B35"/>
    <w:rsid w:val="00390222"/>
    <w:rsid w:val="003915B0"/>
    <w:rsid w:val="00391868"/>
    <w:rsid w:val="00393B91"/>
    <w:rsid w:val="00395A37"/>
    <w:rsid w:val="00395AAB"/>
    <w:rsid w:val="0039716D"/>
    <w:rsid w:val="003979CC"/>
    <w:rsid w:val="00397F1D"/>
    <w:rsid w:val="003A0CA0"/>
    <w:rsid w:val="003A3CAF"/>
    <w:rsid w:val="003A419E"/>
    <w:rsid w:val="003A5A2C"/>
    <w:rsid w:val="003A5FE3"/>
    <w:rsid w:val="003A6212"/>
    <w:rsid w:val="003B00BB"/>
    <w:rsid w:val="003B0257"/>
    <w:rsid w:val="003B044A"/>
    <w:rsid w:val="003B0CBB"/>
    <w:rsid w:val="003B169F"/>
    <w:rsid w:val="003B25D2"/>
    <w:rsid w:val="003B2AF3"/>
    <w:rsid w:val="003B364A"/>
    <w:rsid w:val="003B3CA1"/>
    <w:rsid w:val="003B4694"/>
    <w:rsid w:val="003B4C63"/>
    <w:rsid w:val="003B52DA"/>
    <w:rsid w:val="003B5F54"/>
    <w:rsid w:val="003C1DBF"/>
    <w:rsid w:val="003C2064"/>
    <w:rsid w:val="003C24AB"/>
    <w:rsid w:val="003C2981"/>
    <w:rsid w:val="003C4E4D"/>
    <w:rsid w:val="003D1D0C"/>
    <w:rsid w:val="003D26E0"/>
    <w:rsid w:val="003D55B3"/>
    <w:rsid w:val="003D5B86"/>
    <w:rsid w:val="003D6107"/>
    <w:rsid w:val="003D6743"/>
    <w:rsid w:val="003E0A4C"/>
    <w:rsid w:val="003E0E0B"/>
    <w:rsid w:val="003E37C2"/>
    <w:rsid w:val="003E3EBE"/>
    <w:rsid w:val="003E502D"/>
    <w:rsid w:val="003E52FD"/>
    <w:rsid w:val="003E6D2A"/>
    <w:rsid w:val="003E727B"/>
    <w:rsid w:val="003E73F2"/>
    <w:rsid w:val="003F1D67"/>
    <w:rsid w:val="003F2027"/>
    <w:rsid w:val="003F2703"/>
    <w:rsid w:val="003F617C"/>
    <w:rsid w:val="00400FDA"/>
    <w:rsid w:val="00401069"/>
    <w:rsid w:val="00402BC1"/>
    <w:rsid w:val="00405A68"/>
    <w:rsid w:val="0040652D"/>
    <w:rsid w:val="00406C68"/>
    <w:rsid w:val="004076AF"/>
    <w:rsid w:val="00407756"/>
    <w:rsid w:val="004105F7"/>
    <w:rsid w:val="00410C16"/>
    <w:rsid w:val="004113E6"/>
    <w:rsid w:val="00411422"/>
    <w:rsid w:val="00411561"/>
    <w:rsid w:val="004116CA"/>
    <w:rsid w:val="00412CD6"/>
    <w:rsid w:val="00413413"/>
    <w:rsid w:val="00413684"/>
    <w:rsid w:val="00413D88"/>
    <w:rsid w:val="00415303"/>
    <w:rsid w:val="00415753"/>
    <w:rsid w:val="00415D10"/>
    <w:rsid w:val="00420918"/>
    <w:rsid w:val="0042091E"/>
    <w:rsid w:val="004218F2"/>
    <w:rsid w:val="004221F7"/>
    <w:rsid w:val="004234C1"/>
    <w:rsid w:val="004238FD"/>
    <w:rsid w:val="00425D79"/>
    <w:rsid w:val="004263E5"/>
    <w:rsid w:val="00426B8C"/>
    <w:rsid w:val="0042725F"/>
    <w:rsid w:val="00430802"/>
    <w:rsid w:val="00431DC0"/>
    <w:rsid w:val="004320B0"/>
    <w:rsid w:val="00432809"/>
    <w:rsid w:val="00433453"/>
    <w:rsid w:val="0043457F"/>
    <w:rsid w:val="00435483"/>
    <w:rsid w:val="00435F48"/>
    <w:rsid w:val="00436EBF"/>
    <w:rsid w:val="004416BA"/>
    <w:rsid w:val="0044299E"/>
    <w:rsid w:val="00442ED1"/>
    <w:rsid w:val="00444DD3"/>
    <w:rsid w:val="004464A8"/>
    <w:rsid w:val="004468AA"/>
    <w:rsid w:val="0044691E"/>
    <w:rsid w:val="00450E4B"/>
    <w:rsid w:val="00452979"/>
    <w:rsid w:val="004540BB"/>
    <w:rsid w:val="004554C2"/>
    <w:rsid w:val="0045673D"/>
    <w:rsid w:val="00457033"/>
    <w:rsid w:val="00457D25"/>
    <w:rsid w:val="00461EA7"/>
    <w:rsid w:val="004627EB"/>
    <w:rsid w:val="004628F2"/>
    <w:rsid w:val="00462F34"/>
    <w:rsid w:val="0046338C"/>
    <w:rsid w:val="00463531"/>
    <w:rsid w:val="0046428A"/>
    <w:rsid w:val="00467706"/>
    <w:rsid w:val="0047046F"/>
    <w:rsid w:val="00471654"/>
    <w:rsid w:val="00472091"/>
    <w:rsid w:val="00473071"/>
    <w:rsid w:val="0047451E"/>
    <w:rsid w:val="004748E7"/>
    <w:rsid w:val="00480FE1"/>
    <w:rsid w:val="00482592"/>
    <w:rsid w:val="00482B45"/>
    <w:rsid w:val="00483304"/>
    <w:rsid w:val="00484913"/>
    <w:rsid w:val="00486712"/>
    <w:rsid w:val="004877A6"/>
    <w:rsid w:val="00487EDC"/>
    <w:rsid w:val="0049040A"/>
    <w:rsid w:val="00490E84"/>
    <w:rsid w:val="004918CF"/>
    <w:rsid w:val="00492982"/>
    <w:rsid w:val="00492AA6"/>
    <w:rsid w:val="00494C70"/>
    <w:rsid w:val="00495905"/>
    <w:rsid w:val="00495A4D"/>
    <w:rsid w:val="00495E7F"/>
    <w:rsid w:val="00496928"/>
    <w:rsid w:val="004A037E"/>
    <w:rsid w:val="004A12F8"/>
    <w:rsid w:val="004A14BF"/>
    <w:rsid w:val="004A2DEB"/>
    <w:rsid w:val="004A4384"/>
    <w:rsid w:val="004A5120"/>
    <w:rsid w:val="004A51A7"/>
    <w:rsid w:val="004A60D7"/>
    <w:rsid w:val="004A6D7F"/>
    <w:rsid w:val="004A7D91"/>
    <w:rsid w:val="004B011D"/>
    <w:rsid w:val="004B0195"/>
    <w:rsid w:val="004B0B0F"/>
    <w:rsid w:val="004B0EFB"/>
    <w:rsid w:val="004B1030"/>
    <w:rsid w:val="004B2C9A"/>
    <w:rsid w:val="004B34A5"/>
    <w:rsid w:val="004B4249"/>
    <w:rsid w:val="004B444F"/>
    <w:rsid w:val="004B464D"/>
    <w:rsid w:val="004B4AF5"/>
    <w:rsid w:val="004B526B"/>
    <w:rsid w:val="004B6F64"/>
    <w:rsid w:val="004B77BD"/>
    <w:rsid w:val="004C03BB"/>
    <w:rsid w:val="004C0BC3"/>
    <w:rsid w:val="004C2962"/>
    <w:rsid w:val="004C3994"/>
    <w:rsid w:val="004C4C8D"/>
    <w:rsid w:val="004C5C33"/>
    <w:rsid w:val="004C71E7"/>
    <w:rsid w:val="004C7AA4"/>
    <w:rsid w:val="004C7B0A"/>
    <w:rsid w:val="004D0F15"/>
    <w:rsid w:val="004D1161"/>
    <w:rsid w:val="004D17F7"/>
    <w:rsid w:val="004D201B"/>
    <w:rsid w:val="004D36FA"/>
    <w:rsid w:val="004D49D2"/>
    <w:rsid w:val="004D52EB"/>
    <w:rsid w:val="004D6093"/>
    <w:rsid w:val="004D6851"/>
    <w:rsid w:val="004D6C53"/>
    <w:rsid w:val="004D7155"/>
    <w:rsid w:val="004D7DAB"/>
    <w:rsid w:val="004D7FF1"/>
    <w:rsid w:val="004E0ABE"/>
    <w:rsid w:val="004E1765"/>
    <w:rsid w:val="004E350A"/>
    <w:rsid w:val="004E3F80"/>
    <w:rsid w:val="004E6438"/>
    <w:rsid w:val="004E64CD"/>
    <w:rsid w:val="004E6773"/>
    <w:rsid w:val="004E75B9"/>
    <w:rsid w:val="004F15D8"/>
    <w:rsid w:val="004F1C44"/>
    <w:rsid w:val="004F1EA8"/>
    <w:rsid w:val="004F1FDB"/>
    <w:rsid w:val="004F352B"/>
    <w:rsid w:val="004F438A"/>
    <w:rsid w:val="004F46FC"/>
    <w:rsid w:val="004F615C"/>
    <w:rsid w:val="004F78F5"/>
    <w:rsid w:val="0050019E"/>
    <w:rsid w:val="00500B44"/>
    <w:rsid w:val="00501BB0"/>
    <w:rsid w:val="00502E75"/>
    <w:rsid w:val="00504DCF"/>
    <w:rsid w:val="0050598E"/>
    <w:rsid w:val="00506CE1"/>
    <w:rsid w:val="00511227"/>
    <w:rsid w:val="00511EB9"/>
    <w:rsid w:val="00512467"/>
    <w:rsid w:val="0051337C"/>
    <w:rsid w:val="00514D6C"/>
    <w:rsid w:val="00516B73"/>
    <w:rsid w:val="005172A4"/>
    <w:rsid w:val="005208ED"/>
    <w:rsid w:val="00520F13"/>
    <w:rsid w:val="005215F7"/>
    <w:rsid w:val="0052174B"/>
    <w:rsid w:val="00521C96"/>
    <w:rsid w:val="005229A9"/>
    <w:rsid w:val="00522DDF"/>
    <w:rsid w:val="0052555C"/>
    <w:rsid w:val="00525B27"/>
    <w:rsid w:val="00525B9D"/>
    <w:rsid w:val="005276CB"/>
    <w:rsid w:val="00530EF4"/>
    <w:rsid w:val="0053145C"/>
    <w:rsid w:val="00531952"/>
    <w:rsid w:val="00531B89"/>
    <w:rsid w:val="00534D0F"/>
    <w:rsid w:val="00534F64"/>
    <w:rsid w:val="00536798"/>
    <w:rsid w:val="00537EA7"/>
    <w:rsid w:val="00540C31"/>
    <w:rsid w:val="00541ED5"/>
    <w:rsid w:val="00542101"/>
    <w:rsid w:val="005431C3"/>
    <w:rsid w:val="005437F0"/>
    <w:rsid w:val="005439B8"/>
    <w:rsid w:val="00545CAF"/>
    <w:rsid w:val="00551F76"/>
    <w:rsid w:val="00552661"/>
    <w:rsid w:val="00552ABC"/>
    <w:rsid w:val="00552B20"/>
    <w:rsid w:val="00553200"/>
    <w:rsid w:val="005536BA"/>
    <w:rsid w:val="00554B62"/>
    <w:rsid w:val="0055670E"/>
    <w:rsid w:val="005608FC"/>
    <w:rsid w:val="00560FA4"/>
    <w:rsid w:val="00561346"/>
    <w:rsid w:val="0056331D"/>
    <w:rsid w:val="0056490E"/>
    <w:rsid w:val="005656B0"/>
    <w:rsid w:val="00565C73"/>
    <w:rsid w:val="0056613F"/>
    <w:rsid w:val="005662E6"/>
    <w:rsid w:val="005672B1"/>
    <w:rsid w:val="005708A1"/>
    <w:rsid w:val="00571BA8"/>
    <w:rsid w:val="00572FF8"/>
    <w:rsid w:val="005734F3"/>
    <w:rsid w:val="00576C7F"/>
    <w:rsid w:val="00577514"/>
    <w:rsid w:val="00580C9E"/>
    <w:rsid w:val="00580F93"/>
    <w:rsid w:val="00581B46"/>
    <w:rsid w:val="00582745"/>
    <w:rsid w:val="00582F9C"/>
    <w:rsid w:val="005836F2"/>
    <w:rsid w:val="00587D02"/>
    <w:rsid w:val="00590792"/>
    <w:rsid w:val="00590DCE"/>
    <w:rsid w:val="00590E24"/>
    <w:rsid w:val="005911F2"/>
    <w:rsid w:val="005913A3"/>
    <w:rsid w:val="005915B6"/>
    <w:rsid w:val="00593D9E"/>
    <w:rsid w:val="00594304"/>
    <w:rsid w:val="005945A6"/>
    <w:rsid w:val="005949FD"/>
    <w:rsid w:val="0059582E"/>
    <w:rsid w:val="00597220"/>
    <w:rsid w:val="00597D18"/>
    <w:rsid w:val="005A07CA"/>
    <w:rsid w:val="005A163D"/>
    <w:rsid w:val="005A18B8"/>
    <w:rsid w:val="005A2209"/>
    <w:rsid w:val="005A5266"/>
    <w:rsid w:val="005A67E4"/>
    <w:rsid w:val="005A6B4A"/>
    <w:rsid w:val="005B1E56"/>
    <w:rsid w:val="005B1FF4"/>
    <w:rsid w:val="005B2AD7"/>
    <w:rsid w:val="005B2EC4"/>
    <w:rsid w:val="005B7925"/>
    <w:rsid w:val="005B7A01"/>
    <w:rsid w:val="005C0646"/>
    <w:rsid w:val="005C0CDC"/>
    <w:rsid w:val="005C0DCB"/>
    <w:rsid w:val="005C1518"/>
    <w:rsid w:val="005C1C2B"/>
    <w:rsid w:val="005C1FDA"/>
    <w:rsid w:val="005C2E1B"/>
    <w:rsid w:val="005C2F4B"/>
    <w:rsid w:val="005C37F0"/>
    <w:rsid w:val="005C4E0F"/>
    <w:rsid w:val="005C693E"/>
    <w:rsid w:val="005C6DE3"/>
    <w:rsid w:val="005C6DFA"/>
    <w:rsid w:val="005D058E"/>
    <w:rsid w:val="005D063F"/>
    <w:rsid w:val="005D08FB"/>
    <w:rsid w:val="005D3BD0"/>
    <w:rsid w:val="005D4344"/>
    <w:rsid w:val="005D506A"/>
    <w:rsid w:val="005D6363"/>
    <w:rsid w:val="005D654C"/>
    <w:rsid w:val="005E02A0"/>
    <w:rsid w:val="005E05CF"/>
    <w:rsid w:val="005E073A"/>
    <w:rsid w:val="005E0DA4"/>
    <w:rsid w:val="005E3742"/>
    <w:rsid w:val="005E65E7"/>
    <w:rsid w:val="005E7150"/>
    <w:rsid w:val="005F4008"/>
    <w:rsid w:val="005F4351"/>
    <w:rsid w:val="005F4AF6"/>
    <w:rsid w:val="005F67F2"/>
    <w:rsid w:val="005F70F6"/>
    <w:rsid w:val="005F75C8"/>
    <w:rsid w:val="005F7991"/>
    <w:rsid w:val="00602177"/>
    <w:rsid w:val="006029F5"/>
    <w:rsid w:val="006046E7"/>
    <w:rsid w:val="00604B3A"/>
    <w:rsid w:val="00605203"/>
    <w:rsid w:val="00605D40"/>
    <w:rsid w:val="00606C31"/>
    <w:rsid w:val="006070FC"/>
    <w:rsid w:val="0060776E"/>
    <w:rsid w:val="00611C89"/>
    <w:rsid w:val="006123CC"/>
    <w:rsid w:val="00612855"/>
    <w:rsid w:val="00613D74"/>
    <w:rsid w:val="006141D5"/>
    <w:rsid w:val="006142A1"/>
    <w:rsid w:val="00614EA4"/>
    <w:rsid w:val="0061520D"/>
    <w:rsid w:val="00616960"/>
    <w:rsid w:val="00616AEB"/>
    <w:rsid w:val="00616B18"/>
    <w:rsid w:val="00616C7E"/>
    <w:rsid w:val="0061704D"/>
    <w:rsid w:val="00620C07"/>
    <w:rsid w:val="00621980"/>
    <w:rsid w:val="006219EB"/>
    <w:rsid w:val="006257E3"/>
    <w:rsid w:val="00627547"/>
    <w:rsid w:val="006278DD"/>
    <w:rsid w:val="00627928"/>
    <w:rsid w:val="00630A2E"/>
    <w:rsid w:val="006310F4"/>
    <w:rsid w:val="0063297E"/>
    <w:rsid w:val="006334B0"/>
    <w:rsid w:val="006344B3"/>
    <w:rsid w:val="00634675"/>
    <w:rsid w:val="0063481D"/>
    <w:rsid w:val="006353AA"/>
    <w:rsid w:val="0063717A"/>
    <w:rsid w:val="006375F9"/>
    <w:rsid w:val="00640F28"/>
    <w:rsid w:val="00641E89"/>
    <w:rsid w:val="00644CA8"/>
    <w:rsid w:val="00645CE8"/>
    <w:rsid w:val="006464AE"/>
    <w:rsid w:val="00646935"/>
    <w:rsid w:val="00647F4B"/>
    <w:rsid w:val="0065203C"/>
    <w:rsid w:val="00654903"/>
    <w:rsid w:val="00657440"/>
    <w:rsid w:val="006610F4"/>
    <w:rsid w:val="0066148B"/>
    <w:rsid w:val="006625A8"/>
    <w:rsid w:val="0066345D"/>
    <w:rsid w:val="0066390F"/>
    <w:rsid w:val="0066567D"/>
    <w:rsid w:val="006665C0"/>
    <w:rsid w:val="0066697F"/>
    <w:rsid w:val="0066715E"/>
    <w:rsid w:val="00667530"/>
    <w:rsid w:val="00667F33"/>
    <w:rsid w:val="006719ED"/>
    <w:rsid w:val="00673EE8"/>
    <w:rsid w:val="006747DA"/>
    <w:rsid w:val="00675219"/>
    <w:rsid w:val="00675913"/>
    <w:rsid w:val="00677707"/>
    <w:rsid w:val="0068106A"/>
    <w:rsid w:val="00682454"/>
    <w:rsid w:val="006825C3"/>
    <w:rsid w:val="00687340"/>
    <w:rsid w:val="00687EE4"/>
    <w:rsid w:val="0069099D"/>
    <w:rsid w:val="00690DA9"/>
    <w:rsid w:val="006936A2"/>
    <w:rsid w:val="006951AF"/>
    <w:rsid w:val="006964EF"/>
    <w:rsid w:val="006972AF"/>
    <w:rsid w:val="00697A9E"/>
    <w:rsid w:val="006A1F7F"/>
    <w:rsid w:val="006A5A72"/>
    <w:rsid w:val="006A6505"/>
    <w:rsid w:val="006B2A1A"/>
    <w:rsid w:val="006B35FC"/>
    <w:rsid w:val="006B45EA"/>
    <w:rsid w:val="006B4910"/>
    <w:rsid w:val="006B5684"/>
    <w:rsid w:val="006B7646"/>
    <w:rsid w:val="006C04F9"/>
    <w:rsid w:val="006C1506"/>
    <w:rsid w:val="006C1554"/>
    <w:rsid w:val="006C15EB"/>
    <w:rsid w:val="006C1DCB"/>
    <w:rsid w:val="006C39AE"/>
    <w:rsid w:val="006C480F"/>
    <w:rsid w:val="006C5503"/>
    <w:rsid w:val="006C5561"/>
    <w:rsid w:val="006C5A3F"/>
    <w:rsid w:val="006C6BE2"/>
    <w:rsid w:val="006C73C5"/>
    <w:rsid w:val="006D0E74"/>
    <w:rsid w:val="006D12E4"/>
    <w:rsid w:val="006D13DD"/>
    <w:rsid w:val="006D23AB"/>
    <w:rsid w:val="006D32B5"/>
    <w:rsid w:val="006D4BC6"/>
    <w:rsid w:val="006D59A9"/>
    <w:rsid w:val="006E5375"/>
    <w:rsid w:val="006E65DD"/>
    <w:rsid w:val="006E674C"/>
    <w:rsid w:val="006E744C"/>
    <w:rsid w:val="006F194B"/>
    <w:rsid w:val="006F2DEF"/>
    <w:rsid w:val="006F2F51"/>
    <w:rsid w:val="006F3506"/>
    <w:rsid w:val="006F3694"/>
    <w:rsid w:val="006F60EB"/>
    <w:rsid w:val="006F63CC"/>
    <w:rsid w:val="006F64E2"/>
    <w:rsid w:val="006F6993"/>
    <w:rsid w:val="006F6BB1"/>
    <w:rsid w:val="006F6BBE"/>
    <w:rsid w:val="00701CC6"/>
    <w:rsid w:val="00702A2D"/>
    <w:rsid w:val="00702D5B"/>
    <w:rsid w:val="00703A52"/>
    <w:rsid w:val="00707195"/>
    <w:rsid w:val="00707C8C"/>
    <w:rsid w:val="00711ECB"/>
    <w:rsid w:val="00712446"/>
    <w:rsid w:val="007129F0"/>
    <w:rsid w:val="0071459F"/>
    <w:rsid w:val="00716A4B"/>
    <w:rsid w:val="007178EE"/>
    <w:rsid w:val="00720848"/>
    <w:rsid w:val="00721DED"/>
    <w:rsid w:val="00722205"/>
    <w:rsid w:val="007229F0"/>
    <w:rsid w:val="00722DA5"/>
    <w:rsid w:val="00724999"/>
    <w:rsid w:val="007255DC"/>
    <w:rsid w:val="007259DB"/>
    <w:rsid w:val="00725C68"/>
    <w:rsid w:val="00726C31"/>
    <w:rsid w:val="00727F84"/>
    <w:rsid w:val="00732C70"/>
    <w:rsid w:val="00733B7D"/>
    <w:rsid w:val="00733CAF"/>
    <w:rsid w:val="007343DF"/>
    <w:rsid w:val="00736B1F"/>
    <w:rsid w:val="007374DF"/>
    <w:rsid w:val="007403EB"/>
    <w:rsid w:val="00740733"/>
    <w:rsid w:val="00743162"/>
    <w:rsid w:val="00743A9B"/>
    <w:rsid w:val="007448E9"/>
    <w:rsid w:val="00746500"/>
    <w:rsid w:val="00746C92"/>
    <w:rsid w:val="00747D46"/>
    <w:rsid w:val="007505B4"/>
    <w:rsid w:val="00751D72"/>
    <w:rsid w:val="0075367B"/>
    <w:rsid w:val="007541B1"/>
    <w:rsid w:val="0075454A"/>
    <w:rsid w:val="00755D4D"/>
    <w:rsid w:val="00756A2B"/>
    <w:rsid w:val="00757D36"/>
    <w:rsid w:val="0076056D"/>
    <w:rsid w:val="0076169F"/>
    <w:rsid w:val="00761A04"/>
    <w:rsid w:val="00761E80"/>
    <w:rsid w:val="00762250"/>
    <w:rsid w:val="007625B4"/>
    <w:rsid w:val="00762F61"/>
    <w:rsid w:val="00763157"/>
    <w:rsid w:val="0077102D"/>
    <w:rsid w:val="007711C9"/>
    <w:rsid w:val="00771642"/>
    <w:rsid w:val="00771EAC"/>
    <w:rsid w:val="0077224C"/>
    <w:rsid w:val="00773AAC"/>
    <w:rsid w:val="00775ED3"/>
    <w:rsid w:val="0077644B"/>
    <w:rsid w:val="00776936"/>
    <w:rsid w:val="00777460"/>
    <w:rsid w:val="00777C82"/>
    <w:rsid w:val="0078028C"/>
    <w:rsid w:val="00780C31"/>
    <w:rsid w:val="007816AE"/>
    <w:rsid w:val="00782239"/>
    <w:rsid w:val="0078341B"/>
    <w:rsid w:val="00783AB8"/>
    <w:rsid w:val="007840CB"/>
    <w:rsid w:val="0078439F"/>
    <w:rsid w:val="0078529A"/>
    <w:rsid w:val="007863AE"/>
    <w:rsid w:val="00786A6D"/>
    <w:rsid w:val="00787328"/>
    <w:rsid w:val="00787690"/>
    <w:rsid w:val="00787F96"/>
    <w:rsid w:val="0079074B"/>
    <w:rsid w:val="00790B3A"/>
    <w:rsid w:val="00791044"/>
    <w:rsid w:val="007915D7"/>
    <w:rsid w:val="00792014"/>
    <w:rsid w:val="00792243"/>
    <w:rsid w:val="00793D53"/>
    <w:rsid w:val="007961A5"/>
    <w:rsid w:val="00797029"/>
    <w:rsid w:val="00797455"/>
    <w:rsid w:val="007977FD"/>
    <w:rsid w:val="00797BBC"/>
    <w:rsid w:val="007A0067"/>
    <w:rsid w:val="007A010D"/>
    <w:rsid w:val="007A02A8"/>
    <w:rsid w:val="007A0BD1"/>
    <w:rsid w:val="007A2B20"/>
    <w:rsid w:val="007A410C"/>
    <w:rsid w:val="007A64A8"/>
    <w:rsid w:val="007A678E"/>
    <w:rsid w:val="007A6C57"/>
    <w:rsid w:val="007B3BAB"/>
    <w:rsid w:val="007B5108"/>
    <w:rsid w:val="007B575E"/>
    <w:rsid w:val="007B57E1"/>
    <w:rsid w:val="007B5EF2"/>
    <w:rsid w:val="007B7A6B"/>
    <w:rsid w:val="007C19E1"/>
    <w:rsid w:val="007C413B"/>
    <w:rsid w:val="007C4F15"/>
    <w:rsid w:val="007C6C50"/>
    <w:rsid w:val="007D0932"/>
    <w:rsid w:val="007D1EB0"/>
    <w:rsid w:val="007D2795"/>
    <w:rsid w:val="007D324B"/>
    <w:rsid w:val="007D3885"/>
    <w:rsid w:val="007D42EE"/>
    <w:rsid w:val="007D4FC5"/>
    <w:rsid w:val="007D6F73"/>
    <w:rsid w:val="007D7AC5"/>
    <w:rsid w:val="007D7BA3"/>
    <w:rsid w:val="007D7EDA"/>
    <w:rsid w:val="007E1225"/>
    <w:rsid w:val="007E27F7"/>
    <w:rsid w:val="007E317F"/>
    <w:rsid w:val="007E362E"/>
    <w:rsid w:val="007E42E7"/>
    <w:rsid w:val="007E5CE2"/>
    <w:rsid w:val="007F0DAB"/>
    <w:rsid w:val="007F1325"/>
    <w:rsid w:val="007F3E2D"/>
    <w:rsid w:val="007F4A0A"/>
    <w:rsid w:val="007F5B0E"/>
    <w:rsid w:val="007F64C2"/>
    <w:rsid w:val="007F68B0"/>
    <w:rsid w:val="007F6F93"/>
    <w:rsid w:val="007F7767"/>
    <w:rsid w:val="007F7D1D"/>
    <w:rsid w:val="008001E5"/>
    <w:rsid w:val="0080367C"/>
    <w:rsid w:val="008048E4"/>
    <w:rsid w:val="00805B87"/>
    <w:rsid w:val="00811428"/>
    <w:rsid w:val="0081230A"/>
    <w:rsid w:val="00812BE1"/>
    <w:rsid w:val="00812D85"/>
    <w:rsid w:val="00813A70"/>
    <w:rsid w:val="00813DF3"/>
    <w:rsid w:val="0081438B"/>
    <w:rsid w:val="00820713"/>
    <w:rsid w:val="0082108A"/>
    <w:rsid w:val="00823825"/>
    <w:rsid w:val="008247A0"/>
    <w:rsid w:val="008248B9"/>
    <w:rsid w:val="0082517D"/>
    <w:rsid w:val="00826486"/>
    <w:rsid w:val="00833306"/>
    <w:rsid w:val="008366CA"/>
    <w:rsid w:val="008377D5"/>
    <w:rsid w:val="00837A89"/>
    <w:rsid w:val="00837BF2"/>
    <w:rsid w:val="00837DED"/>
    <w:rsid w:val="00840179"/>
    <w:rsid w:val="00840A0D"/>
    <w:rsid w:val="00840C1E"/>
    <w:rsid w:val="00844063"/>
    <w:rsid w:val="0084419D"/>
    <w:rsid w:val="00844436"/>
    <w:rsid w:val="0084612E"/>
    <w:rsid w:val="008462F5"/>
    <w:rsid w:val="00846AF4"/>
    <w:rsid w:val="00846CC0"/>
    <w:rsid w:val="00847FFA"/>
    <w:rsid w:val="00850544"/>
    <w:rsid w:val="00850BC6"/>
    <w:rsid w:val="0085278A"/>
    <w:rsid w:val="00855280"/>
    <w:rsid w:val="00856CCE"/>
    <w:rsid w:val="00857937"/>
    <w:rsid w:val="00857B38"/>
    <w:rsid w:val="0086037F"/>
    <w:rsid w:val="00861ECF"/>
    <w:rsid w:val="0086650E"/>
    <w:rsid w:val="00867724"/>
    <w:rsid w:val="008745AC"/>
    <w:rsid w:val="00876206"/>
    <w:rsid w:val="008771EC"/>
    <w:rsid w:val="00877F3D"/>
    <w:rsid w:val="0088155F"/>
    <w:rsid w:val="00881B81"/>
    <w:rsid w:val="00882743"/>
    <w:rsid w:val="00882EED"/>
    <w:rsid w:val="00883BAC"/>
    <w:rsid w:val="0088581F"/>
    <w:rsid w:val="008868CD"/>
    <w:rsid w:val="0088765D"/>
    <w:rsid w:val="008876D4"/>
    <w:rsid w:val="00890D8C"/>
    <w:rsid w:val="00892344"/>
    <w:rsid w:val="00892905"/>
    <w:rsid w:val="00894046"/>
    <w:rsid w:val="008941DA"/>
    <w:rsid w:val="00894B77"/>
    <w:rsid w:val="00894C8C"/>
    <w:rsid w:val="008951E9"/>
    <w:rsid w:val="00895A55"/>
    <w:rsid w:val="00895EC0"/>
    <w:rsid w:val="008963E1"/>
    <w:rsid w:val="00897975"/>
    <w:rsid w:val="008A1800"/>
    <w:rsid w:val="008A1B91"/>
    <w:rsid w:val="008A338B"/>
    <w:rsid w:val="008A59AE"/>
    <w:rsid w:val="008A5F2D"/>
    <w:rsid w:val="008A6E9F"/>
    <w:rsid w:val="008A764E"/>
    <w:rsid w:val="008B0A05"/>
    <w:rsid w:val="008B0E35"/>
    <w:rsid w:val="008B114F"/>
    <w:rsid w:val="008B1A18"/>
    <w:rsid w:val="008B2BC8"/>
    <w:rsid w:val="008B4C7B"/>
    <w:rsid w:val="008B57ED"/>
    <w:rsid w:val="008B5A00"/>
    <w:rsid w:val="008B6943"/>
    <w:rsid w:val="008B7219"/>
    <w:rsid w:val="008B7B3C"/>
    <w:rsid w:val="008C0194"/>
    <w:rsid w:val="008C0B40"/>
    <w:rsid w:val="008C16E0"/>
    <w:rsid w:val="008C197D"/>
    <w:rsid w:val="008C3934"/>
    <w:rsid w:val="008C39CA"/>
    <w:rsid w:val="008C3F24"/>
    <w:rsid w:val="008C3F36"/>
    <w:rsid w:val="008C46DD"/>
    <w:rsid w:val="008C4C8B"/>
    <w:rsid w:val="008C73D6"/>
    <w:rsid w:val="008C7835"/>
    <w:rsid w:val="008D0C08"/>
    <w:rsid w:val="008D1C72"/>
    <w:rsid w:val="008D3854"/>
    <w:rsid w:val="008D3FD0"/>
    <w:rsid w:val="008D4B1F"/>
    <w:rsid w:val="008D4CD2"/>
    <w:rsid w:val="008D4DBC"/>
    <w:rsid w:val="008D60A4"/>
    <w:rsid w:val="008D72A5"/>
    <w:rsid w:val="008E05F5"/>
    <w:rsid w:val="008E23FB"/>
    <w:rsid w:val="008E2629"/>
    <w:rsid w:val="008E2F59"/>
    <w:rsid w:val="008E46C6"/>
    <w:rsid w:val="008E5851"/>
    <w:rsid w:val="008E5B08"/>
    <w:rsid w:val="008E6309"/>
    <w:rsid w:val="008E68C4"/>
    <w:rsid w:val="008F1146"/>
    <w:rsid w:val="008F138A"/>
    <w:rsid w:val="008F2E40"/>
    <w:rsid w:val="008F2EC0"/>
    <w:rsid w:val="008F3D0A"/>
    <w:rsid w:val="008F483D"/>
    <w:rsid w:val="008F5127"/>
    <w:rsid w:val="008F5B74"/>
    <w:rsid w:val="008F6FED"/>
    <w:rsid w:val="0090012C"/>
    <w:rsid w:val="00900B8E"/>
    <w:rsid w:val="00902F8C"/>
    <w:rsid w:val="00903C6A"/>
    <w:rsid w:val="00904886"/>
    <w:rsid w:val="00905BB1"/>
    <w:rsid w:val="0090689A"/>
    <w:rsid w:val="009071AC"/>
    <w:rsid w:val="0091292F"/>
    <w:rsid w:val="00912A7C"/>
    <w:rsid w:val="00912AA7"/>
    <w:rsid w:val="00912C22"/>
    <w:rsid w:val="00913055"/>
    <w:rsid w:val="00915EBA"/>
    <w:rsid w:val="00916004"/>
    <w:rsid w:val="009166C4"/>
    <w:rsid w:val="009211FC"/>
    <w:rsid w:val="0092195B"/>
    <w:rsid w:val="00922D9C"/>
    <w:rsid w:val="00922EC7"/>
    <w:rsid w:val="00923798"/>
    <w:rsid w:val="0092522D"/>
    <w:rsid w:val="00925BE5"/>
    <w:rsid w:val="009261BA"/>
    <w:rsid w:val="00926F5A"/>
    <w:rsid w:val="0092710E"/>
    <w:rsid w:val="00930283"/>
    <w:rsid w:val="00932640"/>
    <w:rsid w:val="00933119"/>
    <w:rsid w:val="00934753"/>
    <w:rsid w:val="00934EC4"/>
    <w:rsid w:val="00934F5C"/>
    <w:rsid w:val="00934FEA"/>
    <w:rsid w:val="00935B77"/>
    <w:rsid w:val="009363CA"/>
    <w:rsid w:val="00936582"/>
    <w:rsid w:val="00940759"/>
    <w:rsid w:val="00940830"/>
    <w:rsid w:val="00940BC7"/>
    <w:rsid w:val="00941301"/>
    <w:rsid w:val="0094144C"/>
    <w:rsid w:val="00941F82"/>
    <w:rsid w:val="00942789"/>
    <w:rsid w:val="009435B8"/>
    <w:rsid w:val="00945658"/>
    <w:rsid w:val="0094600A"/>
    <w:rsid w:val="00947351"/>
    <w:rsid w:val="00950562"/>
    <w:rsid w:val="0095070C"/>
    <w:rsid w:val="0095098F"/>
    <w:rsid w:val="009522A9"/>
    <w:rsid w:val="00954A44"/>
    <w:rsid w:val="009550D6"/>
    <w:rsid w:val="0095651A"/>
    <w:rsid w:val="0095790A"/>
    <w:rsid w:val="0096106D"/>
    <w:rsid w:val="00961597"/>
    <w:rsid w:val="009618A2"/>
    <w:rsid w:val="00961E8B"/>
    <w:rsid w:val="00963245"/>
    <w:rsid w:val="0096384F"/>
    <w:rsid w:val="0096432D"/>
    <w:rsid w:val="0096543B"/>
    <w:rsid w:val="0096692C"/>
    <w:rsid w:val="00970CFD"/>
    <w:rsid w:val="009715C0"/>
    <w:rsid w:val="00972A4B"/>
    <w:rsid w:val="00973049"/>
    <w:rsid w:val="009739C3"/>
    <w:rsid w:val="00973CEB"/>
    <w:rsid w:val="009751BE"/>
    <w:rsid w:val="00975B21"/>
    <w:rsid w:val="009766FD"/>
    <w:rsid w:val="00977365"/>
    <w:rsid w:val="00977BB7"/>
    <w:rsid w:val="00982448"/>
    <w:rsid w:val="0098255A"/>
    <w:rsid w:val="00982F31"/>
    <w:rsid w:val="009853F8"/>
    <w:rsid w:val="00985E85"/>
    <w:rsid w:val="00986612"/>
    <w:rsid w:val="009869AD"/>
    <w:rsid w:val="009871D2"/>
    <w:rsid w:val="00987B95"/>
    <w:rsid w:val="00987C3F"/>
    <w:rsid w:val="00991A80"/>
    <w:rsid w:val="00995514"/>
    <w:rsid w:val="00997551"/>
    <w:rsid w:val="009A0083"/>
    <w:rsid w:val="009A05F8"/>
    <w:rsid w:val="009A158F"/>
    <w:rsid w:val="009A23D2"/>
    <w:rsid w:val="009B0088"/>
    <w:rsid w:val="009B2D01"/>
    <w:rsid w:val="009B3F53"/>
    <w:rsid w:val="009B5285"/>
    <w:rsid w:val="009B5C01"/>
    <w:rsid w:val="009B6806"/>
    <w:rsid w:val="009B744F"/>
    <w:rsid w:val="009B7AC4"/>
    <w:rsid w:val="009B7EA9"/>
    <w:rsid w:val="009C0E2C"/>
    <w:rsid w:val="009C321E"/>
    <w:rsid w:val="009C4333"/>
    <w:rsid w:val="009C497D"/>
    <w:rsid w:val="009C4F26"/>
    <w:rsid w:val="009C5396"/>
    <w:rsid w:val="009C541E"/>
    <w:rsid w:val="009C5BDE"/>
    <w:rsid w:val="009C7626"/>
    <w:rsid w:val="009C7CBD"/>
    <w:rsid w:val="009D0217"/>
    <w:rsid w:val="009D067E"/>
    <w:rsid w:val="009D0BF1"/>
    <w:rsid w:val="009D0FB0"/>
    <w:rsid w:val="009D2173"/>
    <w:rsid w:val="009D2482"/>
    <w:rsid w:val="009D3DB0"/>
    <w:rsid w:val="009D417C"/>
    <w:rsid w:val="009D512D"/>
    <w:rsid w:val="009D77C4"/>
    <w:rsid w:val="009E000E"/>
    <w:rsid w:val="009E0324"/>
    <w:rsid w:val="009E0A25"/>
    <w:rsid w:val="009E0B93"/>
    <w:rsid w:val="009E16E9"/>
    <w:rsid w:val="009E176D"/>
    <w:rsid w:val="009E1A53"/>
    <w:rsid w:val="009E3F65"/>
    <w:rsid w:val="009E5324"/>
    <w:rsid w:val="009E5D76"/>
    <w:rsid w:val="009E63AE"/>
    <w:rsid w:val="009E662B"/>
    <w:rsid w:val="009E73C1"/>
    <w:rsid w:val="009E76E3"/>
    <w:rsid w:val="009F0A4A"/>
    <w:rsid w:val="009F1EC8"/>
    <w:rsid w:val="009F23CB"/>
    <w:rsid w:val="009F308E"/>
    <w:rsid w:val="009F4399"/>
    <w:rsid w:val="009F4DC1"/>
    <w:rsid w:val="009F6DFA"/>
    <w:rsid w:val="009F7C7A"/>
    <w:rsid w:val="009F7CAA"/>
    <w:rsid w:val="00A001C8"/>
    <w:rsid w:val="00A008C8"/>
    <w:rsid w:val="00A01BB1"/>
    <w:rsid w:val="00A03476"/>
    <w:rsid w:val="00A04DA7"/>
    <w:rsid w:val="00A06D53"/>
    <w:rsid w:val="00A10824"/>
    <w:rsid w:val="00A10B0B"/>
    <w:rsid w:val="00A1234D"/>
    <w:rsid w:val="00A12A25"/>
    <w:rsid w:val="00A16EE7"/>
    <w:rsid w:val="00A2000C"/>
    <w:rsid w:val="00A20036"/>
    <w:rsid w:val="00A2371B"/>
    <w:rsid w:val="00A24326"/>
    <w:rsid w:val="00A244F6"/>
    <w:rsid w:val="00A2499E"/>
    <w:rsid w:val="00A24C88"/>
    <w:rsid w:val="00A2674E"/>
    <w:rsid w:val="00A2756D"/>
    <w:rsid w:val="00A2766C"/>
    <w:rsid w:val="00A27D03"/>
    <w:rsid w:val="00A32025"/>
    <w:rsid w:val="00A32766"/>
    <w:rsid w:val="00A32D5F"/>
    <w:rsid w:val="00A35F7C"/>
    <w:rsid w:val="00A36D41"/>
    <w:rsid w:val="00A43BB8"/>
    <w:rsid w:val="00A441D3"/>
    <w:rsid w:val="00A44A20"/>
    <w:rsid w:val="00A451EB"/>
    <w:rsid w:val="00A452E0"/>
    <w:rsid w:val="00A45317"/>
    <w:rsid w:val="00A476E9"/>
    <w:rsid w:val="00A501BD"/>
    <w:rsid w:val="00A51086"/>
    <w:rsid w:val="00A51A01"/>
    <w:rsid w:val="00A51B04"/>
    <w:rsid w:val="00A51C71"/>
    <w:rsid w:val="00A51D84"/>
    <w:rsid w:val="00A52084"/>
    <w:rsid w:val="00A52EF7"/>
    <w:rsid w:val="00A53CD8"/>
    <w:rsid w:val="00A54BC9"/>
    <w:rsid w:val="00A552BD"/>
    <w:rsid w:val="00A5618D"/>
    <w:rsid w:val="00A567B6"/>
    <w:rsid w:val="00A573C7"/>
    <w:rsid w:val="00A5756A"/>
    <w:rsid w:val="00A5768B"/>
    <w:rsid w:val="00A57CF5"/>
    <w:rsid w:val="00A617B2"/>
    <w:rsid w:val="00A620EF"/>
    <w:rsid w:val="00A622AF"/>
    <w:rsid w:val="00A6307D"/>
    <w:rsid w:val="00A63537"/>
    <w:rsid w:val="00A63C92"/>
    <w:rsid w:val="00A6487A"/>
    <w:rsid w:val="00A65CDE"/>
    <w:rsid w:val="00A66524"/>
    <w:rsid w:val="00A674D2"/>
    <w:rsid w:val="00A678F8"/>
    <w:rsid w:val="00A7010E"/>
    <w:rsid w:val="00A7051E"/>
    <w:rsid w:val="00A71824"/>
    <w:rsid w:val="00A71D17"/>
    <w:rsid w:val="00A720E3"/>
    <w:rsid w:val="00A722DE"/>
    <w:rsid w:val="00A73467"/>
    <w:rsid w:val="00A7377F"/>
    <w:rsid w:val="00A73A0F"/>
    <w:rsid w:val="00A73CF0"/>
    <w:rsid w:val="00A7437C"/>
    <w:rsid w:val="00A75C91"/>
    <w:rsid w:val="00A765CF"/>
    <w:rsid w:val="00A76C93"/>
    <w:rsid w:val="00A81FAB"/>
    <w:rsid w:val="00A8686B"/>
    <w:rsid w:val="00A86B78"/>
    <w:rsid w:val="00A871EF"/>
    <w:rsid w:val="00A8770A"/>
    <w:rsid w:val="00A87AD2"/>
    <w:rsid w:val="00A87B75"/>
    <w:rsid w:val="00A87ED6"/>
    <w:rsid w:val="00A90389"/>
    <w:rsid w:val="00A9131E"/>
    <w:rsid w:val="00A91F2F"/>
    <w:rsid w:val="00A95263"/>
    <w:rsid w:val="00AA25D1"/>
    <w:rsid w:val="00AA2E26"/>
    <w:rsid w:val="00AA3601"/>
    <w:rsid w:val="00AA44A2"/>
    <w:rsid w:val="00AA6329"/>
    <w:rsid w:val="00AA65E2"/>
    <w:rsid w:val="00AA6A31"/>
    <w:rsid w:val="00AA6F0E"/>
    <w:rsid w:val="00AA7470"/>
    <w:rsid w:val="00AB00A2"/>
    <w:rsid w:val="00AB2029"/>
    <w:rsid w:val="00AB20E0"/>
    <w:rsid w:val="00AB44AE"/>
    <w:rsid w:val="00AB539F"/>
    <w:rsid w:val="00AB56C0"/>
    <w:rsid w:val="00AB5D8D"/>
    <w:rsid w:val="00AB66CF"/>
    <w:rsid w:val="00AB7511"/>
    <w:rsid w:val="00AB7AEC"/>
    <w:rsid w:val="00AC099F"/>
    <w:rsid w:val="00AC0CD7"/>
    <w:rsid w:val="00AC10BE"/>
    <w:rsid w:val="00AC28CE"/>
    <w:rsid w:val="00AC3871"/>
    <w:rsid w:val="00AC3DC3"/>
    <w:rsid w:val="00AC4DD6"/>
    <w:rsid w:val="00AC53C2"/>
    <w:rsid w:val="00AC7AE6"/>
    <w:rsid w:val="00AD5ECE"/>
    <w:rsid w:val="00AD67E3"/>
    <w:rsid w:val="00AE0CEC"/>
    <w:rsid w:val="00AE39DE"/>
    <w:rsid w:val="00AE514D"/>
    <w:rsid w:val="00AE5173"/>
    <w:rsid w:val="00AE584E"/>
    <w:rsid w:val="00AE7160"/>
    <w:rsid w:val="00AE766D"/>
    <w:rsid w:val="00AE7CA5"/>
    <w:rsid w:val="00AF03DC"/>
    <w:rsid w:val="00AF08F6"/>
    <w:rsid w:val="00AF0A4A"/>
    <w:rsid w:val="00AF12EA"/>
    <w:rsid w:val="00AF199B"/>
    <w:rsid w:val="00AF22EE"/>
    <w:rsid w:val="00AF41D0"/>
    <w:rsid w:val="00AF6CC9"/>
    <w:rsid w:val="00AF7FE2"/>
    <w:rsid w:val="00B010EA"/>
    <w:rsid w:val="00B0279D"/>
    <w:rsid w:val="00B03E87"/>
    <w:rsid w:val="00B04A2C"/>
    <w:rsid w:val="00B04ABB"/>
    <w:rsid w:val="00B05BC8"/>
    <w:rsid w:val="00B05BEB"/>
    <w:rsid w:val="00B06469"/>
    <w:rsid w:val="00B06D5D"/>
    <w:rsid w:val="00B07160"/>
    <w:rsid w:val="00B075BD"/>
    <w:rsid w:val="00B07FE3"/>
    <w:rsid w:val="00B103C8"/>
    <w:rsid w:val="00B11653"/>
    <w:rsid w:val="00B1216D"/>
    <w:rsid w:val="00B12DAE"/>
    <w:rsid w:val="00B14DE0"/>
    <w:rsid w:val="00B15095"/>
    <w:rsid w:val="00B15340"/>
    <w:rsid w:val="00B1648E"/>
    <w:rsid w:val="00B17956"/>
    <w:rsid w:val="00B17C89"/>
    <w:rsid w:val="00B202BB"/>
    <w:rsid w:val="00B2064A"/>
    <w:rsid w:val="00B20723"/>
    <w:rsid w:val="00B21681"/>
    <w:rsid w:val="00B21BF5"/>
    <w:rsid w:val="00B22979"/>
    <w:rsid w:val="00B24E03"/>
    <w:rsid w:val="00B24F33"/>
    <w:rsid w:val="00B25F56"/>
    <w:rsid w:val="00B26FFC"/>
    <w:rsid w:val="00B308BA"/>
    <w:rsid w:val="00B31027"/>
    <w:rsid w:val="00B33F7D"/>
    <w:rsid w:val="00B34637"/>
    <w:rsid w:val="00B34AA6"/>
    <w:rsid w:val="00B36258"/>
    <w:rsid w:val="00B36950"/>
    <w:rsid w:val="00B36F57"/>
    <w:rsid w:val="00B36FD1"/>
    <w:rsid w:val="00B404DF"/>
    <w:rsid w:val="00B404E5"/>
    <w:rsid w:val="00B43984"/>
    <w:rsid w:val="00B45B8F"/>
    <w:rsid w:val="00B46013"/>
    <w:rsid w:val="00B462E5"/>
    <w:rsid w:val="00B46F13"/>
    <w:rsid w:val="00B513B8"/>
    <w:rsid w:val="00B519CA"/>
    <w:rsid w:val="00B5207F"/>
    <w:rsid w:val="00B52507"/>
    <w:rsid w:val="00B53200"/>
    <w:rsid w:val="00B546FB"/>
    <w:rsid w:val="00B54D91"/>
    <w:rsid w:val="00B56554"/>
    <w:rsid w:val="00B6053D"/>
    <w:rsid w:val="00B61357"/>
    <w:rsid w:val="00B6160C"/>
    <w:rsid w:val="00B61CA4"/>
    <w:rsid w:val="00B62120"/>
    <w:rsid w:val="00B621CA"/>
    <w:rsid w:val="00B6245D"/>
    <w:rsid w:val="00B628BA"/>
    <w:rsid w:val="00B63D8F"/>
    <w:rsid w:val="00B65696"/>
    <w:rsid w:val="00B66014"/>
    <w:rsid w:val="00B66D8B"/>
    <w:rsid w:val="00B67045"/>
    <w:rsid w:val="00B6746E"/>
    <w:rsid w:val="00B6764D"/>
    <w:rsid w:val="00B67D6C"/>
    <w:rsid w:val="00B700FC"/>
    <w:rsid w:val="00B702E3"/>
    <w:rsid w:val="00B708E6"/>
    <w:rsid w:val="00B71012"/>
    <w:rsid w:val="00B71E8B"/>
    <w:rsid w:val="00B72E16"/>
    <w:rsid w:val="00B735E0"/>
    <w:rsid w:val="00B74DE8"/>
    <w:rsid w:val="00B76560"/>
    <w:rsid w:val="00B76B4C"/>
    <w:rsid w:val="00B80FBC"/>
    <w:rsid w:val="00B810E7"/>
    <w:rsid w:val="00B8171E"/>
    <w:rsid w:val="00B81C0B"/>
    <w:rsid w:val="00B820F5"/>
    <w:rsid w:val="00B8223C"/>
    <w:rsid w:val="00B82914"/>
    <w:rsid w:val="00B868ED"/>
    <w:rsid w:val="00B86AC0"/>
    <w:rsid w:val="00B87F87"/>
    <w:rsid w:val="00B90B50"/>
    <w:rsid w:val="00B91A90"/>
    <w:rsid w:val="00B91ECD"/>
    <w:rsid w:val="00B920C3"/>
    <w:rsid w:val="00B92424"/>
    <w:rsid w:val="00B92F32"/>
    <w:rsid w:val="00B93ABD"/>
    <w:rsid w:val="00B955CB"/>
    <w:rsid w:val="00B9604E"/>
    <w:rsid w:val="00B96413"/>
    <w:rsid w:val="00B971B2"/>
    <w:rsid w:val="00B974FC"/>
    <w:rsid w:val="00B97C13"/>
    <w:rsid w:val="00B97D21"/>
    <w:rsid w:val="00BA0E9D"/>
    <w:rsid w:val="00BA1E61"/>
    <w:rsid w:val="00BA1EFB"/>
    <w:rsid w:val="00BA3616"/>
    <w:rsid w:val="00BA5BE2"/>
    <w:rsid w:val="00BA747D"/>
    <w:rsid w:val="00BA7653"/>
    <w:rsid w:val="00BB0EB3"/>
    <w:rsid w:val="00BB2F7B"/>
    <w:rsid w:val="00BB30A9"/>
    <w:rsid w:val="00BB55FB"/>
    <w:rsid w:val="00BB6641"/>
    <w:rsid w:val="00BC1B73"/>
    <w:rsid w:val="00BC2200"/>
    <w:rsid w:val="00BC4408"/>
    <w:rsid w:val="00BC57A1"/>
    <w:rsid w:val="00BC596D"/>
    <w:rsid w:val="00BC5D8F"/>
    <w:rsid w:val="00BC6842"/>
    <w:rsid w:val="00BC7CEF"/>
    <w:rsid w:val="00BD2C4C"/>
    <w:rsid w:val="00BD3E54"/>
    <w:rsid w:val="00BD41C9"/>
    <w:rsid w:val="00BD4533"/>
    <w:rsid w:val="00BD4C5E"/>
    <w:rsid w:val="00BD5341"/>
    <w:rsid w:val="00BD707A"/>
    <w:rsid w:val="00BD7D16"/>
    <w:rsid w:val="00BE5A4E"/>
    <w:rsid w:val="00BE5CAE"/>
    <w:rsid w:val="00BE5FB1"/>
    <w:rsid w:val="00BE65AC"/>
    <w:rsid w:val="00BE6EAF"/>
    <w:rsid w:val="00BF303D"/>
    <w:rsid w:val="00BF3A07"/>
    <w:rsid w:val="00BF65BF"/>
    <w:rsid w:val="00BF688A"/>
    <w:rsid w:val="00BF7D6C"/>
    <w:rsid w:val="00C003F7"/>
    <w:rsid w:val="00C00EF3"/>
    <w:rsid w:val="00C0151D"/>
    <w:rsid w:val="00C04246"/>
    <w:rsid w:val="00C04765"/>
    <w:rsid w:val="00C04A6E"/>
    <w:rsid w:val="00C07293"/>
    <w:rsid w:val="00C07308"/>
    <w:rsid w:val="00C074F5"/>
    <w:rsid w:val="00C07E6E"/>
    <w:rsid w:val="00C10816"/>
    <w:rsid w:val="00C11783"/>
    <w:rsid w:val="00C1274D"/>
    <w:rsid w:val="00C13AD5"/>
    <w:rsid w:val="00C145D8"/>
    <w:rsid w:val="00C149E8"/>
    <w:rsid w:val="00C157FA"/>
    <w:rsid w:val="00C16264"/>
    <w:rsid w:val="00C16458"/>
    <w:rsid w:val="00C17B50"/>
    <w:rsid w:val="00C20D4D"/>
    <w:rsid w:val="00C21493"/>
    <w:rsid w:val="00C21B93"/>
    <w:rsid w:val="00C21D02"/>
    <w:rsid w:val="00C21EE6"/>
    <w:rsid w:val="00C2262E"/>
    <w:rsid w:val="00C227D4"/>
    <w:rsid w:val="00C22971"/>
    <w:rsid w:val="00C233B0"/>
    <w:rsid w:val="00C233E8"/>
    <w:rsid w:val="00C23A63"/>
    <w:rsid w:val="00C24A94"/>
    <w:rsid w:val="00C25462"/>
    <w:rsid w:val="00C25E79"/>
    <w:rsid w:val="00C26C87"/>
    <w:rsid w:val="00C275EF"/>
    <w:rsid w:val="00C30832"/>
    <w:rsid w:val="00C31B94"/>
    <w:rsid w:val="00C32CFE"/>
    <w:rsid w:val="00C33C93"/>
    <w:rsid w:val="00C35C20"/>
    <w:rsid w:val="00C37C2C"/>
    <w:rsid w:val="00C4082E"/>
    <w:rsid w:val="00C408B5"/>
    <w:rsid w:val="00C40E84"/>
    <w:rsid w:val="00C426F5"/>
    <w:rsid w:val="00C4442A"/>
    <w:rsid w:val="00C44625"/>
    <w:rsid w:val="00C47A02"/>
    <w:rsid w:val="00C47DCC"/>
    <w:rsid w:val="00C5078D"/>
    <w:rsid w:val="00C510D7"/>
    <w:rsid w:val="00C515EE"/>
    <w:rsid w:val="00C51AAB"/>
    <w:rsid w:val="00C542A6"/>
    <w:rsid w:val="00C54CE1"/>
    <w:rsid w:val="00C554EC"/>
    <w:rsid w:val="00C5720F"/>
    <w:rsid w:val="00C579FA"/>
    <w:rsid w:val="00C57B55"/>
    <w:rsid w:val="00C630AC"/>
    <w:rsid w:val="00C63329"/>
    <w:rsid w:val="00C6448E"/>
    <w:rsid w:val="00C64CF8"/>
    <w:rsid w:val="00C655F9"/>
    <w:rsid w:val="00C70D9B"/>
    <w:rsid w:val="00C71747"/>
    <w:rsid w:val="00C72A8C"/>
    <w:rsid w:val="00C72AAB"/>
    <w:rsid w:val="00C72BEC"/>
    <w:rsid w:val="00C72FE9"/>
    <w:rsid w:val="00C73A51"/>
    <w:rsid w:val="00C73F43"/>
    <w:rsid w:val="00C743F9"/>
    <w:rsid w:val="00C7759C"/>
    <w:rsid w:val="00C80848"/>
    <w:rsid w:val="00C81169"/>
    <w:rsid w:val="00C828FD"/>
    <w:rsid w:val="00C82E98"/>
    <w:rsid w:val="00C8315C"/>
    <w:rsid w:val="00C831F8"/>
    <w:rsid w:val="00C848A5"/>
    <w:rsid w:val="00C84F70"/>
    <w:rsid w:val="00C85CB8"/>
    <w:rsid w:val="00C86B31"/>
    <w:rsid w:val="00C86DA3"/>
    <w:rsid w:val="00C877F8"/>
    <w:rsid w:val="00C879BA"/>
    <w:rsid w:val="00C87AB1"/>
    <w:rsid w:val="00C87EAE"/>
    <w:rsid w:val="00C9090A"/>
    <w:rsid w:val="00C90C4F"/>
    <w:rsid w:val="00C90D1E"/>
    <w:rsid w:val="00C90F38"/>
    <w:rsid w:val="00C914F9"/>
    <w:rsid w:val="00C91846"/>
    <w:rsid w:val="00C9185E"/>
    <w:rsid w:val="00C927D0"/>
    <w:rsid w:val="00C92DA4"/>
    <w:rsid w:val="00C94E20"/>
    <w:rsid w:val="00C95BFE"/>
    <w:rsid w:val="00C9647E"/>
    <w:rsid w:val="00C966C8"/>
    <w:rsid w:val="00C9689C"/>
    <w:rsid w:val="00C97C29"/>
    <w:rsid w:val="00CA0FE0"/>
    <w:rsid w:val="00CA22ED"/>
    <w:rsid w:val="00CA23C7"/>
    <w:rsid w:val="00CA2F24"/>
    <w:rsid w:val="00CA5584"/>
    <w:rsid w:val="00CA5FC6"/>
    <w:rsid w:val="00CA61A4"/>
    <w:rsid w:val="00CA64D0"/>
    <w:rsid w:val="00CA7629"/>
    <w:rsid w:val="00CB13EE"/>
    <w:rsid w:val="00CB176F"/>
    <w:rsid w:val="00CB2711"/>
    <w:rsid w:val="00CB2920"/>
    <w:rsid w:val="00CB405A"/>
    <w:rsid w:val="00CB4A28"/>
    <w:rsid w:val="00CB4BF9"/>
    <w:rsid w:val="00CB55B0"/>
    <w:rsid w:val="00CB5A64"/>
    <w:rsid w:val="00CB5B00"/>
    <w:rsid w:val="00CB621C"/>
    <w:rsid w:val="00CB645A"/>
    <w:rsid w:val="00CB652D"/>
    <w:rsid w:val="00CB658E"/>
    <w:rsid w:val="00CB7CB5"/>
    <w:rsid w:val="00CC0471"/>
    <w:rsid w:val="00CC0DF4"/>
    <w:rsid w:val="00CC1E52"/>
    <w:rsid w:val="00CC307B"/>
    <w:rsid w:val="00CC369B"/>
    <w:rsid w:val="00CC3D57"/>
    <w:rsid w:val="00CC48B9"/>
    <w:rsid w:val="00CC4FB7"/>
    <w:rsid w:val="00CC64D0"/>
    <w:rsid w:val="00CC65F8"/>
    <w:rsid w:val="00CC662F"/>
    <w:rsid w:val="00CC69E8"/>
    <w:rsid w:val="00CC75A1"/>
    <w:rsid w:val="00CC77BC"/>
    <w:rsid w:val="00CD2961"/>
    <w:rsid w:val="00CD2EFD"/>
    <w:rsid w:val="00CD3A11"/>
    <w:rsid w:val="00CD4273"/>
    <w:rsid w:val="00CD4BBC"/>
    <w:rsid w:val="00CD51BC"/>
    <w:rsid w:val="00CD58F6"/>
    <w:rsid w:val="00CD6D73"/>
    <w:rsid w:val="00CD7BA7"/>
    <w:rsid w:val="00CD7C06"/>
    <w:rsid w:val="00CE011B"/>
    <w:rsid w:val="00CE03D3"/>
    <w:rsid w:val="00CE12AE"/>
    <w:rsid w:val="00CE3288"/>
    <w:rsid w:val="00CE47D1"/>
    <w:rsid w:val="00CE4F9A"/>
    <w:rsid w:val="00CE7F11"/>
    <w:rsid w:val="00CF0B13"/>
    <w:rsid w:val="00CF1CEB"/>
    <w:rsid w:val="00CF2F91"/>
    <w:rsid w:val="00CF5E28"/>
    <w:rsid w:val="00CF652D"/>
    <w:rsid w:val="00D00680"/>
    <w:rsid w:val="00D01439"/>
    <w:rsid w:val="00D0270C"/>
    <w:rsid w:val="00D047FD"/>
    <w:rsid w:val="00D04D5F"/>
    <w:rsid w:val="00D102CB"/>
    <w:rsid w:val="00D12AB2"/>
    <w:rsid w:val="00D12C4E"/>
    <w:rsid w:val="00D12CF2"/>
    <w:rsid w:val="00D13F1F"/>
    <w:rsid w:val="00D15B21"/>
    <w:rsid w:val="00D15BCD"/>
    <w:rsid w:val="00D15CB3"/>
    <w:rsid w:val="00D20A94"/>
    <w:rsid w:val="00D20AE5"/>
    <w:rsid w:val="00D214F5"/>
    <w:rsid w:val="00D22993"/>
    <w:rsid w:val="00D22C0A"/>
    <w:rsid w:val="00D22FFD"/>
    <w:rsid w:val="00D236DC"/>
    <w:rsid w:val="00D241A7"/>
    <w:rsid w:val="00D24E79"/>
    <w:rsid w:val="00D262BA"/>
    <w:rsid w:val="00D276FE"/>
    <w:rsid w:val="00D279C9"/>
    <w:rsid w:val="00D27CDF"/>
    <w:rsid w:val="00D310A4"/>
    <w:rsid w:val="00D31A88"/>
    <w:rsid w:val="00D323E9"/>
    <w:rsid w:val="00D32782"/>
    <w:rsid w:val="00D328F8"/>
    <w:rsid w:val="00D32C47"/>
    <w:rsid w:val="00D337D9"/>
    <w:rsid w:val="00D35378"/>
    <w:rsid w:val="00D3575A"/>
    <w:rsid w:val="00D40B29"/>
    <w:rsid w:val="00D40C9E"/>
    <w:rsid w:val="00D42CE0"/>
    <w:rsid w:val="00D434D6"/>
    <w:rsid w:val="00D43B1B"/>
    <w:rsid w:val="00D43CA4"/>
    <w:rsid w:val="00D43D76"/>
    <w:rsid w:val="00D46148"/>
    <w:rsid w:val="00D466EF"/>
    <w:rsid w:val="00D46FBD"/>
    <w:rsid w:val="00D477FA"/>
    <w:rsid w:val="00D500C3"/>
    <w:rsid w:val="00D51C45"/>
    <w:rsid w:val="00D53741"/>
    <w:rsid w:val="00D542E0"/>
    <w:rsid w:val="00D54F05"/>
    <w:rsid w:val="00D54F63"/>
    <w:rsid w:val="00D56ACB"/>
    <w:rsid w:val="00D60049"/>
    <w:rsid w:val="00D609A1"/>
    <w:rsid w:val="00D614BD"/>
    <w:rsid w:val="00D61F07"/>
    <w:rsid w:val="00D6200D"/>
    <w:rsid w:val="00D64172"/>
    <w:rsid w:val="00D64715"/>
    <w:rsid w:val="00D65685"/>
    <w:rsid w:val="00D659AF"/>
    <w:rsid w:val="00D665C0"/>
    <w:rsid w:val="00D66D1C"/>
    <w:rsid w:val="00D718C6"/>
    <w:rsid w:val="00D71AC4"/>
    <w:rsid w:val="00D72722"/>
    <w:rsid w:val="00D73B62"/>
    <w:rsid w:val="00D75355"/>
    <w:rsid w:val="00D75677"/>
    <w:rsid w:val="00D75DB1"/>
    <w:rsid w:val="00D7605A"/>
    <w:rsid w:val="00D760BB"/>
    <w:rsid w:val="00D76904"/>
    <w:rsid w:val="00D772A1"/>
    <w:rsid w:val="00D80750"/>
    <w:rsid w:val="00D841D1"/>
    <w:rsid w:val="00D85D84"/>
    <w:rsid w:val="00D86A1D"/>
    <w:rsid w:val="00D878AC"/>
    <w:rsid w:val="00D913E3"/>
    <w:rsid w:val="00D93481"/>
    <w:rsid w:val="00D934D3"/>
    <w:rsid w:val="00D93801"/>
    <w:rsid w:val="00D9386B"/>
    <w:rsid w:val="00D9394C"/>
    <w:rsid w:val="00D9476A"/>
    <w:rsid w:val="00D94F5E"/>
    <w:rsid w:val="00D96BD7"/>
    <w:rsid w:val="00DA0FF7"/>
    <w:rsid w:val="00DA223E"/>
    <w:rsid w:val="00DA471D"/>
    <w:rsid w:val="00DA616A"/>
    <w:rsid w:val="00DA7897"/>
    <w:rsid w:val="00DB0812"/>
    <w:rsid w:val="00DB1768"/>
    <w:rsid w:val="00DB1D2D"/>
    <w:rsid w:val="00DB2337"/>
    <w:rsid w:val="00DB256C"/>
    <w:rsid w:val="00DB2DA0"/>
    <w:rsid w:val="00DB2FB8"/>
    <w:rsid w:val="00DB35F2"/>
    <w:rsid w:val="00DB4779"/>
    <w:rsid w:val="00DB646B"/>
    <w:rsid w:val="00DC1C7A"/>
    <w:rsid w:val="00DC1CE9"/>
    <w:rsid w:val="00DC1D85"/>
    <w:rsid w:val="00DC294B"/>
    <w:rsid w:val="00DC638A"/>
    <w:rsid w:val="00DC63C0"/>
    <w:rsid w:val="00DC79F7"/>
    <w:rsid w:val="00DD1238"/>
    <w:rsid w:val="00DD3AE5"/>
    <w:rsid w:val="00DD4A35"/>
    <w:rsid w:val="00DD513D"/>
    <w:rsid w:val="00DD5A5D"/>
    <w:rsid w:val="00DD5DCB"/>
    <w:rsid w:val="00DD6BC1"/>
    <w:rsid w:val="00DE1171"/>
    <w:rsid w:val="00DE30C9"/>
    <w:rsid w:val="00DE3105"/>
    <w:rsid w:val="00DE33BA"/>
    <w:rsid w:val="00DE3AD3"/>
    <w:rsid w:val="00DE4E78"/>
    <w:rsid w:val="00DE50B5"/>
    <w:rsid w:val="00DE5CEE"/>
    <w:rsid w:val="00DE6A61"/>
    <w:rsid w:val="00DE7B5D"/>
    <w:rsid w:val="00DF04B6"/>
    <w:rsid w:val="00DF0D65"/>
    <w:rsid w:val="00DF1838"/>
    <w:rsid w:val="00DF1F5F"/>
    <w:rsid w:val="00DF2713"/>
    <w:rsid w:val="00DF3407"/>
    <w:rsid w:val="00DF3D61"/>
    <w:rsid w:val="00DF4A72"/>
    <w:rsid w:val="00DF4E36"/>
    <w:rsid w:val="00DF59F2"/>
    <w:rsid w:val="00E01A15"/>
    <w:rsid w:val="00E056E7"/>
    <w:rsid w:val="00E06577"/>
    <w:rsid w:val="00E07778"/>
    <w:rsid w:val="00E07781"/>
    <w:rsid w:val="00E07BD1"/>
    <w:rsid w:val="00E10377"/>
    <w:rsid w:val="00E11448"/>
    <w:rsid w:val="00E13FAC"/>
    <w:rsid w:val="00E15691"/>
    <w:rsid w:val="00E16884"/>
    <w:rsid w:val="00E16C62"/>
    <w:rsid w:val="00E20791"/>
    <w:rsid w:val="00E21E3B"/>
    <w:rsid w:val="00E2389A"/>
    <w:rsid w:val="00E24C5C"/>
    <w:rsid w:val="00E26097"/>
    <w:rsid w:val="00E278FF"/>
    <w:rsid w:val="00E27A32"/>
    <w:rsid w:val="00E30990"/>
    <w:rsid w:val="00E30D9F"/>
    <w:rsid w:val="00E33976"/>
    <w:rsid w:val="00E35BF3"/>
    <w:rsid w:val="00E36217"/>
    <w:rsid w:val="00E36C8D"/>
    <w:rsid w:val="00E3721F"/>
    <w:rsid w:val="00E37BD2"/>
    <w:rsid w:val="00E40A1E"/>
    <w:rsid w:val="00E41A12"/>
    <w:rsid w:val="00E41EE9"/>
    <w:rsid w:val="00E432AE"/>
    <w:rsid w:val="00E43E37"/>
    <w:rsid w:val="00E457E0"/>
    <w:rsid w:val="00E45A99"/>
    <w:rsid w:val="00E463AA"/>
    <w:rsid w:val="00E548E8"/>
    <w:rsid w:val="00E556B7"/>
    <w:rsid w:val="00E558CE"/>
    <w:rsid w:val="00E55AF9"/>
    <w:rsid w:val="00E57776"/>
    <w:rsid w:val="00E579FE"/>
    <w:rsid w:val="00E60652"/>
    <w:rsid w:val="00E6090C"/>
    <w:rsid w:val="00E61517"/>
    <w:rsid w:val="00E62586"/>
    <w:rsid w:val="00E66F03"/>
    <w:rsid w:val="00E73C93"/>
    <w:rsid w:val="00E75EC1"/>
    <w:rsid w:val="00E76C11"/>
    <w:rsid w:val="00E80173"/>
    <w:rsid w:val="00E8076A"/>
    <w:rsid w:val="00E8257D"/>
    <w:rsid w:val="00E86454"/>
    <w:rsid w:val="00E8737A"/>
    <w:rsid w:val="00E908B7"/>
    <w:rsid w:val="00E90B6E"/>
    <w:rsid w:val="00E90E88"/>
    <w:rsid w:val="00E91147"/>
    <w:rsid w:val="00E93384"/>
    <w:rsid w:val="00E9347D"/>
    <w:rsid w:val="00E9448D"/>
    <w:rsid w:val="00E94D35"/>
    <w:rsid w:val="00E962AA"/>
    <w:rsid w:val="00E979C1"/>
    <w:rsid w:val="00EA1DA9"/>
    <w:rsid w:val="00EA3BE8"/>
    <w:rsid w:val="00EA5157"/>
    <w:rsid w:val="00EA7073"/>
    <w:rsid w:val="00EA71F6"/>
    <w:rsid w:val="00EA7CFC"/>
    <w:rsid w:val="00EB056E"/>
    <w:rsid w:val="00EB064F"/>
    <w:rsid w:val="00EB0663"/>
    <w:rsid w:val="00EB092C"/>
    <w:rsid w:val="00EB2134"/>
    <w:rsid w:val="00EB239B"/>
    <w:rsid w:val="00EB23E9"/>
    <w:rsid w:val="00EB2523"/>
    <w:rsid w:val="00EB29BD"/>
    <w:rsid w:val="00EB30B5"/>
    <w:rsid w:val="00EB3B7A"/>
    <w:rsid w:val="00EB4E05"/>
    <w:rsid w:val="00EB5183"/>
    <w:rsid w:val="00EB600D"/>
    <w:rsid w:val="00EB6E89"/>
    <w:rsid w:val="00EB78D8"/>
    <w:rsid w:val="00EC0801"/>
    <w:rsid w:val="00EC1AB2"/>
    <w:rsid w:val="00EC1D96"/>
    <w:rsid w:val="00EC23FE"/>
    <w:rsid w:val="00EC2812"/>
    <w:rsid w:val="00EC3A83"/>
    <w:rsid w:val="00EC4146"/>
    <w:rsid w:val="00EC4D6B"/>
    <w:rsid w:val="00EC534A"/>
    <w:rsid w:val="00EC599C"/>
    <w:rsid w:val="00EC682F"/>
    <w:rsid w:val="00EC6AB7"/>
    <w:rsid w:val="00EC6B84"/>
    <w:rsid w:val="00EC7DF5"/>
    <w:rsid w:val="00ED1943"/>
    <w:rsid w:val="00ED2463"/>
    <w:rsid w:val="00ED3C8F"/>
    <w:rsid w:val="00ED60CD"/>
    <w:rsid w:val="00ED6579"/>
    <w:rsid w:val="00ED6EAB"/>
    <w:rsid w:val="00ED7084"/>
    <w:rsid w:val="00ED7B8E"/>
    <w:rsid w:val="00EE0316"/>
    <w:rsid w:val="00EE08F1"/>
    <w:rsid w:val="00EE0DE8"/>
    <w:rsid w:val="00EE18BE"/>
    <w:rsid w:val="00EE23F5"/>
    <w:rsid w:val="00EE25D7"/>
    <w:rsid w:val="00EE3D6B"/>
    <w:rsid w:val="00EE48BA"/>
    <w:rsid w:val="00EE4DAE"/>
    <w:rsid w:val="00EE5721"/>
    <w:rsid w:val="00EE5CA1"/>
    <w:rsid w:val="00EE70CC"/>
    <w:rsid w:val="00EE7118"/>
    <w:rsid w:val="00EF1D78"/>
    <w:rsid w:val="00EF28B3"/>
    <w:rsid w:val="00EF2ACB"/>
    <w:rsid w:val="00EF2FB2"/>
    <w:rsid w:val="00EF389B"/>
    <w:rsid w:val="00EF4C5D"/>
    <w:rsid w:val="00EF4EB2"/>
    <w:rsid w:val="00EF5705"/>
    <w:rsid w:val="00EF6EDB"/>
    <w:rsid w:val="00F00A36"/>
    <w:rsid w:val="00F01BFB"/>
    <w:rsid w:val="00F027E4"/>
    <w:rsid w:val="00F0507B"/>
    <w:rsid w:val="00F061C5"/>
    <w:rsid w:val="00F06375"/>
    <w:rsid w:val="00F06F93"/>
    <w:rsid w:val="00F07D3C"/>
    <w:rsid w:val="00F10551"/>
    <w:rsid w:val="00F11812"/>
    <w:rsid w:val="00F12AA8"/>
    <w:rsid w:val="00F1367B"/>
    <w:rsid w:val="00F1404D"/>
    <w:rsid w:val="00F159B6"/>
    <w:rsid w:val="00F16614"/>
    <w:rsid w:val="00F16DC2"/>
    <w:rsid w:val="00F16FEF"/>
    <w:rsid w:val="00F17050"/>
    <w:rsid w:val="00F17B11"/>
    <w:rsid w:val="00F20187"/>
    <w:rsid w:val="00F205FD"/>
    <w:rsid w:val="00F22FE7"/>
    <w:rsid w:val="00F2311F"/>
    <w:rsid w:val="00F243DE"/>
    <w:rsid w:val="00F24A1A"/>
    <w:rsid w:val="00F24F5C"/>
    <w:rsid w:val="00F25267"/>
    <w:rsid w:val="00F25372"/>
    <w:rsid w:val="00F25E1F"/>
    <w:rsid w:val="00F268A9"/>
    <w:rsid w:val="00F300B1"/>
    <w:rsid w:val="00F32169"/>
    <w:rsid w:val="00F323CE"/>
    <w:rsid w:val="00F32401"/>
    <w:rsid w:val="00F33C09"/>
    <w:rsid w:val="00F3420B"/>
    <w:rsid w:val="00F34B97"/>
    <w:rsid w:val="00F350BA"/>
    <w:rsid w:val="00F353DE"/>
    <w:rsid w:val="00F35B38"/>
    <w:rsid w:val="00F367EB"/>
    <w:rsid w:val="00F37A93"/>
    <w:rsid w:val="00F40E4F"/>
    <w:rsid w:val="00F41AEC"/>
    <w:rsid w:val="00F43151"/>
    <w:rsid w:val="00F43B4C"/>
    <w:rsid w:val="00F46268"/>
    <w:rsid w:val="00F5128B"/>
    <w:rsid w:val="00F51BB9"/>
    <w:rsid w:val="00F548CD"/>
    <w:rsid w:val="00F55D57"/>
    <w:rsid w:val="00F5690E"/>
    <w:rsid w:val="00F575AA"/>
    <w:rsid w:val="00F6003B"/>
    <w:rsid w:val="00F604E2"/>
    <w:rsid w:val="00F60A0A"/>
    <w:rsid w:val="00F60D64"/>
    <w:rsid w:val="00F635DD"/>
    <w:rsid w:val="00F64B99"/>
    <w:rsid w:val="00F64CA0"/>
    <w:rsid w:val="00F66BC0"/>
    <w:rsid w:val="00F67BDB"/>
    <w:rsid w:val="00F71920"/>
    <w:rsid w:val="00F71A1D"/>
    <w:rsid w:val="00F72EBE"/>
    <w:rsid w:val="00F733C1"/>
    <w:rsid w:val="00F73AF8"/>
    <w:rsid w:val="00F7611D"/>
    <w:rsid w:val="00F763DD"/>
    <w:rsid w:val="00F77233"/>
    <w:rsid w:val="00F779AA"/>
    <w:rsid w:val="00F804BE"/>
    <w:rsid w:val="00F80D5D"/>
    <w:rsid w:val="00F82D8C"/>
    <w:rsid w:val="00F835EB"/>
    <w:rsid w:val="00F83B99"/>
    <w:rsid w:val="00F844B7"/>
    <w:rsid w:val="00F8492A"/>
    <w:rsid w:val="00F84C52"/>
    <w:rsid w:val="00F853F0"/>
    <w:rsid w:val="00F85411"/>
    <w:rsid w:val="00F864C5"/>
    <w:rsid w:val="00F91544"/>
    <w:rsid w:val="00F9230B"/>
    <w:rsid w:val="00F92C62"/>
    <w:rsid w:val="00F931F9"/>
    <w:rsid w:val="00F95B31"/>
    <w:rsid w:val="00F9645F"/>
    <w:rsid w:val="00F96C5A"/>
    <w:rsid w:val="00FA07EF"/>
    <w:rsid w:val="00FA0FED"/>
    <w:rsid w:val="00FA1970"/>
    <w:rsid w:val="00FA1C4F"/>
    <w:rsid w:val="00FA1D9A"/>
    <w:rsid w:val="00FA2028"/>
    <w:rsid w:val="00FA21E5"/>
    <w:rsid w:val="00FA2427"/>
    <w:rsid w:val="00FA2583"/>
    <w:rsid w:val="00FA42B3"/>
    <w:rsid w:val="00FA5DFA"/>
    <w:rsid w:val="00FA6885"/>
    <w:rsid w:val="00FA7C93"/>
    <w:rsid w:val="00FB072D"/>
    <w:rsid w:val="00FB0CA0"/>
    <w:rsid w:val="00FB0ED3"/>
    <w:rsid w:val="00FB13AD"/>
    <w:rsid w:val="00FB2C33"/>
    <w:rsid w:val="00FB35C4"/>
    <w:rsid w:val="00FB4669"/>
    <w:rsid w:val="00FB50BB"/>
    <w:rsid w:val="00FB684B"/>
    <w:rsid w:val="00FB742D"/>
    <w:rsid w:val="00FB7AED"/>
    <w:rsid w:val="00FC0E3C"/>
    <w:rsid w:val="00FC16F0"/>
    <w:rsid w:val="00FC3C59"/>
    <w:rsid w:val="00FC3E77"/>
    <w:rsid w:val="00FC43BC"/>
    <w:rsid w:val="00FC494A"/>
    <w:rsid w:val="00FC4AAF"/>
    <w:rsid w:val="00FC672C"/>
    <w:rsid w:val="00FC6BDE"/>
    <w:rsid w:val="00FD038E"/>
    <w:rsid w:val="00FD0DB4"/>
    <w:rsid w:val="00FD12B0"/>
    <w:rsid w:val="00FD31D1"/>
    <w:rsid w:val="00FD3B48"/>
    <w:rsid w:val="00FD5526"/>
    <w:rsid w:val="00FD580A"/>
    <w:rsid w:val="00FD7BF5"/>
    <w:rsid w:val="00FE09B3"/>
    <w:rsid w:val="00FE1307"/>
    <w:rsid w:val="00FE1FFA"/>
    <w:rsid w:val="00FE4DFB"/>
    <w:rsid w:val="00FE58A0"/>
    <w:rsid w:val="00FE61CC"/>
    <w:rsid w:val="00FE6A81"/>
    <w:rsid w:val="00FF15F0"/>
    <w:rsid w:val="00FF1B3D"/>
    <w:rsid w:val="00FF48D2"/>
    <w:rsid w:val="00FF4CED"/>
    <w:rsid w:val="00FF5173"/>
    <w:rsid w:val="00FF66F8"/>
    <w:rsid w:val="00FF76E0"/>
    <w:rsid w:val="00FF7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34"/>
  </w:style>
  <w:style w:type="paragraph" w:styleId="Heading1">
    <w:name w:val="heading 1"/>
    <w:basedOn w:val="Normal"/>
    <w:next w:val="Normal"/>
    <w:link w:val="Heading1Char"/>
    <w:qFormat/>
    <w:rsid w:val="007915D7"/>
    <w:pPr>
      <w:keepNext/>
      <w:spacing w:before="60" w:line="240" w:lineRule="auto"/>
      <w:jc w:val="center"/>
      <w:outlineLvl w:val="0"/>
    </w:pPr>
    <w:rPr>
      <w:rFonts w:ascii="Times New Roman" w:eastAsia="Times New Roman" w:hAnsi="Times New Roman" w:cs="Times New Roman"/>
      <w:b/>
      <w:kern w:val="28"/>
      <w:sz w:val="20"/>
      <w:szCs w:val="20"/>
      <w:lang w:eastAsia="x-none"/>
    </w:rPr>
  </w:style>
  <w:style w:type="paragraph" w:styleId="Heading2">
    <w:name w:val="heading 2"/>
    <w:basedOn w:val="Normal"/>
    <w:next w:val="Normal"/>
    <w:link w:val="Heading2Char"/>
    <w:qFormat/>
    <w:rsid w:val="007915D7"/>
    <w:pPr>
      <w:keepNext/>
      <w:widowControl w:val="0"/>
      <w:spacing w:before="200" w:after="120" w:line="240" w:lineRule="auto"/>
      <w:ind w:firstLine="567"/>
      <w:outlineLvl w:val="1"/>
    </w:pPr>
    <w:rPr>
      <w:rFonts w:ascii="Times New Roman" w:eastAsia="Times New Roman" w:hAnsi="Times New Roman" w:cs="Times New Roman"/>
      <w:b/>
      <w:i/>
      <w:sz w:val="20"/>
      <w:szCs w:val="20"/>
      <w:lang w:eastAsia="x-none"/>
    </w:rPr>
  </w:style>
  <w:style w:type="paragraph" w:styleId="Heading3">
    <w:name w:val="heading 3"/>
    <w:basedOn w:val="Normal"/>
    <w:next w:val="Normal"/>
    <w:link w:val="Heading3Char"/>
    <w:uiPriority w:val="9"/>
    <w:unhideWhenUsed/>
    <w:qFormat/>
    <w:rsid w:val="00091B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3D9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93D9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646"/>
    <w:pPr>
      <w:ind w:left="720"/>
      <w:contextualSpacing/>
    </w:pPr>
  </w:style>
  <w:style w:type="paragraph" w:styleId="BalloonText">
    <w:name w:val="Balloon Text"/>
    <w:basedOn w:val="Normal"/>
    <w:link w:val="BalloonTextChar"/>
    <w:uiPriority w:val="99"/>
    <w:semiHidden/>
    <w:unhideWhenUsed/>
    <w:rsid w:val="00C14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D8"/>
    <w:rPr>
      <w:rFonts w:ascii="Tahoma" w:hAnsi="Tahoma" w:cs="Tahoma"/>
      <w:sz w:val="16"/>
      <w:szCs w:val="16"/>
    </w:rPr>
  </w:style>
  <w:style w:type="character" w:styleId="Hyperlink">
    <w:name w:val="Hyperlink"/>
    <w:basedOn w:val="DefaultParagraphFont"/>
    <w:uiPriority w:val="99"/>
    <w:unhideWhenUsed/>
    <w:rsid w:val="00A32D5F"/>
    <w:rPr>
      <w:b w:val="0"/>
      <w:bCs w:val="0"/>
      <w:strike w:val="0"/>
      <w:dstrike w:val="0"/>
      <w:color w:val="104A96"/>
      <w:u w:val="none"/>
      <w:effect w:val="none"/>
      <w:shd w:val="clear" w:color="auto" w:fill="auto"/>
    </w:rPr>
  </w:style>
  <w:style w:type="paragraph" w:styleId="NormalWeb">
    <w:name w:val="Normal (Web)"/>
    <w:basedOn w:val="Normal"/>
    <w:uiPriority w:val="99"/>
    <w:unhideWhenUsed/>
    <w:rsid w:val="00A32D5F"/>
    <w:pPr>
      <w:spacing w:after="0" w:line="240" w:lineRule="auto"/>
    </w:pPr>
    <w:rPr>
      <w:rFonts w:ascii="Times New Roman" w:eastAsia="Times New Roman" w:hAnsi="Times New Roman" w:cs="Times New Roman"/>
      <w:sz w:val="24"/>
      <w:szCs w:val="24"/>
      <w:lang w:eastAsia="lt-LT"/>
    </w:rPr>
  </w:style>
  <w:style w:type="character" w:customStyle="1" w:styleId="googqs-tidbit">
    <w:name w:val="goog_qs-tidbit"/>
    <w:basedOn w:val="DefaultParagraphFont"/>
    <w:rsid w:val="00EF389B"/>
  </w:style>
  <w:style w:type="character" w:styleId="Strong">
    <w:name w:val="Strong"/>
    <w:basedOn w:val="DefaultParagraphFont"/>
    <w:uiPriority w:val="22"/>
    <w:qFormat/>
    <w:rsid w:val="009B744F"/>
    <w:rPr>
      <w:b/>
      <w:bCs/>
    </w:rPr>
  </w:style>
  <w:style w:type="paragraph" w:customStyle="1" w:styleId="caps">
    <w:name w:val="caps"/>
    <w:basedOn w:val="Normal"/>
    <w:rsid w:val="00B3625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222D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D14"/>
  </w:style>
  <w:style w:type="paragraph" w:styleId="Footer">
    <w:name w:val="footer"/>
    <w:basedOn w:val="Normal"/>
    <w:link w:val="FooterChar"/>
    <w:uiPriority w:val="99"/>
    <w:unhideWhenUsed/>
    <w:rsid w:val="00222D1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D14"/>
  </w:style>
  <w:style w:type="table" w:styleId="TableGrid">
    <w:name w:val="Table Grid"/>
    <w:basedOn w:val="TableNormal"/>
    <w:uiPriority w:val="59"/>
    <w:rsid w:val="00A5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48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rsid w:val="007915D7"/>
    <w:rPr>
      <w:rFonts w:ascii="Times New Roman" w:eastAsia="Times New Roman" w:hAnsi="Times New Roman" w:cs="Times New Roman"/>
      <w:b/>
      <w:kern w:val="28"/>
      <w:sz w:val="20"/>
      <w:szCs w:val="20"/>
      <w:lang w:eastAsia="x-none"/>
    </w:rPr>
  </w:style>
  <w:style w:type="character" w:customStyle="1" w:styleId="Heading2Char">
    <w:name w:val="Heading 2 Char"/>
    <w:basedOn w:val="DefaultParagraphFont"/>
    <w:link w:val="Heading2"/>
    <w:rsid w:val="007915D7"/>
    <w:rPr>
      <w:rFonts w:ascii="Times New Roman" w:eastAsia="Times New Roman" w:hAnsi="Times New Roman" w:cs="Times New Roman"/>
      <w:b/>
      <w:i/>
      <w:sz w:val="20"/>
      <w:szCs w:val="20"/>
      <w:lang w:eastAsia="x-none"/>
    </w:rPr>
  </w:style>
  <w:style w:type="paragraph" w:styleId="TOC2">
    <w:name w:val="toc 2"/>
    <w:basedOn w:val="Normal"/>
    <w:next w:val="Normal"/>
    <w:autoRedefine/>
    <w:uiPriority w:val="39"/>
    <w:unhideWhenUsed/>
    <w:qFormat/>
    <w:rsid w:val="0034081A"/>
    <w:pPr>
      <w:tabs>
        <w:tab w:val="left" w:pos="709"/>
        <w:tab w:val="right" w:leader="dot" w:pos="9911"/>
      </w:tabs>
      <w:spacing w:after="0" w:line="360" w:lineRule="auto"/>
      <w:ind w:left="220"/>
      <w:jc w:val="right"/>
    </w:pPr>
    <w:rPr>
      <w:rFonts w:ascii="Calibri" w:eastAsia="Calibri" w:hAnsi="Calibri" w:cs="Times New Roman"/>
      <w:lang w:val="en-US"/>
    </w:rPr>
  </w:style>
  <w:style w:type="paragraph" w:styleId="Caption">
    <w:name w:val="caption"/>
    <w:basedOn w:val="Normal"/>
    <w:next w:val="Normal"/>
    <w:qFormat/>
    <w:rsid w:val="007915D7"/>
    <w:pPr>
      <w:widowControl w:val="0"/>
      <w:spacing w:before="120" w:after="120" w:line="240" w:lineRule="auto"/>
      <w:ind w:left="851" w:firstLine="720"/>
      <w:jc w:val="both"/>
    </w:pPr>
    <w:rPr>
      <w:rFonts w:ascii="TimesLT" w:eastAsia="Times New Roman" w:hAnsi="TimesLT" w:cs="Times New Roman"/>
      <w:i/>
      <w:sz w:val="20"/>
      <w:szCs w:val="20"/>
      <w:lang w:val="en-AU"/>
    </w:rPr>
  </w:style>
  <w:style w:type="paragraph" w:styleId="BodyText">
    <w:name w:val="Body Text"/>
    <w:basedOn w:val="Normal"/>
    <w:link w:val="BodyTextChar"/>
    <w:rsid w:val="007915D7"/>
    <w:pPr>
      <w:spacing w:after="120" w:line="240" w:lineRule="auto"/>
      <w:jc w:val="both"/>
    </w:pPr>
    <w:rPr>
      <w:rFonts w:ascii="Times New Roman" w:eastAsia="Times New Roman" w:hAnsi="Times New Roman" w:cs="Times New Roman"/>
      <w:sz w:val="20"/>
      <w:szCs w:val="20"/>
      <w:lang w:eastAsia="x-none"/>
    </w:rPr>
  </w:style>
  <w:style w:type="character" w:customStyle="1" w:styleId="BodyTextChar">
    <w:name w:val="Body Text Char"/>
    <w:basedOn w:val="DefaultParagraphFont"/>
    <w:link w:val="BodyText"/>
    <w:rsid w:val="007915D7"/>
    <w:rPr>
      <w:rFonts w:ascii="Times New Roman" w:eastAsia="Times New Roman" w:hAnsi="Times New Roman" w:cs="Times New Roman"/>
      <w:sz w:val="20"/>
      <w:szCs w:val="20"/>
      <w:lang w:eastAsia="x-none"/>
    </w:rPr>
  </w:style>
  <w:style w:type="paragraph" w:styleId="FootnoteText">
    <w:name w:val="footnote text"/>
    <w:aliases w:val="Footnote,Footnote text,fn,Footnote Text Char Char"/>
    <w:basedOn w:val="Normal"/>
    <w:link w:val="FootnoteTextChar"/>
    <w:semiHidden/>
    <w:rsid w:val="007915D7"/>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fn Char,Footnote Text Char Char Char"/>
    <w:basedOn w:val="DefaultParagraphFont"/>
    <w:link w:val="FootnoteText"/>
    <w:semiHidden/>
    <w:rsid w:val="007915D7"/>
    <w:rPr>
      <w:rFonts w:ascii="Times New Roman" w:eastAsia="Times New Roman" w:hAnsi="Times New Roman" w:cs="Times New Roman"/>
      <w:sz w:val="20"/>
      <w:szCs w:val="20"/>
      <w:lang w:val="x-none" w:eastAsia="x-none"/>
    </w:rPr>
  </w:style>
  <w:style w:type="character" w:styleId="FootnoteReference">
    <w:name w:val="footnote reference"/>
    <w:semiHidden/>
    <w:rsid w:val="007915D7"/>
    <w:rPr>
      <w:vertAlign w:val="superscript"/>
    </w:rPr>
  </w:style>
  <w:style w:type="character" w:customStyle="1" w:styleId="googqs-tidbit-1">
    <w:name w:val="goog_qs-tidbit-1"/>
    <w:rsid w:val="007915D7"/>
  </w:style>
  <w:style w:type="character" w:customStyle="1" w:styleId="googqs-tidbit1">
    <w:name w:val="goog_qs-tidbit1"/>
    <w:rsid w:val="007915D7"/>
    <w:rPr>
      <w:vanish w:val="0"/>
      <w:webHidden w:val="0"/>
      <w:specVanish w:val="0"/>
    </w:rPr>
  </w:style>
  <w:style w:type="table" w:styleId="ColorfulGrid-Accent5">
    <w:name w:val="Colorful Grid Accent 5"/>
    <w:basedOn w:val="TableNormal"/>
    <w:uiPriority w:val="73"/>
    <w:rsid w:val="007915D7"/>
    <w:pPr>
      <w:spacing w:after="0" w:line="240" w:lineRule="auto"/>
    </w:pPr>
    <w:rPr>
      <w:rFonts w:ascii="Calibri" w:eastAsia="Calibri" w:hAnsi="Calibri" w:cs="Times New Roman"/>
      <w:color w:val="000000"/>
      <w:sz w:val="20"/>
      <w:szCs w:val="2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5">
    <w:name w:val="Light List Accent 5"/>
    <w:basedOn w:val="TableNormal"/>
    <w:uiPriority w:val="61"/>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1-Accent5">
    <w:name w:val="Medium Grid 1 Accent 5"/>
    <w:basedOn w:val="TableNormal"/>
    <w:uiPriority w:val="67"/>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FollowedHyperlink">
    <w:name w:val="FollowedHyperlink"/>
    <w:uiPriority w:val="99"/>
    <w:semiHidden/>
    <w:unhideWhenUsed/>
    <w:rsid w:val="007915D7"/>
    <w:rPr>
      <w:color w:val="800080"/>
      <w:u w:val="single"/>
    </w:rPr>
  </w:style>
  <w:style w:type="paragraph" w:styleId="TOC1">
    <w:name w:val="toc 1"/>
    <w:basedOn w:val="Normal"/>
    <w:next w:val="Normal"/>
    <w:autoRedefine/>
    <w:uiPriority w:val="39"/>
    <w:unhideWhenUsed/>
    <w:qFormat/>
    <w:rsid w:val="004320B0"/>
    <w:pPr>
      <w:tabs>
        <w:tab w:val="left" w:pos="284"/>
        <w:tab w:val="right" w:leader="dot" w:pos="9911"/>
      </w:tabs>
      <w:spacing w:after="0" w:line="360" w:lineRule="auto"/>
    </w:pPr>
  </w:style>
  <w:style w:type="paragraph" w:styleId="TOCHeading">
    <w:name w:val="TOC Heading"/>
    <w:basedOn w:val="Heading1"/>
    <w:next w:val="Normal"/>
    <w:uiPriority w:val="39"/>
    <w:unhideWhenUsed/>
    <w:qFormat/>
    <w:rsid w:val="00997551"/>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4320B0"/>
    <w:pPr>
      <w:tabs>
        <w:tab w:val="right" w:leader="dot" w:pos="9923"/>
      </w:tabs>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091BB8"/>
    <w:rPr>
      <w:rFonts w:asciiTheme="majorHAnsi" w:eastAsiaTheme="majorEastAsia" w:hAnsiTheme="majorHAnsi" w:cstheme="majorBidi"/>
      <w:b/>
      <w:bCs/>
      <w:color w:val="4F81BD" w:themeColor="accent1"/>
    </w:rPr>
  </w:style>
  <w:style w:type="character" w:customStyle="1" w:styleId="st">
    <w:name w:val="st"/>
    <w:basedOn w:val="DefaultParagraphFont"/>
    <w:rsid w:val="0039716D"/>
  </w:style>
  <w:style w:type="character" w:customStyle="1" w:styleId="texthdblue">
    <w:name w:val="texthdblue"/>
    <w:basedOn w:val="DefaultParagraphFont"/>
    <w:rsid w:val="00773AAC"/>
  </w:style>
  <w:style w:type="character" w:styleId="LineNumber">
    <w:name w:val="line number"/>
    <w:basedOn w:val="DefaultParagraphFont"/>
    <w:uiPriority w:val="99"/>
    <w:semiHidden/>
    <w:unhideWhenUsed/>
    <w:rsid w:val="005E0DA4"/>
  </w:style>
  <w:style w:type="character" w:customStyle="1" w:styleId="Heading4Char">
    <w:name w:val="Heading 4 Char"/>
    <w:basedOn w:val="DefaultParagraphFont"/>
    <w:link w:val="Heading4"/>
    <w:uiPriority w:val="9"/>
    <w:rsid w:val="00593D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93D9E"/>
    <w:rPr>
      <w:rFonts w:asciiTheme="majorHAnsi" w:eastAsiaTheme="majorEastAsia" w:hAnsiTheme="majorHAnsi" w:cstheme="majorBidi"/>
      <w:color w:val="243F60" w:themeColor="accent1" w:themeShade="7F"/>
    </w:rPr>
  </w:style>
  <w:style w:type="paragraph" w:styleId="TOC4">
    <w:name w:val="toc 4"/>
    <w:basedOn w:val="Normal"/>
    <w:next w:val="Normal"/>
    <w:autoRedefine/>
    <w:uiPriority w:val="39"/>
    <w:unhideWhenUsed/>
    <w:rsid w:val="00F66BC0"/>
    <w:pPr>
      <w:tabs>
        <w:tab w:val="right" w:leader="dot" w:pos="9911"/>
      </w:tabs>
      <w:spacing w:after="0" w:line="360" w:lineRule="auto"/>
    </w:pPr>
  </w:style>
  <w:style w:type="paragraph" w:styleId="TOC5">
    <w:name w:val="toc 5"/>
    <w:basedOn w:val="Normal"/>
    <w:next w:val="Normal"/>
    <w:autoRedefine/>
    <w:uiPriority w:val="39"/>
    <w:unhideWhenUsed/>
    <w:rsid w:val="00A45317"/>
    <w:pPr>
      <w:tabs>
        <w:tab w:val="right" w:leader="dot" w:pos="9911"/>
      </w:tabs>
      <w:spacing w:after="0" w:line="360" w:lineRule="auto"/>
    </w:pPr>
  </w:style>
  <w:style w:type="character" w:customStyle="1" w:styleId="hps">
    <w:name w:val="hps"/>
    <w:basedOn w:val="DefaultParagraphFont"/>
    <w:rsid w:val="00AA65E2"/>
  </w:style>
  <w:style w:type="character" w:customStyle="1" w:styleId="shorttext">
    <w:name w:val="short_text"/>
    <w:basedOn w:val="DefaultParagraphFont"/>
    <w:rsid w:val="00AA65E2"/>
  </w:style>
  <w:style w:type="character" w:styleId="Emphasis">
    <w:name w:val="Emphasis"/>
    <w:basedOn w:val="DefaultParagraphFont"/>
    <w:uiPriority w:val="20"/>
    <w:qFormat/>
    <w:rsid w:val="00AA6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34"/>
  </w:style>
  <w:style w:type="paragraph" w:styleId="Heading1">
    <w:name w:val="heading 1"/>
    <w:basedOn w:val="Normal"/>
    <w:next w:val="Normal"/>
    <w:link w:val="Heading1Char"/>
    <w:qFormat/>
    <w:rsid w:val="007915D7"/>
    <w:pPr>
      <w:keepNext/>
      <w:spacing w:before="60" w:line="240" w:lineRule="auto"/>
      <w:jc w:val="center"/>
      <w:outlineLvl w:val="0"/>
    </w:pPr>
    <w:rPr>
      <w:rFonts w:ascii="Times New Roman" w:eastAsia="Times New Roman" w:hAnsi="Times New Roman" w:cs="Times New Roman"/>
      <w:b/>
      <w:kern w:val="28"/>
      <w:sz w:val="20"/>
      <w:szCs w:val="20"/>
      <w:lang w:eastAsia="x-none"/>
    </w:rPr>
  </w:style>
  <w:style w:type="paragraph" w:styleId="Heading2">
    <w:name w:val="heading 2"/>
    <w:basedOn w:val="Normal"/>
    <w:next w:val="Normal"/>
    <w:link w:val="Heading2Char"/>
    <w:qFormat/>
    <w:rsid w:val="007915D7"/>
    <w:pPr>
      <w:keepNext/>
      <w:widowControl w:val="0"/>
      <w:spacing w:before="200" w:after="120" w:line="240" w:lineRule="auto"/>
      <w:ind w:firstLine="567"/>
      <w:outlineLvl w:val="1"/>
    </w:pPr>
    <w:rPr>
      <w:rFonts w:ascii="Times New Roman" w:eastAsia="Times New Roman" w:hAnsi="Times New Roman" w:cs="Times New Roman"/>
      <w:b/>
      <w:i/>
      <w:sz w:val="20"/>
      <w:szCs w:val="20"/>
      <w:lang w:eastAsia="x-none"/>
    </w:rPr>
  </w:style>
  <w:style w:type="paragraph" w:styleId="Heading3">
    <w:name w:val="heading 3"/>
    <w:basedOn w:val="Normal"/>
    <w:next w:val="Normal"/>
    <w:link w:val="Heading3Char"/>
    <w:uiPriority w:val="9"/>
    <w:unhideWhenUsed/>
    <w:qFormat/>
    <w:rsid w:val="00091B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3D9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93D9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646"/>
    <w:pPr>
      <w:ind w:left="720"/>
      <w:contextualSpacing/>
    </w:pPr>
  </w:style>
  <w:style w:type="paragraph" w:styleId="BalloonText">
    <w:name w:val="Balloon Text"/>
    <w:basedOn w:val="Normal"/>
    <w:link w:val="BalloonTextChar"/>
    <w:uiPriority w:val="99"/>
    <w:semiHidden/>
    <w:unhideWhenUsed/>
    <w:rsid w:val="00C14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D8"/>
    <w:rPr>
      <w:rFonts w:ascii="Tahoma" w:hAnsi="Tahoma" w:cs="Tahoma"/>
      <w:sz w:val="16"/>
      <w:szCs w:val="16"/>
    </w:rPr>
  </w:style>
  <w:style w:type="character" w:styleId="Hyperlink">
    <w:name w:val="Hyperlink"/>
    <w:basedOn w:val="DefaultParagraphFont"/>
    <w:uiPriority w:val="99"/>
    <w:unhideWhenUsed/>
    <w:rsid w:val="00A32D5F"/>
    <w:rPr>
      <w:b w:val="0"/>
      <w:bCs w:val="0"/>
      <w:strike w:val="0"/>
      <w:dstrike w:val="0"/>
      <w:color w:val="104A96"/>
      <w:u w:val="none"/>
      <w:effect w:val="none"/>
      <w:shd w:val="clear" w:color="auto" w:fill="auto"/>
    </w:rPr>
  </w:style>
  <w:style w:type="paragraph" w:styleId="NormalWeb">
    <w:name w:val="Normal (Web)"/>
    <w:basedOn w:val="Normal"/>
    <w:uiPriority w:val="99"/>
    <w:unhideWhenUsed/>
    <w:rsid w:val="00A32D5F"/>
    <w:pPr>
      <w:spacing w:after="0" w:line="240" w:lineRule="auto"/>
    </w:pPr>
    <w:rPr>
      <w:rFonts w:ascii="Times New Roman" w:eastAsia="Times New Roman" w:hAnsi="Times New Roman" w:cs="Times New Roman"/>
      <w:sz w:val="24"/>
      <w:szCs w:val="24"/>
      <w:lang w:eastAsia="lt-LT"/>
    </w:rPr>
  </w:style>
  <w:style w:type="character" w:customStyle="1" w:styleId="googqs-tidbit">
    <w:name w:val="goog_qs-tidbit"/>
    <w:basedOn w:val="DefaultParagraphFont"/>
    <w:rsid w:val="00EF389B"/>
  </w:style>
  <w:style w:type="character" w:styleId="Strong">
    <w:name w:val="Strong"/>
    <w:basedOn w:val="DefaultParagraphFont"/>
    <w:uiPriority w:val="22"/>
    <w:qFormat/>
    <w:rsid w:val="009B744F"/>
    <w:rPr>
      <w:b/>
      <w:bCs/>
    </w:rPr>
  </w:style>
  <w:style w:type="paragraph" w:customStyle="1" w:styleId="caps">
    <w:name w:val="caps"/>
    <w:basedOn w:val="Normal"/>
    <w:rsid w:val="00B3625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222D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D14"/>
  </w:style>
  <w:style w:type="paragraph" w:styleId="Footer">
    <w:name w:val="footer"/>
    <w:basedOn w:val="Normal"/>
    <w:link w:val="FooterChar"/>
    <w:uiPriority w:val="99"/>
    <w:unhideWhenUsed/>
    <w:rsid w:val="00222D1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D14"/>
  </w:style>
  <w:style w:type="table" w:styleId="TableGrid">
    <w:name w:val="Table Grid"/>
    <w:basedOn w:val="TableNormal"/>
    <w:uiPriority w:val="59"/>
    <w:rsid w:val="00A5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48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rsid w:val="007915D7"/>
    <w:rPr>
      <w:rFonts w:ascii="Times New Roman" w:eastAsia="Times New Roman" w:hAnsi="Times New Roman" w:cs="Times New Roman"/>
      <w:b/>
      <w:kern w:val="28"/>
      <w:sz w:val="20"/>
      <w:szCs w:val="20"/>
      <w:lang w:eastAsia="x-none"/>
    </w:rPr>
  </w:style>
  <w:style w:type="character" w:customStyle="1" w:styleId="Heading2Char">
    <w:name w:val="Heading 2 Char"/>
    <w:basedOn w:val="DefaultParagraphFont"/>
    <w:link w:val="Heading2"/>
    <w:rsid w:val="007915D7"/>
    <w:rPr>
      <w:rFonts w:ascii="Times New Roman" w:eastAsia="Times New Roman" w:hAnsi="Times New Roman" w:cs="Times New Roman"/>
      <w:b/>
      <w:i/>
      <w:sz w:val="20"/>
      <w:szCs w:val="20"/>
      <w:lang w:eastAsia="x-none"/>
    </w:rPr>
  </w:style>
  <w:style w:type="paragraph" w:styleId="TOC2">
    <w:name w:val="toc 2"/>
    <w:basedOn w:val="Normal"/>
    <w:next w:val="Normal"/>
    <w:autoRedefine/>
    <w:uiPriority w:val="39"/>
    <w:unhideWhenUsed/>
    <w:qFormat/>
    <w:rsid w:val="0034081A"/>
    <w:pPr>
      <w:tabs>
        <w:tab w:val="left" w:pos="709"/>
        <w:tab w:val="right" w:leader="dot" w:pos="9911"/>
      </w:tabs>
      <w:spacing w:after="0" w:line="360" w:lineRule="auto"/>
      <w:ind w:left="220"/>
      <w:jc w:val="right"/>
    </w:pPr>
    <w:rPr>
      <w:rFonts w:ascii="Calibri" w:eastAsia="Calibri" w:hAnsi="Calibri" w:cs="Times New Roman"/>
      <w:lang w:val="en-US"/>
    </w:rPr>
  </w:style>
  <w:style w:type="paragraph" w:styleId="Caption">
    <w:name w:val="caption"/>
    <w:basedOn w:val="Normal"/>
    <w:next w:val="Normal"/>
    <w:qFormat/>
    <w:rsid w:val="007915D7"/>
    <w:pPr>
      <w:widowControl w:val="0"/>
      <w:spacing w:before="120" w:after="120" w:line="240" w:lineRule="auto"/>
      <w:ind w:left="851" w:firstLine="720"/>
      <w:jc w:val="both"/>
    </w:pPr>
    <w:rPr>
      <w:rFonts w:ascii="TimesLT" w:eastAsia="Times New Roman" w:hAnsi="TimesLT" w:cs="Times New Roman"/>
      <w:i/>
      <w:sz w:val="20"/>
      <w:szCs w:val="20"/>
      <w:lang w:val="en-AU"/>
    </w:rPr>
  </w:style>
  <w:style w:type="paragraph" w:styleId="BodyText">
    <w:name w:val="Body Text"/>
    <w:basedOn w:val="Normal"/>
    <w:link w:val="BodyTextChar"/>
    <w:rsid w:val="007915D7"/>
    <w:pPr>
      <w:spacing w:after="120" w:line="240" w:lineRule="auto"/>
      <w:jc w:val="both"/>
    </w:pPr>
    <w:rPr>
      <w:rFonts w:ascii="Times New Roman" w:eastAsia="Times New Roman" w:hAnsi="Times New Roman" w:cs="Times New Roman"/>
      <w:sz w:val="20"/>
      <w:szCs w:val="20"/>
      <w:lang w:eastAsia="x-none"/>
    </w:rPr>
  </w:style>
  <w:style w:type="character" w:customStyle="1" w:styleId="BodyTextChar">
    <w:name w:val="Body Text Char"/>
    <w:basedOn w:val="DefaultParagraphFont"/>
    <w:link w:val="BodyText"/>
    <w:rsid w:val="007915D7"/>
    <w:rPr>
      <w:rFonts w:ascii="Times New Roman" w:eastAsia="Times New Roman" w:hAnsi="Times New Roman" w:cs="Times New Roman"/>
      <w:sz w:val="20"/>
      <w:szCs w:val="20"/>
      <w:lang w:eastAsia="x-none"/>
    </w:rPr>
  </w:style>
  <w:style w:type="paragraph" w:styleId="FootnoteText">
    <w:name w:val="footnote text"/>
    <w:aliases w:val="Footnote,Footnote text,fn,Footnote Text Char Char"/>
    <w:basedOn w:val="Normal"/>
    <w:link w:val="FootnoteTextChar"/>
    <w:semiHidden/>
    <w:rsid w:val="007915D7"/>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fn Char,Footnote Text Char Char Char"/>
    <w:basedOn w:val="DefaultParagraphFont"/>
    <w:link w:val="FootnoteText"/>
    <w:semiHidden/>
    <w:rsid w:val="007915D7"/>
    <w:rPr>
      <w:rFonts w:ascii="Times New Roman" w:eastAsia="Times New Roman" w:hAnsi="Times New Roman" w:cs="Times New Roman"/>
      <w:sz w:val="20"/>
      <w:szCs w:val="20"/>
      <w:lang w:val="x-none" w:eastAsia="x-none"/>
    </w:rPr>
  </w:style>
  <w:style w:type="character" w:styleId="FootnoteReference">
    <w:name w:val="footnote reference"/>
    <w:semiHidden/>
    <w:rsid w:val="007915D7"/>
    <w:rPr>
      <w:vertAlign w:val="superscript"/>
    </w:rPr>
  </w:style>
  <w:style w:type="character" w:customStyle="1" w:styleId="googqs-tidbit-1">
    <w:name w:val="goog_qs-tidbit-1"/>
    <w:rsid w:val="007915D7"/>
  </w:style>
  <w:style w:type="character" w:customStyle="1" w:styleId="googqs-tidbit1">
    <w:name w:val="goog_qs-tidbit1"/>
    <w:rsid w:val="007915D7"/>
    <w:rPr>
      <w:vanish w:val="0"/>
      <w:webHidden w:val="0"/>
      <w:specVanish w:val="0"/>
    </w:rPr>
  </w:style>
  <w:style w:type="table" w:styleId="ColorfulGrid-Accent5">
    <w:name w:val="Colorful Grid Accent 5"/>
    <w:basedOn w:val="TableNormal"/>
    <w:uiPriority w:val="73"/>
    <w:rsid w:val="007915D7"/>
    <w:pPr>
      <w:spacing w:after="0" w:line="240" w:lineRule="auto"/>
    </w:pPr>
    <w:rPr>
      <w:rFonts w:ascii="Calibri" w:eastAsia="Calibri" w:hAnsi="Calibri" w:cs="Times New Roman"/>
      <w:color w:val="000000"/>
      <w:sz w:val="20"/>
      <w:szCs w:val="2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5">
    <w:name w:val="Light List Accent 5"/>
    <w:basedOn w:val="TableNormal"/>
    <w:uiPriority w:val="61"/>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1-Accent5">
    <w:name w:val="Medium Grid 1 Accent 5"/>
    <w:basedOn w:val="TableNormal"/>
    <w:uiPriority w:val="67"/>
    <w:rsid w:val="007915D7"/>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FollowedHyperlink">
    <w:name w:val="FollowedHyperlink"/>
    <w:uiPriority w:val="99"/>
    <w:semiHidden/>
    <w:unhideWhenUsed/>
    <w:rsid w:val="007915D7"/>
    <w:rPr>
      <w:color w:val="800080"/>
      <w:u w:val="single"/>
    </w:rPr>
  </w:style>
  <w:style w:type="paragraph" w:styleId="TOC1">
    <w:name w:val="toc 1"/>
    <w:basedOn w:val="Normal"/>
    <w:next w:val="Normal"/>
    <w:autoRedefine/>
    <w:uiPriority w:val="39"/>
    <w:unhideWhenUsed/>
    <w:qFormat/>
    <w:rsid w:val="004320B0"/>
    <w:pPr>
      <w:tabs>
        <w:tab w:val="left" w:pos="284"/>
        <w:tab w:val="right" w:leader="dot" w:pos="9911"/>
      </w:tabs>
      <w:spacing w:after="0" w:line="360" w:lineRule="auto"/>
    </w:pPr>
  </w:style>
  <w:style w:type="paragraph" w:styleId="TOCHeading">
    <w:name w:val="TOC Heading"/>
    <w:basedOn w:val="Heading1"/>
    <w:next w:val="Normal"/>
    <w:uiPriority w:val="39"/>
    <w:unhideWhenUsed/>
    <w:qFormat/>
    <w:rsid w:val="00997551"/>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4320B0"/>
    <w:pPr>
      <w:tabs>
        <w:tab w:val="right" w:leader="dot" w:pos="9923"/>
      </w:tabs>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091BB8"/>
    <w:rPr>
      <w:rFonts w:asciiTheme="majorHAnsi" w:eastAsiaTheme="majorEastAsia" w:hAnsiTheme="majorHAnsi" w:cstheme="majorBidi"/>
      <w:b/>
      <w:bCs/>
      <w:color w:val="4F81BD" w:themeColor="accent1"/>
    </w:rPr>
  </w:style>
  <w:style w:type="character" w:customStyle="1" w:styleId="st">
    <w:name w:val="st"/>
    <w:basedOn w:val="DefaultParagraphFont"/>
    <w:rsid w:val="0039716D"/>
  </w:style>
  <w:style w:type="character" w:customStyle="1" w:styleId="texthdblue">
    <w:name w:val="texthdblue"/>
    <w:basedOn w:val="DefaultParagraphFont"/>
    <w:rsid w:val="00773AAC"/>
  </w:style>
  <w:style w:type="character" w:styleId="LineNumber">
    <w:name w:val="line number"/>
    <w:basedOn w:val="DefaultParagraphFont"/>
    <w:uiPriority w:val="99"/>
    <w:semiHidden/>
    <w:unhideWhenUsed/>
    <w:rsid w:val="005E0DA4"/>
  </w:style>
  <w:style w:type="character" w:customStyle="1" w:styleId="Heading4Char">
    <w:name w:val="Heading 4 Char"/>
    <w:basedOn w:val="DefaultParagraphFont"/>
    <w:link w:val="Heading4"/>
    <w:uiPriority w:val="9"/>
    <w:rsid w:val="00593D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93D9E"/>
    <w:rPr>
      <w:rFonts w:asciiTheme="majorHAnsi" w:eastAsiaTheme="majorEastAsia" w:hAnsiTheme="majorHAnsi" w:cstheme="majorBidi"/>
      <w:color w:val="243F60" w:themeColor="accent1" w:themeShade="7F"/>
    </w:rPr>
  </w:style>
  <w:style w:type="paragraph" w:styleId="TOC4">
    <w:name w:val="toc 4"/>
    <w:basedOn w:val="Normal"/>
    <w:next w:val="Normal"/>
    <w:autoRedefine/>
    <w:uiPriority w:val="39"/>
    <w:unhideWhenUsed/>
    <w:rsid w:val="00F66BC0"/>
    <w:pPr>
      <w:tabs>
        <w:tab w:val="right" w:leader="dot" w:pos="9911"/>
      </w:tabs>
      <w:spacing w:after="0" w:line="360" w:lineRule="auto"/>
    </w:pPr>
  </w:style>
  <w:style w:type="paragraph" w:styleId="TOC5">
    <w:name w:val="toc 5"/>
    <w:basedOn w:val="Normal"/>
    <w:next w:val="Normal"/>
    <w:autoRedefine/>
    <w:uiPriority w:val="39"/>
    <w:unhideWhenUsed/>
    <w:rsid w:val="00A45317"/>
    <w:pPr>
      <w:tabs>
        <w:tab w:val="right" w:leader="dot" w:pos="9911"/>
      </w:tabs>
      <w:spacing w:after="0" w:line="360" w:lineRule="auto"/>
    </w:pPr>
  </w:style>
  <w:style w:type="character" w:customStyle="1" w:styleId="hps">
    <w:name w:val="hps"/>
    <w:basedOn w:val="DefaultParagraphFont"/>
    <w:rsid w:val="00AA65E2"/>
  </w:style>
  <w:style w:type="character" w:customStyle="1" w:styleId="shorttext">
    <w:name w:val="short_text"/>
    <w:basedOn w:val="DefaultParagraphFont"/>
    <w:rsid w:val="00AA65E2"/>
  </w:style>
  <w:style w:type="character" w:styleId="Emphasis">
    <w:name w:val="Emphasis"/>
    <w:basedOn w:val="DefaultParagraphFont"/>
    <w:uiPriority w:val="20"/>
    <w:qFormat/>
    <w:rsid w:val="00AA6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9776">
      <w:bodyDiv w:val="1"/>
      <w:marLeft w:val="0"/>
      <w:marRight w:val="0"/>
      <w:marTop w:val="0"/>
      <w:marBottom w:val="0"/>
      <w:divBdr>
        <w:top w:val="none" w:sz="0" w:space="0" w:color="auto"/>
        <w:left w:val="none" w:sz="0" w:space="0" w:color="auto"/>
        <w:bottom w:val="none" w:sz="0" w:space="0" w:color="auto"/>
        <w:right w:val="none" w:sz="0" w:space="0" w:color="auto"/>
      </w:divBdr>
      <w:divsChild>
        <w:div w:id="1320691765">
          <w:marLeft w:val="0"/>
          <w:marRight w:val="0"/>
          <w:marTop w:val="0"/>
          <w:marBottom w:val="0"/>
          <w:divBdr>
            <w:top w:val="none" w:sz="0" w:space="0" w:color="auto"/>
            <w:left w:val="none" w:sz="0" w:space="0" w:color="auto"/>
            <w:bottom w:val="none" w:sz="0" w:space="0" w:color="auto"/>
            <w:right w:val="none" w:sz="0" w:space="0" w:color="auto"/>
          </w:divBdr>
          <w:divsChild>
            <w:div w:id="574360215">
              <w:marLeft w:val="0"/>
              <w:marRight w:val="0"/>
              <w:marTop w:val="0"/>
              <w:marBottom w:val="0"/>
              <w:divBdr>
                <w:top w:val="none" w:sz="0" w:space="0" w:color="auto"/>
                <w:left w:val="none" w:sz="0" w:space="0" w:color="auto"/>
                <w:bottom w:val="none" w:sz="0" w:space="0" w:color="auto"/>
                <w:right w:val="none" w:sz="0" w:space="0" w:color="auto"/>
              </w:divBdr>
              <w:divsChild>
                <w:div w:id="1204517484">
                  <w:marLeft w:val="0"/>
                  <w:marRight w:val="0"/>
                  <w:marTop w:val="0"/>
                  <w:marBottom w:val="0"/>
                  <w:divBdr>
                    <w:top w:val="none" w:sz="0" w:space="0" w:color="auto"/>
                    <w:left w:val="none" w:sz="0" w:space="0" w:color="auto"/>
                    <w:bottom w:val="none" w:sz="0" w:space="0" w:color="auto"/>
                    <w:right w:val="none" w:sz="0" w:space="0" w:color="auto"/>
                  </w:divBdr>
                  <w:divsChild>
                    <w:div w:id="794757022">
                      <w:marLeft w:val="0"/>
                      <w:marRight w:val="0"/>
                      <w:marTop w:val="0"/>
                      <w:marBottom w:val="0"/>
                      <w:divBdr>
                        <w:top w:val="none" w:sz="0" w:space="0" w:color="auto"/>
                        <w:left w:val="none" w:sz="0" w:space="0" w:color="auto"/>
                        <w:bottom w:val="none" w:sz="0" w:space="0" w:color="auto"/>
                        <w:right w:val="none" w:sz="0" w:space="0" w:color="auto"/>
                      </w:divBdr>
                      <w:divsChild>
                        <w:div w:id="1075275861">
                          <w:marLeft w:val="0"/>
                          <w:marRight w:val="0"/>
                          <w:marTop w:val="0"/>
                          <w:marBottom w:val="0"/>
                          <w:divBdr>
                            <w:top w:val="none" w:sz="0" w:space="0" w:color="auto"/>
                            <w:left w:val="none" w:sz="0" w:space="0" w:color="auto"/>
                            <w:bottom w:val="none" w:sz="0" w:space="0" w:color="auto"/>
                            <w:right w:val="none" w:sz="0" w:space="0" w:color="auto"/>
                          </w:divBdr>
                          <w:divsChild>
                            <w:div w:id="1867402687">
                              <w:marLeft w:val="0"/>
                              <w:marRight w:val="0"/>
                              <w:marTop w:val="0"/>
                              <w:marBottom w:val="0"/>
                              <w:divBdr>
                                <w:top w:val="none" w:sz="0" w:space="0" w:color="auto"/>
                                <w:left w:val="none" w:sz="0" w:space="0" w:color="auto"/>
                                <w:bottom w:val="none" w:sz="0" w:space="0" w:color="auto"/>
                                <w:right w:val="none" w:sz="0" w:space="0" w:color="auto"/>
                              </w:divBdr>
                              <w:divsChild>
                                <w:div w:id="1906991797">
                                  <w:marLeft w:val="0"/>
                                  <w:marRight w:val="0"/>
                                  <w:marTop w:val="0"/>
                                  <w:marBottom w:val="0"/>
                                  <w:divBdr>
                                    <w:top w:val="none" w:sz="0" w:space="0" w:color="auto"/>
                                    <w:left w:val="none" w:sz="0" w:space="0" w:color="auto"/>
                                    <w:bottom w:val="none" w:sz="0" w:space="0" w:color="auto"/>
                                    <w:right w:val="none" w:sz="0" w:space="0" w:color="auto"/>
                                  </w:divBdr>
                                  <w:divsChild>
                                    <w:div w:id="12720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543878">
      <w:bodyDiv w:val="1"/>
      <w:marLeft w:val="0"/>
      <w:marRight w:val="0"/>
      <w:marTop w:val="0"/>
      <w:marBottom w:val="0"/>
      <w:divBdr>
        <w:top w:val="none" w:sz="0" w:space="0" w:color="auto"/>
        <w:left w:val="none" w:sz="0" w:space="0" w:color="auto"/>
        <w:bottom w:val="none" w:sz="0" w:space="0" w:color="auto"/>
        <w:right w:val="none" w:sz="0" w:space="0" w:color="auto"/>
      </w:divBdr>
      <w:divsChild>
        <w:div w:id="1658916091">
          <w:marLeft w:val="547"/>
          <w:marRight w:val="0"/>
          <w:marTop w:val="154"/>
          <w:marBottom w:val="0"/>
          <w:divBdr>
            <w:top w:val="none" w:sz="0" w:space="0" w:color="auto"/>
            <w:left w:val="none" w:sz="0" w:space="0" w:color="auto"/>
            <w:bottom w:val="none" w:sz="0" w:space="0" w:color="auto"/>
            <w:right w:val="none" w:sz="0" w:space="0" w:color="auto"/>
          </w:divBdr>
        </w:div>
        <w:div w:id="1775401611">
          <w:marLeft w:val="547"/>
          <w:marRight w:val="0"/>
          <w:marTop w:val="154"/>
          <w:marBottom w:val="0"/>
          <w:divBdr>
            <w:top w:val="none" w:sz="0" w:space="0" w:color="auto"/>
            <w:left w:val="none" w:sz="0" w:space="0" w:color="auto"/>
            <w:bottom w:val="none" w:sz="0" w:space="0" w:color="auto"/>
            <w:right w:val="none" w:sz="0" w:space="0" w:color="auto"/>
          </w:divBdr>
        </w:div>
        <w:div w:id="1978216757">
          <w:marLeft w:val="547"/>
          <w:marRight w:val="0"/>
          <w:marTop w:val="154"/>
          <w:marBottom w:val="0"/>
          <w:divBdr>
            <w:top w:val="none" w:sz="0" w:space="0" w:color="auto"/>
            <w:left w:val="none" w:sz="0" w:space="0" w:color="auto"/>
            <w:bottom w:val="none" w:sz="0" w:space="0" w:color="auto"/>
            <w:right w:val="none" w:sz="0" w:space="0" w:color="auto"/>
          </w:divBdr>
        </w:div>
      </w:divsChild>
    </w:div>
    <w:div w:id="329986068">
      <w:bodyDiv w:val="1"/>
      <w:marLeft w:val="0"/>
      <w:marRight w:val="0"/>
      <w:marTop w:val="0"/>
      <w:marBottom w:val="0"/>
      <w:divBdr>
        <w:top w:val="none" w:sz="0" w:space="0" w:color="auto"/>
        <w:left w:val="none" w:sz="0" w:space="0" w:color="auto"/>
        <w:bottom w:val="none" w:sz="0" w:space="0" w:color="auto"/>
        <w:right w:val="none" w:sz="0" w:space="0" w:color="auto"/>
      </w:divBdr>
    </w:div>
    <w:div w:id="544877992">
      <w:bodyDiv w:val="1"/>
      <w:marLeft w:val="0"/>
      <w:marRight w:val="0"/>
      <w:marTop w:val="0"/>
      <w:marBottom w:val="0"/>
      <w:divBdr>
        <w:top w:val="none" w:sz="0" w:space="0" w:color="auto"/>
        <w:left w:val="none" w:sz="0" w:space="0" w:color="auto"/>
        <w:bottom w:val="none" w:sz="0" w:space="0" w:color="auto"/>
        <w:right w:val="none" w:sz="0" w:space="0" w:color="auto"/>
      </w:divBdr>
    </w:div>
    <w:div w:id="635255305">
      <w:bodyDiv w:val="1"/>
      <w:marLeft w:val="0"/>
      <w:marRight w:val="0"/>
      <w:marTop w:val="0"/>
      <w:marBottom w:val="0"/>
      <w:divBdr>
        <w:top w:val="none" w:sz="0" w:space="0" w:color="auto"/>
        <w:left w:val="none" w:sz="0" w:space="0" w:color="auto"/>
        <w:bottom w:val="none" w:sz="0" w:space="0" w:color="auto"/>
        <w:right w:val="none" w:sz="0" w:space="0" w:color="auto"/>
      </w:divBdr>
    </w:div>
    <w:div w:id="690765326">
      <w:bodyDiv w:val="1"/>
      <w:marLeft w:val="0"/>
      <w:marRight w:val="0"/>
      <w:marTop w:val="0"/>
      <w:marBottom w:val="0"/>
      <w:divBdr>
        <w:top w:val="none" w:sz="0" w:space="0" w:color="auto"/>
        <w:left w:val="none" w:sz="0" w:space="0" w:color="auto"/>
        <w:bottom w:val="none" w:sz="0" w:space="0" w:color="auto"/>
        <w:right w:val="none" w:sz="0" w:space="0" w:color="auto"/>
      </w:divBdr>
      <w:divsChild>
        <w:div w:id="2102754644">
          <w:marLeft w:val="0"/>
          <w:marRight w:val="0"/>
          <w:marTop w:val="0"/>
          <w:marBottom w:val="0"/>
          <w:divBdr>
            <w:top w:val="none" w:sz="0" w:space="0" w:color="auto"/>
            <w:left w:val="none" w:sz="0" w:space="0" w:color="auto"/>
            <w:bottom w:val="none" w:sz="0" w:space="0" w:color="auto"/>
            <w:right w:val="none" w:sz="0" w:space="0" w:color="auto"/>
          </w:divBdr>
          <w:divsChild>
            <w:div w:id="1348480050">
              <w:marLeft w:val="0"/>
              <w:marRight w:val="0"/>
              <w:marTop w:val="0"/>
              <w:marBottom w:val="0"/>
              <w:divBdr>
                <w:top w:val="none" w:sz="0" w:space="0" w:color="auto"/>
                <w:left w:val="none" w:sz="0" w:space="0" w:color="auto"/>
                <w:bottom w:val="none" w:sz="0" w:space="0" w:color="auto"/>
                <w:right w:val="none" w:sz="0" w:space="0" w:color="auto"/>
              </w:divBdr>
              <w:divsChild>
                <w:div w:id="1689260375">
                  <w:marLeft w:val="0"/>
                  <w:marRight w:val="0"/>
                  <w:marTop w:val="0"/>
                  <w:marBottom w:val="0"/>
                  <w:divBdr>
                    <w:top w:val="none" w:sz="0" w:space="0" w:color="auto"/>
                    <w:left w:val="none" w:sz="0" w:space="0" w:color="auto"/>
                    <w:bottom w:val="none" w:sz="0" w:space="0" w:color="auto"/>
                    <w:right w:val="none" w:sz="0" w:space="0" w:color="auto"/>
                  </w:divBdr>
                  <w:divsChild>
                    <w:div w:id="232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4968">
      <w:bodyDiv w:val="1"/>
      <w:marLeft w:val="0"/>
      <w:marRight w:val="0"/>
      <w:marTop w:val="0"/>
      <w:marBottom w:val="0"/>
      <w:divBdr>
        <w:top w:val="none" w:sz="0" w:space="0" w:color="auto"/>
        <w:left w:val="none" w:sz="0" w:space="0" w:color="auto"/>
        <w:bottom w:val="none" w:sz="0" w:space="0" w:color="auto"/>
        <w:right w:val="none" w:sz="0" w:space="0" w:color="auto"/>
      </w:divBdr>
      <w:divsChild>
        <w:div w:id="1133140292">
          <w:marLeft w:val="0"/>
          <w:marRight w:val="0"/>
          <w:marTop w:val="0"/>
          <w:marBottom w:val="0"/>
          <w:divBdr>
            <w:top w:val="none" w:sz="0" w:space="0" w:color="auto"/>
            <w:left w:val="none" w:sz="0" w:space="0" w:color="auto"/>
            <w:bottom w:val="none" w:sz="0" w:space="0" w:color="auto"/>
            <w:right w:val="none" w:sz="0" w:space="0" w:color="auto"/>
          </w:divBdr>
          <w:divsChild>
            <w:div w:id="1931692582">
              <w:marLeft w:val="0"/>
              <w:marRight w:val="0"/>
              <w:marTop w:val="0"/>
              <w:marBottom w:val="0"/>
              <w:divBdr>
                <w:top w:val="none" w:sz="0" w:space="0" w:color="auto"/>
                <w:left w:val="none" w:sz="0" w:space="0" w:color="auto"/>
                <w:bottom w:val="none" w:sz="0" w:space="0" w:color="auto"/>
                <w:right w:val="none" w:sz="0" w:space="0" w:color="auto"/>
              </w:divBdr>
              <w:divsChild>
                <w:div w:id="506753145">
                  <w:marLeft w:val="0"/>
                  <w:marRight w:val="0"/>
                  <w:marTop w:val="0"/>
                  <w:marBottom w:val="0"/>
                  <w:divBdr>
                    <w:top w:val="none" w:sz="0" w:space="0" w:color="auto"/>
                    <w:left w:val="none" w:sz="0" w:space="0" w:color="auto"/>
                    <w:bottom w:val="none" w:sz="0" w:space="0" w:color="auto"/>
                    <w:right w:val="none" w:sz="0" w:space="0" w:color="auto"/>
                  </w:divBdr>
                  <w:divsChild>
                    <w:div w:id="1147164722">
                      <w:marLeft w:val="0"/>
                      <w:marRight w:val="0"/>
                      <w:marTop w:val="0"/>
                      <w:marBottom w:val="0"/>
                      <w:divBdr>
                        <w:top w:val="none" w:sz="0" w:space="0" w:color="auto"/>
                        <w:left w:val="none" w:sz="0" w:space="0" w:color="auto"/>
                        <w:bottom w:val="none" w:sz="0" w:space="0" w:color="auto"/>
                        <w:right w:val="none" w:sz="0" w:space="0" w:color="auto"/>
                      </w:divBdr>
                      <w:divsChild>
                        <w:div w:id="17573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16300">
      <w:bodyDiv w:val="1"/>
      <w:marLeft w:val="0"/>
      <w:marRight w:val="0"/>
      <w:marTop w:val="0"/>
      <w:marBottom w:val="0"/>
      <w:divBdr>
        <w:top w:val="none" w:sz="0" w:space="0" w:color="auto"/>
        <w:left w:val="none" w:sz="0" w:space="0" w:color="auto"/>
        <w:bottom w:val="none" w:sz="0" w:space="0" w:color="auto"/>
        <w:right w:val="none" w:sz="0" w:space="0" w:color="auto"/>
      </w:divBdr>
    </w:div>
    <w:div w:id="1064596490">
      <w:bodyDiv w:val="1"/>
      <w:marLeft w:val="0"/>
      <w:marRight w:val="0"/>
      <w:marTop w:val="0"/>
      <w:marBottom w:val="0"/>
      <w:divBdr>
        <w:top w:val="none" w:sz="0" w:space="0" w:color="auto"/>
        <w:left w:val="none" w:sz="0" w:space="0" w:color="auto"/>
        <w:bottom w:val="none" w:sz="0" w:space="0" w:color="auto"/>
        <w:right w:val="none" w:sz="0" w:space="0" w:color="auto"/>
      </w:divBdr>
      <w:divsChild>
        <w:div w:id="1452744134">
          <w:marLeft w:val="0"/>
          <w:marRight w:val="0"/>
          <w:marTop w:val="0"/>
          <w:marBottom w:val="0"/>
          <w:divBdr>
            <w:top w:val="none" w:sz="0" w:space="0" w:color="auto"/>
            <w:left w:val="none" w:sz="0" w:space="0" w:color="auto"/>
            <w:bottom w:val="none" w:sz="0" w:space="0" w:color="auto"/>
            <w:right w:val="none" w:sz="0" w:space="0" w:color="auto"/>
          </w:divBdr>
          <w:divsChild>
            <w:div w:id="160892705">
              <w:marLeft w:val="0"/>
              <w:marRight w:val="0"/>
              <w:marTop w:val="0"/>
              <w:marBottom w:val="0"/>
              <w:divBdr>
                <w:top w:val="single" w:sz="12" w:space="0" w:color="CECECE"/>
                <w:left w:val="single" w:sz="12" w:space="3" w:color="CECECE"/>
                <w:bottom w:val="none" w:sz="0" w:space="0" w:color="auto"/>
                <w:right w:val="single" w:sz="12" w:space="0" w:color="CECECE"/>
              </w:divBdr>
              <w:divsChild>
                <w:div w:id="1509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3615">
      <w:bodyDiv w:val="1"/>
      <w:marLeft w:val="0"/>
      <w:marRight w:val="0"/>
      <w:marTop w:val="0"/>
      <w:marBottom w:val="0"/>
      <w:divBdr>
        <w:top w:val="none" w:sz="0" w:space="0" w:color="auto"/>
        <w:left w:val="none" w:sz="0" w:space="0" w:color="auto"/>
        <w:bottom w:val="none" w:sz="0" w:space="0" w:color="auto"/>
        <w:right w:val="none" w:sz="0" w:space="0" w:color="auto"/>
      </w:divBdr>
      <w:divsChild>
        <w:div w:id="673066537">
          <w:marLeft w:val="0"/>
          <w:marRight w:val="0"/>
          <w:marTop w:val="0"/>
          <w:marBottom w:val="0"/>
          <w:divBdr>
            <w:top w:val="none" w:sz="0" w:space="0" w:color="auto"/>
            <w:left w:val="none" w:sz="0" w:space="0" w:color="auto"/>
            <w:bottom w:val="none" w:sz="0" w:space="0" w:color="auto"/>
            <w:right w:val="none" w:sz="0" w:space="0" w:color="auto"/>
          </w:divBdr>
          <w:divsChild>
            <w:div w:id="831682281">
              <w:marLeft w:val="0"/>
              <w:marRight w:val="0"/>
              <w:marTop w:val="0"/>
              <w:marBottom w:val="0"/>
              <w:divBdr>
                <w:top w:val="none" w:sz="0" w:space="0" w:color="auto"/>
                <w:left w:val="none" w:sz="0" w:space="0" w:color="auto"/>
                <w:bottom w:val="none" w:sz="0" w:space="0" w:color="auto"/>
                <w:right w:val="none" w:sz="0" w:space="0" w:color="auto"/>
              </w:divBdr>
            </w:div>
            <w:div w:id="1202673771">
              <w:marLeft w:val="0"/>
              <w:marRight w:val="0"/>
              <w:marTop w:val="0"/>
              <w:marBottom w:val="0"/>
              <w:divBdr>
                <w:top w:val="none" w:sz="0" w:space="0" w:color="auto"/>
                <w:left w:val="none" w:sz="0" w:space="0" w:color="auto"/>
                <w:bottom w:val="none" w:sz="0" w:space="0" w:color="auto"/>
                <w:right w:val="none" w:sz="0" w:space="0" w:color="auto"/>
              </w:divBdr>
            </w:div>
            <w:div w:id="1681538658">
              <w:marLeft w:val="0"/>
              <w:marRight w:val="0"/>
              <w:marTop w:val="0"/>
              <w:marBottom w:val="0"/>
              <w:divBdr>
                <w:top w:val="none" w:sz="0" w:space="0" w:color="auto"/>
                <w:left w:val="none" w:sz="0" w:space="0" w:color="auto"/>
                <w:bottom w:val="none" w:sz="0" w:space="0" w:color="auto"/>
                <w:right w:val="none" w:sz="0" w:space="0" w:color="auto"/>
              </w:divBdr>
            </w:div>
            <w:div w:id="19022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4582">
      <w:bodyDiv w:val="1"/>
      <w:marLeft w:val="0"/>
      <w:marRight w:val="0"/>
      <w:marTop w:val="0"/>
      <w:marBottom w:val="0"/>
      <w:divBdr>
        <w:top w:val="none" w:sz="0" w:space="0" w:color="auto"/>
        <w:left w:val="none" w:sz="0" w:space="0" w:color="auto"/>
        <w:bottom w:val="none" w:sz="0" w:space="0" w:color="auto"/>
        <w:right w:val="none" w:sz="0" w:space="0" w:color="auto"/>
      </w:divBdr>
      <w:divsChild>
        <w:div w:id="792140718">
          <w:marLeft w:val="0"/>
          <w:marRight w:val="0"/>
          <w:marTop w:val="0"/>
          <w:marBottom w:val="0"/>
          <w:divBdr>
            <w:top w:val="none" w:sz="0" w:space="0" w:color="auto"/>
            <w:left w:val="none" w:sz="0" w:space="0" w:color="auto"/>
            <w:bottom w:val="none" w:sz="0" w:space="0" w:color="auto"/>
            <w:right w:val="none" w:sz="0" w:space="0" w:color="auto"/>
          </w:divBdr>
          <w:divsChild>
            <w:div w:id="262033161">
              <w:marLeft w:val="0"/>
              <w:marRight w:val="0"/>
              <w:marTop w:val="0"/>
              <w:marBottom w:val="0"/>
              <w:divBdr>
                <w:top w:val="none" w:sz="0" w:space="0" w:color="auto"/>
                <w:left w:val="none" w:sz="0" w:space="0" w:color="auto"/>
                <w:bottom w:val="none" w:sz="0" w:space="0" w:color="auto"/>
                <w:right w:val="none" w:sz="0" w:space="0" w:color="auto"/>
              </w:divBdr>
              <w:divsChild>
                <w:div w:id="1971207069">
                  <w:marLeft w:val="0"/>
                  <w:marRight w:val="0"/>
                  <w:marTop w:val="0"/>
                  <w:marBottom w:val="0"/>
                  <w:divBdr>
                    <w:top w:val="none" w:sz="0" w:space="0" w:color="auto"/>
                    <w:left w:val="none" w:sz="0" w:space="0" w:color="auto"/>
                    <w:bottom w:val="none" w:sz="0" w:space="0" w:color="auto"/>
                    <w:right w:val="none" w:sz="0" w:space="0" w:color="auto"/>
                  </w:divBdr>
                  <w:divsChild>
                    <w:div w:id="7753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20707">
      <w:bodyDiv w:val="1"/>
      <w:marLeft w:val="0"/>
      <w:marRight w:val="0"/>
      <w:marTop w:val="0"/>
      <w:marBottom w:val="0"/>
      <w:divBdr>
        <w:top w:val="none" w:sz="0" w:space="0" w:color="auto"/>
        <w:left w:val="none" w:sz="0" w:space="0" w:color="auto"/>
        <w:bottom w:val="none" w:sz="0" w:space="0" w:color="auto"/>
        <w:right w:val="none" w:sz="0" w:space="0" w:color="auto"/>
      </w:divBdr>
    </w:div>
    <w:div w:id="1875345075">
      <w:bodyDiv w:val="1"/>
      <w:marLeft w:val="0"/>
      <w:marRight w:val="0"/>
      <w:marTop w:val="0"/>
      <w:marBottom w:val="0"/>
      <w:divBdr>
        <w:top w:val="none" w:sz="0" w:space="0" w:color="auto"/>
        <w:left w:val="none" w:sz="0" w:space="0" w:color="auto"/>
        <w:bottom w:val="none" w:sz="0" w:space="0" w:color="auto"/>
        <w:right w:val="none" w:sz="0" w:space="0" w:color="auto"/>
      </w:divBdr>
      <w:divsChild>
        <w:div w:id="140007546">
          <w:marLeft w:val="0"/>
          <w:marRight w:val="0"/>
          <w:marTop w:val="0"/>
          <w:marBottom w:val="0"/>
          <w:divBdr>
            <w:top w:val="none" w:sz="0" w:space="0" w:color="auto"/>
            <w:left w:val="none" w:sz="0" w:space="0" w:color="auto"/>
            <w:bottom w:val="none" w:sz="0" w:space="0" w:color="auto"/>
            <w:right w:val="none" w:sz="0" w:space="0" w:color="auto"/>
          </w:divBdr>
          <w:divsChild>
            <w:div w:id="1697923040">
              <w:marLeft w:val="0"/>
              <w:marRight w:val="0"/>
              <w:marTop w:val="0"/>
              <w:marBottom w:val="0"/>
              <w:divBdr>
                <w:top w:val="none" w:sz="0" w:space="0" w:color="auto"/>
                <w:left w:val="none" w:sz="0" w:space="0" w:color="auto"/>
                <w:bottom w:val="none" w:sz="0" w:space="0" w:color="auto"/>
                <w:right w:val="none" w:sz="0" w:space="0" w:color="auto"/>
              </w:divBdr>
              <w:divsChild>
                <w:div w:id="153689416">
                  <w:marLeft w:val="0"/>
                  <w:marRight w:val="0"/>
                  <w:marTop w:val="0"/>
                  <w:marBottom w:val="0"/>
                  <w:divBdr>
                    <w:top w:val="none" w:sz="0" w:space="0" w:color="auto"/>
                    <w:left w:val="none" w:sz="0" w:space="0" w:color="auto"/>
                    <w:bottom w:val="none" w:sz="0" w:space="0" w:color="auto"/>
                    <w:right w:val="none" w:sz="0" w:space="0" w:color="auto"/>
                  </w:divBdr>
                  <w:divsChild>
                    <w:div w:id="17681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74066">
      <w:bodyDiv w:val="1"/>
      <w:marLeft w:val="0"/>
      <w:marRight w:val="0"/>
      <w:marTop w:val="0"/>
      <w:marBottom w:val="0"/>
      <w:divBdr>
        <w:top w:val="none" w:sz="0" w:space="0" w:color="auto"/>
        <w:left w:val="none" w:sz="0" w:space="0" w:color="auto"/>
        <w:bottom w:val="none" w:sz="0" w:space="0" w:color="auto"/>
        <w:right w:val="none" w:sz="0" w:space="0" w:color="auto"/>
      </w:divBdr>
    </w:div>
    <w:div w:id="21158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ta.lt/uploads/documents/intelektine_nuosavybe/lietuvos_inovaciju_20102020_m._strategija.doc" TargetMode="External"/><Relationship Id="rId21" Type="http://schemas.openxmlformats.org/officeDocument/2006/relationships/chart" Target="charts/chart3.xml"/><Relationship Id="rId34" Type="http://schemas.openxmlformats.org/officeDocument/2006/relationships/chart" Target="charts/chart13.xml"/><Relationship Id="rId42" Type="http://schemas.openxmlformats.org/officeDocument/2006/relationships/hyperlink" Target="http://brie.berkeley.edu/~briewww/publications/WP163.pdf" TargetMode="External"/><Relationship Id="rId47" Type="http://schemas.openxmlformats.org/officeDocument/2006/relationships/hyperlink" Target="http://www.inovacijos.lt/inopagalba/cms/65lt.pdf" TargetMode="External"/><Relationship Id="rId50" Type="http://schemas.openxmlformats.org/officeDocument/2006/relationships/hyperlink" Target="http://www.emeraldinsight.com/journals.htm?issn=00251747&amp;volume=45&amp;issue%20=4&amp;articleid=1602964" TargetMode="External"/><Relationship Id="rId55" Type="http://schemas.openxmlformats.org/officeDocument/2006/relationships/chart" Target="charts/chart18.xml"/><Relationship Id="rId63" Type="http://schemas.openxmlformats.org/officeDocument/2006/relationships/chart" Target="charts/chart2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chart" Target="charts/chart8.xml"/><Relationship Id="rId11" Type="http://schemas.openxmlformats.org/officeDocument/2006/relationships/image" Target="media/image2.png"/><Relationship Id="rId24" Type="http://schemas.openxmlformats.org/officeDocument/2006/relationships/chart" Target="charts/chart6.xml"/><Relationship Id="rId32" Type="http://schemas.openxmlformats.org/officeDocument/2006/relationships/chart" Target="charts/chart11.xml"/><Relationship Id="rId37" Type="http://schemas.openxmlformats.org/officeDocument/2006/relationships/hyperlink" Target="http://www.evca.eu/404.aspx" TargetMode="External"/><Relationship Id="rId40" Type="http://schemas.openxmlformats.org/officeDocument/2006/relationships/hyperlink" Target="http://papers.ssrn.com/sol3/papers.cfm?abstract_id=960505" TargetMode="External"/><Relationship Id="rId45" Type="http://schemas.openxmlformats.org/officeDocument/2006/relationships/hyperlink" Target="http://arno.uvt.nl/show.cgi?fid=53796" TargetMode="External"/><Relationship Id="rId53" Type="http://schemas.openxmlformats.org/officeDocument/2006/relationships/chart" Target="charts/chart16.xml"/><Relationship Id="rId58" Type="http://schemas.openxmlformats.org/officeDocument/2006/relationships/chart" Target="charts/chart21.xml"/><Relationship Id="rId5" Type="http://schemas.openxmlformats.org/officeDocument/2006/relationships/settings" Target="settings.xml"/><Relationship Id="rId61" Type="http://schemas.openxmlformats.org/officeDocument/2006/relationships/chart" Target="charts/chart24.xml"/><Relationship Id="rId19" Type="http://schemas.openxmlformats.org/officeDocument/2006/relationships/chart" Target="charts/chart1.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hyperlink" Target="http://www.mita.lt/uploads/documents/intelektine_nuosavybe/lietuvos_inovaciju_20102020_m._strategija__20102013_m._priemoniu_planas.doc" TargetMode="External"/><Relationship Id="rId30" Type="http://schemas.openxmlformats.org/officeDocument/2006/relationships/chart" Target="charts/chart9.xml"/><Relationship Id="rId35" Type="http://schemas.openxmlformats.org/officeDocument/2006/relationships/header" Target="header2.xml"/><Relationship Id="rId43" Type="http://schemas.openxmlformats.org/officeDocument/2006/relationships/hyperlink" Target="http://hcd.ucdavis.edu/faculty/webpages/kenney/articles_files/Organizing%20Venture%20Capital:%20The%20Rise%20and%20Demise%20of%20American%20Research%20and%20Development%20Corporation.pdf" TargetMode="External"/><Relationship Id="rId48" Type="http://schemas.openxmlformats.org/officeDocument/2006/relationships/hyperlink" Target="http://www.evca.eu/uploadedFiles/Home/Knowledge_Center/EVCA_Research/Economical_Impact/EconomicImpactBuyouts.pdf" TargetMode="External"/><Relationship Id="rId56" Type="http://schemas.openxmlformats.org/officeDocument/2006/relationships/chart" Target="charts/chart19.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14.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diagramColors" Target="diagrams/colors1.xml"/><Relationship Id="rId25" Type="http://schemas.openxmlformats.org/officeDocument/2006/relationships/chart" Target="charts/chart7.xml"/><Relationship Id="rId33" Type="http://schemas.openxmlformats.org/officeDocument/2006/relationships/chart" Target="charts/chart12.xml"/><Relationship Id="rId38" Type="http://schemas.openxmlformats.org/officeDocument/2006/relationships/hyperlink" Target="http://www.fsa.gov.uk/pubs/other/Impact_of_AIFM_Directive.pdf" TargetMode="External"/><Relationship Id="rId46" Type="http://schemas.openxmlformats.org/officeDocument/2006/relationships/hyperlink" Target="http://www.ifw-members.ifw-kiel.de/publications/venture-capital-contracts-a-survey-of-the-recent-literature/kap1017.pdf" TargetMode="External"/><Relationship Id="rId59" Type="http://schemas.openxmlformats.org/officeDocument/2006/relationships/chart" Target="charts/chart22.xml"/><Relationship Id="rId20" Type="http://schemas.openxmlformats.org/officeDocument/2006/relationships/chart" Target="charts/chart2.xml"/><Relationship Id="rId41" Type="http://schemas.openxmlformats.org/officeDocument/2006/relationships/hyperlink" Target="http://www.altassets.com/pdfs/VentureCapitalHungary.pdf" TargetMode="External"/><Relationship Id="rId54" Type="http://schemas.openxmlformats.org/officeDocument/2006/relationships/chart" Target="charts/chart17.xml"/><Relationship Id="rId62"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5.xml"/><Relationship Id="rId28" Type="http://schemas.openxmlformats.org/officeDocument/2006/relationships/hyperlink" Target="http://www.mita.lt/lt/inovacijos/inovacijos-europoje/" TargetMode="External"/><Relationship Id="rId36" Type="http://schemas.openxmlformats.org/officeDocument/2006/relationships/hyperlink" Target="http://ec.europa.eu/internal_market/investment/docs/other_docs/reports/equity_en.pdf" TargetMode="External"/><Relationship Id="rId49" Type="http://schemas.openxmlformats.org/officeDocument/2006/relationships/hyperlink" Target="http://www.plan.be/admin/uploaded/200605091448024.WP0009en.pdf" TargetMode="External"/><Relationship Id="rId57" Type="http://schemas.openxmlformats.org/officeDocument/2006/relationships/chart" Target="charts/chart20.xml"/><Relationship Id="rId10" Type="http://schemas.openxmlformats.org/officeDocument/2006/relationships/image" Target="media/image1.png"/><Relationship Id="rId31" Type="http://schemas.openxmlformats.org/officeDocument/2006/relationships/chart" Target="charts/chart10.xml"/><Relationship Id="rId44" Type="http://schemas.openxmlformats.org/officeDocument/2006/relationships/hyperlink" Target="http://www.emeraldinsight.com/journals.htm?issn=0143-991X&amp;volume=35&amp;issue=3&amp;articlei-d=1722848&amp;" TargetMode="External"/><Relationship Id="rId52" Type="http://schemas.openxmlformats.org/officeDocument/2006/relationships/chart" Target="charts/chart15.xml"/><Relationship Id="rId60" Type="http://schemas.openxmlformats.org/officeDocument/2006/relationships/chart" Target="charts/chart23.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oleObject" Target="embeddings/oleObject1.bin"/><Relationship Id="rId18" Type="http://schemas.microsoft.com/office/2007/relationships/diagramDrawing" Target="diagrams/drawing1.xml"/><Relationship Id="rId39" Type="http://schemas.openxmlformats.org/officeDocument/2006/relationships/hyperlink" Target="http://www.google.com/books?hl=lt&amp;lr=&amp;id=e0bdjUgzLG0C&amp;oi=fnd&amp;pg=PP15&amp;dq=The+impact+of+venture+capital+investments+on+the+Hungarian+economy&amp;ots=gv1h0XQq1V&amp;sig=o6fR2vzvtoyTYeZdk0n0qSc3Q7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usriukas\Desktop\magistro%20baigiamasis%20darbas\inovacines%20imones%20grafik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20(Autosave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usriukas\Desktop\magistro%20baigiamasis%20darbas\Duomenys%20magistriniui\DUOMENYS%20IR%20GRAFIKAI%20DALIAI%20INOVACINIS%20VERSLAS%20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2060"/>
            </a:solidFill>
          </c:spPr>
          <c:invertIfNegative val="0"/>
          <c:dPt>
            <c:idx val="6"/>
            <c:invertIfNegative val="0"/>
            <c:bubble3D val="0"/>
            <c:spPr>
              <a:solidFill>
                <a:srgbClr val="92D050"/>
              </a:solidFill>
              <a:ln>
                <a:solidFill>
                  <a:srgbClr val="92D050"/>
                </a:solidFill>
              </a:ln>
            </c:spPr>
          </c:dPt>
          <c:dPt>
            <c:idx val="17"/>
            <c:invertIfNegative val="0"/>
            <c:bubble3D val="0"/>
            <c:spPr>
              <a:solidFill>
                <a:schemeClr val="accent6">
                  <a:lumMod val="75000"/>
                </a:schemeClr>
              </a:solidFill>
              <a:ln>
                <a:solidFill>
                  <a:schemeClr val="accent6">
                    <a:lumMod val="75000"/>
                  </a:schemeClr>
                </a:solidFill>
              </a:ln>
            </c:spPr>
          </c:dPt>
          <c:dPt>
            <c:idx val="18"/>
            <c:invertIfNegative val="0"/>
            <c:bubble3D val="0"/>
          </c:dPt>
          <c:cat>
            <c:strRef>
              <c:f>'es nvest (2)'!$A$2:$A$30</c:f>
              <c:strCache>
                <c:ptCount val="29"/>
                <c:pt idx="0">
                  <c:v>Švedija</c:v>
                </c:pt>
                <c:pt idx="1">
                  <c:v>Jungtinė Karalystė</c:v>
                </c:pt>
                <c:pt idx="2">
                  <c:v>Airija</c:v>
                </c:pt>
                <c:pt idx="3">
                  <c:v>Prancūzija</c:v>
                </c:pt>
                <c:pt idx="4">
                  <c:v>Nyderlandai</c:v>
                </c:pt>
                <c:pt idx="5">
                  <c:v>Suomija</c:v>
                </c:pt>
                <c:pt idx="6">
                  <c:v>ES</c:v>
                </c:pt>
                <c:pt idx="7">
                  <c:v>Ispanija</c:v>
                </c:pt>
                <c:pt idx="8">
                  <c:v>Belgija</c:v>
                </c:pt>
                <c:pt idx="9">
                  <c:v>Austrija</c:v>
                </c:pt>
                <c:pt idx="10">
                  <c:v>Bulgarija</c:v>
                </c:pt>
                <c:pt idx="11">
                  <c:v>Liuksemburgas</c:v>
                </c:pt>
                <c:pt idx="12">
                  <c:v>Lenkija</c:v>
                </c:pt>
                <c:pt idx="13">
                  <c:v>Vokietija</c:v>
                </c:pt>
                <c:pt idx="14">
                  <c:v>Estija</c:v>
                </c:pt>
                <c:pt idx="15">
                  <c:v>Danija</c:v>
                </c:pt>
                <c:pt idx="16">
                  <c:v>Čekijos Respublika</c:v>
                </c:pt>
                <c:pt idx="17">
                  <c:v>CEE</c:v>
                </c:pt>
                <c:pt idx="18">
                  <c:v>Portugalija</c:v>
                </c:pt>
                <c:pt idx="19">
                  <c:v>Italija</c:v>
                </c:pt>
                <c:pt idx="20">
                  <c:v>Rumunija</c:v>
                </c:pt>
                <c:pt idx="21">
                  <c:v>Vengrija</c:v>
                </c:pt>
                <c:pt idx="22">
                  <c:v>Kipras</c:v>
                </c:pt>
                <c:pt idx="23">
                  <c:v>Latvija</c:v>
                </c:pt>
                <c:pt idx="24">
                  <c:v>Slovakija</c:v>
                </c:pt>
                <c:pt idx="25">
                  <c:v>Malta</c:v>
                </c:pt>
                <c:pt idx="26">
                  <c:v>Slovėnija</c:v>
                </c:pt>
                <c:pt idx="27">
                  <c:v>Graikija</c:v>
                </c:pt>
                <c:pt idx="28">
                  <c:v>Lietuva</c:v>
                </c:pt>
              </c:strCache>
            </c:strRef>
          </c:cat>
          <c:val>
            <c:numRef>
              <c:f>'es nvest (2)'!$B$2:$B$30</c:f>
              <c:numCache>
                <c:formatCode>General</c:formatCode>
                <c:ptCount val="29"/>
                <c:pt idx="0">
                  <c:v>0.77500000000000002</c:v>
                </c:pt>
                <c:pt idx="1">
                  <c:v>0.75</c:v>
                </c:pt>
                <c:pt idx="2">
                  <c:v>0.5</c:v>
                </c:pt>
                <c:pt idx="3">
                  <c:v>0.33500000000000002</c:v>
                </c:pt>
                <c:pt idx="4">
                  <c:v>0.33300000000000002</c:v>
                </c:pt>
                <c:pt idx="5">
                  <c:v>0.32500000000000001</c:v>
                </c:pt>
                <c:pt idx="6">
                  <c:v>0.34</c:v>
                </c:pt>
                <c:pt idx="7">
                  <c:v>0.27500000000000002</c:v>
                </c:pt>
                <c:pt idx="8">
                  <c:v>0.26600000000000001</c:v>
                </c:pt>
                <c:pt idx="9">
                  <c:v>0.246</c:v>
                </c:pt>
                <c:pt idx="10">
                  <c:v>0.22800000000000001</c:v>
                </c:pt>
                <c:pt idx="11">
                  <c:v>0.222</c:v>
                </c:pt>
                <c:pt idx="12">
                  <c:v>0.192</c:v>
                </c:pt>
                <c:pt idx="13">
                  <c:v>0.186</c:v>
                </c:pt>
                <c:pt idx="14">
                  <c:v>0.17599999999999999</c:v>
                </c:pt>
                <c:pt idx="15">
                  <c:v>0.16500000000000001</c:v>
                </c:pt>
                <c:pt idx="16">
                  <c:v>0.13300000000000001</c:v>
                </c:pt>
                <c:pt idx="17">
                  <c:v>0.11899999999999999</c:v>
                </c:pt>
                <c:pt idx="18">
                  <c:v>0.109</c:v>
                </c:pt>
                <c:pt idx="19">
                  <c:v>0.10199999999999999</c:v>
                </c:pt>
                <c:pt idx="20">
                  <c:v>0.10100000000000001</c:v>
                </c:pt>
                <c:pt idx="21">
                  <c:v>6.8000000000000005E-2</c:v>
                </c:pt>
                <c:pt idx="22">
                  <c:v>3.5000000000000003E-2</c:v>
                </c:pt>
                <c:pt idx="23">
                  <c:v>2.9000000000000001E-2</c:v>
                </c:pt>
                <c:pt idx="24">
                  <c:v>2.1999999999999999E-2</c:v>
                </c:pt>
                <c:pt idx="25">
                  <c:v>0.02</c:v>
                </c:pt>
                <c:pt idx="26">
                  <c:v>1.9E-2</c:v>
                </c:pt>
                <c:pt idx="27">
                  <c:v>1.4999999999999999E-2</c:v>
                </c:pt>
                <c:pt idx="28">
                  <c:v>6.0000000000000001E-3</c:v>
                </c:pt>
              </c:numCache>
            </c:numRef>
          </c:val>
        </c:ser>
        <c:dLbls>
          <c:showLegendKey val="0"/>
          <c:showVal val="0"/>
          <c:showCatName val="0"/>
          <c:showSerName val="0"/>
          <c:showPercent val="0"/>
          <c:showBubbleSize val="0"/>
        </c:dLbls>
        <c:gapWidth val="150"/>
        <c:axId val="230184960"/>
        <c:axId val="229526336"/>
      </c:barChart>
      <c:catAx>
        <c:axId val="230184960"/>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29526336"/>
        <c:crosses val="autoZero"/>
        <c:auto val="1"/>
        <c:lblAlgn val="ctr"/>
        <c:lblOffset val="100"/>
        <c:noMultiLvlLbl val="0"/>
      </c:catAx>
      <c:valAx>
        <c:axId val="2295263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84960"/>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'Išlaidos MTEP ES'!$B$7</c:f>
              <c:strCache>
                <c:ptCount val="1"/>
                <c:pt idx="0">
                  <c:v>Išlaidų MTEP santykis su BVP, proc.</c:v>
                </c:pt>
              </c:strCache>
            </c:strRef>
          </c:tx>
          <c:spPr>
            <a:solidFill>
              <a:schemeClr val="accent6">
                <a:lumMod val="60000"/>
                <a:lumOff val="40000"/>
              </a:schemeClr>
            </a:solidFill>
          </c:spPr>
          <c:invertIfNegative val="0"/>
          <c:dPt>
            <c:idx val="8"/>
            <c:invertIfNegative val="0"/>
            <c:bubble3D val="0"/>
            <c:spPr>
              <a:solidFill>
                <a:schemeClr val="accent6">
                  <a:lumMod val="75000"/>
                </a:schemeClr>
              </a:solidFill>
            </c:spPr>
          </c:dPt>
          <c:dPt>
            <c:idx val="20"/>
            <c:invertIfNegative val="0"/>
            <c:bubble3D val="0"/>
            <c:spPr>
              <a:solidFill>
                <a:schemeClr val="accent6">
                  <a:lumMod val="50000"/>
                </a:schemeClr>
              </a:solidFill>
            </c:spPr>
          </c:dPt>
          <c:dPt>
            <c:idx val="25"/>
            <c:invertIfNegative val="0"/>
            <c:bubble3D val="0"/>
          </c:dPt>
          <c:cat>
            <c:strRef>
              <c:f>'Išlaidos MTEP ES'!$A$8:$A$35</c:f>
              <c:strCache>
                <c:ptCount val="28"/>
                <c:pt idx="0">
                  <c:v>Kipras</c:v>
                </c:pt>
                <c:pt idx="1">
                  <c:v>Rumunija</c:v>
                </c:pt>
                <c:pt idx="2">
                  <c:v>Bulgarija</c:v>
                </c:pt>
                <c:pt idx="3">
                  <c:v>Graikija</c:v>
                </c:pt>
                <c:pt idx="4">
                  <c:v>Latvija</c:v>
                </c:pt>
                <c:pt idx="5">
                  <c:v>Malta</c:v>
                </c:pt>
                <c:pt idx="6">
                  <c:v>Slovakija</c:v>
                </c:pt>
                <c:pt idx="7">
                  <c:v>Lenkija</c:v>
                </c:pt>
                <c:pt idx="8">
                  <c:v>Lietuva</c:v>
                </c:pt>
                <c:pt idx="9">
                  <c:v>Vengrija</c:v>
                </c:pt>
                <c:pt idx="10">
                  <c:v>Italija</c:v>
                </c:pt>
                <c:pt idx="11">
                  <c:v>Ispanija</c:v>
                </c:pt>
                <c:pt idx="12">
                  <c:v>Portugalija</c:v>
                </c:pt>
                <c:pt idx="13">
                  <c:v>Čekija</c:v>
                </c:pt>
                <c:pt idx="14">
                  <c:v>Estija</c:v>
                </c:pt>
                <c:pt idx="15">
                  <c:v>Liuksemburgas</c:v>
                </c:pt>
                <c:pt idx="16">
                  <c:v>Jungtinė Karalystė</c:v>
                </c:pt>
                <c:pt idx="17">
                  <c:v>Airija</c:v>
                </c:pt>
                <c:pt idx="18">
                  <c:v>Nyderlandai</c:v>
                </c:pt>
                <c:pt idx="19">
                  <c:v>Belgija</c:v>
                </c:pt>
                <c:pt idx="20">
                  <c:v>ES 27</c:v>
                </c:pt>
                <c:pt idx="21">
                  <c:v>Slovėnija</c:v>
                </c:pt>
                <c:pt idx="22">
                  <c:v>Prancūzija</c:v>
                </c:pt>
                <c:pt idx="23">
                  <c:v>Austrija</c:v>
                </c:pt>
                <c:pt idx="24">
                  <c:v>Vokietija</c:v>
                </c:pt>
                <c:pt idx="25">
                  <c:v>Danija</c:v>
                </c:pt>
                <c:pt idx="26">
                  <c:v>Švedija</c:v>
                </c:pt>
                <c:pt idx="27">
                  <c:v>Suomija</c:v>
                </c:pt>
              </c:strCache>
            </c:strRef>
          </c:cat>
          <c:val>
            <c:numRef>
              <c:f>'Išlaidos MTEP ES'!$B$8:$B$35</c:f>
              <c:numCache>
                <c:formatCode>General</c:formatCode>
                <c:ptCount val="28"/>
                <c:pt idx="0">
                  <c:v>0.43999999999999995</c:v>
                </c:pt>
                <c:pt idx="1">
                  <c:v>0.47</c:v>
                </c:pt>
                <c:pt idx="2">
                  <c:v>0.59</c:v>
                </c:pt>
                <c:pt idx="3">
                  <c:v>0.6</c:v>
                </c:pt>
                <c:pt idx="4">
                  <c:v>0.6</c:v>
                </c:pt>
                <c:pt idx="5">
                  <c:v>0.62</c:v>
                </c:pt>
                <c:pt idx="6">
                  <c:v>0.63</c:v>
                </c:pt>
                <c:pt idx="7">
                  <c:v>0.73</c:v>
                </c:pt>
                <c:pt idx="8">
                  <c:v>0.79</c:v>
                </c:pt>
                <c:pt idx="9">
                  <c:v>1.1299999999999999</c:v>
                </c:pt>
                <c:pt idx="10">
                  <c:v>1.21</c:v>
                </c:pt>
                <c:pt idx="11">
                  <c:v>1.3900000000000001</c:v>
                </c:pt>
                <c:pt idx="12">
                  <c:v>1.42</c:v>
                </c:pt>
                <c:pt idx="13">
                  <c:v>1.5499999999999998</c:v>
                </c:pt>
                <c:pt idx="14">
                  <c:v>1.6</c:v>
                </c:pt>
                <c:pt idx="15">
                  <c:v>1.64</c:v>
                </c:pt>
                <c:pt idx="16">
                  <c:v>1.73</c:v>
                </c:pt>
                <c:pt idx="17">
                  <c:v>1.79</c:v>
                </c:pt>
                <c:pt idx="18">
                  <c:v>1.8399999999999999</c:v>
                </c:pt>
                <c:pt idx="19">
                  <c:v>1.9700000000000002</c:v>
                </c:pt>
                <c:pt idx="20">
                  <c:v>1.99</c:v>
                </c:pt>
                <c:pt idx="21">
                  <c:v>2.1</c:v>
                </c:pt>
                <c:pt idx="22">
                  <c:v>2.2399999999999998</c:v>
                </c:pt>
                <c:pt idx="23">
                  <c:v>2.75</c:v>
                </c:pt>
                <c:pt idx="24">
                  <c:v>2.82</c:v>
                </c:pt>
                <c:pt idx="25">
                  <c:v>3.04</c:v>
                </c:pt>
                <c:pt idx="26">
                  <c:v>3.42</c:v>
                </c:pt>
                <c:pt idx="27">
                  <c:v>3.45</c:v>
                </c:pt>
              </c:numCache>
            </c:numRef>
          </c:val>
        </c:ser>
        <c:dLbls>
          <c:showLegendKey val="0"/>
          <c:showVal val="0"/>
          <c:showCatName val="0"/>
          <c:showSerName val="0"/>
          <c:showPercent val="0"/>
          <c:showBubbleSize val="0"/>
        </c:dLbls>
        <c:gapWidth val="150"/>
        <c:axId val="231828992"/>
        <c:axId val="231729408"/>
      </c:barChart>
      <c:catAx>
        <c:axId val="23182899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lt-LT"/>
          </a:p>
        </c:txPr>
        <c:crossAx val="231729408"/>
        <c:crosses val="autoZero"/>
        <c:auto val="1"/>
        <c:lblAlgn val="ctr"/>
        <c:lblOffset val="100"/>
        <c:noMultiLvlLbl val="0"/>
      </c:catAx>
      <c:valAx>
        <c:axId val="23172940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1828992"/>
        <c:crosses val="autoZero"/>
        <c:crossBetween val="between"/>
      </c:valAx>
      <c:spPr>
        <a:noFill/>
      </c:spPr>
    </c:plotArea>
    <c:plotVisOnly val="1"/>
    <c:dispBlanksAs val="gap"/>
    <c:showDLblsOverMax val="0"/>
  </c:chart>
  <c:spPr>
    <a:noFill/>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8.3354111986001747E-2"/>
          <c:y val="5.0925925925925923E-2"/>
          <c:w val="0.85606423496341444"/>
          <c:h val="0.76778541929947586"/>
        </c:manualLayout>
      </c:layout>
      <c:lineChart>
        <c:grouping val="standard"/>
        <c:varyColors val="0"/>
        <c:ser>
          <c:idx val="0"/>
          <c:order val="0"/>
          <c:tx>
            <c:strRef>
              <c:f>Sheet3!$A$2</c:f>
              <c:strCache>
                <c:ptCount val="1"/>
                <c:pt idx="0">
                  <c:v>Verslo įmonių sektoriaus išlaidos MTEP</c:v>
                </c:pt>
              </c:strCache>
            </c:strRef>
          </c:tx>
          <c:trendline>
            <c:spPr>
              <a:ln>
                <a:solidFill>
                  <a:schemeClr val="accent6">
                    <a:lumMod val="50000"/>
                  </a:schemeClr>
                </a:solidFill>
                <a:prstDash val="sysDash"/>
              </a:ln>
            </c:spPr>
            <c:trendlineType val="linear"/>
            <c:dispRSqr val="0"/>
            <c:dispEq val="0"/>
          </c:trendline>
          <c:cat>
            <c:strRef>
              <c:f>Sheet3!$B$1:$J$1</c:f>
              <c:strCache>
                <c:ptCount val="9"/>
                <c:pt idx="0">
                  <c:v>2002</c:v>
                </c:pt>
                <c:pt idx="1">
                  <c:v>2003</c:v>
                </c:pt>
                <c:pt idx="2">
                  <c:v>2004</c:v>
                </c:pt>
                <c:pt idx="3">
                  <c:v>2005</c:v>
                </c:pt>
                <c:pt idx="4">
                  <c:v>2006</c:v>
                </c:pt>
                <c:pt idx="5">
                  <c:v>2007</c:v>
                </c:pt>
                <c:pt idx="6">
                  <c:v>2008</c:v>
                </c:pt>
                <c:pt idx="7">
                  <c:v>2009</c:v>
                </c:pt>
                <c:pt idx="8">
                  <c:v>2010</c:v>
                </c:pt>
              </c:strCache>
            </c:strRef>
          </c:cat>
          <c:val>
            <c:numRef>
              <c:f>Sheet3!$B$2:$J$2</c:f>
              <c:numCache>
                <c:formatCode>General</c:formatCode>
                <c:ptCount val="9"/>
                <c:pt idx="0">
                  <c:v>58.1</c:v>
                </c:pt>
                <c:pt idx="1">
                  <c:v>80.2</c:v>
                </c:pt>
                <c:pt idx="2">
                  <c:v>101.3</c:v>
                </c:pt>
                <c:pt idx="3">
                  <c:v>110.5</c:v>
                </c:pt>
                <c:pt idx="4">
                  <c:v>183.8</c:v>
                </c:pt>
                <c:pt idx="5">
                  <c:v>229.1</c:v>
                </c:pt>
                <c:pt idx="6">
                  <c:v>211.4</c:v>
                </c:pt>
                <c:pt idx="7">
                  <c:v>181.6</c:v>
                </c:pt>
                <c:pt idx="8">
                  <c:v>220.3</c:v>
                </c:pt>
              </c:numCache>
            </c:numRef>
          </c:val>
          <c:smooth val="0"/>
        </c:ser>
        <c:dLbls>
          <c:showLegendKey val="0"/>
          <c:showVal val="0"/>
          <c:showCatName val="0"/>
          <c:showSerName val="0"/>
          <c:showPercent val="0"/>
          <c:showBubbleSize val="0"/>
        </c:dLbls>
        <c:marker val="1"/>
        <c:smooth val="0"/>
        <c:axId val="231825408"/>
        <c:axId val="231731136"/>
      </c:lineChart>
      <c:catAx>
        <c:axId val="23182540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lt-LT"/>
          </a:p>
        </c:txPr>
        <c:crossAx val="231731136"/>
        <c:crosses val="autoZero"/>
        <c:auto val="1"/>
        <c:lblAlgn val="ctr"/>
        <c:lblOffset val="100"/>
        <c:noMultiLvlLbl val="0"/>
      </c:catAx>
      <c:valAx>
        <c:axId val="2317311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1825408"/>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Sheet1!$A$2</c:f>
              <c:strCache>
                <c:ptCount val="1"/>
                <c:pt idx="0">
                  <c:v>Inovacinės įmonės</c:v>
                </c:pt>
              </c:strCache>
            </c:strRef>
          </c:tx>
          <c:spPr>
            <a:solidFill>
              <a:schemeClr val="accent6"/>
            </a:solidFill>
          </c:spPr>
          <c:invertIfNegative val="0"/>
          <c:dLbls>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trendline>
            <c:spPr>
              <a:ln w="19050">
                <a:solidFill>
                  <a:schemeClr val="accent6">
                    <a:lumMod val="60000"/>
                    <a:lumOff val="40000"/>
                  </a:schemeClr>
                </a:solidFill>
                <a:headEnd type="oval"/>
                <a:tailEnd type="stealth"/>
              </a:ln>
            </c:spPr>
            <c:trendlineType val="linear"/>
            <c:dispRSqr val="0"/>
            <c:dispEq val="0"/>
          </c:trendline>
          <c:cat>
            <c:strRef>
              <c:f>Sheet1!$B$1:$E$1</c:f>
              <c:strCache>
                <c:ptCount val="4"/>
                <c:pt idx="0">
                  <c:v>2002-2004</c:v>
                </c:pt>
                <c:pt idx="1">
                  <c:v>2004-2006</c:v>
                </c:pt>
                <c:pt idx="2">
                  <c:v>2006-2008</c:v>
                </c:pt>
                <c:pt idx="3">
                  <c:v>2008-2010</c:v>
                </c:pt>
              </c:strCache>
            </c:strRef>
          </c:cat>
          <c:val>
            <c:numRef>
              <c:f>Sheet1!$B$2:$E$2</c:f>
              <c:numCache>
                <c:formatCode>General</c:formatCode>
                <c:ptCount val="4"/>
                <c:pt idx="0">
                  <c:v>23.4</c:v>
                </c:pt>
                <c:pt idx="1">
                  <c:v>18.399999999999999</c:v>
                </c:pt>
                <c:pt idx="2">
                  <c:v>28.8</c:v>
                </c:pt>
                <c:pt idx="3">
                  <c:v>32.5</c:v>
                </c:pt>
              </c:numCache>
            </c:numRef>
          </c:val>
        </c:ser>
        <c:dLbls>
          <c:showLegendKey val="0"/>
          <c:showVal val="0"/>
          <c:showCatName val="0"/>
          <c:showSerName val="0"/>
          <c:showPercent val="0"/>
          <c:showBubbleSize val="0"/>
        </c:dLbls>
        <c:gapWidth val="150"/>
        <c:axId val="231825920"/>
        <c:axId val="231732864"/>
      </c:barChart>
      <c:catAx>
        <c:axId val="231825920"/>
        <c:scaling>
          <c:orientation val="minMax"/>
        </c:scaling>
        <c:delete val="0"/>
        <c:axPos val="b"/>
        <c:majorTickMark val="out"/>
        <c:minorTickMark val="none"/>
        <c:tickLblPos val="nextTo"/>
        <c:txPr>
          <a:bodyPr/>
          <a:lstStyle/>
          <a:p>
            <a:pPr>
              <a:defRPr sz="1000">
                <a:solidFill>
                  <a:sysClr val="windowText" lastClr="000000"/>
                </a:solidFill>
                <a:latin typeface="Times New Roman" pitchFamily="18" charset="0"/>
                <a:cs typeface="Times New Roman" pitchFamily="18" charset="0"/>
              </a:defRPr>
            </a:pPr>
            <a:endParaRPr lang="lt-LT"/>
          </a:p>
        </c:txPr>
        <c:crossAx val="231732864"/>
        <c:crosses val="autoZero"/>
        <c:auto val="1"/>
        <c:lblAlgn val="ctr"/>
        <c:lblOffset val="100"/>
        <c:noMultiLvlLbl val="0"/>
      </c:catAx>
      <c:valAx>
        <c:axId val="231732864"/>
        <c:scaling>
          <c:orientation val="minMax"/>
        </c:scaling>
        <c:delete val="0"/>
        <c:axPos val="l"/>
        <c:majorGridlines/>
        <c:numFmt formatCode="General" sourceLinked="1"/>
        <c:majorTickMark val="out"/>
        <c:minorTickMark val="none"/>
        <c:tickLblPos val="nextTo"/>
        <c:txPr>
          <a:bodyPr/>
          <a:lstStyle/>
          <a:p>
            <a:pPr>
              <a:defRPr sz="1000">
                <a:solidFill>
                  <a:sysClr val="windowText" lastClr="000000"/>
                </a:solidFill>
                <a:latin typeface="Times New Roman" pitchFamily="18" charset="0"/>
                <a:cs typeface="Times New Roman" pitchFamily="18" charset="0"/>
              </a:defRPr>
            </a:pPr>
            <a:endParaRPr lang="lt-LT"/>
          </a:p>
        </c:txPr>
        <c:crossAx val="231825920"/>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9958248803321"/>
          <c:y val="5.0925925925925923E-2"/>
          <c:w val="0.82461508718453691"/>
          <c:h val="0.76276545523342765"/>
        </c:manualLayout>
      </c:layout>
      <c:scatterChart>
        <c:scatterStyle val="lineMarker"/>
        <c:varyColors val="0"/>
        <c:ser>
          <c:idx val="0"/>
          <c:order val="0"/>
          <c:tx>
            <c:strRef>
              <c:f>difuzija!$A$2</c:f>
              <c:strCache>
                <c:ptCount val="1"/>
                <c:pt idx="0">
                  <c:v>ES 27</c:v>
                </c:pt>
              </c:strCache>
            </c:strRef>
          </c:tx>
          <c:spPr>
            <a:ln w="28575">
              <a:noFill/>
            </a:ln>
          </c:spPr>
          <c:marker>
            <c:symbol val="diamond"/>
            <c:size val="9"/>
            <c:spPr>
              <a:solidFill>
                <a:schemeClr val="accent6">
                  <a:lumMod val="50000"/>
                </a:schemeClr>
              </a:solidFill>
              <a:ln>
                <a:noFill/>
              </a:ln>
            </c:spPr>
          </c:marker>
          <c:dLbls>
            <c:dLbl>
              <c:idx val="0"/>
              <c:layout>
                <c:manualLayout>
                  <c:x val="-2.4485964650725816E-2"/>
                  <c:y val="-2.2450912305069765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c:f>
              <c:numCache>
                <c:formatCode>General</c:formatCode>
                <c:ptCount val="1"/>
                <c:pt idx="0">
                  <c:v>1.99</c:v>
                </c:pt>
              </c:numCache>
            </c:numRef>
          </c:xVal>
          <c:yVal>
            <c:numRef>
              <c:f>difuzija!$D$2</c:f>
              <c:numCache>
                <c:formatCode>General</c:formatCode>
                <c:ptCount val="1"/>
                <c:pt idx="0">
                  <c:v>13.26</c:v>
                </c:pt>
              </c:numCache>
            </c:numRef>
          </c:yVal>
          <c:smooth val="0"/>
        </c:ser>
        <c:ser>
          <c:idx val="1"/>
          <c:order val="1"/>
          <c:tx>
            <c:strRef>
              <c:f>difuzija!$A$3</c:f>
              <c:strCache>
                <c:ptCount val="1"/>
                <c:pt idx="0">
                  <c:v>BE</c:v>
                </c:pt>
              </c:strCache>
            </c:strRef>
          </c:tx>
          <c:spPr>
            <a:ln w="28575">
              <a:noFill/>
            </a:ln>
          </c:spPr>
          <c:marker>
            <c:symbol val="diamond"/>
            <c:size val="9"/>
            <c:spPr>
              <a:solidFill>
                <a:srgbClr val="C0E43C"/>
              </a:solidFill>
              <a:ln>
                <a:noFill/>
              </a:ln>
            </c:spPr>
          </c:marker>
          <c:dLbls>
            <c:dLbl>
              <c:idx val="0"/>
              <c:layout>
                <c:manualLayout>
                  <c:x val="-1.7842869366635497E-2"/>
                  <c:y val="-1.3782830921878417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difuzija!$B$3</c:f>
              <c:numCache>
                <c:formatCode>General</c:formatCode>
                <c:ptCount val="1"/>
                <c:pt idx="0">
                  <c:v>1.9700000000000002</c:v>
                </c:pt>
              </c:numCache>
            </c:numRef>
          </c:xVal>
          <c:yVal>
            <c:numRef>
              <c:f>difuzija!$D$3</c:f>
              <c:numCache>
                <c:formatCode>General</c:formatCode>
                <c:ptCount val="1"/>
                <c:pt idx="0">
                  <c:v>9.5</c:v>
                </c:pt>
              </c:numCache>
            </c:numRef>
          </c:yVal>
          <c:smooth val="0"/>
        </c:ser>
        <c:ser>
          <c:idx val="2"/>
          <c:order val="2"/>
          <c:tx>
            <c:strRef>
              <c:f>difuzija!$A$4</c:f>
              <c:strCache>
                <c:ptCount val="1"/>
                <c:pt idx="0">
                  <c:v>BG</c:v>
                </c:pt>
              </c:strCache>
            </c:strRef>
          </c:tx>
          <c:spPr>
            <a:ln w="28575">
              <a:noFill/>
            </a:ln>
          </c:spPr>
          <c:marker>
            <c:symbol val="diamond"/>
            <c:size val="9"/>
            <c:spPr>
              <a:solidFill>
                <a:schemeClr val="accent6">
                  <a:lumMod val="75000"/>
                </a:schemeClr>
              </a:solidFill>
              <a:ln>
                <a:noFill/>
              </a:ln>
            </c:spPr>
          </c:marker>
          <c:dLbls>
            <c:dLbl>
              <c:idx val="0"/>
              <c:layout>
                <c:manualLayout>
                  <c:x val="-1.1807190767820689E-2"/>
                  <c:y val="7.2082576216433896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difuzija!$B$4</c:f>
              <c:numCache>
                <c:formatCode>General</c:formatCode>
                <c:ptCount val="1"/>
                <c:pt idx="0">
                  <c:v>0.59</c:v>
                </c:pt>
              </c:numCache>
            </c:numRef>
          </c:xVal>
          <c:yVal>
            <c:numRef>
              <c:f>difuzija!$D$4</c:f>
              <c:numCache>
                <c:formatCode>General</c:formatCode>
                <c:ptCount val="1"/>
                <c:pt idx="0">
                  <c:v>14.2</c:v>
                </c:pt>
              </c:numCache>
            </c:numRef>
          </c:yVal>
          <c:smooth val="0"/>
        </c:ser>
        <c:ser>
          <c:idx val="3"/>
          <c:order val="3"/>
          <c:tx>
            <c:strRef>
              <c:f>difuzija!$A$5</c:f>
              <c:strCache>
                <c:ptCount val="1"/>
                <c:pt idx="0">
                  <c:v>CZ</c:v>
                </c:pt>
              </c:strCache>
            </c:strRef>
          </c:tx>
          <c:spPr>
            <a:ln w="28575">
              <a:noFill/>
            </a:ln>
          </c:spPr>
          <c:marker>
            <c:symbol val="diamond"/>
            <c:size val="9"/>
            <c:spPr>
              <a:solidFill>
                <a:srgbClr val="9BE5EF"/>
              </a:solidFill>
              <a:ln>
                <a:noFill/>
              </a:ln>
            </c:spPr>
          </c:marker>
          <c:dLbls>
            <c:dLbl>
              <c:idx val="0"/>
              <c:layout>
                <c:manualLayout>
                  <c:x val="-1.0360902997658714E-2"/>
                  <c:y val="-4.6295128440753249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difuzija!$B$5</c:f>
              <c:numCache>
                <c:formatCode>General</c:formatCode>
                <c:ptCount val="1"/>
                <c:pt idx="0">
                  <c:v>1.5499999999999998</c:v>
                </c:pt>
              </c:numCache>
            </c:numRef>
          </c:xVal>
          <c:yVal>
            <c:numRef>
              <c:f>difuzija!$D$5</c:f>
              <c:numCache>
                <c:formatCode>General</c:formatCode>
                <c:ptCount val="1"/>
                <c:pt idx="0">
                  <c:v>18.670000000000002</c:v>
                </c:pt>
              </c:numCache>
            </c:numRef>
          </c:yVal>
          <c:smooth val="0"/>
        </c:ser>
        <c:ser>
          <c:idx val="4"/>
          <c:order val="4"/>
          <c:tx>
            <c:strRef>
              <c:f>difuzija!$A$6</c:f>
              <c:strCache>
                <c:ptCount val="1"/>
                <c:pt idx="0">
                  <c:v>DK</c:v>
                </c:pt>
              </c:strCache>
            </c:strRef>
          </c:tx>
          <c:spPr>
            <a:ln w="28575">
              <a:noFill/>
            </a:ln>
          </c:spPr>
          <c:marker>
            <c:symbol val="diamond"/>
            <c:size val="9"/>
            <c:spPr>
              <a:solidFill>
                <a:schemeClr val="tx2">
                  <a:lumMod val="75000"/>
                </a:schemeClr>
              </a:solidFill>
              <a:ln>
                <a:noFill/>
              </a:ln>
            </c:spPr>
          </c:marker>
          <c:dLbls>
            <c:dLbl>
              <c:idx val="0"/>
              <c:layout>
                <c:manualLayout>
                  <c:x val="-1.1111111111111112E-2"/>
                  <c:y val="0"/>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xVal>
            <c:numRef>
              <c:f>difuzija!$B$6</c:f>
              <c:numCache>
                <c:formatCode>General</c:formatCode>
                <c:ptCount val="1"/>
                <c:pt idx="0">
                  <c:v>3.04</c:v>
                </c:pt>
              </c:numCache>
            </c:numRef>
          </c:xVal>
          <c:yVal>
            <c:numRef>
              <c:f>difuzija!$D$6</c:f>
              <c:numCache>
                <c:formatCode>General</c:formatCode>
                <c:ptCount val="1"/>
                <c:pt idx="0">
                  <c:v>11.44</c:v>
                </c:pt>
              </c:numCache>
            </c:numRef>
          </c:yVal>
          <c:smooth val="0"/>
        </c:ser>
        <c:ser>
          <c:idx val="5"/>
          <c:order val="5"/>
          <c:tx>
            <c:strRef>
              <c:f>difuzija!$A$7</c:f>
              <c:strCache>
                <c:ptCount val="1"/>
                <c:pt idx="0">
                  <c:v>DE</c:v>
                </c:pt>
              </c:strCache>
            </c:strRef>
          </c:tx>
          <c:spPr>
            <a:ln w="28575">
              <a:noFill/>
            </a:ln>
          </c:spPr>
          <c:marker>
            <c:symbol val="diamond"/>
            <c:size val="9"/>
            <c:spPr>
              <a:solidFill>
                <a:schemeClr val="tx2">
                  <a:lumMod val="75000"/>
                </a:schemeClr>
              </a:solidFill>
              <a:ln>
                <a:noFill/>
              </a:ln>
            </c:spPr>
          </c:marker>
          <c:dLbls>
            <c:dLbl>
              <c:idx val="0"/>
              <c:layout>
                <c:manualLayout>
                  <c:x val="-9.8041131996197753E-3"/>
                  <c:y val="-3.051945019820857E-7"/>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difuzija!$B$7</c:f>
              <c:numCache>
                <c:formatCode>General</c:formatCode>
                <c:ptCount val="1"/>
                <c:pt idx="0">
                  <c:v>2.82</c:v>
                </c:pt>
              </c:numCache>
            </c:numRef>
          </c:xVal>
          <c:yVal>
            <c:numRef>
              <c:f>difuzija!$D$7</c:f>
              <c:numCache>
                <c:formatCode>General</c:formatCode>
                <c:ptCount val="1"/>
                <c:pt idx="0">
                  <c:v>17.38</c:v>
                </c:pt>
              </c:numCache>
            </c:numRef>
          </c:yVal>
          <c:smooth val="0"/>
        </c:ser>
        <c:ser>
          <c:idx val="6"/>
          <c:order val="6"/>
          <c:tx>
            <c:strRef>
              <c:f>difuzija!$A$8</c:f>
              <c:strCache>
                <c:ptCount val="1"/>
                <c:pt idx="0">
                  <c:v>EE</c:v>
                </c:pt>
              </c:strCache>
            </c:strRef>
          </c:tx>
          <c:spPr>
            <a:ln w="28575">
              <a:noFill/>
            </a:ln>
          </c:spPr>
          <c:marker>
            <c:symbol val="diamond"/>
            <c:size val="9"/>
            <c:spPr>
              <a:solidFill>
                <a:srgbClr val="C0E43C"/>
              </a:solidFill>
              <a:ln>
                <a:noFill/>
              </a:ln>
            </c:spPr>
          </c:marker>
          <c:dLbls>
            <c:dLbl>
              <c:idx val="0"/>
              <c:layout>
                <c:manualLayout>
                  <c:x val="-1.388888888888894E-2"/>
                  <c:y val="-4.6296296296296294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difuzija!$B$8</c:f>
              <c:numCache>
                <c:formatCode>General</c:formatCode>
                <c:ptCount val="1"/>
                <c:pt idx="0">
                  <c:v>1.6</c:v>
                </c:pt>
              </c:numCache>
            </c:numRef>
          </c:xVal>
          <c:yVal>
            <c:numRef>
              <c:f>difuzija!$D$8</c:f>
              <c:numCache>
                <c:formatCode>General</c:formatCode>
                <c:ptCount val="1"/>
                <c:pt idx="0">
                  <c:v>10.23</c:v>
                </c:pt>
              </c:numCache>
            </c:numRef>
          </c:yVal>
          <c:smooth val="0"/>
        </c:ser>
        <c:ser>
          <c:idx val="7"/>
          <c:order val="7"/>
          <c:tx>
            <c:strRef>
              <c:f>difuzija!$A$9</c:f>
              <c:strCache>
                <c:ptCount val="1"/>
                <c:pt idx="0">
                  <c:v>IE</c:v>
                </c:pt>
              </c:strCache>
            </c:strRef>
          </c:tx>
          <c:spPr>
            <a:ln w="28575">
              <a:noFill/>
            </a:ln>
          </c:spPr>
          <c:marker>
            <c:symbol val="diamond"/>
            <c:size val="9"/>
            <c:spPr>
              <a:solidFill>
                <a:srgbClr val="C0E43C"/>
              </a:solidFill>
              <a:ln>
                <a:noFill/>
              </a:ln>
            </c:spPr>
          </c:marker>
          <c:dLbls>
            <c:dLbl>
              <c:idx val="0"/>
              <c:layout>
                <c:manualLayout>
                  <c:x val="-1.2214198514742227E-2"/>
                  <c:y val="-9.2592959956344974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difuzija!$B$9</c:f>
              <c:numCache>
                <c:formatCode>General</c:formatCode>
                <c:ptCount val="1"/>
                <c:pt idx="0">
                  <c:v>1.79</c:v>
                </c:pt>
              </c:numCache>
            </c:numRef>
          </c:xVal>
          <c:yVal>
            <c:numRef>
              <c:f>difuzija!$D$9</c:f>
              <c:numCache>
                <c:formatCode>General</c:formatCode>
                <c:ptCount val="1"/>
                <c:pt idx="0">
                  <c:v>11.01</c:v>
                </c:pt>
              </c:numCache>
            </c:numRef>
          </c:yVal>
          <c:smooth val="0"/>
        </c:ser>
        <c:ser>
          <c:idx val="8"/>
          <c:order val="8"/>
          <c:tx>
            <c:strRef>
              <c:f>difuzija!$A$10</c:f>
              <c:strCache>
                <c:ptCount val="1"/>
                <c:pt idx="0">
                  <c:v>GR</c:v>
                </c:pt>
              </c:strCache>
            </c:strRef>
          </c:tx>
          <c:spPr>
            <a:ln w="28575">
              <a:noFill/>
            </a:ln>
          </c:spPr>
          <c:marker>
            <c:symbol val="diamond"/>
            <c:size val="9"/>
            <c:spPr>
              <a:solidFill>
                <a:srgbClr val="9BE5EF"/>
              </a:solidFill>
              <a:ln>
                <a:noFill/>
              </a:ln>
            </c:spPr>
          </c:marker>
          <c:dLbls>
            <c:dLbl>
              <c:idx val="0"/>
              <c:layout>
                <c:manualLayout>
                  <c:x val="-1.0736044239893163E-2"/>
                  <c:y val="-6.1022120518688027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difuzija!$B$10</c:f>
              <c:numCache>
                <c:formatCode>General</c:formatCode>
                <c:ptCount val="1"/>
                <c:pt idx="0">
                  <c:v>0.6</c:v>
                </c:pt>
              </c:numCache>
            </c:numRef>
          </c:xVal>
          <c:yVal>
            <c:numRef>
              <c:f>difuzija!$D$10</c:f>
              <c:numCache>
                <c:formatCode>General</c:formatCode>
                <c:ptCount val="1"/>
                <c:pt idx="0">
                  <c:v>19.23</c:v>
                </c:pt>
              </c:numCache>
            </c:numRef>
          </c:yVal>
          <c:smooth val="0"/>
        </c:ser>
        <c:ser>
          <c:idx val="9"/>
          <c:order val="9"/>
          <c:tx>
            <c:strRef>
              <c:f>difuzija!$A$11</c:f>
              <c:strCache>
                <c:ptCount val="1"/>
                <c:pt idx="0">
                  <c:v>ES </c:v>
                </c:pt>
              </c:strCache>
            </c:strRef>
          </c:tx>
          <c:spPr>
            <a:ln w="28575">
              <a:noFill/>
            </a:ln>
          </c:spPr>
          <c:marker>
            <c:symbol val="diamond"/>
            <c:size val="9"/>
            <c:spPr>
              <a:solidFill>
                <a:srgbClr val="9BE5EF"/>
              </a:solidFill>
              <a:ln>
                <a:noFill/>
              </a:ln>
            </c:spPr>
          </c:marker>
          <c:dLbls>
            <c:dLbl>
              <c:idx val="0"/>
              <c:layout>
                <c:manualLayout>
                  <c:x val="-1.1642711327750698E-2"/>
                  <c:y val="-1.3180395719765798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difuzija!$B$11</c:f>
              <c:numCache>
                <c:formatCode>General</c:formatCode>
                <c:ptCount val="1"/>
                <c:pt idx="0">
                  <c:v>1.3900000000000001</c:v>
                </c:pt>
              </c:numCache>
            </c:numRef>
          </c:xVal>
          <c:yVal>
            <c:numRef>
              <c:f>difuzija!$D$11</c:f>
              <c:numCache>
                <c:formatCode>General</c:formatCode>
                <c:ptCount val="1"/>
                <c:pt idx="0">
                  <c:v>15.91</c:v>
                </c:pt>
              </c:numCache>
            </c:numRef>
          </c:yVal>
          <c:smooth val="0"/>
        </c:ser>
        <c:ser>
          <c:idx val="10"/>
          <c:order val="10"/>
          <c:tx>
            <c:strRef>
              <c:f>difuzija!$A$12</c:f>
              <c:strCache>
                <c:ptCount val="1"/>
                <c:pt idx="0">
                  <c:v>FR</c:v>
                </c:pt>
              </c:strCache>
            </c:strRef>
          </c:tx>
          <c:spPr>
            <a:ln w="28575">
              <a:noFill/>
            </a:ln>
          </c:spPr>
          <c:marker>
            <c:symbol val="diamond"/>
            <c:size val="9"/>
            <c:spPr>
              <a:solidFill>
                <a:srgbClr val="C0E43C"/>
              </a:solidFill>
              <a:ln>
                <a:noFill/>
              </a:ln>
            </c:spPr>
          </c:marker>
          <c:dLbls>
            <c:dLbl>
              <c:idx val="0"/>
              <c:layout>
                <c:manualLayout>
                  <c:x val="-8.7591588555047048E-3"/>
                  <c:y val="-4.6295128440752686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difuzija!$B$12</c:f>
              <c:numCache>
                <c:formatCode>General</c:formatCode>
                <c:ptCount val="1"/>
                <c:pt idx="0">
                  <c:v>2.2399999999999998</c:v>
                </c:pt>
              </c:numCache>
            </c:numRef>
          </c:xVal>
          <c:yVal>
            <c:numRef>
              <c:f>difuzija!$D$12</c:f>
              <c:numCache>
                <c:formatCode>General</c:formatCode>
                <c:ptCount val="1"/>
                <c:pt idx="0">
                  <c:v>13.25</c:v>
                </c:pt>
              </c:numCache>
            </c:numRef>
          </c:yVal>
          <c:smooth val="0"/>
        </c:ser>
        <c:ser>
          <c:idx val="11"/>
          <c:order val="11"/>
          <c:tx>
            <c:strRef>
              <c:f>difuzija!$A$13</c:f>
              <c:strCache>
                <c:ptCount val="1"/>
                <c:pt idx="0">
                  <c:v>IT</c:v>
                </c:pt>
              </c:strCache>
            </c:strRef>
          </c:tx>
          <c:spPr>
            <a:ln w="28575">
              <a:noFill/>
            </a:ln>
          </c:spPr>
          <c:marker>
            <c:symbol val="diamond"/>
            <c:size val="9"/>
            <c:spPr>
              <a:solidFill>
                <a:srgbClr val="9BE5EF"/>
              </a:solidFill>
              <a:ln>
                <a:noFill/>
              </a:ln>
            </c:spPr>
          </c:marker>
          <c:dLbls>
            <c:dLbl>
              <c:idx val="0"/>
              <c:layout>
                <c:manualLayout>
                  <c:x val="-1.1111111111111212E-2"/>
                  <c:y val="-4.6296296296297144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difuzija!$B$13</c:f>
              <c:numCache>
                <c:formatCode>General</c:formatCode>
                <c:ptCount val="1"/>
                <c:pt idx="0">
                  <c:v>1.21</c:v>
                </c:pt>
              </c:numCache>
            </c:numRef>
          </c:xVal>
          <c:yVal>
            <c:numRef>
              <c:f>difuzija!$D$13</c:f>
              <c:numCache>
                <c:formatCode>General</c:formatCode>
                <c:ptCount val="1"/>
                <c:pt idx="0">
                  <c:v>11.79</c:v>
                </c:pt>
              </c:numCache>
            </c:numRef>
          </c:yVal>
          <c:smooth val="0"/>
        </c:ser>
        <c:ser>
          <c:idx val="12"/>
          <c:order val="12"/>
          <c:tx>
            <c:strRef>
              <c:f>difuzija!$A$14</c:f>
              <c:strCache>
                <c:ptCount val="1"/>
                <c:pt idx="0">
                  <c:v>CY</c:v>
                </c:pt>
              </c:strCache>
            </c:strRef>
          </c:tx>
          <c:spPr>
            <a:ln w="28575">
              <a:noFill/>
            </a:ln>
          </c:spPr>
          <c:marker>
            <c:symbol val="diamond"/>
            <c:size val="9"/>
            <c:spPr>
              <a:solidFill>
                <a:srgbClr val="C0E43C"/>
              </a:solidFill>
              <a:ln>
                <a:noFill/>
              </a:ln>
            </c:spPr>
          </c:marker>
          <c:dLbls>
            <c:dLbl>
              <c:idx val="0"/>
              <c:layout>
                <c:manualLayout>
                  <c:x val="-3.4450885839227542E-2"/>
                  <c:y val="-2.7460434722547552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difuzija!$B$14</c:f>
              <c:numCache>
                <c:formatCode>General</c:formatCode>
                <c:ptCount val="1"/>
                <c:pt idx="0">
                  <c:v>0.43999999999999995</c:v>
                </c:pt>
              </c:numCache>
            </c:numRef>
          </c:xVal>
          <c:yVal>
            <c:numRef>
              <c:f>difuzija!$D$14</c:f>
              <c:numCache>
                <c:formatCode>General</c:formatCode>
                <c:ptCount val="1"/>
                <c:pt idx="0">
                  <c:v>16.07</c:v>
                </c:pt>
              </c:numCache>
            </c:numRef>
          </c:yVal>
          <c:smooth val="0"/>
        </c:ser>
        <c:ser>
          <c:idx val="13"/>
          <c:order val="13"/>
          <c:tx>
            <c:strRef>
              <c:f>difuzija!$A$15</c:f>
              <c:strCache>
                <c:ptCount val="1"/>
                <c:pt idx="0">
                  <c:v>LV</c:v>
                </c:pt>
              </c:strCache>
            </c:strRef>
          </c:tx>
          <c:spPr>
            <a:ln w="28575">
              <a:noFill/>
            </a:ln>
          </c:spPr>
          <c:marker>
            <c:symbol val="diamond"/>
            <c:size val="9"/>
            <c:spPr>
              <a:solidFill>
                <a:schemeClr val="accent6">
                  <a:lumMod val="75000"/>
                </a:schemeClr>
              </a:solidFill>
              <a:ln>
                <a:noFill/>
              </a:ln>
            </c:spPr>
          </c:marker>
          <c:dLbls>
            <c:dLbl>
              <c:idx val="0"/>
              <c:layout>
                <c:manualLayout>
                  <c:x val="-9.9353278290825013E-3"/>
                  <c:y val="0"/>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difuzija!$B$15</c:f>
              <c:numCache>
                <c:formatCode>General</c:formatCode>
                <c:ptCount val="1"/>
                <c:pt idx="0">
                  <c:v>0.6</c:v>
                </c:pt>
              </c:numCache>
            </c:numRef>
          </c:xVal>
          <c:yVal>
            <c:numRef>
              <c:f>difuzija!$D$15</c:f>
              <c:numCache>
                <c:formatCode>General</c:formatCode>
                <c:ptCount val="1"/>
                <c:pt idx="0">
                  <c:v>5.8</c:v>
                </c:pt>
              </c:numCache>
            </c:numRef>
          </c:yVal>
          <c:smooth val="0"/>
        </c:ser>
        <c:ser>
          <c:idx val="14"/>
          <c:order val="14"/>
          <c:tx>
            <c:strRef>
              <c:f>difuzija!$A$16</c:f>
              <c:strCache>
                <c:ptCount val="1"/>
                <c:pt idx="0">
                  <c:v>LT</c:v>
                </c:pt>
              </c:strCache>
            </c:strRef>
          </c:tx>
          <c:spPr>
            <a:ln w="28575">
              <a:noFill/>
            </a:ln>
          </c:spPr>
          <c:marker>
            <c:symbol val="diamond"/>
            <c:size val="9"/>
            <c:spPr>
              <a:solidFill>
                <a:schemeClr val="accent6">
                  <a:lumMod val="75000"/>
                </a:schemeClr>
              </a:solidFill>
              <a:ln>
                <a:noFill/>
              </a:ln>
            </c:spPr>
          </c:marker>
          <c:dLbls>
            <c:dLbl>
              <c:idx val="0"/>
              <c:layout>
                <c:manualLayout>
                  <c:x val="-1.1861312306329478E-2"/>
                  <c:y val="-3.0511060259345133E-3"/>
                </c:manualLayout>
              </c:layout>
              <c:spPr/>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dLbl>
            <c:showLegendKey val="0"/>
            <c:showVal val="0"/>
            <c:showCatName val="0"/>
            <c:showSerName val="1"/>
            <c:showPercent val="0"/>
            <c:showBubbleSize val="0"/>
            <c:showLeaderLines val="0"/>
          </c:dLbls>
          <c:xVal>
            <c:numRef>
              <c:f>difuzija!$B$16</c:f>
              <c:numCache>
                <c:formatCode>General</c:formatCode>
                <c:ptCount val="1"/>
                <c:pt idx="0">
                  <c:v>0.79</c:v>
                </c:pt>
              </c:numCache>
            </c:numRef>
          </c:xVal>
          <c:yVal>
            <c:numRef>
              <c:f>difuzija!$D$16</c:f>
              <c:numCache>
                <c:formatCode>General</c:formatCode>
                <c:ptCount val="1"/>
                <c:pt idx="0">
                  <c:v>9.59</c:v>
                </c:pt>
              </c:numCache>
            </c:numRef>
          </c:yVal>
          <c:smooth val="0"/>
        </c:ser>
        <c:ser>
          <c:idx val="15"/>
          <c:order val="15"/>
          <c:tx>
            <c:strRef>
              <c:f>difuzija!$A$17</c:f>
              <c:strCache>
                <c:ptCount val="1"/>
                <c:pt idx="0">
                  <c:v>LU</c:v>
                </c:pt>
              </c:strCache>
            </c:strRef>
          </c:tx>
          <c:spPr>
            <a:ln w="28575">
              <a:noFill/>
            </a:ln>
          </c:spPr>
          <c:marker>
            <c:symbol val="diamond"/>
            <c:size val="9"/>
            <c:spPr>
              <a:solidFill>
                <a:srgbClr val="C0E43C"/>
              </a:solidFill>
              <a:ln>
                <a:noFill/>
              </a:ln>
            </c:spPr>
          </c:marker>
          <c:dLbls>
            <c:dLbl>
              <c:idx val="0"/>
              <c:layout>
                <c:manualLayout>
                  <c:x val="-1.3888888888888888E-2"/>
                  <c:y val="4.6296296296296294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difuzija!$B$17</c:f>
              <c:numCache>
                <c:formatCode>General</c:formatCode>
                <c:ptCount val="1"/>
                <c:pt idx="0">
                  <c:v>1.64</c:v>
                </c:pt>
              </c:numCache>
            </c:numRef>
          </c:xVal>
          <c:yVal>
            <c:numRef>
              <c:f>difuzija!$D$17</c:f>
              <c:numCache>
                <c:formatCode>General</c:formatCode>
                <c:ptCount val="1"/>
                <c:pt idx="0">
                  <c:v>8.8699999999999992</c:v>
                </c:pt>
              </c:numCache>
            </c:numRef>
          </c:yVal>
          <c:smooth val="0"/>
        </c:ser>
        <c:ser>
          <c:idx val="16"/>
          <c:order val="16"/>
          <c:tx>
            <c:strRef>
              <c:f>difuzija!$A$18</c:f>
              <c:strCache>
                <c:ptCount val="1"/>
                <c:pt idx="0">
                  <c:v>HU</c:v>
                </c:pt>
              </c:strCache>
            </c:strRef>
          </c:tx>
          <c:spPr>
            <a:ln w="28575">
              <a:noFill/>
            </a:ln>
          </c:spPr>
          <c:marker>
            <c:symbol val="diamond"/>
            <c:size val="9"/>
            <c:spPr>
              <a:solidFill>
                <a:srgbClr val="9BE5EF"/>
              </a:solidFill>
              <a:ln>
                <a:noFill/>
              </a:ln>
            </c:spPr>
          </c:marker>
          <c:dLbls>
            <c:dLbl>
              <c:idx val="0"/>
              <c:layout>
                <c:manualLayout>
                  <c:x val="-8.3841732735369604E-3"/>
                  <c:y val="-1.5784068181408674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difuzija!$B$18</c:f>
              <c:numCache>
                <c:formatCode>General</c:formatCode>
                <c:ptCount val="1"/>
                <c:pt idx="0">
                  <c:v>1.1299999999999999</c:v>
                </c:pt>
              </c:numCache>
            </c:numRef>
          </c:xVal>
          <c:yVal>
            <c:numRef>
              <c:f>difuzija!$D$18</c:f>
              <c:numCache>
                <c:formatCode>General</c:formatCode>
                <c:ptCount val="1"/>
                <c:pt idx="0">
                  <c:v>16.440000000000001</c:v>
                </c:pt>
              </c:numCache>
            </c:numRef>
          </c:yVal>
          <c:smooth val="0"/>
        </c:ser>
        <c:ser>
          <c:idx val="17"/>
          <c:order val="17"/>
          <c:tx>
            <c:strRef>
              <c:f>difuzija!$A$19</c:f>
              <c:strCache>
                <c:ptCount val="1"/>
                <c:pt idx="0">
                  <c:v>MT</c:v>
                </c:pt>
              </c:strCache>
            </c:strRef>
          </c:tx>
          <c:spPr>
            <a:ln w="28575">
              <a:noFill/>
            </a:ln>
          </c:spPr>
          <c:marker>
            <c:symbol val="diamond"/>
            <c:size val="9"/>
            <c:spPr>
              <a:solidFill>
                <a:srgbClr val="9BE5EF"/>
              </a:solidFill>
              <a:ln>
                <a:noFill/>
              </a:ln>
            </c:spPr>
          </c:marker>
          <c:dLbls>
            <c:dLbl>
              <c:idx val="0"/>
              <c:layout>
                <c:manualLayout>
                  <c:x val="-5.8395181931075492E-3"/>
                  <c:y val="5.4094324136624789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difuzija!$B$19</c:f>
              <c:numCache>
                <c:formatCode>General</c:formatCode>
                <c:ptCount val="1"/>
                <c:pt idx="0">
                  <c:v>0.62</c:v>
                </c:pt>
              </c:numCache>
            </c:numRef>
          </c:xVal>
          <c:yVal>
            <c:numRef>
              <c:f>difuzija!$D$19</c:f>
              <c:numCache>
                <c:formatCode>General</c:formatCode>
                <c:ptCount val="1"/>
                <c:pt idx="0">
                  <c:v>15.22</c:v>
                </c:pt>
              </c:numCache>
            </c:numRef>
          </c:yVal>
          <c:smooth val="0"/>
        </c:ser>
        <c:ser>
          <c:idx val="18"/>
          <c:order val="18"/>
          <c:tx>
            <c:strRef>
              <c:f>difuzija!$A$20</c:f>
              <c:strCache>
                <c:ptCount val="1"/>
                <c:pt idx="0">
                  <c:v>NL</c:v>
                </c:pt>
              </c:strCache>
            </c:strRef>
          </c:tx>
          <c:spPr>
            <a:ln w="28575">
              <a:noFill/>
            </a:ln>
          </c:spPr>
          <c:marker>
            <c:symbol val="diamond"/>
            <c:size val="9"/>
            <c:spPr>
              <a:solidFill>
                <a:srgbClr val="C0E43C"/>
              </a:solidFill>
              <a:ln>
                <a:noFill/>
              </a:ln>
            </c:spPr>
          </c:marker>
          <c:dLbls>
            <c:dLbl>
              <c:idx val="0"/>
              <c:layout>
                <c:manualLayout>
                  <c:x val="-9.8043029701170292E-3"/>
                  <c:y val="0"/>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difuzija!$B$20</c:f>
              <c:numCache>
                <c:formatCode>General</c:formatCode>
                <c:ptCount val="1"/>
                <c:pt idx="0">
                  <c:v>1.8399999999999999</c:v>
                </c:pt>
              </c:numCache>
            </c:numRef>
          </c:xVal>
          <c:yVal>
            <c:numRef>
              <c:f>difuzija!$D$20</c:f>
              <c:numCache>
                <c:formatCode>General</c:formatCode>
                <c:ptCount val="1"/>
                <c:pt idx="0">
                  <c:v>8.85</c:v>
                </c:pt>
              </c:numCache>
            </c:numRef>
          </c:yVal>
          <c:smooth val="0"/>
        </c:ser>
        <c:ser>
          <c:idx val="19"/>
          <c:order val="19"/>
          <c:tx>
            <c:strRef>
              <c:f>difuzija!$A$21</c:f>
              <c:strCache>
                <c:ptCount val="1"/>
                <c:pt idx="0">
                  <c:v>AT</c:v>
                </c:pt>
              </c:strCache>
            </c:strRef>
          </c:tx>
          <c:spPr>
            <a:ln w="28575">
              <a:noFill/>
            </a:ln>
          </c:spPr>
          <c:marker>
            <c:symbol val="diamond"/>
            <c:size val="9"/>
            <c:spPr>
              <a:solidFill>
                <a:srgbClr val="C0E43C"/>
              </a:solidFill>
              <a:ln>
                <a:noFill/>
              </a:ln>
            </c:spPr>
          </c:marker>
          <c:dLbls>
            <c:dLbl>
              <c:idx val="0"/>
              <c:layout>
                <c:manualLayout>
                  <c:x val="-8.7591588555047777E-3"/>
                  <c:y val="-3.1570538808507061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difuzija!$B$21</c:f>
              <c:numCache>
                <c:formatCode>General</c:formatCode>
                <c:ptCount val="1"/>
                <c:pt idx="0">
                  <c:v>2.75</c:v>
                </c:pt>
              </c:numCache>
            </c:numRef>
          </c:xVal>
          <c:yVal>
            <c:numRef>
              <c:f>difuzija!$D$21</c:f>
              <c:numCache>
                <c:formatCode>General</c:formatCode>
                <c:ptCount val="1"/>
                <c:pt idx="0">
                  <c:v>11.24</c:v>
                </c:pt>
              </c:numCache>
            </c:numRef>
          </c:yVal>
          <c:smooth val="0"/>
        </c:ser>
        <c:ser>
          <c:idx val="20"/>
          <c:order val="20"/>
          <c:tx>
            <c:strRef>
              <c:f>difuzija!$A$22</c:f>
              <c:strCache>
                <c:ptCount val="1"/>
                <c:pt idx="0">
                  <c:v>PL</c:v>
                </c:pt>
              </c:strCache>
            </c:strRef>
          </c:tx>
          <c:spPr>
            <a:ln w="28575">
              <a:noFill/>
            </a:ln>
          </c:spPr>
          <c:marker>
            <c:symbol val="diamond"/>
            <c:size val="9"/>
            <c:spPr>
              <a:solidFill>
                <a:srgbClr val="9BE5EF"/>
              </a:solidFill>
              <a:ln>
                <a:noFill/>
              </a:ln>
            </c:spPr>
          </c:marker>
          <c:dLbls>
            <c:dLbl>
              <c:idx val="0"/>
              <c:layout>
                <c:manualLayout>
                  <c:x val="-2.2212357170758805E-2"/>
                  <c:y val="-2.4877580655344404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difuzija!$B$22</c:f>
              <c:numCache>
                <c:formatCode>General</c:formatCode>
                <c:ptCount val="1"/>
                <c:pt idx="0">
                  <c:v>0.73</c:v>
                </c:pt>
              </c:numCache>
            </c:numRef>
          </c:xVal>
          <c:yVal>
            <c:numRef>
              <c:f>difuzija!$D$22</c:f>
              <c:numCache>
                <c:formatCode>General</c:formatCode>
                <c:ptCount val="1"/>
                <c:pt idx="0">
                  <c:v>9.84</c:v>
                </c:pt>
              </c:numCache>
            </c:numRef>
          </c:yVal>
          <c:smooth val="0"/>
        </c:ser>
        <c:ser>
          <c:idx val="21"/>
          <c:order val="21"/>
          <c:tx>
            <c:strRef>
              <c:f>difuzija!$A$23</c:f>
              <c:strCache>
                <c:ptCount val="1"/>
                <c:pt idx="0">
                  <c:v>PT</c:v>
                </c:pt>
              </c:strCache>
            </c:strRef>
          </c:tx>
          <c:spPr>
            <a:ln w="28575">
              <a:noFill/>
            </a:ln>
          </c:spPr>
          <c:marker>
            <c:symbol val="diamond"/>
            <c:size val="9"/>
            <c:spPr>
              <a:solidFill>
                <a:srgbClr val="9BE5EF"/>
              </a:solidFill>
              <a:ln>
                <a:noFill/>
              </a:ln>
            </c:spPr>
          </c:marker>
          <c:dLbls>
            <c:dLbl>
              <c:idx val="0"/>
              <c:layout>
                <c:manualLayout>
                  <c:x val="-7.2081599602257613E-3"/>
                  <c:y val="7.2205505204297419E-3"/>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difuzija!$B$23</c:f>
              <c:numCache>
                <c:formatCode>General</c:formatCode>
                <c:ptCount val="1"/>
                <c:pt idx="0">
                  <c:v>1.42</c:v>
                </c:pt>
              </c:numCache>
            </c:numRef>
          </c:xVal>
          <c:yVal>
            <c:numRef>
              <c:f>difuzija!$D$23</c:f>
              <c:numCache>
                <c:formatCode>General</c:formatCode>
                <c:ptCount val="1"/>
                <c:pt idx="0">
                  <c:v>15.57</c:v>
                </c:pt>
              </c:numCache>
            </c:numRef>
          </c:yVal>
          <c:smooth val="0"/>
        </c:ser>
        <c:ser>
          <c:idx val="22"/>
          <c:order val="22"/>
          <c:tx>
            <c:strRef>
              <c:f>difuzija!$A$24</c:f>
              <c:strCache>
                <c:ptCount val="1"/>
                <c:pt idx="0">
                  <c:v>RO</c:v>
                </c:pt>
              </c:strCache>
            </c:strRef>
          </c:tx>
          <c:spPr>
            <a:ln w="28575">
              <a:noFill/>
            </a:ln>
          </c:spPr>
          <c:marker>
            <c:symbol val="diamond"/>
            <c:size val="9"/>
            <c:spPr>
              <a:solidFill>
                <a:schemeClr val="accent6">
                  <a:lumMod val="75000"/>
                </a:schemeClr>
              </a:solidFill>
              <a:ln>
                <a:noFill/>
              </a:ln>
            </c:spPr>
          </c:marker>
          <c:dLbls>
            <c:dLbl>
              <c:idx val="0"/>
              <c:layout>
                <c:manualLayout>
                  <c:x val="-2.3434237386993292E-2"/>
                  <c:y val="-1.4644155057540884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difuzija!$B$24</c:f>
              <c:numCache>
                <c:formatCode>General</c:formatCode>
                <c:ptCount val="1"/>
                <c:pt idx="0">
                  <c:v>0.47</c:v>
                </c:pt>
              </c:numCache>
            </c:numRef>
          </c:xVal>
          <c:yVal>
            <c:numRef>
              <c:f>difuzija!$D$24</c:f>
              <c:numCache>
                <c:formatCode>General</c:formatCode>
                <c:ptCount val="1"/>
                <c:pt idx="0">
                  <c:v>14.87</c:v>
                </c:pt>
              </c:numCache>
            </c:numRef>
          </c:yVal>
          <c:smooth val="0"/>
        </c:ser>
        <c:ser>
          <c:idx val="23"/>
          <c:order val="23"/>
          <c:tx>
            <c:strRef>
              <c:f>difuzija!$A$25</c:f>
              <c:strCache>
                <c:ptCount val="1"/>
                <c:pt idx="0">
                  <c:v>SI</c:v>
                </c:pt>
              </c:strCache>
            </c:strRef>
          </c:tx>
          <c:spPr>
            <a:ln w="28575">
              <a:noFill/>
            </a:ln>
          </c:spPr>
          <c:marker>
            <c:symbol val="diamond"/>
            <c:size val="9"/>
            <c:spPr>
              <a:solidFill>
                <a:srgbClr val="C0E43C"/>
              </a:solidFill>
              <a:ln>
                <a:noFill/>
              </a:ln>
            </c:spPr>
          </c:marker>
          <c:dLbls>
            <c:dLbl>
              <c:idx val="0"/>
              <c:layout>
                <c:manualLayout>
                  <c:x val="-1.0736044239892946E-2"/>
                  <c:y val="-2.4024456897121268E-7"/>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xVal>
            <c:numRef>
              <c:f>difuzija!$B$25</c:f>
              <c:numCache>
                <c:formatCode>General</c:formatCode>
                <c:ptCount val="1"/>
                <c:pt idx="0">
                  <c:v>2.1</c:v>
                </c:pt>
              </c:numCache>
            </c:numRef>
          </c:xVal>
          <c:yVal>
            <c:numRef>
              <c:f>difuzija!$D$25</c:f>
              <c:numCache>
                <c:formatCode>General</c:formatCode>
                <c:ptCount val="1"/>
                <c:pt idx="0">
                  <c:v>16.309999999999999</c:v>
                </c:pt>
              </c:numCache>
            </c:numRef>
          </c:yVal>
          <c:smooth val="0"/>
        </c:ser>
        <c:ser>
          <c:idx val="24"/>
          <c:order val="24"/>
          <c:tx>
            <c:strRef>
              <c:f>difuzija!$A$26</c:f>
              <c:strCache>
                <c:ptCount val="1"/>
                <c:pt idx="0">
                  <c:v>SK</c:v>
                </c:pt>
              </c:strCache>
            </c:strRef>
          </c:tx>
          <c:spPr>
            <a:ln w="28575">
              <a:noFill/>
            </a:ln>
          </c:spPr>
          <c:marker>
            <c:symbol val="diamond"/>
            <c:size val="9"/>
            <c:spPr>
              <a:solidFill>
                <a:srgbClr val="9BE5EF"/>
              </a:solidFill>
              <a:ln>
                <a:noFill/>
              </a:ln>
            </c:spPr>
          </c:marker>
          <c:dLbls>
            <c:dLbl>
              <c:idx val="0"/>
              <c:layout>
                <c:manualLayout>
                  <c:x val="-5.1433935203269573E-3"/>
                  <c:y val="-1.0329439989898411E-2"/>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difuzija!$B$26</c:f>
              <c:numCache>
                <c:formatCode>General</c:formatCode>
                <c:ptCount val="1"/>
                <c:pt idx="0">
                  <c:v>0.63</c:v>
                </c:pt>
              </c:numCache>
            </c:numRef>
          </c:xVal>
          <c:yVal>
            <c:numRef>
              <c:f>difuzija!$D$26</c:f>
              <c:numCache>
                <c:formatCode>General</c:formatCode>
                <c:ptCount val="1"/>
                <c:pt idx="0">
                  <c:v>15.79</c:v>
                </c:pt>
              </c:numCache>
            </c:numRef>
          </c:yVal>
          <c:smooth val="0"/>
        </c:ser>
        <c:ser>
          <c:idx val="25"/>
          <c:order val="25"/>
          <c:tx>
            <c:strRef>
              <c:f>difuzija!$A$27</c:f>
              <c:strCache>
                <c:ptCount val="1"/>
                <c:pt idx="0">
                  <c:v>FI</c:v>
                </c:pt>
              </c:strCache>
            </c:strRef>
          </c:tx>
          <c:spPr>
            <a:ln w="28575">
              <a:noFill/>
            </a:ln>
          </c:spPr>
          <c:marker>
            <c:symbol val="diamond"/>
            <c:size val="9"/>
            <c:spPr>
              <a:solidFill>
                <a:schemeClr val="tx2">
                  <a:lumMod val="75000"/>
                </a:schemeClr>
              </a:solidFill>
              <a:ln>
                <a:noFill/>
              </a:ln>
            </c:spPr>
          </c:marker>
          <c:dLbls>
            <c:dLbl>
              <c:idx val="0"/>
              <c:layout>
                <c:manualLayout>
                  <c:x val="-1.1861312306329442E-2"/>
                  <c:y val="0"/>
                </c:manualLayout>
              </c:layout>
              <c:showLegendKey val="0"/>
              <c:showVal val="0"/>
              <c:showCatName val="0"/>
              <c:showSerName val="1"/>
              <c:showPercent val="0"/>
              <c:showBubbleSize val="0"/>
            </c:dLbl>
            <c:txPr>
              <a:bodyPr/>
              <a:lstStyle/>
              <a:p>
                <a:pPr>
                  <a:defRPr sz="10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difuzija!$B$27</c:f>
              <c:numCache>
                <c:formatCode>General</c:formatCode>
                <c:ptCount val="1"/>
                <c:pt idx="0">
                  <c:v>3.45</c:v>
                </c:pt>
              </c:numCache>
            </c:numRef>
          </c:xVal>
          <c:yVal>
            <c:numRef>
              <c:f>difuzija!$D$27</c:f>
              <c:numCache>
                <c:formatCode>General</c:formatCode>
                <c:ptCount val="1"/>
                <c:pt idx="0">
                  <c:v>15.6</c:v>
                </c:pt>
              </c:numCache>
            </c:numRef>
          </c:yVal>
          <c:smooth val="0"/>
        </c:ser>
        <c:ser>
          <c:idx val="26"/>
          <c:order val="26"/>
          <c:tx>
            <c:strRef>
              <c:f>difuzija!$A$28</c:f>
              <c:strCache>
                <c:ptCount val="1"/>
                <c:pt idx="0">
                  <c:v>SE</c:v>
                </c:pt>
              </c:strCache>
            </c:strRef>
          </c:tx>
          <c:spPr>
            <a:ln w="28575">
              <a:noFill/>
            </a:ln>
          </c:spPr>
          <c:marker>
            <c:symbol val="diamond"/>
            <c:size val="9"/>
            <c:spPr>
              <a:solidFill>
                <a:schemeClr val="tx2">
                  <a:lumMod val="75000"/>
                </a:schemeClr>
              </a:solidFill>
              <a:ln>
                <a:noFill/>
              </a:ln>
            </c:spPr>
          </c:marker>
          <c:dLbls>
            <c:dLbl>
              <c:idx val="0"/>
              <c:layout>
                <c:manualLayout>
                  <c:x val="-1.3888888888888888E-2"/>
                  <c:y val="0"/>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0"/>
            <c:showCatName val="0"/>
            <c:showSerName val="1"/>
            <c:showPercent val="0"/>
            <c:showBubbleSize val="0"/>
            <c:showLeaderLines val="0"/>
          </c:dLbls>
          <c:xVal>
            <c:numRef>
              <c:f>difuzija!$B$28</c:f>
              <c:numCache>
                <c:formatCode>General</c:formatCode>
                <c:ptCount val="1"/>
                <c:pt idx="0">
                  <c:v>3.42</c:v>
                </c:pt>
              </c:numCache>
            </c:numRef>
          </c:xVal>
          <c:yVal>
            <c:numRef>
              <c:f>difuzija!$D$28</c:f>
              <c:numCache>
                <c:formatCode>General</c:formatCode>
                <c:ptCount val="1"/>
                <c:pt idx="0">
                  <c:v>9.16</c:v>
                </c:pt>
              </c:numCache>
            </c:numRef>
          </c:yVal>
          <c:smooth val="0"/>
        </c:ser>
        <c:ser>
          <c:idx val="27"/>
          <c:order val="27"/>
          <c:tx>
            <c:strRef>
              <c:f>difuzija!$A$29</c:f>
              <c:strCache>
                <c:ptCount val="1"/>
                <c:pt idx="0">
                  <c:v>UK</c:v>
                </c:pt>
              </c:strCache>
            </c:strRef>
          </c:tx>
          <c:spPr>
            <a:ln w="28575">
              <a:noFill/>
            </a:ln>
          </c:spPr>
          <c:marker>
            <c:symbol val="diamond"/>
            <c:size val="9"/>
            <c:spPr>
              <a:solidFill>
                <a:srgbClr val="C0E43C"/>
              </a:solidFill>
              <a:ln>
                <a:noFill/>
              </a:ln>
            </c:spPr>
          </c:marker>
          <c:dLbls>
            <c:dLbl>
              <c:idx val="0"/>
              <c:layout>
                <c:manualLayout>
                  <c:x val="-1.112671333315378E-2"/>
                  <c:y val="0"/>
                </c:manualLayout>
              </c:layout>
              <c:showLegendKey val="0"/>
              <c:showVal val="0"/>
              <c:showCatName val="0"/>
              <c:showSerName val="1"/>
              <c:showPercent val="0"/>
              <c:showBubbleSize val="0"/>
            </c:dLbl>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xVal>
            <c:numRef>
              <c:f>difuzija!$B$29</c:f>
              <c:numCache>
                <c:formatCode>General</c:formatCode>
                <c:ptCount val="1"/>
                <c:pt idx="0">
                  <c:v>1.73</c:v>
                </c:pt>
              </c:numCache>
            </c:numRef>
          </c:xVal>
          <c:yVal>
            <c:numRef>
              <c:f>difuzija!$D$29</c:f>
              <c:numCache>
                <c:formatCode>General</c:formatCode>
                <c:ptCount val="1"/>
                <c:pt idx="0">
                  <c:v>7.31</c:v>
                </c:pt>
              </c:numCache>
            </c:numRef>
          </c:yVal>
          <c:smooth val="0"/>
        </c:ser>
        <c:dLbls>
          <c:showLegendKey val="0"/>
          <c:showVal val="0"/>
          <c:showCatName val="0"/>
          <c:showSerName val="0"/>
          <c:showPercent val="0"/>
          <c:showBubbleSize val="0"/>
        </c:dLbls>
        <c:axId val="231734592"/>
        <c:axId val="232177664"/>
      </c:scatterChart>
      <c:valAx>
        <c:axId val="231734592"/>
        <c:scaling>
          <c:orientation val="minMax"/>
        </c:scaling>
        <c:delete val="0"/>
        <c:axPos val="b"/>
        <c:title>
          <c:tx>
            <c:rich>
              <a:bodyPr/>
              <a:lstStyle/>
              <a:p>
                <a:pPr>
                  <a:defRPr/>
                </a:pPr>
                <a:r>
                  <a:rPr lang="lt-LT" b="0" baseline="0">
                    <a:latin typeface="Times New Roman" pitchFamily="18" charset="0"/>
                    <a:cs typeface="Times New Roman" pitchFamily="18" charset="0"/>
                  </a:rPr>
                  <a:t>Išlaidų MTEP santyis su BVP, proc.</a:t>
                </a:r>
                <a:endParaRPr lang="lt-LT" b="0">
                  <a:latin typeface="Times New Roman" pitchFamily="18" charset="0"/>
                  <a:cs typeface="Times New Roman" pitchFamily="18" charset="0"/>
                </a:endParaRPr>
              </a:p>
            </c:rich>
          </c:tx>
          <c:layout>
            <c:manualLayout>
              <c:xMode val="edge"/>
              <c:yMode val="edge"/>
              <c:x val="0.40720025241868812"/>
              <c:y val="0.9098470242707077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2177664"/>
        <c:crosses val="autoZero"/>
        <c:crossBetween val="midCat"/>
      </c:valAx>
      <c:valAx>
        <c:axId val="232177664"/>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lt-LT" b="0" baseline="0">
                    <a:latin typeface="Times New Roman" pitchFamily="18" charset="0"/>
                    <a:cs typeface="Times New Roman" pitchFamily="18" charset="0"/>
                  </a:rPr>
                  <a:t>Inovacijų pardavimas rinkai ir įmonėms procentais nuo apyvartos</a:t>
                </a:r>
                <a:endParaRPr lang="lt-LT" b="0">
                  <a:latin typeface="Times New Roman" pitchFamily="18" charset="0"/>
                  <a:cs typeface="Times New Roman" pitchFamily="18" charset="0"/>
                </a:endParaRPr>
              </a:p>
            </c:rich>
          </c:tx>
          <c:layout>
            <c:manualLayout>
              <c:xMode val="edge"/>
              <c:yMode val="edge"/>
              <c:x val="2.5717410927693161E-2"/>
              <c:y val="0.1314111365369946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1734592"/>
        <c:crosses val="autoZero"/>
        <c:crossBetween val="midCat"/>
      </c:valAx>
      <c:spPr>
        <a:noFill/>
      </c:spPr>
    </c:plotArea>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2007</a:t>
            </a:r>
          </a:p>
        </c:rich>
      </c:tx>
      <c:layout>
        <c:manualLayout>
          <c:xMode val="edge"/>
          <c:yMode val="edge"/>
          <c:x val="0.47072068195100353"/>
          <c:y val="2.768166089965398E-2"/>
        </c:manualLayout>
      </c:layout>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c:spPr>
          </c:dPt>
          <c:dPt>
            <c:idx val="3"/>
            <c:invertIfNegative val="0"/>
            <c:bubble3D val="0"/>
            <c:spPr>
              <a:solidFill>
                <a:schemeClr val="accent6">
                  <a:lumMod val="75000"/>
                </a:schemeClr>
              </a:solidFill>
            </c:spPr>
          </c:dPt>
          <c:dPt>
            <c:idx val="4"/>
            <c:invertIfNegative val="0"/>
            <c:bubble3D val="0"/>
            <c:spPr>
              <a:solidFill>
                <a:schemeClr val="accent6">
                  <a:lumMod val="75000"/>
                </a:schemeClr>
              </a:solidFill>
              <a:ln w="19050">
                <a:solidFill>
                  <a:schemeClr val="accent6">
                    <a:lumMod val="50000"/>
                    <a:alpha val="86000"/>
                  </a:schemeClr>
                </a:solid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rgbClr val="9BE5EF"/>
              </a:solidFill>
            </c:spPr>
          </c:dPt>
          <c:dPt>
            <c:idx val="12"/>
            <c:invertIfNegative val="0"/>
            <c:bubble3D val="0"/>
            <c:spPr>
              <a:solidFill>
                <a:srgbClr val="9BE5EF"/>
              </a:solidFill>
            </c:spPr>
          </c:dPt>
          <c:dPt>
            <c:idx val="13"/>
            <c:invertIfNegative val="0"/>
            <c:bubble3D val="0"/>
            <c:spPr>
              <a:solidFill>
                <a:srgbClr val="9BE5EF"/>
              </a:solidFill>
            </c:spPr>
          </c:dPt>
          <c:dPt>
            <c:idx val="14"/>
            <c:invertIfNegative val="0"/>
            <c:bubble3D val="0"/>
            <c:spPr>
              <a:solidFill>
                <a:srgbClr val="9BE5EF"/>
              </a:solidFill>
            </c:spPr>
          </c:dPt>
          <c:dPt>
            <c:idx val="15"/>
            <c:invertIfNegative val="0"/>
            <c:bubble3D val="0"/>
            <c:spPr>
              <a:solidFill>
                <a:srgbClr val="9BE5EF"/>
              </a:solidFill>
            </c:spPr>
          </c:dPt>
          <c:dPt>
            <c:idx val="16"/>
            <c:invertIfNegative val="0"/>
            <c:bubble3D val="0"/>
            <c:spPr>
              <a:solidFill>
                <a:srgbClr val="C0E43C"/>
              </a:solidFill>
            </c:spPr>
          </c:dPt>
          <c:dPt>
            <c:idx val="17"/>
            <c:invertIfNegative val="0"/>
            <c:bubble3D val="0"/>
            <c:spPr>
              <a:solidFill>
                <a:schemeClr val="accent6">
                  <a:lumMod val="50000"/>
                </a:schemeClr>
              </a:solidFill>
            </c:spPr>
          </c:dPt>
          <c:dPt>
            <c:idx val="18"/>
            <c:invertIfNegative val="0"/>
            <c:bubble3D val="0"/>
            <c:spPr>
              <a:solidFill>
                <a:srgbClr val="C0E43C"/>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rgbClr val="C0E43C"/>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'Suminis inovacijų indeksas ES'!$A$3:$A$30</c:f>
              <c:strCache>
                <c:ptCount val="28"/>
                <c:pt idx="0">
                  <c:v>Bulgarija</c:v>
                </c:pt>
                <c:pt idx="1">
                  <c:v>Latvija</c:v>
                </c:pt>
                <c:pt idx="2">
                  <c:v>Rumunija</c:v>
                </c:pt>
                <c:pt idx="3">
                  <c:v>Slovakija</c:v>
                </c:pt>
                <c:pt idx="4">
                  <c:v>Lietuva</c:v>
                </c:pt>
                <c:pt idx="5">
                  <c:v>Lenkija</c:v>
                </c:pt>
                <c:pt idx="6">
                  <c:v>Malta</c:v>
                </c:pt>
                <c:pt idx="7">
                  <c:v>Vengrija</c:v>
                </c:pt>
                <c:pt idx="8">
                  <c:v>Graikija</c:v>
                </c:pt>
                <c:pt idx="9">
                  <c:v>Portugalija</c:v>
                </c:pt>
                <c:pt idx="10">
                  <c:v>Estija</c:v>
                </c:pt>
                <c:pt idx="11">
                  <c:v>Čekija</c:v>
                </c:pt>
                <c:pt idx="12">
                  <c:v>Ispanija</c:v>
                </c:pt>
                <c:pt idx="13">
                  <c:v>Italija</c:v>
                </c:pt>
                <c:pt idx="14">
                  <c:v>Kipras</c:v>
                </c:pt>
                <c:pt idx="15">
                  <c:v>Slovėnija</c:v>
                </c:pt>
                <c:pt idx="16">
                  <c:v>Prancūzija</c:v>
                </c:pt>
                <c:pt idx="17">
                  <c:v>ES 27</c:v>
                </c:pt>
                <c:pt idx="18">
                  <c:v>Nyderlandai</c:v>
                </c:pt>
                <c:pt idx="19">
                  <c:v>Airija</c:v>
                </c:pt>
                <c:pt idx="20">
                  <c:v>Austrija</c:v>
                </c:pt>
                <c:pt idx="21">
                  <c:v>Belgija</c:v>
                </c:pt>
                <c:pt idx="22">
                  <c:v>Liuksemburgas</c:v>
                </c:pt>
                <c:pt idx="23">
                  <c:v>Jungtinė Karalystė</c:v>
                </c:pt>
                <c:pt idx="24">
                  <c:v>Suomija</c:v>
                </c:pt>
                <c:pt idx="25">
                  <c:v>Vokietija</c:v>
                </c:pt>
                <c:pt idx="26">
                  <c:v>Danija</c:v>
                </c:pt>
                <c:pt idx="27">
                  <c:v>Švedija</c:v>
                </c:pt>
              </c:strCache>
            </c:strRef>
          </c:cat>
          <c:val>
            <c:numRef>
              <c:f>'Suminis inovacijų indeksas ES'!$B$3:$B$30</c:f>
              <c:numCache>
                <c:formatCode>General</c:formatCode>
                <c:ptCount val="28"/>
                <c:pt idx="0">
                  <c:v>0.17299999999999999</c:v>
                </c:pt>
                <c:pt idx="1">
                  <c:v>0.191</c:v>
                </c:pt>
                <c:pt idx="2">
                  <c:v>0.22600000000000001</c:v>
                </c:pt>
                <c:pt idx="3">
                  <c:v>0.25900000000000001</c:v>
                </c:pt>
                <c:pt idx="4">
                  <c:v>0.26500000000000001</c:v>
                </c:pt>
                <c:pt idx="5">
                  <c:v>0.28399999999999997</c:v>
                </c:pt>
                <c:pt idx="6">
                  <c:v>0.29199999999999998</c:v>
                </c:pt>
                <c:pt idx="7">
                  <c:v>0.314</c:v>
                </c:pt>
                <c:pt idx="8">
                  <c:v>0.32900000000000001</c:v>
                </c:pt>
                <c:pt idx="9">
                  <c:v>0.34</c:v>
                </c:pt>
                <c:pt idx="10">
                  <c:v>0.39500000000000002</c:v>
                </c:pt>
                <c:pt idx="11">
                  <c:v>0.39700000000000002</c:v>
                </c:pt>
                <c:pt idx="12">
                  <c:v>0.39700000000000002</c:v>
                </c:pt>
                <c:pt idx="13">
                  <c:v>0.41299999999999998</c:v>
                </c:pt>
                <c:pt idx="14">
                  <c:v>0.41799999999999998</c:v>
                </c:pt>
                <c:pt idx="15">
                  <c:v>0.43099999999999999</c:v>
                </c:pt>
                <c:pt idx="16">
                  <c:v>0.505</c:v>
                </c:pt>
                <c:pt idx="17">
                  <c:v>0.51700000000000002</c:v>
                </c:pt>
                <c:pt idx="18">
                  <c:v>0.56999999999999995</c:v>
                </c:pt>
                <c:pt idx="19">
                  <c:v>0.57599999999999996</c:v>
                </c:pt>
                <c:pt idx="20">
                  <c:v>0.57599999999999996</c:v>
                </c:pt>
                <c:pt idx="21">
                  <c:v>0.60599999999999998</c:v>
                </c:pt>
                <c:pt idx="22">
                  <c:v>0.61</c:v>
                </c:pt>
                <c:pt idx="23">
                  <c:v>0.62</c:v>
                </c:pt>
                <c:pt idx="24">
                  <c:v>0.64300000000000002</c:v>
                </c:pt>
                <c:pt idx="25">
                  <c:v>0.66</c:v>
                </c:pt>
                <c:pt idx="26">
                  <c:v>0.72699999999999998</c:v>
                </c:pt>
                <c:pt idx="27">
                  <c:v>0.746</c:v>
                </c:pt>
              </c:numCache>
            </c:numRef>
          </c:val>
        </c:ser>
        <c:dLbls>
          <c:showLegendKey val="0"/>
          <c:showVal val="0"/>
          <c:showCatName val="0"/>
          <c:showSerName val="0"/>
          <c:showPercent val="0"/>
          <c:showBubbleSize val="0"/>
        </c:dLbls>
        <c:gapWidth val="150"/>
        <c:axId val="232205312"/>
        <c:axId val="232179392"/>
      </c:barChart>
      <c:catAx>
        <c:axId val="232205312"/>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32179392"/>
        <c:crosses val="autoZero"/>
        <c:auto val="1"/>
        <c:lblAlgn val="ctr"/>
        <c:lblOffset val="100"/>
        <c:noMultiLvlLbl val="0"/>
      </c:catAx>
      <c:valAx>
        <c:axId val="232179392"/>
        <c:scaling>
          <c:orientation val="minMax"/>
        </c:scaling>
        <c:delete val="0"/>
        <c:axPos val="l"/>
        <c:majorGridlines/>
        <c:title>
          <c:tx>
            <c:rich>
              <a:bodyPr rot="0" vert="horz"/>
              <a:lstStyle/>
              <a:p>
                <a:pPr>
                  <a:defRPr/>
                </a:pPr>
                <a:r>
                  <a:rPr lang="lt-LT" sz="1200">
                    <a:latin typeface="Times New Roman" pitchFamily="18" charset="0"/>
                    <a:cs typeface="Times New Roman" pitchFamily="18" charset="0"/>
                  </a:rPr>
                  <a:t>a)</a:t>
                </a:r>
              </a:p>
            </c:rich>
          </c:tx>
          <c:layout>
            <c:manualLayout>
              <c:xMode val="edge"/>
              <c:yMode val="edge"/>
              <c:x val="1.0496981542594409E-3"/>
              <c:y val="0.31520947424824497"/>
            </c:manualLayout>
          </c:layout>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220531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2008</a:t>
            </a:r>
          </a:p>
        </c:rich>
      </c:tx>
      <c:layout>
        <c:manualLayout>
          <c:xMode val="edge"/>
          <c:yMode val="edge"/>
          <c:x val="0.47072068195100353"/>
          <c:y val="2.768166089965398E-2"/>
        </c:manualLayout>
      </c:layout>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c:spPr>
          </c:dPt>
          <c:dPt>
            <c:idx val="3"/>
            <c:invertIfNegative val="0"/>
            <c:bubble3D val="0"/>
            <c:spPr>
              <a:solidFill>
                <a:schemeClr val="accent6">
                  <a:lumMod val="75000"/>
                </a:schemeClr>
              </a:solidFill>
              <a:ln w="19050">
                <a:solidFill>
                  <a:schemeClr val="accent6">
                    <a:lumMod val="50000"/>
                  </a:schemeClr>
                </a:solidFill>
                <a:prstDash val="sysDash"/>
              </a:ln>
            </c:spPr>
          </c:dPt>
          <c:dPt>
            <c:idx val="4"/>
            <c:invertIfNegative val="0"/>
            <c:bubble3D val="0"/>
            <c:spPr>
              <a:solidFill>
                <a:srgbClr val="9BE5EF"/>
              </a:solidFill>
              <a:ln w="19050">
                <a:no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rgbClr val="9BE5EF"/>
              </a:solidFill>
            </c:spPr>
          </c:dPt>
          <c:dPt>
            <c:idx val="12"/>
            <c:invertIfNegative val="0"/>
            <c:bubble3D val="0"/>
            <c:spPr>
              <a:solidFill>
                <a:srgbClr val="9BE5EF"/>
              </a:solidFill>
            </c:spPr>
          </c:dPt>
          <c:dPt>
            <c:idx val="13"/>
            <c:invertIfNegative val="0"/>
            <c:bubble3D val="0"/>
            <c:spPr>
              <a:solidFill>
                <a:srgbClr val="9BE5EF"/>
              </a:solidFill>
            </c:spPr>
          </c:dPt>
          <c:dPt>
            <c:idx val="14"/>
            <c:invertIfNegative val="0"/>
            <c:bubble3D val="0"/>
            <c:spPr>
              <a:solidFill>
                <a:srgbClr val="9BE5EF"/>
              </a:solidFill>
            </c:spPr>
          </c:dPt>
          <c:dPt>
            <c:idx val="15"/>
            <c:invertIfNegative val="0"/>
            <c:bubble3D val="0"/>
            <c:spPr>
              <a:solidFill>
                <a:srgbClr val="9BE5EF"/>
              </a:solidFill>
            </c:spPr>
          </c:dPt>
          <c:dPt>
            <c:idx val="16"/>
            <c:invertIfNegative val="0"/>
            <c:bubble3D val="0"/>
            <c:spPr>
              <a:solidFill>
                <a:srgbClr val="C0E43C"/>
              </a:solidFill>
            </c:spPr>
          </c:dPt>
          <c:dPt>
            <c:idx val="17"/>
            <c:invertIfNegative val="0"/>
            <c:bubble3D val="0"/>
            <c:spPr>
              <a:solidFill>
                <a:schemeClr val="accent6">
                  <a:lumMod val="50000"/>
                </a:schemeClr>
              </a:solidFill>
            </c:spPr>
          </c:dPt>
          <c:dPt>
            <c:idx val="18"/>
            <c:invertIfNegative val="0"/>
            <c:bubble3D val="0"/>
            <c:spPr>
              <a:solidFill>
                <a:srgbClr val="C0E43C"/>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rgbClr val="C0E43C"/>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'Suminis inovacijų indeksas ES'!$C$3:$C$30</c:f>
              <c:strCache>
                <c:ptCount val="28"/>
                <c:pt idx="0">
                  <c:v>Bulgarija</c:v>
                </c:pt>
                <c:pt idx="1">
                  <c:v>Latvija</c:v>
                </c:pt>
                <c:pt idx="2">
                  <c:v>Rumunija</c:v>
                </c:pt>
                <c:pt idx="3">
                  <c:v>Lietuva</c:v>
                </c:pt>
                <c:pt idx="4">
                  <c:v>Lenkija</c:v>
                </c:pt>
                <c:pt idx="5">
                  <c:v>Slovakija</c:v>
                </c:pt>
                <c:pt idx="6">
                  <c:v>Malta</c:v>
                </c:pt>
                <c:pt idx="7">
                  <c:v>Vengrija</c:v>
                </c:pt>
                <c:pt idx="8">
                  <c:v>Graikija</c:v>
                </c:pt>
                <c:pt idx="9">
                  <c:v>Portugalija</c:v>
                </c:pt>
                <c:pt idx="10">
                  <c:v>Čekija</c:v>
                </c:pt>
                <c:pt idx="11">
                  <c:v>Ispanija</c:v>
                </c:pt>
                <c:pt idx="12">
                  <c:v>Estija</c:v>
                </c:pt>
                <c:pt idx="13">
                  <c:v>Italija</c:v>
                </c:pt>
                <c:pt idx="14">
                  <c:v>Slovėnija</c:v>
                </c:pt>
                <c:pt idx="15">
                  <c:v>Kipras</c:v>
                </c:pt>
                <c:pt idx="16">
                  <c:v>Prancūzija</c:v>
                </c:pt>
                <c:pt idx="17">
                  <c:v>ES 27</c:v>
                </c:pt>
                <c:pt idx="18">
                  <c:v>Nyderlandai</c:v>
                </c:pt>
                <c:pt idx="19">
                  <c:v>Austrija</c:v>
                </c:pt>
                <c:pt idx="20">
                  <c:v>Airija</c:v>
                </c:pt>
                <c:pt idx="21">
                  <c:v>Belgija</c:v>
                </c:pt>
                <c:pt idx="22">
                  <c:v>Liuksemburgas</c:v>
                </c:pt>
                <c:pt idx="23">
                  <c:v>Jungtinė Karalystė</c:v>
                </c:pt>
                <c:pt idx="24">
                  <c:v>Suomija</c:v>
                </c:pt>
                <c:pt idx="25">
                  <c:v>Vokietija</c:v>
                </c:pt>
                <c:pt idx="26">
                  <c:v>Danija</c:v>
                </c:pt>
                <c:pt idx="27">
                  <c:v>Švedija</c:v>
                </c:pt>
              </c:strCache>
            </c:strRef>
          </c:cat>
          <c:val>
            <c:numRef>
              <c:f>'Suminis inovacijų indeksas ES'!$D$3:$D$30</c:f>
              <c:numCache>
                <c:formatCode>General</c:formatCode>
                <c:ptCount val="28"/>
                <c:pt idx="0">
                  <c:v>0.192</c:v>
                </c:pt>
                <c:pt idx="1">
                  <c:v>0.20499999999999999</c:v>
                </c:pt>
                <c:pt idx="2">
                  <c:v>0.24199999999999999</c:v>
                </c:pt>
                <c:pt idx="3">
                  <c:v>0.27200000000000002</c:v>
                </c:pt>
                <c:pt idx="4">
                  <c:v>0.29299999999999998</c:v>
                </c:pt>
                <c:pt idx="5">
                  <c:v>0.309</c:v>
                </c:pt>
                <c:pt idx="6">
                  <c:v>0.312</c:v>
                </c:pt>
                <c:pt idx="7">
                  <c:v>0.316</c:v>
                </c:pt>
                <c:pt idx="8">
                  <c:v>0.35499999999999998</c:v>
                </c:pt>
                <c:pt idx="9">
                  <c:v>0.372</c:v>
                </c:pt>
                <c:pt idx="10">
                  <c:v>0.40400000000000003</c:v>
                </c:pt>
                <c:pt idx="11">
                  <c:v>0.40400000000000003</c:v>
                </c:pt>
                <c:pt idx="12">
                  <c:v>0.41</c:v>
                </c:pt>
                <c:pt idx="13">
                  <c:v>0.42299999999999999</c:v>
                </c:pt>
                <c:pt idx="14">
                  <c:v>0.45400000000000001</c:v>
                </c:pt>
                <c:pt idx="15">
                  <c:v>0.47399999999999998</c:v>
                </c:pt>
                <c:pt idx="16">
                  <c:v>0.51500000000000001</c:v>
                </c:pt>
                <c:pt idx="17">
                  <c:v>0.52600000000000002</c:v>
                </c:pt>
                <c:pt idx="18">
                  <c:v>0.57499999999999996</c:v>
                </c:pt>
                <c:pt idx="19">
                  <c:v>0.59299999999999997</c:v>
                </c:pt>
                <c:pt idx="20">
                  <c:v>0.59699999999999998</c:v>
                </c:pt>
                <c:pt idx="21">
                  <c:v>0.61699999999999999</c:v>
                </c:pt>
                <c:pt idx="22">
                  <c:v>0.622</c:v>
                </c:pt>
                <c:pt idx="23">
                  <c:v>0.625</c:v>
                </c:pt>
                <c:pt idx="24">
                  <c:v>0.64200000000000002</c:v>
                </c:pt>
                <c:pt idx="25">
                  <c:v>0.66800000000000004</c:v>
                </c:pt>
                <c:pt idx="26">
                  <c:v>0.71799999999999997</c:v>
                </c:pt>
                <c:pt idx="27">
                  <c:v>0.76700000000000002</c:v>
                </c:pt>
              </c:numCache>
            </c:numRef>
          </c:val>
        </c:ser>
        <c:dLbls>
          <c:showLegendKey val="0"/>
          <c:showVal val="0"/>
          <c:showCatName val="0"/>
          <c:showSerName val="0"/>
          <c:showPercent val="0"/>
          <c:showBubbleSize val="0"/>
        </c:dLbls>
        <c:gapWidth val="150"/>
        <c:axId val="232313344"/>
        <c:axId val="232181120"/>
      </c:barChart>
      <c:catAx>
        <c:axId val="232313344"/>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32181120"/>
        <c:crosses val="autoZero"/>
        <c:auto val="1"/>
        <c:lblAlgn val="ctr"/>
        <c:lblOffset val="100"/>
        <c:noMultiLvlLbl val="0"/>
      </c:catAx>
      <c:valAx>
        <c:axId val="232181120"/>
        <c:scaling>
          <c:orientation val="minMax"/>
        </c:scaling>
        <c:delete val="0"/>
        <c:axPos val="l"/>
        <c:majorGridlines/>
        <c:title>
          <c:tx>
            <c:rich>
              <a:bodyPr rot="0" vert="horz"/>
              <a:lstStyle/>
              <a:p>
                <a:pPr>
                  <a:defRPr/>
                </a:pPr>
                <a:r>
                  <a:rPr lang="lt-LT" sz="1200">
                    <a:latin typeface="Times New Roman" pitchFamily="18" charset="0"/>
                    <a:cs typeface="Times New Roman" pitchFamily="18" charset="0"/>
                  </a:rPr>
                  <a:t>b)</a:t>
                </a:r>
              </a:p>
            </c:rich>
          </c:tx>
          <c:layout>
            <c:manualLayout>
              <c:xMode val="edge"/>
              <c:yMode val="edge"/>
              <c:x val="1.0496981542594409E-3"/>
              <c:y val="0.31520947424824497"/>
            </c:manualLayout>
          </c:layout>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2313344"/>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2009</a:t>
            </a:r>
          </a:p>
        </c:rich>
      </c:tx>
      <c:layout>
        <c:manualLayout>
          <c:xMode val="edge"/>
          <c:yMode val="edge"/>
          <c:x val="0.47072068195100353"/>
          <c:y val="2.768166089965398E-2"/>
        </c:manualLayout>
      </c:layout>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a:ln w="19050">
                <a:solidFill>
                  <a:schemeClr val="accent6">
                    <a:lumMod val="50000"/>
                  </a:schemeClr>
                </a:solidFill>
                <a:prstDash val="sysDash"/>
              </a:ln>
            </c:spPr>
          </c:dPt>
          <c:dPt>
            <c:idx val="3"/>
            <c:invertIfNegative val="0"/>
            <c:bubble3D val="0"/>
            <c:spPr>
              <a:solidFill>
                <a:schemeClr val="accent6">
                  <a:lumMod val="75000"/>
                </a:schemeClr>
              </a:solidFill>
              <a:ln w="19050">
                <a:noFill/>
                <a:prstDash val="sysDash"/>
              </a:ln>
            </c:spPr>
          </c:dPt>
          <c:dPt>
            <c:idx val="4"/>
            <c:invertIfNegative val="0"/>
            <c:bubble3D val="0"/>
            <c:spPr>
              <a:solidFill>
                <a:srgbClr val="9BE5EF"/>
              </a:solidFill>
              <a:ln w="19050">
                <a:no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rgbClr val="9BE5EF"/>
              </a:solidFill>
            </c:spPr>
          </c:dPt>
          <c:dPt>
            <c:idx val="12"/>
            <c:invertIfNegative val="0"/>
            <c:bubble3D val="0"/>
            <c:spPr>
              <a:solidFill>
                <a:srgbClr val="9BE5EF"/>
              </a:solidFill>
            </c:spPr>
          </c:dPt>
          <c:dPt>
            <c:idx val="13"/>
            <c:invertIfNegative val="0"/>
            <c:bubble3D val="0"/>
            <c:spPr>
              <a:solidFill>
                <a:srgbClr val="9BE5EF"/>
              </a:solidFill>
            </c:spPr>
          </c:dPt>
          <c:dPt>
            <c:idx val="14"/>
            <c:invertIfNegative val="0"/>
            <c:bubble3D val="0"/>
            <c:spPr>
              <a:solidFill>
                <a:srgbClr val="9BE5EF"/>
              </a:solidFill>
            </c:spPr>
          </c:dPt>
          <c:dPt>
            <c:idx val="15"/>
            <c:invertIfNegative val="0"/>
            <c:bubble3D val="0"/>
            <c:spPr>
              <a:solidFill>
                <a:srgbClr val="9BE5EF"/>
              </a:solidFill>
            </c:spPr>
          </c:dPt>
          <c:dPt>
            <c:idx val="16"/>
            <c:invertIfNegative val="0"/>
            <c:bubble3D val="0"/>
            <c:spPr>
              <a:solidFill>
                <a:schemeClr val="accent6">
                  <a:lumMod val="50000"/>
                </a:schemeClr>
              </a:solidFill>
            </c:spPr>
          </c:dPt>
          <c:dPt>
            <c:idx val="17"/>
            <c:invertIfNegative val="0"/>
            <c:bubble3D val="0"/>
            <c:spPr>
              <a:solidFill>
                <a:srgbClr val="C0E43C"/>
              </a:solidFill>
            </c:spPr>
          </c:dPt>
          <c:dPt>
            <c:idx val="18"/>
            <c:invertIfNegative val="0"/>
            <c:bubble3D val="0"/>
            <c:spPr>
              <a:solidFill>
                <a:srgbClr val="C0E43C"/>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rgbClr val="C0E43C"/>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'Suminis inovacijų indeksas ES'!$E$3:$E$30</c:f>
              <c:strCache>
                <c:ptCount val="28"/>
                <c:pt idx="0">
                  <c:v>Bulgarija</c:v>
                </c:pt>
                <c:pt idx="1">
                  <c:v>Latvija</c:v>
                </c:pt>
                <c:pt idx="2">
                  <c:v>Lietuva</c:v>
                </c:pt>
                <c:pt idx="3">
                  <c:v>Rumunija</c:v>
                </c:pt>
                <c:pt idx="4">
                  <c:v>Lenkija</c:v>
                </c:pt>
                <c:pt idx="5">
                  <c:v>Slovakija</c:v>
                </c:pt>
                <c:pt idx="6">
                  <c:v>Vengrija</c:v>
                </c:pt>
                <c:pt idx="7">
                  <c:v>Graikija</c:v>
                </c:pt>
                <c:pt idx="8">
                  <c:v>Malta</c:v>
                </c:pt>
                <c:pt idx="9">
                  <c:v>Čekija</c:v>
                </c:pt>
                <c:pt idx="10">
                  <c:v>Ispanija</c:v>
                </c:pt>
                <c:pt idx="11">
                  <c:v>Portugalija</c:v>
                </c:pt>
                <c:pt idx="12">
                  <c:v>Italija</c:v>
                </c:pt>
                <c:pt idx="13">
                  <c:v>Kipras</c:v>
                </c:pt>
                <c:pt idx="14">
                  <c:v>Estija</c:v>
                </c:pt>
                <c:pt idx="15">
                  <c:v>Slovėnija</c:v>
                </c:pt>
                <c:pt idx="16">
                  <c:v>ES 27</c:v>
                </c:pt>
                <c:pt idx="17">
                  <c:v>Prancūzija</c:v>
                </c:pt>
                <c:pt idx="18">
                  <c:v>Airija</c:v>
                </c:pt>
                <c:pt idx="19">
                  <c:v>Nyderlandai</c:v>
                </c:pt>
                <c:pt idx="20">
                  <c:v>Jungtinė Karalystė</c:v>
                </c:pt>
                <c:pt idx="21">
                  <c:v>Belgija</c:v>
                </c:pt>
                <c:pt idx="22">
                  <c:v>Austrija</c:v>
                </c:pt>
                <c:pt idx="23">
                  <c:v>Liuksemburgas</c:v>
                </c:pt>
                <c:pt idx="24">
                  <c:v>Suomija</c:v>
                </c:pt>
                <c:pt idx="25">
                  <c:v>Danija</c:v>
                </c:pt>
                <c:pt idx="26">
                  <c:v>Vokietija</c:v>
                </c:pt>
                <c:pt idx="27">
                  <c:v>Švedija</c:v>
                </c:pt>
              </c:strCache>
            </c:strRef>
          </c:cat>
          <c:val>
            <c:numRef>
              <c:f>'Suminis inovacijų indeksas ES'!$F$3:$F$30</c:f>
              <c:numCache>
                <c:formatCode>General</c:formatCode>
                <c:ptCount val="28"/>
                <c:pt idx="0">
                  <c:v>0.20499999999999999</c:v>
                </c:pt>
                <c:pt idx="1">
                  <c:v>0.215</c:v>
                </c:pt>
                <c:pt idx="2">
                  <c:v>0.24199999999999999</c:v>
                </c:pt>
                <c:pt idx="3">
                  <c:v>0.26500000000000001</c:v>
                </c:pt>
                <c:pt idx="4">
                  <c:v>0.29199999999999998</c:v>
                </c:pt>
                <c:pt idx="5">
                  <c:v>0.307</c:v>
                </c:pt>
                <c:pt idx="6">
                  <c:v>0.32</c:v>
                </c:pt>
                <c:pt idx="7">
                  <c:v>0.34300000000000003</c:v>
                </c:pt>
                <c:pt idx="8">
                  <c:v>0.34499999999999997</c:v>
                </c:pt>
                <c:pt idx="9">
                  <c:v>0.38600000000000001</c:v>
                </c:pt>
                <c:pt idx="10">
                  <c:v>0.40799999999999997</c:v>
                </c:pt>
                <c:pt idx="11">
                  <c:v>0.41199999999999998</c:v>
                </c:pt>
                <c:pt idx="12">
                  <c:v>0.42399999999999999</c:v>
                </c:pt>
                <c:pt idx="13">
                  <c:v>0.47399999999999998</c:v>
                </c:pt>
                <c:pt idx="14">
                  <c:v>0.47599999999999998</c:v>
                </c:pt>
                <c:pt idx="15">
                  <c:v>0.48499999999999999</c:v>
                </c:pt>
                <c:pt idx="16">
                  <c:v>0.52600000000000002</c:v>
                </c:pt>
                <c:pt idx="17">
                  <c:v>0.53100000000000003</c:v>
                </c:pt>
                <c:pt idx="18">
                  <c:v>0.57399999999999995</c:v>
                </c:pt>
                <c:pt idx="19">
                  <c:v>0.59</c:v>
                </c:pt>
                <c:pt idx="20">
                  <c:v>0.6</c:v>
                </c:pt>
                <c:pt idx="21">
                  <c:v>0.60399999999999998</c:v>
                </c:pt>
                <c:pt idx="22">
                  <c:v>0.61299999999999999</c:v>
                </c:pt>
                <c:pt idx="23">
                  <c:v>0.624</c:v>
                </c:pt>
                <c:pt idx="24">
                  <c:v>0.68700000000000006</c:v>
                </c:pt>
                <c:pt idx="25">
                  <c:v>0.68799999999999994</c:v>
                </c:pt>
                <c:pt idx="26">
                  <c:v>0.69299999999999995</c:v>
                </c:pt>
                <c:pt idx="27">
                  <c:v>0.753</c:v>
                </c:pt>
              </c:numCache>
            </c:numRef>
          </c:val>
        </c:ser>
        <c:dLbls>
          <c:showLegendKey val="0"/>
          <c:showVal val="0"/>
          <c:showCatName val="0"/>
          <c:showSerName val="0"/>
          <c:showPercent val="0"/>
          <c:showBubbleSize val="0"/>
        </c:dLbls>
        <c:gapWidth val="150"/>
        <c:axId val="232314368"/>
        <c:axId val="232182848"/>
      </c:barChart>
      <c:catAx>
        <c:axId val="232314368"/>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32182848"/>
        <c:crosses val="autoZero"/>
        <c:auto val="1"/>
        <c:lblAlgn val="ctr"/>
        <c:lblOffset val="100"/>
        <c:noMultiLvlLbl val="0"/>
      </c:catAx>
      <c:valAx>
        <c:axId val="232182848"/>
        <c:scaling>
          <c:orientation val="minMax"/>
        </c:scaling>
        <c:delete val="0"/>
        <c:axPos val="l"/>
        <c:majorGridlines/>
        <c:title>
          <c:tx>
            <c:rich>
              <a:bodyPr rot="0" vert="horz"/>
              <a:lstStyle/>
              <a:p>
                <a:pPr>
                  <a:defRPr/>
                </a:pPr>
                <a:r>
                  <a:rPr lang="lt-LT" sz="1200">
                    <a:latin typeface="Times New Roman" pitchFamily="18" charset="0"/>
                    <a:cs typeface="Times New Roman" pitchFamily="18" charset="0"/>
                  </a:rPr>
                  <a:t>c)</a:t>
                </a:r>
              </a:p>
            </c:rich>
          </c:tx>
          <c:layout>
            <c:manualLayout>
              <c:xMode val="edge"/>
              <c:yMode val="edge"/>
              <c:x val="1.0496981542594409E-3"/>
              <c:y val="0.31520947424824497"/>
            </c:manualLayout>
          </c:layout>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2314368"/>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2010</a:t>
            </a:r>
          </a:p>
        </c:rich>
      </c:tx>
      <c:layout>
        <c:manualLayout>
          <c:xMode val="edge"/>
          <c:yMode val="edge"/>
          <c:x val="0.47072068195100353"/>
          <c:y val="2.768166089965398E-2"/>
        </c:manualLayout>
      </c:layout>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a:ln w="19050">
                <a:solidFill>
                  <a:schemeClr val="accent6">
                    <a:lumMod val="50000"/>
                  </a:schemeClr>
                </a:solidFill>
                <a:prstDash val="sysDash"/>
              </a:ln>
            </c:spPr>
          </c:dPt>
          <c:dPt>
            <c:idx val="3"/>
            <c:invertIfNegative val="0"/>
            <c:bubble3D val="0"/>
            <c:spPr>
              <a:solidFill>
                <a:schemeClr val="accent6">
                  <a:lumMod val="75000"/>
                </a:schemeClr>
              </a:solidFill>
              <a:ln w="19050">
                <a:noFill/>
                <a:prstDash val="sysDash"/>
              </a:ln>
            </c:spPr>
          </c:dPt>
          <c:dPt>
            <c:idx val="4"/>
            <c:invertIfNegative val="0"/>
            <c:bubble3D val="0"/>
            <c:spPr>
              <a:solidFill>
                <a:srgbClr val="9BE5EF"/>
              </a:solidFill>
              <a:ln w="19050">
                <a:no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C0E43C"/>
              </a:solidFill>
            </c:spPr>
          </c:dPt>
          <c:dPt>
            <c:idx val="10"/>
            <c:invertIfNegative val="0"/>
            <c:bubble3D val="0"/>
            <c:spPr>
              <a:solidFill>
                <a:srgbClr val="C0E43C"/>
              </a:solidFill>
            </c:spPr>
          </c:dPt>
          <c:dPt>
            <c:idx val="11"/>
            <c:invertIfNegative val="0"/>
            <c:bubble3D val="0"/>
            <c:spPr>
              <a:solidFill>
                <a:srgbClr val="C0E43C"/>
              </a:solidFill>
            </c:spPr>
          </c:dPt>
          <c:dPt>
            <c:idx val="12"/>
            <c:invertIfNegative val="0"/>
            <c:bubble3D val="0"/>
            <c:spPr>
              <a:solidFill>
                <a:srgbClr val="C0E43C"/>
              </a:solidFill>
            </c:spPr>
          </c:dPt>
          <c:dPt>
            <c:idx val="13"/>
            <c:invertIfNegative val="0"/>
            <c:bubble3D val="0"/>
            <c:spPr>
              <a:solidFill>
                <a:srgbClr val="C0E43C"/>
              </a:solidFill>
            </c:spPr>
          </c:dPt>
          <c:dPt>
            <c:idx val="14"/>
            <c:invertIfNegative val="0"/>
            <c:bubble3D val="0"/>
            <c:spPr>
              <a:solidFill>
                <a:srgbClr val="C0E43C"/>
              </a:solidFill>
            </c:spPr>
          </c:dPt>
          <c:dPt>
            <c:idx val="15"/>
            <c:invertIfNegative val="0"/>
            <c:bubble3D val="0"/>
            <c:spPr>
              <a:solidFill>
                <a:srgbClr val="C0E43C"/>
              </a:solidFill>
            </c:spPr>
          </c:dPt>
          <c:dPt>
            <c:idx val="16"/>
            <c:invertIfNegative val="0"/>
            <c:bubble3D val="0"/>
            <c:spPr>
              <a:solidFill>
                <a:schemeClr val="accent6">
                  <a:lumMod val="50000"/>
                </a:schemeClr>
              </a:solidFill>
            </c:spPr>
          </c:dPt>
          <c:dPt>
            <c:idx val="17"/>
            <c:invertIfNegative val="0"/>
            <c:bubble3D val="0"/>
            <c:spPr>
              <a:solidFill>
                <a:srgbClr val="C0E43C"/>
              </a:solidFill>
            </c:spPr>
          </c:dPt>
          <c:dPt>
            <c:idx val="18"/>
            <c:invertIfNegative val="0"/>
            <c:bubble3D val="0"/>
            <c:spPr>
              <a:solidFill>
                <a:srgbClr val="C0E43C"/>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chemeClr val="tx2">
                  <a:lumMod val="75000"/>
                </a:schemeClr>
              </a:solidFill>
            </c:spPr>
          </c:dPt>
          <c:dPt>
            <c:idx val="25"/>
            <c:invertIfNegative val="0"/>
            <c:bubble3D val="0"/>
            <c:spPr>
              <a:solidFill>
                <a:schemeClr val="tx2">
                  <a:lumMod val="75000"/>
                </a:schemeClr>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'Suminis inovacijų indeksas ES'!$G$3:$G$30</c:f>
              <c:strCache>
                <c:ptCount val="28"/>
                <c:pt idx="0">
                  <c:v>Latvija</c:v>
                </c:pt>
                <c:pt idx="1">
                  <c:v>Bulgarija</c:v>
                </c:pt>
                <c:pt idx="2">
                  <c:v>Lietuva</c:v>
                </c:pt>
                <c:pt idx="3">
                  <c:v>Rumunija</c:v>
                </c:pt>
                <c:pt idx="4">
                  <c:v>Lenkija</c:v>
                </c:pt>
                <c:pt idx="5">
                  <c:v>Slovakija</c:v>
                </c:pt>
                <c:pt idx="6">
                  <c:v>Vengrija</c:v>
                </c:pt>
                <c:pt idx="7">
                  <c:v>Graikija</c:v>
                </c:pt>
                <c:pt idx="8">
                  <c:v>Malta</c:v>
                </c:pt>
                <c:pt idx="9">
                  <c:v>Čekija</c:v>
                </c:pt>
                <c:pt idx="10">
                  <c:v>Ispanija</c:v>
                </c:pt>
                <c:pt idx="11">
                  <c:v>Portugalija</c:v>
                </c:pt>
                <c:pt idx="12">
                  <c:v>Italija</c:v>
                </c:pt>
                <c:pt idx="13">
                  <c:v>Kipras</c:v>
                </c:pt>
                <c:pt idx="14">
                  <c:v>Estija</c:v>
                </c:pt>
                <c:pt idx="15">
                  <c:v>Slovėnija</c:v>
                </c:pt>
                <c:pt idx="16">
                  <c:v>ES 27</c:v>
                </c:pt>
                <c:pt idx="17">
                  <c:v>Prancūzija</c:v>
                </c:pt>
                <c:pt idx="18">
                  <c:v>Airija</c:v>
                </c:pt>
                <c:pt idx="19">
                  <c:v>Nyderlandai</c:v>
                </c:pt>
                <c:pt idx="20">
                  <c:v>Jungtinė Karalystė</c:v>
                </c:pt>
                <c:pt idx="21">
                  <c:v>Belgija</c:v>
                </c:pt>
                <c:pt idx="22">
                  <c:v>Austrija</c:v>
                </c:pt>
                <c:pt idx="23">
                  <c:v>Liuksemburgas</c:v>
                </c:pt>
                <c:pt idx="24">
                  <c:v>Danija</c:v>
                </c:pt>
                <c:pt idx="25">
                  <c:v>Suomija</c:v>
                </c:pt>
                <c:pt idx="26">
                  <c:v>Vokietija</c:v>
                </c:pt>
                <c:pt idx="27">
                  <c:v>Švedija</c:v>
                </c:pt>
              </c:strCache>
            </c:strRef>
          </c:cat>
          <c:val>
            <c:numRef>
              <c:f>'Suminis inovacijų indeksas ES'!$H$3:$H$30</c:f>
              <c:numCache>
                <c:formatCode>General</c:formatCode>
                <c:ptCount val="28"/>
                <c:pt idx="0">
                  <c:v>0.21299999999999999</c:v>
                </c:pt>
                <c:pt idx="1">
                  <c:v>0.216</c:v>
                </c:pt>
                <c:pt idx="2">
                  <c:v>0.25800000000000001</c:v>
                </c:pt>
                <c:pt idx="3">
                  <c:v>0.25900000000000001</c:v>
                </c:pt>
                <c:pt idx="4">
                  <c:v>0.30399999999999999</c:v>
                </c:pt>
                <c:pt idx="5">
                  <c:v>0.32200000000000001</c:v>
                </c:pt>
                <c:pt idx="6">
                  <c:v>0.33300000000000002</c:v>
                </c:pt>
                <c:pt idx="7">
                  <c:v>0.33900000000000002</c:v>
                </c:pt>
                <c:pt idx="8">
                  <c:v>0.38300000000000001</c:v>
                </c:pt>
                <c:pt idx="9">
                  <c:v>0.4</c:v>
                </c:pt>
                <c:pt idx="10">
                  <c:v>0.41</c:v>
                </c:pt>
                <c:pt idx="11">
                  <c:v>0.42599999999999999</c:v>
                </c:pt>
                <c:pt idx="12">
                  <c:v>0.42899999999999999</c:v>
                </c:pt>
                <c:pt idx="13">
                  <c:v>0.48299999999999998</c:v>
                </c:pt>
                <c:pt idx="14">
                  <c:v>0.49199999999999999</c:v>
                </c:pt>
                <c:pt idx="15">
                  <c:v>0.499</c:v>
                </c:pt>
                <c:pt idx="16">
                  <c:v>0.53300000000000003</c:v>
                </c:pt>
                <c:pt idx="17">
                  <c:v>0.54</c:v>
                </c:pt>
                <c:pt idx="18">
                  <c:v>0.57099999999999995</c:v>
                </c:pt>
                <c:pt idx="19">
                  <c:v>0.59499999999999997</c:v>
                </c:pt>
                <c:pt idx="20">
                  <c:v>0.59899999999999998</c:v>
                </c:pt>
                <c:pt idx="21">
                  <c:v>0.625</c:v>
                </c:pt>
                <c:pt idx="22">
                  <c:v>0.626</c:v>
                </c:pt>
                <c:pt idx="23">
                  <c:v>0.65100000000000002</c:v>
                </c:pt>
                <c:pt idx="24">
                  <c:v>0.70399999999999996</c:v>
                </c:pt>
                <c:pt idx="25">
                  <c:v>0.70799999999999996</c:v>
                </c:pt>
                <c:pt idx="26">
                  <c:v>0.71099999999999997</c:v>
                </c:pt>
                <c:pt idx="27">
                  <c:v>0.76600000000000001</c:v>
                </c:pt>
              </c:numCache>
            </c:numRef>
          </c:val>
        </c:ser>
        <c:dLbls>
          <c:showLegendKey val="0"/>
          <c:showVal val="0"/>
          <c:showCatName val="0"/>
          <c:showSerName val="0"/>
          <c:showPercent val="0"/>
          <c:showBubbleSize val="0"/>
        </c:dLbls>
        <c:gapWidth val="150"/>
        <c:axId val="232316416"/>
        <c:axId val="232184576"/>
      </c:barChart>
      <c:catAx>
        <c:axId val="232316416"/>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32184576"/>
        <c:crosses val="autoZero"/>
        <c:auto val="1"/>
        <c:lblAlgn val="ctr"/>
        <c:lblOffset val="100"/>
        <c:noMultiLvlLbl val="0"/>
      </c:catAx>
      <c:valAx>
        <c:axId val="232184576"/>
        <c:scaling>
          <c:orientation val="minMax"/>
        </c:scaling>
        <c:delete val="0"/>
        <c:axPos val="l"/>
        <c:majorGridlines/>
        <c:title>
          <c:tx>
            <c:rich>
              <a:bodyPr rot="0" vert="horz"/>
              <a:lstStyle/>
              <a:p>
                <a:pPr>
                  <a:defRPr/>
                </a:pPr>
                <a:r>
                  <a:rPr lang="lt-LT" sz="1200">
                    <a:latin typeface="Times New Roman" pitchFamily="18" charset="0"/>
                    <a:cs typeface="Times New Roman" pitchFamily="18" charset="0"/>
                  </a:rPr>
                  <a:t>d)</a:t>
                </a:r>
              </a:p>
            </c:rich>
          </c:tx>
          <c:layout>
            <c:manualLayout>
              <c:xMode val="edge"/>
              <c:yMode val="edge"/>
              <c:x val="1.0496981542594409E-3"/>
              <c:y val="0.31520947424824497"/>
            </c:manualLayout>
          </c:layout>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2316416"/>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Atviros, itin geros ir patrauklios mokslinių tyrimų sistemos</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rgbClr val="9BE5EF"/>
              </a:solidFill>
            </c:spPr>
          </c:dPt>
          <c:dPt>
            <c:idx val="2"/>
            <c:invertIfNegative val="0"/>
            <c:bubble3D val="0"/>
            <c:spPr>
              <a:solidFill>
                <a:schemeClr val="accent6">
                  <a:lumMod val="75000"/>
                </a:schemeClr>
              </a:solidFill>
              <a:ln w="19050">
                <a:noFill/>
                <a:prstDash val="sysDash"/>
              </a:ln>
            </c:spPr>
          </c:dPt>
          <c:dPt>
            <c:idx val="3"/>
            <c:invertIfNegative val="0"/>
            <c:bubble3D val="0"/>
            <c:spPr>
              <a:solidFill>
                <a:schemeClr val="accent6">
                  <a:lumMod val="75000"/>
                </a:schemeClr>
              </a:solidFill>
              <a:ln w="19050">
                <a:noFill/>
                <a:prstDash val="sysDash"/>
              </a:ln>
            </c:spPr>
          </c:dPt>
          <c:dPt>
            <c:idx val="4"/>
            <c:invertIfNegative val="0"/>
            <c:bubble3D val="0"/>
            <c:spPr>
              <a:solidFill>
                <a:srgbClr val="9BE5EF"/>
              </a:solidFill>
              <a:ln w="19050">
                <a:noFill/>
                <a:prstDash val="sysDash"/>
              </a:ln>
            </c:spPr>
          </c:dPt>
          <c:dPt>
            <c:idx val="5"/>
            <c:invertIfNegative val="0"/>
            <c:bubble3D val="0"/>
            <c:spPr>
              <a:solidFill>
                <a:schemeClr val="accent6">
                  <a:lumMod val="75000"/>
                </a:schemeClr>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C0E43C"/>
              </a:solidFill>
            </c:spPr>
          </c:dPt>
          <c:dPt>
            <c:idx val="11"/>
            <c:invertIfNegative val="0"/>
            <c:bubble3D val="0"/>
            <c:spPr>
              <a:solidFill>
                <a:srgbClr val="9BE5EF"/>
              </a:solidFill>
            </c:spPr>
          </c:dPt>
          <c:dPt>
            <c:idx val="12"/>
            <c:invertIfNegative val="0"/>
            <c:bubble3D val="0"/>
            <c:spPr>
              <a:solidFill>
                <a:srgbClr val="C0E43C"/>
              </a:solidFill>
            </c:spPr>
          </c:dPt>
          <c:dPt>
            <c:idx val="13"/>
            <c:invertIfNegative val="0"/>
            <c:bubble3D val="0"/>
            <c:spPr>
              <a:solidFill>
                <a:srgbClr val="C0E43C"/>
              </a:solidFill>
            </c:spPr>
          </c:dPt>
          <c:dPt>
            <c:idx val="14"/>
            <c:invertIfNegative val="0"/>
            <c:bubble3D val="0"/>
            <c:spPr>
              <a:solidFill>
                <a:srgbClr val="9BE5EF"/>
              </a:solidFill>
            </c:spPr>
          </c:dPt>
          <c:dPt>
            <c:idx val="15"/>
            <c:invertIfNegative val="0"/>
            <c:bubble3D val="0"/>
            <c:spPr>
              <a:solidFill>
                <a:schemeClr val="accent6">
                  <a:lumMod val="50000"/>
                </a:schemeClr>
              </a:solidFill>
            </c:spPr>
          </c:dPt>
          <c:dPt>
            <c:idx val="16"/>
            <c:invertIfNegative val="0"/>
            <c:bubble3D val="0"/>
            <c:spPr>
              <a:solidFill>
                <a:srgbClr val="9BE5EF"/>
              </a:solidFill>
            </c:spPr>
          </c:dPt>
          <c:dPt>
            <c:idx val="17"/>
            <c:invertIfNegative val="0"/>
            <c:bubble3D val="0"/>
            <c:spPr>
              <a:solidFill>
                <a:schemeClr val="tx2">
                  <a:lumMod val="75000"/>
                </a:schemeClr>
              </a:solidFill>
            </c:spPr>
          </c:dPt>
          <c:dPt>
            <c:idx val="18"/>
            <c:invertIfNegative val="0"/>
            <c:bubble3D val="0"/>
            <c:spPr>
              <a:solidFill>
                <a:schemeClr val="tx2">
                  <a:lumMod val="75000"/>
                </a:schemeClr>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chemeClr val="tx2">
                  <a:lumMod val="75000"/>
                </a:schemeClr>
              </a:solidFill>
            </c:spPr>
          </c:dPt>
          <c:dPt>
            <c:idx val="26"/>
            <c:invertIfNegative val="0"/>
            <c:bubble3D val="0"/>
            <c:spPr>
              <a:solidFill>
                <a:schemeClr val="tx2">
                  <a:lumMod val="75000"/>
                </a:schemeClr>
              </a:solidFill>
            </c:spPr>
          </c:dPt>
          <c:dPt>
            <c:idx val="27"/>
            <c:invertIfNegative val="0"/>
            <c:bubble3D val="0"/>
            <c:spPr>
              <a:solidFill>
                <a:srgbClr val="C0E43C"/>
              </a:solidFill>
            </c:spPr>
          </c:dPt>
          <c:cat>
            <c:strRef>
              <c:f>Sheet5!$A$2:$A$29</c:f>
              <c:strCache>
                <c:ptCount val="28"/>
                <c:pt idx="0">
                  <c:v>Latvija</c:v>
                </c:pt>
                <c:pt idx="1">
                  <c:v>Lenkija</c:v>
                </c:pt>
                <c:pt idx="2">
                  <c:v>Rumunija</c:v>
                </c:pt>
                <c:pt idx="3">
                  <c:v>Lietuva</c:v>
                </c:pt>
                <c:pt idx="4">
                  <c:v>Slovakija</c:v>
                </c:pt>
                <c:pt idx="5">
                  <c:v>Bulgarija</c:v>
                </c:pt>
                <c:pt idx="6">
                  <c:v>Malta</c:v>
                </c:pt>
                <c:pt idx="7">
                  <c:v>Vengrija</c:v>
                </c:pt>
                <c:pt idx="8">
                  <c:v>Čekija</c:v>
                </c:pt>
                <c:pt idx="9">
                  <c:v>Graikija</c:v>
                </c:pt>
                <c:pt idx="10">
                  <c:v>Estija</c:v>
                </c:pt>
                <c:pt idx="11">
                  <c:v>Italija</c:v>
                </c:pt>
                <c:pt idx="12">
                  <c:v>Kipras</c:v>
                </c:pt>
                <c:pt idx="13">
                  <c:v>Slovėnija</c:v>
                </c:pt>
                <c:pt idx="14">
                  <c:v>Portugalija</c:v>
                </c:pt>
                <c:pt idx="15">
                  <c:v>ES 27</c:v>
                </c:pt>
                <c:pt idx="16">
                  <c:v>Ispanija</c:v>
                </c:pt>
                <c:pt idx="17">
                  <c:v>Vokietija</c:v>
                </c:pt>
                <c:pt idx="18">
                  <c:v>Suomija</c:v>
                </c:pt>
                <c:pt idx="19">
                  <c:v>Austrija</c:v>
                </c:pt>
                <c:pt idx="20">
                  <c:v>Liuksemburgas</c:v>
                </c:pt>
                <c:pt idx="21">
                  <c:v>Prancūzija</c:v>
                </c:pt>
                <c:pt idx="22">
                  <c:v>Airija</c:v>
                </c:pt>
                <c:pt idx="23">
                  <c:v>Belgija</c:v>
                </c:pt>
                <c:pt idx="24">
                  <c:v>Jungtinė Karalystė</c:v>
                </c:pt>
                <c:pt idx="25">
                  <c:v>Švedija</c:v>
                </c:pt>
                <c:pt idx="26">
                  <c:v>Danija</c:v>
                </c:pt>
                <c:pt idx="27">
                  <c:v>Nyderlandai</c:v>
                </c:pt>
              </c:strCache>
            </c:strRef>
          </c:cat>
          <c:val>
            <c:numRef>
              <c:f>Sheet5!$B$2:$B$29</c:f>
              <c:numCache>
                <c:formatCode>General</c:formatCode>
                <c:ptCount val="28"/>
                <c:pt idx="0">
                  <c:v>5.2999999999999999E-2</c:v>
                </c:pt>
                <c:pt idx="1">
                  <c:v>0.151</c:v>
                </c:pt>
                <c:pt idx="2">
                  <c:v>0.153</c:v>
                </c:pt>
                <c:pt idx="3">
                  <c:v>0.16800000000000001</c:v>
                </c:pt>
                <c:pt idx="4">
                  <c:v>0.17299999999999999</c:v>
                </c:pt>
                <c:pt idx="5">
                  <c:v>0.187</c:v>
                </c:pt>
                <c:pt idx="6">
                  <c:v>0.22800000000000001</c:v>
                </c:pt>
                <c:pt idx="7">
                  <c:v>0.24199999999999999</c:v>
                </c:pt>
                <c:pt idx="8">
                  <c:v>0.27900000000000003</c:v>
                </c:pt>
                <c:pt idx="9">
                  <c:v>0.32800000000000001</c:v>
                </c:pt>
                <c:pt idx="10">
                  <c:v>0.37</c:v>
                </c:pt>
                <c:pt idx="11">
                  <c:v>0.42699999999999999</c:v>
                </c:pt>
                <c:pt idx="12">
                  <c:v>0.44</c:v>
                </c:pt>
                <c:pt idx="13">
                  <c:v>0.45800000000000002</c:v>
                </c:pt>
                <c:pt idx="14">
                  <c:v>0.48099999999999998</c:v>
                </c:pt>
                <c:pt idx="15">
                  <c:v>0.53</c:v>
                </c:pt>
                <c:pt idx="16">
                  <c:v>0.53700000000000003</c:v>
                </c:pt>
                <c:pt idx="17">
                  <c:v>0.55000000000000004</c:v>
                </c:pt>
                <c:pt idx="18">
                  <c:v>0.63</c:v>
                </c:pt>
                <c:pt idx="19">
                  <c:v>0.64700000000000002</c:v>
                </c:pt>
                <c:pt idx="20">
                  <c:v>0.65500000000000003</c:v>
                </c:pt>
                <c:pt idx="21">
                  <c:v>0.66300000000000003</c:v>
                </c:pt>
                <c:pt idx="22">
                  <c:v>0.67700000000000005</c:v>
                </c:pt>
                <c:pt idx="23">
                  <c:v>0.78800000000000003</c:v>
                </c:pt>
                <c:pt idx="24">
                  <c:v>0.79200000000000004</c:v>
                </c:pt>
                <c:pt idx="25">
                  <c:v>0.82</c:v>
                </c:pt>
                <c:pt idx="26">
                  <c:v>0.82899999999999996</c:v>
                </c:pt>
                <c:pt idx="27">
                  <c:v>0.86899999999999999</c:v>
                </c:pt>
              </c:numCache>
            </c:numRef>
          </c:val>
        </c:ser>
        <c:dLbls>
          <c:showLegendKey val="0"/>
          <c:showVal val="0"/>
          <c:showCatName val="0"/>
          <c:showSerName val="0"/>
          <c:showPercent val="0"/>
          <c:showBubbleSize val="0"/>
        </c:dLbls>
        <c:gapWidth val="150"/>
        <c:axId val="234105344"/>
        <c:axId val="233972288"/>
      </c:barChart>
      <c:catAx>
        <c:axId val="234105344"/>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3972288"/>
        <c:crosses val="autoZero"/>
        <c:auto val="1"/>
        <c:lblAlgn val="ctr"/>
        <c:lblOffset val="100"/>
        <c:noMultiLvlLbl val="0"/>
      </c:catAx>
      <c:valAx>
        <c:axId val="233972288"/>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b)</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105344"/>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Žmogiškieji</a:t>
            </a:r>
            <a:r>
              <a:rPr lang="lt-LT" sz="1000" b="0" baseline="0">
                <a:latin typeface="Times New Roman" pitchFamily="18" charset="0"/>
                <a:cs typeface="Times New Roman" pitchFamily="18" charset="0"/>
              </a:rPr>
              <a:t> ištekliai</a:t>
            </a:r>
            <a:endParaRPr lang="lt-LT" sz="1000" b="0">
              <a:latin typeface="Times New Roman" pitchFamily="18" charset="0"/>
              <a:cs typeface="Times New Roman" pitchFamily="18" charset="0"/>
            </a:endParaRP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rgbClr val="9BE5EF"/>
              </a:solidFill>
            </c:spPr>
          </c:dPt>
          <c:dPt>
            <c:idx val="1"/>
            <c:invertIfNegative val="0"/>
            <c:bubble3D val="0"/>
            <c:spPr>
              <a:solidFill>
                <a:schemeClr val="accent6">
                  <a:lumMod val="75000"/>
                </a:schemeClr>
              </a:solidFill>
            </c:spPr>
          </c:dPt>
          <c:dPt>
            <c:idx val="2"/>
            <c:invertIfNegative val="0"/>
            <c:bubble3D val="0"/>
            <c:spPr>
              <a:solidFill>
                <a:srgbClr val="9BE5EF"/>
              </a:solidFill>
              <a:ln w="19050">
                <a:noFill/>
                <a:prstDash val="sysDash"/>
              </a:ln>
            </c:spPr>
          </c:dPt>
          <c:dPt>
            <c:idx val="3"/>
            <c:invertIfNegative val="0"/>
            <c:bubble3D val="0"/>
            <c:spPr>
              <a:solidFill>
                <a:srgbClr val="9BE5EF"/>
              </a:solidFill>
              <a:ln w="19050">
                <a:noFill/>
                <a:prstDash val="sysDash"/>
              </a:ln>
            </c:spPr>
          </c:dPt>
          <c:dPt>
            <c:idx val="4"/>
            <c:invertIfNegative val="0"/>
            <c:bubble3D val="0"/>
            <c:spPr>
              <a:solidFill>
                <a:schemeClr val="accent6">
                  <a:lumMod val="75000"/>
                </a:schemeClr>
              </a:solidFill>
              <a:ln w="19050">
                <a:noFill/>
                <a:prstDash val="sysDash"/>
              </a:ln>
            </c:spPr>
          </c:dPt>
          <c:dPt>
            <c:idx val="5"/>
            <c:invertIfNegative val="0"/>
            <c:bubble3D val="0"/>
            <c:spPr>
              <a:solidFill>
                <a:srgbClr val="9BE5EF"/>
              </a:solidFill>
            </c:spPr>
          </c:dPt>
          <c:dPt>
            <c:idx val="6"/>
            <c:invertIfNegative val="0"/>
            <c:bubble3D val="0"/>
            <c:spPr>
              <a:solidFill>
                <a:schemeClr val="accent6">
                  <a:lumMod val="75000"/>
                </a:schemeClr>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chemeClr val="accent6">
                  <a:lumMod val="50000"/>
                </a:schemeClr>
              </a:solidFill>
            </c:spPr>
          </c:dPt>
          <c:dPt>
            <c:idx val="11"/>
            <c:invertIfNegative val="0"/>
            <c:bubble3D val="0"/>
            <c:spPr>
              <a:solidFill>
                <a:srgbClr val="C0E43C"/>
              </a:solidFill>
            </c:spPr>
          </c:dPt>
          <c:dPt>
            <c:idx val="12"/>
            <c:invertIfNegative val="0"/>
            <c:bubble3D val="0"/>
            <c:spPr>
              <a:solidFill>
                <a:srgbClr val="C0E43C"/>
              </a:solidFill>
            </c:spPr>
          </c:dPt>
          <c:dPt>
            <c:idx val="13"/>
            <c:invertIfNegative val="0"/>
            <c:bubble3D val="0"/>
            <c:spPr>
              <a:solidFill>
                <a:srgbClr val="C0E43C"/>
              </a:solidFill>
            </c:spPr>
          </c:dPt>
          <c:dPt>
            <c:idx val="14"/>
            <c:invertIfNegative val="0"/>
            <c:bubble3D val="0"/>
            <c:spPr>
              <a:solidFill>
                <a:srgbClr val="9BE5EF"/>
              </a:solidFill>
            </c:spPr>
          </c:dPt>
          <c:dPt>
            <c:idx val="15"/>
            <c:invertIfNegative val="0"/>
            <c:bubble3D val="0"/>
            <c:spPr>
              <a:solidFill>
                <a:schemeClr val="tx2">
                  <a:lumMod val="75000"/>
                </a:schemeClr>
              </a:solidFill>
            </c:spPr>
          </c:dPt>
          <c:dPt>
            <c:idx val="16"/>
            <c:invertIfNegative val="0"/>
            <c:bubble3D val="0"/>
            <c:spPr>
              <a:solidFill>
                <a:schemeClr val="tx2">
                  <a:lumMod val="75000"/>
                </a:schemeClr>
              </a:solidFill>
            </c:spPr>
          </c:dPt>
          <c:dPt>
            <c:idx val="17"/>
            <c:invertIfNegative val="0"/>
            <c:bubble3D val="0"/>
            <c:spPr>
              <a:solidFill>
                <a:srgbClr val="9BE5EF"/>
              </a:solidFill>
            </c:spPr>
          </c:dPt>
          <c:dPt>
            <c:idx val="18"/>
            <c:invertIfNegative val="0"/>
            <c:bubble3D val="0"/>
            <c:spPr>
              <a:solidFill>
                <a:srgbClr val="C0E43C"/>
              </a:solidFill>
            </c:spPr>
          </c:dPt>
          <c:dPt>
            <c:idx val="19"/>
            <c:invertIfNegative val="0"/>
            <c:bubble3D val="0"/>
            <c:spPr>
              <a:solidFill>
                <a:schemeClr val="accent6">
                  <a:lumMod val="75000"/>
                </a:schemeClr>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rgbClr val="C0E43C"/>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Sheet5!$A$2:$A$29</c:f>
              <c:strCache>
                <c:ptCount val="28"/>
                <c:pt idx="0">
                  <c:v>Malta</c:v>
                </c:pt>
                <c:pt idx="1">
                  <c:v>Rumunija</c:v>
                </c:pt>
                <c:pt idx="2">
                  <c:v>Italija</c:v>
                </c:pt>
                <c:pt idx="3">
                  <c:v>Ispanija</c:v>
                </c:pt>
                <c:pt idx="4">
                  <c:v>Latvija</c:v>
                </c:pt>
                <c:pt idx="5">
                  <c:v>Portugalija</c:v>
                </c:pt>
                <c:pt idx="6">
                  <c:v>Bulgarija</c:v>
                </c:pt>
                <c:pt idx="7">
                  <c:v>Vengrija</c:v>
                </c:pt>
                <c:pt idx="8">
                  <c:v>Graikija</c:v>
                </c:pt>
                <c:pt idx="9">
                  <c:v>Čekija</c:v>
                </c:pt>
                <c:pt idx="10">
                  <c:v>ES 27</c:v>
                </c:pt>
                <c:pt idx="11">
                  <c:v>Estija</c:v>
                </c:pt>
                <c:pt idx="12">
                  <c:v>Kipras</c:v>
                </c:pt>
                <c:pt idx="13">
                  <c:v>Austrija</c:v>
                </c:pt>
                <c:pt idx="14">
                  <c:v>Lenkija</c:v>
                </c:pt>
                <c:pt idx="15">
                  <c:v>Vokietija</c:v>
                </c:pt>
                <c:pt idx="16">
                  <c:v>Danija</c:v>
                </c:pt>
                <c:pt idx="17">
                  <c:v>Slovakija</c:v>
                </c:pt>
                <c:pt idx="18">
                  <c:v>Nyderlandai</c:v>
                </c:pt>
                <c:pt idx="19">
                  <c:v>Lietuva</c:v>
                </c:pt>
                <c:pt idx="20">
                  <c:v>Slovėnija</c:v>
                </c:pt>
                <c:pt idx="21">
                  <c:v>Belgija</c:v>
                </c:pt>
                <c:pt idx="22">
                  <c:v>Prancūzija</c:v>
                </c:pt>
                <c:pt idx="23">
                  <c:v>Liuksemburgas</c:v>
                </c:pt>
                <c:pt idx="24">
                  <c:v>Jungtinė Karalystė</c:v>
                </c:pt>
                <c:pt idx="25">
                  <c:v>Airija</c:v>
                </c:pt>
                <c:pt idx="26">
                  <c:v>Suomija</c:v>
                </c:pt>
                <c:pt idx="27">
                  <c:v>Švedija</c:v>
                </c:pt>
              </c:strCache>
            </c:strRef>
          </c:cat>
          <c:val>
            <c:numRef>
              <c:f>Sheet5!$B$2:$B$29</c:f>
              <c:numCache>
                <c:formatCode>General</c:formatCode>
                <c:ptCount val="28"/>
                <c:pt idx="0">
                  <c:v>0.11</c:v>
                </c:pt>
                <c:pt idx="1">
                  <c:v>0.4</c:v>
                </c:pt>
                <c:pt idx="2">
                  <c:v>0.433</c:v>
                </c:pt>
                <c:pt idx="3">
                  <c:v>0.436</c:v>
                </c:pt>
                <c:pt idx="4">
                  <c:v>0.45100000000000001</c:v>
                </c:pt>
                <c:pt idx="5">
                  <c:v>0.45100000000000001</c:v>
                </c:pt>
                <c:pt idx="6">
                  <c:v>0.45500000000000002</c:v>
                </c:pt>
                <c:pt idx="7">
                  <c:v>0.46700000000000003</c:v>
                </c:pt>
                <c:pt idx="8">
                  <c:v>0.47499999999999998</c:v>
                </c:pt>
                <c:pt idx="9">
                  <c:v>0.53400000000000003</c:v>
                </c:pt>
                <c:pt idx="10">
                  <c:v>0.56299999999999994</c:v>
                </c:pt>
                <c:pt idx="11">
                  <c:v>0.57499999999999996</c:v>
                </c:pt>
                <c:pt idx="12">
                  <c:v>0.57799999999999996</c:v>
                </c:pt>
                <c:pt idx="13">
                  <c:v>0.58899999999999997</c:v>
                </c:pt>
                <c:pt idx="14">
                  <c:v>0.59299999999999997</c:v>
                </c:pt>
                <c:pt idx="15">
                  <c:v>0.61299999999999999</c:v>
                </c:pt>
                <c:pt idx="16">
                  <c:v>0.62</c:v>
                </c:pt>
                <c:pt idx="17">
                  <c:v>0.63400000000000001</c:v>
                </c:pt>
                <c:pt idx="18">
                  <c:v>0.64200000000000002</c:v>
                </c:pt>
                <c:pt idx="19">
                  <c:v>0.64600000000000002</c:v>
                </c:pt>
                <c:pt idx="20">
                  <c:v>0.64900000000000002</c:v>
                </c:pt>
                <c:pt idx="21">
                  <c:v>0.67200000000000004</c:v>
                </c:pt>
                <c:pt idx="22">
                  <c:v>0.67700000000000005</c:v>
                </c:pt>
                <c:pt idx="23">
                  <c:v>0.70199999999999996</c:v>
                </c:pt>
                <c:pt idx="24">
                  <c:v>0.73</c:v>
                </c:pt>
                <c:pt idx="25">
                  <c:v>0.77200000000000002</c:v>
                </c:pt>
                <c:pt idx="26">
                  <c:v>0.85799999999999998</c:v>
                </c:pt>
                <c:pt idx="27">
                  <c:v>0.89300000000000002</c:v>
                </c:pt>
              </c:numCache>
            </c:numRef>
          </c:val>
        </c:ser>
        <c:dLbls>
          <c:showLegendKey val="0"/>
          <c:showVal val="0"/>
          <c:showCatName val="0"/>
          <c:showSerName val="0"/>
          <c:showPercent val="0"/>
          <c:showBubbleSize val="0"/>
        </c:dLbls>
        <c:gapWidth val="150"/>
        <c:axId val="234105856"/>
        <c:axId val="233974016"/>
      </c:barChart>
      <c:catAx>
        <c:axId val="234105856"/>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33974016"/>
        <c:crosses val="autoZero"/>
        <c:auto val="1"/>
        <c:lblAlgn val="ctr"/>
        <c:lblOffset val="100"/>
        <c:noMultiLvlLbl val="0"/>
      </c:catAx>
      <c:valAx>
        <c:axId val="233974016"/>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a)</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105856"/>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214056576261299E-2"/>
          <c:y val="3.9373585143898195E-2"/>
          <c:w val="0.75329194292480506"/>
          <c:h val="0.77484888016704212"/>
        </c:manualLayout>
      </c:layout>
      <c:barChart>
        <c:barDir val="col"/>
        <c:grouping val="clustered"/>
        <c:varyColors val="0"/>
        <c:ser>
          <c:idx val="0"/>
          <c:order val="0"/>
          <c:tx>
            <c:strRef>
              <c:f>'balt invest'!$B$7</c:f>
              <c:strCache>
                <c:ptCount val="1"/>
                <c:pt idx="0">
                  <c:v>Latvija</c:v>
                </c:pt>
              </c:strCache>
            </c:strRef>
          </c:tx>
          <c:spPr>
            <a:solidFill>
              <a:srgbClr val="9BE5EF"/>
            </a:solidFill>
          </c:spPr>
          <c:invertIfNegative val="0"/>
          <c:cat>
            <c:numRef>
              <c:f>'balt invest'!$A$8:$A$14</c:f>
              <c:numCache>
                <c:formatCode>General</c:formatCode>
                <c:ptCount val="7"/>
                <c:pt idx="0">
                  <c:v>2004</c:v>
                </c:pt>
                <c:pt idx="1">
                  <c:v>2005</c:v>
                </c:pt>
                <c:pt idx="2">
                  <c:v>2006</c:v>
                </c:pt>
                <c:pt idx="3">
                  <c:v>2007</c:v>
                </c:pt>
                <c:pt idx="4">
                  <c:v>2008</c:v>
                </c:pt>
                <c:pt idx="5">
                  <c:v>2009</c:v>
                </c:pt>
                <c:pt idx="6">
                  <c:v>2010</c:v>
                </c:pt>
              </c:numCache>
            </c:numRef>
          </c:cat>
          <c:val>
            <c:numRef>
              <c:f>'balt invest'!$B$8:$B$14</c:f>
              <c:numCache>
                <c:formatCode>General</c:formatCode>
                <c:ptCount val="7"/>
                <c:pt idx="0">
                  <c:v>13.3</c:v>
                </c:pt>
                <c:pt idx="1">
                  <c:v>8.6999999999999993</c:v>
                </c:pt>
                <c:pt idx="2">
                  <c:v>0</c:v>
                </c:pt>
                <c:pt idx="3">
                  <c:v>24</c:v>
                </c:pt>
                <c:pt idx="4">
                  <c:v>63</c:v>
                </c:pt>
                <c:pt idx="5">
                  <c:v>1</c:v>
                </c:pt>
                <c:pt idx="6">
                  <c:v>5</c:v>
                </c:pt>
              </c:numCache>
            </c:numRef>
          </c:val>
        </c:ser>
        <c:ser>
          <c:idx val="1"/>
          <c:order val="1"/>
          <c:tx>
            <c:strRef>
              <c:f>'balt invest'!$C$7</c:f>
              <c:strCache>
                <c:ptCount val="1"/>
                <c:pt idx="0">
                  <c:v>Lietuva</c:v>
                </c:pt>
              </c:strCache>
            </c:strRef>
          </c:tx>
          <c:spPr>
            <a:solidFill>
              <a:srgbClr val="002060"/>
            </a:solidFill>
          </c:spPr>
          <c:invertIfNegative val="0"/>
          <c:cat>
            <c:numRef>
              <c:f>'balt invest'!$A$8:$A$14</c:f>
              <c:numCache>
                <c:formatCode>General</c:formatCode>
                <c:ptCount val="7"/>
                <c:pt idx="0">
                  <c:v>2004</c:v>
                </c:pt>
                <c:pt idx="1">
                  <c:v>2005</c:v>
                </c:pt>
                <c:pt idx="2">
                  <c:v>2006</c:v>
                </c:pt>
                <c:pt idx="3">
                  <c:v>2007</c:v>
                </c:pt>
                <c:pt idx="4">
                  <c:v>2008</c:v>
                </c:pt>
                <c:pt idx="5">
                  <c:v>2009</c:v>
                </c:pt>
                <c:pt idx="6">
                  <c:v>2010</c:v>
                </c:pt>
              </c:numCache>
            </c:numRef>
          </c:cat>
          <c:val>
            <c:numRef>
              <c:f>'balt invest'!$C$8:$C$14</c:f>
              <c:numCache>
                <c:formatCode>General</c:formatCode>
                <c:ptCount val="7"/>
                <c:pt idx="0">
                  <c:v>12</c:v>
                </c:pt>
                <c:pt idx="1">
                  <c:v>14.4</c:v>
                </c:pt>
                <c:pt idx="2">
                  <c:v>18</c:v>
                </c:pt>
                <c:pt idx="3">
                  <c:v>152</c:v>
                </c:pt>
                <c:pt idx="4">
                  <c:v>0</c:v>
                </c:pt>
                <c:pt idx="5">
                  <c:v>1</c:v>
                </c:pt>
                <c:pt idx="6">
                  <c:v>2</c:v>
                </c:pt>
              </c:numCache>
            </c:numRef>
          </c:val>
        </c:ser>
        <c:ser>
          <c:idx val="2"/>
          <c:order val="2"/>
          <c:tx>
            <c:strRef>
              <c:f>'balt invest'!$D$7</c:f>
              <c:strCache>
                <c:ptCount val="1"/>
                <c:pt idx="0">
                  <c:v>Estija</c:v>
                </c:pt>
              </c:strCache>
            </c:strRef>
          </c:tx>
          <c:spPr>
            <a:solidFill>
              <a:srgbClr val="C0E43C"/>
            </a:solidFill>
          </c:spPr>
          <c:invertIfNegative val="0"/>
          <c:cat>
            <c:numRef>
              <c:f>'balt invest'!$A$8:$A$14</c:f>
              <c:numCache>
                <c:formatCode>General</c:formatCode>
                <c:ptCount val="7"/>
                <c:pt idx="0">
                  <c:v>2004</c:v>
                </c:pt>
                <c:pt idx="1">
                  <c:v>2005</c:v>
                </c:pt>
                <c:pt idx="2">
                  <c:v>2006</c:v>
                </c:pt>
                <c:pt idx="3">
                  <c:v>2007</c:v>
                </c:pt>
                <c:pt idx="4">
                  <c:v>2008</c:v>
                </c:pt>
                <c:pt idx="5">
                  <c:v>2009</c:v>
                </c:pt>
                <c:pt idx="6">
                  <c:v>2010</c:v>
                </c:pt>
              </c:numCache>
            </c:numRef>
          </c:cat>
          <c:val>
            <c:numRef>
              <c:f>'balt invest'!$D$8:$D$14</c:f>
              <c:numCache>
                <c:formatCode>General</c:formatCode>
                <c:ptCount val="7"/>
                <c:pt idx="0">
                  <c:v>0.4</c:v>
                </c:pt>
                <c:pt idx="1">
                  <c:v>12.7</c:v>
                </c:pt>
                <c:pt idx="2">
                  <c:v>4</c:v>
                </c:pt>
                <c:pt idx="3">
                  <c:v>36</c:v>
                </c:pt>
                <c:pt idx="4">
                  <c:v>15</c:v>
                </c:pt>
                <c:pt idx="5">
                  <c:v>5</c:v>
                </c:pt>
                <c:pt idx="6">
                  <c:v>25</c:v>
                </c:pt>
              </c:numCache>
            </c:numRef>
          </c:val>
        </c:ser>
        <c:dLbls>
          <c:showLegendKey val="0"/>
          <c:showVal val="0"/>
          <c:showCatName val="0"/>
          <c:showSerName val="0"/>
          <c:showPercent val="0"/>
          <c:showBubbleSize val="0"/>
        </c:dLbls>
        <c:gapWidth val="150"/>
        <c:axId val="230192640"/>
        <c:axId val="229528064"/>
      </c:barChart>
      <c:lineChart>
        <c:grouping val="standard"/>
        <c:varyColors val="0"/>
        <c:ser>
          <c:idx val="3"/>
          <c:order val="3"/>
          <c:tx>
            <c:strRef>
              <c:f>'balt invest'!$E$7</c:f>
              <c:strCache>
                <c:ptCount val="1"/>
                <c:pt idx="0">
                  <c:v>ES</c:v>
                </c:pt>
              </c:strCache>
            </c:strRef>
          </c:tx>
          <c:spPr>
            <a:ln>
              <a:solidFill>
                <a:schemeClr val="accent6">
                  <a:lumMod val="75000"/>
                </a:schemeClr>
              </a:solidFill>
            </a:ln>
          </c:spPr>
          <c:marker>
            <c:symbol val="none"/>
          </c:marker>
          <c:cat>
            <c:numRef>
              <c:f>'balt invest'!$A$8:$A$14</c:f>
              <c:numCache>
                <c:formatCode>General</c:formatCode>
                <c:ptCount val="7"/>
                <c:pt idx="0">
                  <c:v>2004</c:v>
                </c:pt>
                <c:pt idx="1">
                  <c:v>2005</c:v>
                </c:pt>
                <c:pt idx="2">
                  <c:v>2006</c:v>
                </c:pt>
                <c:pt idx="3">
                  <c:v>2007</c:v>
                </c:pt>
                <c:pt idx="4">
                  <c:v>2008</c:v>
                </c:pt>
                <c:pt idx="5">
                  <c:v>2009</c:v>
                </c:pt>
                <c:pt idx="6">
                  <c:v>2010</c:v>
                </c:pt>
              </c:numCache>
            </c:numRef>
          </c:cat>
          <c:val>
            <c:numRef>
              <c:f>'balt invest'!$E$8:$E$14</c:f>
              <c:numCache>
                <c:formatCode>General</c:formatCode>
                <c:ptCount val="7"/>
                <c:pt idx="0">
                  <c:v>36900</c:v>
                </c:pt>
                <c:pt idx="1">
                  <c:v>47100</c:v>
                </c:pt>
                <c:pt idx="2">
                  <c:v>71200</c:v>
                </c:pt>
                <c:pt idx="3">
                  <c:v>72300</c:v>
                </c:pt>
                <c:pt idx="4">
                  <c:v>54300</c:v>
                </c:pt>
                <c:pt idx="5">
                  <c:v>24000</c:v>
                </c:pt>
                <c:pt idx="6">
                  <c:v>42600</c:v>
                </c:pt>
              </c:numCache>
            </c:numRef>
          </c:val>
          <c:smooth val="0"/>
        </c:ser>
        <c:dLbls>
          <c:showLegendKey val="0"/>
          <c:showVal val="0"/>
          <c:showCatName val="0"/>
          <c:showSerName val="0"/>
          <c:showPercent val="0"/>
          <c:showBubbleSize val="0"/>
        </c:dLbls>
        <c:marker val="1"/>
        <c:smooth val="0"/>
        <c:axId val="230194176"/>
        <c:axId val="229528640"/>
      </c:lineChart>
      <c:catAx>
        <c:axId val="23019264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29528064"/>
        <c:crosses val="autoZero"/>
        <c:auto val="1"/>
        <c:lblAlgn val="ctr"/>
        <c:lblOffset val="100"/>
        <c:noMultiLvlLbl val="0"/>
      </c:catAx>
      <c:valAx>
        <c:axId val="22952806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92640"/>
        <c:crosses val="autoZero"/>
        <c:crossBetween val="between"/>
      </c:valAx>
      <c:valAx>
        <c:axId val="229528640"/>
        <c:scaling>
          <c:orientation val="minMax"/>
        </c:scaling>
        <c:delete val="0"/>
        <c:axPos val="r"/>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94176"/>
        <c:crosses val="max"/>
        <c:crossBetween val="between"/>
      </c:valAx>
      <c:catAx>
        <c:axId val="230194176"/>
        <c:scaling>
          <c:orientation val="minMax"/>
        </c:scaling>
        <c:delete val="1"/>
        <c:axPos val="b"/>
        <c:numFmt formatCode="General" sourceLinked="1"/>
        <c:majorTickMark val="out"/>
        <c:minorTickMark val="none"/>
        <c:tickLblPos val="nextTo"/>
        <c:crossAx val="229528640"/>
        <c:crosses val="autoZero"/>
        <c:auto val="1"/>
        <c:lblAlgn val="ctr"/>
        <c:lblOffset val="100"/>
        <c:noMultiLvlLbl val="0"/>
      </c:catAx>
      <c:spPr>
        <a:noFill/>
      </c:spPr>
    </c:plotArea>
    <c:legend>
      <c:legendPos val="r"/>
      <c:layout>
        <c:manualLayout>
          <c:xMode val="edge"/>
          <c:yMode val="edge"/>
          <c:x val="1.8477251624883916E-2"/>
          <c:y val="0.90948951188529237"/>
          <c:w val="0.51341491112116899"/>
          <c:h val="7.2551109928315358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spPr>
    <a:noFill/>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Finansavimas ir rėmimas</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rgbClr val="9BE5EF"/>
              </a:solidFill>
            </c:spPr>
          </c:dPt>
          <c:dPt>
            <c:idx val="1"/>
            <c:invertIfNegative val="0"/>
            <c:bubble3D val="0"/>
            <c:spPr>
              <a:solidFill>
                <a:schemeClr val="accent6">
                  <a:lumMod val="75000"/>
                </a:schemeClr>
              </a:solidFill>
            </c:spPr>
          </c:dPt>
          <c:dPt>
            <c:idx val="2"/>
            <c:invertIfNegative val="0"/>
            <c:bubble3D val="0"/>
            <c:spPr>
              <a:solidFill>
                <a:srgbClr val="9BE5EF"/>
              </a:solidFill>
              <a:ln w="19050">
                <a:noFill/>
                <a:prstDash val="sysDash"/>
              </a:ln>
            </c:spPr>
          </c:dPt>
          <c:dPt>
            <c:idx val="3"/>
            <c:invertIfNegative val="0"/>
            <c:bubble3D val="0"/>
            <c:spPr>
              <a:solidFill>
                <a:srgbClr val="C0E43C"/>
              </a:solidFill>
              <a:ln w="19050">
                <a:noFill/>
                <a:prstDash val="sysDash"/>
              </a:ln>
            </c:spPr>
          </c:dPt>
          <c:dPt>
            <c:idx val="4"/>
            <c:invertIfNegative val="0"/>
            <c:bubble3D val="0"/>
            <c:spPr>
              <a:solidFill>
                <a:srgbClr val="9BE5EF"/>
              </a:solidFill>
              <a:ln w="19050">
                <a:noFill/>
                <a:prstDash val="sysDash"/>
              </a:ln>
            </c:spPr>
          </c:dPt>
          <c:dPt>
            <c:idx val="5"/>
            <c:invertIfNegative val="0"/>
            <c:bubble3D val="0"/>
            <c:spPr>
              <a:solidFill>
                <a:schemeClr val="accent6">
                  <a:lumMod val="75000"/>
                </a:schemeClr>
              </a:solidFill>
            </c:spPr>
          </c:dPt>
          <c:dPt>
            <c:idx val="6"/>
            <c:invertIfNegative val="0"/>
            <c:bubble3D val="0"/>
            <c:spPr>
              <a:solidFill>
                <a:schemeClr val="accent6">
                  <a:lumMod val="75000"/>
                </a:schemeClr>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C0E43C"/>
              </a:solidFill>
            </c:spPr>
          </c:dPt>
          <c:dPt>
            <c:idx val="11"/>
            <c:invertIfNegative val="0"/>
            <c:bubble3D val="0"/>
            <c:spPr>
              <a:solidFill>
                <a:srgbClr val="9BE5EF"/>
              </a:solidFill>
            </c:spPr>
          </c:dPt>
          <c:dPt>
            <c:idx val="12"/>
            <c:invertIfNegative val="0"/>
            <c:bubble3D val="0"/>
            <c:spPr>
              <a:solidFill>
                <a:schemeClr val="accent6">
                  <a:lumMod val="75000"/>
                </a:schemeClr>
              </a:solidFill>
            </c:spPr>
          </c:dPt>
          <c:dPt>
            <c:idx val="13"/>
            <c:invertIfNegative val="0"/>
            <c:bubble3D val="0"/>
            <c:spPr>
              <a:solidFill>
                <a:srgbClr val="9BE5EF"/>
              </a:solidFill>
            </c:spPr>
          </c:dPt>
          <c:dPt>
            <c:idx val="14"/>
            <c:invertIfNegative val="0"/>
            <c:bubble3D val="0"/>
            <c:spPr>
              <a:solidFill>
                <a:srgbClr val="C0E43C"/>
              </a:solidFill>
            </c:spPr>
          </c:dPt>
          <c:dPt>
            <c:idx val="15"/>
            <c:invertIfNegative val="0"/>
            <c:bubble3D val="0"/>
            <c:spPr>
              <a:solidFill>
                <a:srgbClr val="9BE5EF"/>
              </a:solidFill>
            </c:spPr>
          </c:dPt>
          <c:dPt>
            <c:idx val="16"/>
            <c:invertIfNegative val="0"/>
            <c:bubble3D val="0"/>
            <c:spPr>
              <a:solidFill>
                <a:srgbClr val="C0E43C"/>
              </a:solidFill>
            </c:spPr>
          </c:dPt>
          <c:dPt>
            <c:idx val="17"/>
            <c:invertIfNegative val="0"/>
            <c:bubble3D val="0"/>
            <c:spPr>
              <a:solidFill>
                <a:srgbClr val="C0E43C"/>
              </a:solidFill>
            </c:spPr>
          </c:dPt>
          <c:dPt>
            <c:idx val="18"/>
            <c:invertIfNegative val="0"/>
            <c:bubble3D val="0"/>
            <c:spPr>
              <a:solidFill>
                <a:srgbClr val="C0E43C"/>
              </a:solidFill>
            </c:spPr>
          </c:dPt>
          <c:dPt>
            <c:idx val="19"/>
            <c:invertIfNegative val="0"/>
            <c:bubble3D val="0"/>
            <c:spPr>
              <a:solidFill>
                <a:schemeClr val="accent6">
                  <a:lumMod val="50000"/>
                </a:schemeClr>
              </a:solidFill>
            </c:spPr>
          </c:dPt>
          <c:dPt>
            <c:idx val="20"/>
            <c:invertIfNegative val="0"/>
            <c:bubble3D val="0"/>
            <c:spPr>
              <a:solidFill>
                <a:schemeClr val="tx2">
                  <a:lumMod val="75000"/>
                </a:schemeClr>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chemeClr val="tx2">
                  <a:lumMod val="75000"/>
                </a:schemeClr>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Sheet5!$A$2:$A$29</c:f>
              <c:strCache>
                <c:ptCount val="28"/>
                <c:pt idx="0">
                  <c:v>Malta</c:v>
                </c:pt>
                <c:pt idx="1">
                  <c:v>Bulgarija</c:v>
                </c:pt>
                <c:pt idx="2">
                  <c:v>Graikija</c:v>
                </c:pt>
                <c:pt idx="3">
                  <c:v>Kipras</c:v>
                </c:pt>
                <c:pt idx="4">
                  <c:v>Slovakija</c:v>
                </c:pt>
                <c:pt idx="5">
                  <c:v>Rumunija</c:v>
                </c:pt>
                <c:pt idx="6">
                  <c:v>Latvija</c:v>
                </c:pt>
                <c:pt idx="7">
                  <c:v>Vengrija</c:v>
                </c:pt>
                <c:pt idx="8">
                  <c:v>Čekija</c:v>
                </c:pt>
                <c:pt idx="9">
                  <c:v>Lenkija</c:v>
                </c:pt>
                <c:pt idx="10">
                  <c:v>Airija</c:v>
                </c:pt>
                <c:pt idx="11">
                  <c:v>Italija</c:v>
                </c:pt>
                <c:pt idx="12">
                  <c:v>Lietuva</c:v>
                </c:pt>
                <c:pt idx="13">
                  <c:v>Ispanija</c:v>
                </c:pt>
                <c:pt idx="14">
                  <c:v>Austrija</c:v>
                </c:pt>
                <c:pt idx="15">
                  <c:v>Portugalija</c:v>
                </c:pt>
                <c:pt idx="16">
                  <c:v>Liuksemburgas</c:v>
                </c:pt>
                <c:pt idx="17">
                  <c:v>Slovėnija</c:v>
                </c:pt>
                <c:pt idx="18">
                  <c:v>Belgija</c:v>
                </c:pt>
                <c:pt idx="19">
                  <c:v>ES 27</c:v>
                </c:pt>
                <c:pt idx="20">
                  <c:v>Vokietija</c:v>
                </c:pt>
                <c:pt idx="21">
                  <c:v>Prancūzija</c:v>
                </c:pt>
                <c:pt idx="22">
                  <c:v>Estija</c:v>
                </c:pt>
                <c:pt idx="23">
                  <c:v>Nyderlandai</c:v>
                </c:pt>
                <c:pt idx="24">
                  <c:v>Jungtinė Karalystė</c:v>
                </c:pt>
                <c:pt idx="25">
                  <c:v>Danija</c:v>
                </c:pt>
                <c:pt idx="26">
                  <c:v>Suomija</c:v>
                </c:pt>
                <c:pt idx="27">
                  <c:v>Švedija</c:v>
                </c:pt>
              </c:strCache>
            </c:strRef>
          </c:cat>
          <c:val>
            <c:numRef>
              <c:f>Sheet5!$B$2:$B$29</c:f>
              <c:numCache>
                <c:formatCode>General</c:formatCode>
                <c:ptCount val="28"/>
                <c:pt idx="0">
                  <c:v>0.115</c:v>
                </c:pt>
                <c:pt idx="1">
                  <c:v>0.156</c:v>
                </c:pt>
                <c:pt idx="2">
                  <c:v>0.188</c:v>
                </c:pt>
                <c:pt idx="3">
                  <c:v>0.219</c:v>
                </c:pt>
                <c:pt idx="4">
                  <c:v>0.22900000000000001</c:v>
                </c:pt>
                <c:pt idx="5">
                  <c:v>0.23499999999999999</c:v>
                </c:pt>
                <c:pt idx="6">
                  <c:v>0.25</c:v>
                </c:pt>
                <c:pt idx="7">
                  <c:v>0.251</c:v>
                </c:pt>
                <c:pt idx="8">
                  <c:v>0.28999999999999998</c:v>
                </c:pt>
                <c:pt idx="9">
                  <c:v>0.34100000000000003</c:v>
                </c:pt>
                <c:pt idx="10">
                  <c:v>0.34300000000000003</c:v>
                </c:pt>
                <c:pt idx="11">
                  <c:v>0.34899999999999998</c:v>
                </c:pt>
                <c:pt idx="12">
                  <c:v>0.438</c:v>
                </c:pt>
                <c:pt idx="13">
                  <c:v>0.46600000000000003</c:v>
                </c:pt>
                <c:pt idx="14">
                  <c:v>0.50600000000000001</c:v>
                </c:pt>
                <c:pt idx="15">
                  <c:v>0.52200000000000002</c:v>
                </c:pt>
                <c:pt idx="16">
                  <c:v>0.52800000000000002</c:v>
                </c:pt>
                <c:pt idx="17">
                  <c:v>0.55200000000000005</c:v>
                </c:pt>
                <c:pt idx="18">
                  <c:v>0.57799999999999996</c:v>
                </c:pt>
                <c:pt idx="19">
                  <c:v>0.58399999999999996</c:v>
                </c:pt>
                <c:pt idx="20">
                  <c:v>0.58399999999999996</c:v>
                </c:pt>
                <c:pt idx="21">
                  <c:v>0.64300000000000002</c:v>
                </c:pt>
                <c:pt idx="22">
                  <c:v>0.67700000000000005</c:v>
                </c:pt>
                <c:pt idx="23">
                  <c:v>0.69599999999999995</c:v>
                </c:pt>
                <c:pt idx="24">
                  <c:v>0.69699999999999995</c:v>
                </c:pt>
                <c:pt idx="25">
                  <c:v>0.71899999999999997</c:v>
                </c:pt>
                <c:pt idx="26">
                  <c:v>0.83299999999999996</c:v>
                </c:pt>
                <c:pt idx="27">
                  <c:v>0.89500000000000002</c:v>
                </c:pt>
              </c:numCache>
            </c:numRef>
          </c:val>
        </c:ser>
        <c:dLbls>
          <c:showLegendKey val="0"/>
          <c:showVal val="0"/>
          <c:showCatName val="0"/>
          <c:showSerName val="0"/>
          <c:showPercent val="0"/>
          <c:showBubbleSize val="0"/>
        </c:dLbls>
        <c:gapWidth val="150"/>
        <c:axId val="234455552"/>
        <c:axId val="233975744"/>
      </c:barChart>
      <c:catAx>
        <c:axId val="234455552"/>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3975744"/>
        <c:crosses val="autoZero"/>
        <c:auto val="1"/>
        <c:lblAlgn val="ctr"/>
        <c:lblOffset val="100"/>
        <c:noMultiLvlLbl val="0"/>
      </c:catAx>
      <c:valAx>
        <c:axId val="233975744"/>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c)</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45555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Nuolatinės investicijos</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rgbClr val="9BE5EF"/>
              </a:solidFill>
            </c:spPr>
          </c:dPt>
          <c:dPt>
            <c:idx val="1"/>
            <c:invertIfNegative val="0"/>
            <c:bubble3D val="0"/>
            <c:spPr>
              <a:solidFill>
                <a:srgbClr val="9BE5EF"/>
              </a:solidFill>
            </c:spPr>
          </c:dPt>
          <c:dPt>
            <c:idx val="2"/>
            <c:invertIfNegative val="0"/>
            <c:bubble3D val="0"/>
            <c:spPr>
              <a:solidFill>
                <a:schemeClr val="accent6">
                  <a:lumMod val="75000"/>
                </a:schemeClr>
              </a:solidFill>
              <a:ln w="19050">
                <a:noFill/>
                <a:prstDash val="sysDash"/>
              </a:ln>
            </c:spPr>
          </c:dPt>
          <c:dPt>
            <c:idx val="3"/>
            <c:invertIfNegative val="0"/>
            <c:bubble3D val="0"/>
            <c:spPr>
              <a:solidFill>
                <a:srgbClr val="9BE5EF"/>
              </a:solidFill>
              <a:ln w="19050">
                <a:noFill/>
                <a:prstDash val="sysDash"/>
              </a:ln>
            </c:spPr>
          </c:dPt>
          <c:dPt>
            <c:idx val="4"/>
            <c:invertIfNegative val="0"/>
            <c:bubble3D val="0"/>
            <c:spPr>
              <a:solidFill>
                <a:srgbClr val="C0E43C"/>
              </a:solidFill>
              <a:ln w="19050">
                <a:noFill/>
                <a:prstDash val="sysDash"/>
              </a:ln>
            </c:spPr>
          </c:dPt>
          <c:dPt>
            <c:idx val="5"/>
            <c:invertIfNegative val="0"/>
            <c:bubble3D val="0"/>
            <c:spPr>
              <a:solidFill>
                <a:srgbClr val="9BE5EF"/>
              </a:solidFill>
            </c:spPr>
          </c:dPt>
          <c:dPt>
            <c:idx val="6"/>
            <c:invertIfNegative val="0"/>
            <c:bubble3D val="0"/>
            <c:spPr>
              <a:solidFill>
                <a:srgbClr val="C0E43C"/>
              </a:solidFill>
            </c:spPr>
          </c:dPt>
          <c:dPt>
            <c:idx val="7"/>
            <c:invertIfNegative val="0"/>
            <c:bubble3D val="0"/>
            <c:spPr>
              <a:solidFill>
                <a:schemeClr val="accent6">
                  <a:lumMod val="75000"/>
                </a:schemeClr>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chemeClr val="accent6">
                  <a:lumMod val="75000"/>
                </a:schemeClr>
              </a:solidFill>
            </c:spPr>
          </c:dPt>
          <c:dPt>
            <c:idx val="12"/>
            <c:invertIfNegative val="0"/>
            <c:bubble3D val="0"/>
            <c:spPr>
              <a:solidFill>
                <a:srgbClr val="9BE5EF"/>
              </a:solidFill>
            </c:spPr>
          </c:dPt>
          <c:dPt>
            <c:idx val="13"/>
            <c:invertIfNegative val="0"/>
            <c:bubble3D val="0"/>
            <c:spPr>
              <a:solidFill>
                <a:srgbClr val="C0E43C"/>
              </a:solidFill>
            </c:spPr>
          </c:dPt>
          <c:dPt>
            <c:idx val="14"/>
            <c:invertIfNegative val="0"/>
            <c:bubble3D val="0"/>
            <c:spPr>
              <a:solidFill>
                <a:schemeClr val="accent6">
                  <a:lumMod val="75000"/>
                </a:schemeClr>
              </a:solidFill>
            </c:spPr>
          </c:dPt>
          <c:dPt>
            <c:idx val="15"/>
            <c:invertIfNegative val="0"/>
            <c:bubble3D val="0"/>
            <c:spPr>
              <a:solidFill>
                <a:srgbClr val="C0E43C"/>
              </a:solidFill>
            </c:spPr>
          </c:dPt>
          <c:dPt>
            <c:idx val="16"/>
            <c:invertIfNegative val="0"/>
            <c:bubble3D val="0"/>
            <c:spPr>
              <a:solidFill>
                <a:schemeClr val="accent6">
                  <a:lumMod val="50000"/>
                </a:schemeClr>
              </a:solidFill>
            </c:spPr>
          </c:dPt>
          <c:dPt>
            <c:idx val="17"/>
            <c:invertIfNegative val="0"/>
            <c:bubble3D val="0"/>
            <c:spPr>
              <a:solidFill>
                <a:srgbClr val="C0E43C"/>
              </a:solidFill>
            </c:spPr>
          </c:dPt>
          <c:dPt>
            <c:idx val="18"/>
            <c:invertIfNegative val="0"/>
            <c:bubble3D val="0"/>
            <c:spPr>
              <a:solidFill>
                <a:srgbClr val="9BE5EF"/>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chemeClr val="tx2">
                  <a:lumMod val="75000"/>
                </a:schemeClr>
              </a:solidFill>
            </c:spPr>
          </c:dPt>
          <c:dPt>
            <c:idx val="24"/>
            <c:invertIfNegative val="0"/>
            <c:bubble3D val="0"/>
            <c:spPr>
              <a:solidFill>
                <a:schemeClr val="tx2">
                  <a:lumMod val="75000"/>
                </a:schemeClr>
              </a:solidFill>
            </c:spPr>
          </c:dPt>
          <c:dPt>
            <c:idx val="25"/>
            <c:invertIfNegative val="0"/>
            <c:bubble3D val="0"/>
            <c:spPr>
              <a:solidFill>
                <a:schemeClr val="tx2">
                  <a:lumMod val="75000"/>
                </a:schemeClr>
              </a:solidFill>
            </c:spPr>
          </c:dPt>
          <c:dPt>
            <c:idx val="26"/>
            <c:invertIfNegative val="0"/>
            <c:bubble3D val="0"/>
            <c:spPr>
              <a:solidFill>
                <a:srgbClr val="C0E43C"/>
              </a:solidFill>
            </c:spPr>
          </c:dPt>
          <c:dPt>
            <c:idx val="27"/>
            <c:invertIfNegative val="0"/>
            <c:bubble3D val="0"/>
            <c:spPr>
              <a:solidFill>
                <a:schemeClr val="tx2">
                  <a:lumMod val="75000"/>
                </a:schemeClr>
              </a:solidFill>
            </c:spPr>
          </c:dPt>
          <c:cat>
            <c:strRef>
              <c:f>Sheet5!$A$2:$A$29</c:f>
              <c:strCache>
                <c:ptCount val="28"/>
                <c:pt idx="0">
                  <c:v>Graikija</c:v>
                </c:pt>
                <c:pt idx="1">
                  <c:v>Slovakija</c:v>
                </c:pt>
                <c:pt idx="2">
                  <c:v>Lietuva</c:v>
                </c:pt>
                <c:pt idx="3">
                  <c:v>Ispanija</c:v>
                </c:pt>
                <c:pt idx="4">
                  <c:v>Liuksemburgas</c:v>
                </c:pt>
                <c:pt idx="5">
                  <c:v>Italija</c:v>
                </c:pt>
                <c:pt idx="6">
                  <c:v>Nyderlandai</c:v>
                </c:pt>
                <c:pt idx="7">
                  <c:v>Bulgarija</c:v>
                </c:pt>
                <c:pt idx="8">
                  <c:v>Portugalija</c:v>
                </c:pt>
                <c:pt idx="9">
                  <c:v>Vengrija</c:v>
                </c:pt>
                <c:pt idx="10">
                  <c:v>Malta</c:v>
                </c:pt>
                <c:pt idx="11">
                  <c:v>Latvija</c:v>
                </c:pt>
                <c:pt idx="12">
                  <c:v>Lenkija</c:v>
                </c:pt>
                <c:pt idx="13">
                  <c:v>Prancūzija</c:v>
                </c:pt>
                <c:pt idx="14">
                  <c:v>Rumunija</c:v>
                </c:pt>
                <c:pt idx="15">
                  <c:v>Belgija</c:v>
                </c:pt>
                <c:pt idx="16">
                  <c:v>ES 27</c:v>
                </c:pt>
                <c:pt idx="17">
                  <c:v>Jungtinė Karalystė</c:v>
                </c:pt>
                <c:pt idx="18">
                  <c:v>Čekija</c:v>
                </c:pt>
                <c:pt idx="19">
                  <c:v>Kipras</c:v>
                </c:pt>
                <c:pt idx="20">
                  <c:v>Austrija</c:v>
                </c:pt>
                <c:pt idx="21">
                  <c:v>Slovėnija</c:v>
                </c:pt>
                <c:pt idx="22">
                  <c:v>Airija</c:v>
                </c:pt>
                <c:pt idx="23">
                  <c:v>Danija</c:v>
                </c:pt>
                <c:pt idx="24">
                  <c:v>Vokietija</c:v>
                </c:pt>
                <c:pt idx="25">
                  <c:v>Suomija</c:v>
                </c:pt>
                <c:pt idx="26">
                  <c:v>Estija</c:v>
                </c:pt>
                <c:pt idx="27">
                  <c:v>Švedija</c:v>
                </c:pt>
              </c:strCache>
            </c:strRef>
          </c:cat>
          <c:val>
            <c:numRef>
              <c:f>Sheet5!$B$2:$B$29</c:f>
              <c:numCache>
                <c:formatCode>General</c:formatCode>
                <c:ptCount val="28"/>
                <c:pt idx="0">
                  <c:v>0.22</c:v>
                </c:pt>
                <c:pt idx="1">
                  <c:v>0.23599999999999999</c:v>
                </c:pt>
                <c:pt idx="2">
                  <c:v>0.24</c:v>
                </c:pt>
                <c:pt idx="3">
                  <c:v>0.255</c:v>
                </c:pt>
                <c:pt idx="4">
                  <c:v>0.28799999999999998</c:v>
                </c:pt>
                <c:pt idx="5">
                  <c:v>0.28999999999999998</c:v>
                </c:pt>
                <c:pt idx="6">
                  <c:v>0.30499999999999999</c:v>
                </c:pt>
                <c:pt idx="7">
                  <c:v>0.312</c:v>
                </c:pt>
                <c:pt idx="8">
                  <c:v>0.32100000000000001</c:v>
                </c:pt>
                <c:pt idx="9">
                  <c:v>0.33300000000000002</c:v>
                </c:pt>
                <c:pt idx="10">
                  <c:v>0.35899999999999999</c:v>
                </c:pt>
                <c:pt idx="11">
                  <c:v>0.36899999999999999</c:v>
                </c:pt>
                <c:pt idx="12">
                  <c:v>0.38</c:v>
                </c:pt>
                <c:pt idx="13">
                  <c:v>0.40200000000000002</c:v>
                </c:pt>
                <c:pt idx="14">
                  <c:v>0.40899999999999997</c:v>
                </c:pt>
                <c:pt idx="15">
                  <c:v>0.41699999999999998</c:v>
                </c:pt>
                <c:pt idx="16">
                  <c:v>0.44</c:v>
                </c:pt>
                <c:pt idx="17">
                  <c:v>0.45300000000000001</c:v>
                </c:pt>
                <c:pt idx="18">
                  <c:v>0.48199999999999998</c:v>
                </c:pt>
                <c:pt idx="19">
                  <c:v>0.501</c:v>
                </c:pt>
                <c:pt idx="20">
                  <c:v>0.50800000000000001</c:v>
                </c:pt>
                <c:pt idx="21">
                  <c:v>0.50800000000000001</c:v>
                </c:pt>
                <c:pt idx="22">
                  <c:v>0.52800000000000002</c:v>
                </c:pt>
                <c:pt idx="23">
                  <c:v>0.56399999999999995</c:v>
                </c:pt>
                <c:pt idx="24">
                  <c:v>0.63500000000000001</c:v>
                </c:pt>
                <c:pt idx="25">
                  <c:v>0.63900000000000001</c:v>
                </c:pt>
                <c:pt idx="26">
                  <c:v>0.66800000000000004</c:v>
                </c:pt>
                <c:pt idx="27">
                  <c:v>0.69099999999999995</c:v>
                </c:pt>
              </c:numCache>
            </c:numRef>
          </c:val>
        </c:ser>
        <c:dLbls>
          <c:showLegendKey val="0"/>
          <c:showVal val="0"/>
          <c:showCatName val="0"/>
          <c:showSerName val="0"/>
          <c:showPercent val="0"/>
          <c:showBubbleSize val="0"/>
        </c:dLbls>
        <c:gapWidth val="150"/>
        <c:axId val="234458624"/>
        <c:axId val="233977472"/>
      </c:barChart>
      <c:catAx>
        <c:axId val="234458624"/>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3977472"/>
        <c:crosses val="autoZero"/>
        <c:auto val="1"/>
        <c:lblAlgn val="ctr"/>
        <c:lblOffset val="100"/>
        <c:noMultiLvlLbl val="0"/>
      </c:catAx>
      <c:valAx>
        <c:axId val="233977472"/>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d)</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458624"/>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Nuolatinės investicijos</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dLbls>
          <c:showLegendKey val="0"/>
          <c:showVal val="0"/>
          <c:showCatName val="0"/>
          <c:showSerName val="0"/>
          <c:showPercent val="0"/>
          <c:showBubbleSize val="0"/>
        </c:dLbls>
        <c:gapWidth val="150"/>
        <c:axId val="234455040"/>
        <c:axId val="233979200"/>
      </c:barChart>
      <c:catAx>
        <c:axId val="234455040"/>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3979200"/>
        <c:crosses val="autoZero"/>
        <c:auto val="1"/>
        <c:lblAlgn val="ctr"/>
        <c:lblOffset val="100"/>
        <c:noMultiLvlLbl val="0"/>
      </c:catAx>
      <c:valAx>
        <c:axId val="233979200"/>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d)</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455040"/>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Bendradarbiavimas ir verslininkystė</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a:ln w="19050">
                <a:noFill/>
                <a:prstDash val="sysDash"/>
              </a:ln>
            </c:spPr>
          </c:dPt>
          <c:dPt>
            <c:idx val="3"/>
            <c:invertIfNegative val="0"/>
            <c:bubble3D val="0"/>
            <c:spPr>
              <a:solidFill>
                <a:srgbClr val="9BE5EF"/>
              </a:solidFill>
              <a:ln w="19050">
                <a:noFill/>
                <a:prstDash val="sysDash"/>
              </a:ln>
            </c:spPr>
          </c:dPt>
          <c:dPt>
            <c:idx val="4"/>
            <c:invertIfNegative val="0"/>
            <c:bubble3D val="0"/>
            <c:spPr>
              <a:solidFill>
                <a:srgbClr val="9BE5EF"/>
              </a:solidFill>
              <a:ln w="19050">
                <a:noFill/>
                <a:prstDash val="sysDash"/>
              </a:ln>
            </c:spPr>
          </c:dPt>
          <c:dPt>
            <c:idx val="5"/>
            <c:invertIfNegative val="0"/>
            <c:bubble3D val="0"/>
            <c:spPr>
              <a:solidFill>
                <a:srgbClr val="9BE5EF"/>
              </a:solidFill>
            </c:spPr>
          </c:dPt>
          <c:dPt>
            <c:idx val="6"/>
            <c:invertIfNegative val="0"/>
            <c:bubble3D val="0"/>
            <c:spPr>
              <a:solidFill>
                <a:schemeClr val="accent6">
                  <a:lumMod val="75000"/>
                </a:schemeClr>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rgbClr val="9BE5EF"/>
              </a:solidFill>
            </c:spPr>
          </c:dPt>
          <c:dPt>
            <c:idx val="12"/>
            <c:invertIfNegative val="0"/>
            <c:bubble3D val="0"/>
            <c:spPr>
              <a:solidFill>
                <a:srgbClr val="9BE5EF"/>
              </a:solidFill>
            </c:spPr>
          </c:dPt>
          <c:dPt>
            <c:idx val="13"/>
            <c:invertIfNegative val="0"/>
            <c:bubble3D val="0"/>
            <c:spPr>
              <a:solidFill>
                <a:schemeClr val="accent6">
                  <a:lumMod val="50000"/>
                </a:schemeClr>
              </a:solidFill>
            </c:spPr>
          </c:dPt>
          <c:dPt>
            <c:idx val="14"/>
            <c:invertIfNegative val="0"/>
            <c:bubble3D val="0"/>
            <c:spPr>
              <a:solidFill>
                <a:srgbClr val="C0E43C"/>
              </a:solidFill>
            </c:spPr>
          </c:dPt>
          <c:dPt>
            <c:idx val="15"/>
            <c:invertIfNegative val="0"/>
            <c:bubble3D val="0"/>
            <c:spPr>
              <a:solidFill>
                <a:srgbClr val="C0E43C"/>
              </a:solidFill>
            </c:spPr>
          </c:dPt>
          <c:dPt>
            <c:idx val="16"/>
            <c:invertIfNegative val="0"/>
            <c:bubble3D val="0"/>
            <c:spPr>
              <a:solidFill>
                <a:srgbClr val="C0E43C"/>
              </a:solidFill>
            </c:spPr>
          </c:dPt>
          <c:dPt>
            <c:idx val="17"/>
            <c:invertIfNegative val="0"/>
            <c:bubble3D val="0"/>
            <c:spPr>
              <a:solidFill>
                <a:srgbClr val="C0E43C"/>
              </a:solidFill>
            </c:spPr>
          </c:dPt>
          <c:dPt>
            <c:idx val="18"/>
            <c:invertIfNegative val="0"/>
            <c:bubble3D val="0"/>
            <c:spPr>
              <a:solidFill>
                <a:srgbClr val="C0E43C"/>
              </a:solidFill>
            </c:spPr>
          </c:dPt>
          <c:dPt>
            <c:idx val="19"/>
            <c:invertIfNegative val="0"/>
            <c:bubble3D val="0"/>
            <c:spPr>
              <a:solidFill>
                <a:schemeClr val="tx2">
                  <a:lumMod val="75000"/>
                </a:schemeClr>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chemeClr val="tx2">
                  <a:lumMod val="75000"/>
                </a:schemeClr>
              </a:solidFill>
            </c:spPr>
          </c:dPt>
          <c:dPt>
            <c:idx val="24"/>
            <c:invertIfNegative val="0"/>
            <c:bubble3D val="0"/>
            <c:spPr>
              <a:solidFill>
                <a:schemeClr val="tx2">
                  <a:lumMod val="75000"/>
                </a:schemeClr>
              </a:solidFill>
            </c:spPr>
          </c:dPt>
          <c:dPt>
            <c:idx val="25"/>
            <c:invertIfNegative val="0"/>
            <c:bubble3D val="0"/>
            <c:spPr>
              <a:solidFill>
                <a:srgbClr val="C0E43C"/>
              </a:solidFill>
            </c:spPr>
          </c:dPt>
          <c:dPt>
            <c:idx val="26"/>
            <c:invertIfNegative val="0"/>
            <c:bubble3D val="0"/>
            <c:spPr>
              <a:solidFill>
                <a:srgbClr val="C0E43C"/>
              </a:solidFill>
            </c:spPr>
          </c:dPt>
          <c:dPt>
            <c:idx val="27"/>
            <c:invertIfNegative val="0"/>
            <c:bubble3D val="0"/>
            <c:spPr>
              <a:solidFill>
                <a:schemeClr val="tx2">
                  <a:lumMod val="75000"/>
                </a:schemeClr>
              </a:solidFill>
            </c:spPr>
          </c:dPt>
          <c:cat>
            <c:strRef>
              <c:f>Sheet5!$C$2:$C$29</c:f>
              <c:strCache>
                <c:ptCount val="28"/>
                <c:pt idx="0">
                  <c:v>Latvija</c:v>
                </c:pt>
                <c:pt idx="1">
                  <c:v>Bulgarija</c:v>
                </c:pt>
                <c:pt idx="2">
                  <c:v>Rumunija</c:v>
                </c:pt>
                <c:pt idx="3">
                  <c:v>Lenkija</c:v>
                </c:pt>
                <c:pt idx="4">
                  <c:v>Malta</c:v>
                </c:pt>
                <c:pt idx="5">
                  <c:v>Slovakija</c:v>
                </c:pt>
                <c:pt idx="6">
                  <c:v>Lietuva</c:v>
                </c:pt>
                <c:pt idx="7">
                  <c:v>Vengrija</c:v>
                </c:pt>
                <c:pt idx="8">
                  <c:v>Ispanija</c:v>
                </c:pt>
                <c:pt idx="9">
                  <c:v>Italija</c:v>
                </c:pt>
                <c:pt idx="10">
                  <c:v>Čekija</c:v>
                </c:pt>
                <c:pt idx="11">
                  <c:v>Portugalija</c:v>
                </c:pt>
                <c:pt idx="12">
                  <c:v>Graikija</c:v>
                </c:pt>
                <c:pt idx="13">
                  <c:v>ES 27</c:v>
                </c:pt>
                <c:pt idx="14">
                  <c:v>Airija</c:v>
                </c:pt>
                <c:pt idx="15">
                  <c:v>Prancūzija</c:v>
                </c:pt>
                <c:pt idx="16">
                  <c:v>Liuksemburgas</c:v>
                </c:pt>
                <c:pt idx="17">
                  <c:v>Nyderlandai</c:v>
                </c:pt>
                <c:pt idx="18">
                  <c:v>Slovėnija</c:v>
                </c:pt>
                <c:pt idx="19">
                  <c:v>Vokietija</c:v>
                </c:pt>
                <c:pt idx="20">
                  <c:v>Austrija</c:v>
                </c:pt>
                <c:pt idx="21">
                  <c:v>Estija</c:v>
                </c:pt>
                <c:pt idx="22">
                  <c:v>Kipras</c:v>
                </c:pt>
                <c:pt idx="23">
                  <c:v>Suomija</c:v>
                </c:pt>
                <c:pt idx="24">
                  <c:v>Švedija</c:v>
                </c:pt>
                <c:pt idx="25">
                  <c:v>Belgija</c:v>
                </c:pt>
                <c:pt idx="26">
                  <c:v>Jungtinė Karalystė</c:v>
                </c:pt>
                <c:pt idx="27">
                  <c:v>Danija</c:v>
                </c:pt>
              </c:strCache>
            </c:strRef>
          </c:cat>
          <c:val>
            <c:numRef>
              <c:f>Sheet5!$D$2:$D$29</c:f>
              <c:numCache>
                <c:formatCode>General</c:formatCode>
                <c:ptCount val="28"/>
                <c:pt idx="0">
                  <c:v>6.0999999999999999E-2</c:v>
                </c:pt>
                <c:pt idx="1">
                  <c:v>9.1999999999999998E-2</c:v>
                </c:pt>
                <c:pt idx="2">
                  <c:v>0.1</c:v>
                </c:pt>
                <c:pt idx="3">
                  <c:v>0.112</c:v>
                </c:pt>
                <c:pt idx="4">
                  <c:v>0.14799999999999999</c:v>
                </c:pt>
                <c:pt idx="5">
                  <c:v>0.16500000000000001</c:v>
                </c:pt>
                <c:pt idx="6">
                  <c:v>0.19500000000000001</c:v>
                </c:pt>
                <c:pt idx="7">
                  <c:v>0.20599999999999999</c:v>
                </c:pt>
                <c:pt idx="8">
                  <c:v>0.248</c:v>
                </c:pt>
                <c:pt idx="9">
                  <c:v>0.38700000000000001</c:v>
                </c:pt>
                <c:pt idx="10">
                  <c:v>0.44800000000000001</c:v>
                </c:pt>
                <c:pt idx="11">
                  <c:v>0.45800000000000002</c:v>
                </c:pt>
                <c:pt idx="12">
                  <c:v>0.46400000000000002</c:v>
                </c:pt>
                <c:pt idx="13">
                  <c:v>0.48699999999999999</c:v>
                </c:pt>
                <c:pt idx="14">
                  <c:v>0.51100000000000001</c:v>
                </c:pt>
                <c:pt idx="15">
                  <c:v>0.51100000000000001</c:v>
                </c:pt>
                <c:pt idx="16">
                  <c:v>0.53800000000000003</c:v>
                </c:pt>
                <c:pt idx="17">
                  <c:v>0.59199999999999997</c:v>
                </c:pt>
                <c:pt idx="18">
                  <c:v>0.60099999999999998</c:v>
                </c:pt>
                <c:pt idx="19">
                  <c:v>0.627</c:v>
                </c:pt>
                <c:pt idx="20">
                  <c:v>0.63100000000000001</c:v>
                </c:pt>
                <c:pt idx="21">
                  <c:v>0.65100000000000002</c:v>
                </c:pt>
                <c:pt idx="22">
                  <c:v>0.65700000000000003</c:v>
                </c:pt>
                <c:pt idx="23">
                  <c:v>0.76800000000000002</c:v>
                </c:pt>
                <c:pt idx="24">
                  <c:v>0.79300000000000004</c:v>
                </c:pt>
                <c:pt idx="25">
                  <c:v>0.82199999999999995</c:v>
                </c:pt>
                <c:pt idx="26">
                  <c:v>0.83599999999999997</c:v>
                </c:pt>
                <c:pt idx="27">
                  <c:v>0.93200000000000005</c:v>
                </c:pt>
              </c:numCache>
            </c:numRef>
          </c:val>
        </c:ser>
        <c:dLbls>
          <c:showLegendKey val="0"/>
          <c:showVal val="0"/>
          <c:showCatName val="0"/>
          <c:showSerName val="0"/>
          <c:showPercent val="0"/>
          <c:showBubbleSize val="0"/>
        </c:dLbls>
        <c:gapWidth val="150"/>
        <c:axId val="234742272"/>
        <c:axId val="234022016"/>
      </c:barChart>
      <c:catAx>
        <c:axId val="234742272"/>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4022016"/>
        <c:crosses val="autoZero"/>
        <c:auto val="1"/>
        <c:lblAlgn val="ctr"/>
        <c:lblOffset val="100"/>
        <c:noMultiLvlLbl val="0"/>
      </c:catAx>
      <c:valAx>
        <c:axId val="234022016"/>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e)</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74227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Intelektinė nuosavybė</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rgbClr val="9BE5EF"/>
              </a:solidFill>
              <a:ln w="19050">
                <a:noFill/>
                <a:prstDash val="sysDash"/>
              </a:ln>
            </c:spPr>
          </c:dPt>
          <c:dPt>
            <c:idx val="3"/>
            <c:invertIfNegative val="0"/>
            <c:bubble3D val="0"/>
            <c:spPr>
              <a:solidFill>
                <a:srgbClr val="9BE5EF"/>
              </a:solidFill>
              <a:ln w="19050">
                <a:noFill/>
                <a:prstDash val="sysDash"/>
              </a:ln>
            </c:spPr>
          </c:dPt>
          <c:dPt>
            <c:idx val="4"/>
            <c:invertIfNegative val="0"/>
            <c:bubble3D val="0"/>
            <c:spPr>
              <a:solidFill>
                <a:schemeClr val="accent6">
                  <a:lumMod val="75000"/>
                </a:schemeClr>
              </a:solidFill>
              <a:ln w="19050">
                <a:no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chemeClr val="accent6">
                  <a:lumMod val="75000"/>
                </a:schemeClr>
              </a:solidFill>
            </c:spPr>
          </c:dPt>
          <c:dPt>
            <c:idx val="9"/>
            <c:invertIfNegative val="0"/>
            <c:bubble3D val="0"/>
            <c:spPr>
              <a:solidFill>
                <a:srgbClr val="9BE5EF"/>
              </a:solidFill>
            </c:spPr>
          </c:dPt>
          <c:dPt>
            <c:idx val="10"/>
            <c:invertIfNegative val="0"/>
            <c:bubble3D val="0"/>
            <c:spPr>
              <a:solidFill>
                <a:srgbClr val="C0E43C"/>
              </a:solidFill>
            </c:spPr>
          </c:dPt>
          <c:dPt>
            <c:idx val="11"/>
            <c:invertIfNegative val="0"/>
            <c:bubble3D val="0"/>
            <c:spPr>
              <a:solidFill>
                <a:srgbClr val="C0E43C"/>
              </a:solidFill>
            </c:spPr>
          </c:dPt>
          <c:dPt>
            <c:idx val="12"/>
            <c:invertIfNegative val="0"/>
            <c:bubble3D val="0"/>
            <c:spPr>
              <a:solidFill>
                <a:srgbClr val="9BE5EF"/>
              </a:solidFill>
            </c:spPr>
          </c:dPt>
          <c:dPt>
            <c:idx val="13"/>
            <c:invertIfNegative val="0"/>
            <c:bubble3D val="0"/>
            <c:spPr>
              <a:solidFill>
                <a:srgbClr val="9BE5EF"/>
              </a:solidFill>
            </c:spPr>
          </c:dPt>
          <c:dPt>
            <c:idx val="14"/>
            <c:invertIfNegative val="0"/>
            <c:bubble3D val="0"/>
            <c:spPr>
              <a:solidFill>
                <a:srgbClr val="C0E43C"/>
              </a:solidFill>
            </c:spPr>
          </c:dPt>
          <c:dPt>
            <c:idx val="15"/>
            <c:invertIfNegative val="0"/>
            <c:bubble3D val="0"/>
            <c:spPr>
              <a:solidFill>
                <a:srgbClr val="C0E43C"/>
              </a:solidFill>
            </c:spPr>
          </c:dPt>
          <c:dPt>
            <c:idx val="16"/>
            <c:invertIfNegative val="0"/>
            <c:bubble3D val="0"/>
            <c:spPr>
              <a:solidFill>
                <a:srgbClr val="C0E43C"/>
              </a:solidFill>
            </c:spPr>
          </c:dPt>
          <c:dPt>
            <c:idx val="17"/>
            <c:invertIfNegative val="0"/>
            <c:bubble3D val="0"/>
            <c:spPr>
              <a:solidFill>
                <a:srgbClr val="C0E43C"/>
              </a:solidFill>
            </c:spPr>
          </c:dPt>
          <c:dPt>
            <c:idx val="18"/>
            <c:invertIfNegative val="0"/>
            <c:bubble3D val="0"/>
            <c:spPr>
              <a:solidFill>
                <a:srgbClr val="9BE5EF"/>
              </a:solidFill>
            </c:spPr>
          </c:dPt>
          <c:dPt>
            <c:idx val="19"/>
            <c:invertIfNegative val="0"/>
            <c:bubble3D val="0"/>
            <c:spPr>
              <a:solidFill>
                <a:srgbClr val="C0E43C"/>
              </a:solidFill>
            </c:spPr>
          </c:dPt>
          <c:dPt>
            <c:idx val="20"/>
            <c:invertIfNegative val="0"/>
            <c:bubble3D val="0"/>
            <c:spPr>
              <a:solidFill>
                <a:schemeClr val="accent6">
                  <a:lumMod val="50000"/>
                </a:schemeClr>
              </a:solidFill>
            </c:spPr>
          </c:dPt>
          <c:dPt>
            <c:idx val="21"/>
            <c:invertIfNegative val="0"/>
            <c:bubble3D val="0"/>
            <c:spPr>
              <a:solidFill>
                <a:srgbClr val="C0E43C"/>
              </a:solidFill>
            </c:spPr>
          </c:dPt>
          <c:dPt>
            <c:idx val="22"/>
            <c:invertIfNegative val="0"/>
            <c:bubble3D val="0"/>
            <c:spPr>
              <a:solidFill>
                <a:schemeClr val="tx2">
                  <a:lumMod val="75000"/>
                </a:schemeClr>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chemeClr val="tx2">
                  <a:lumMod val="75000"/>
                </a:schemeClr>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Sheet5!$A$2:$A$29</c:f>
              <c:strCache>
                <c:ptCount val="28"/>
                <c:pt idx="0">
                  <c:v>Rumunija</c:v>
                </c:pt>
                <c:pt idx="1">
                  <c:v>Lietuva</c:v>
                </c:pt>
                <c:pt idx="2">
                  <c:v>Graikija</c:v>
                </c:pt>
                <c:pt idx="3">
                  <c:v>Slovakija</c:v>
                </c:pt>
                <c:pt idx="4">
                  <c:v>Bulgarija</c:v>
                </c:pt>
                <c:pt idx="5">
                  <c:v>Lenkija</c:v>
                </c:pt>
                <c:pt idx="6">
                  <c:v>Čekija</c:v>
                </c:pt>
                <c:pt idx="7">
                  <c:v>Vengrija</c:v>
                </c:pt>
                <c:pt idx="8">
                  <c:v>Latvija</c:v>
                </c:pt>
                <c:pt idx="9">
                  <c:v>Portugalija</c:v>
                </c:pt>
                <c:pt idx="10">
                  <c:v>Kipras</c:v>
                </c:pt>
                <c:pt idx="11">
                  <c:v>Estija</c:v>
                </c:pt>
                <c:pt idx="12">
                  <c:v>Ispanija</c:v>
                </c:pt>
                <c:pt idx="13">
                  <c:v>Malta</c:v>
                </c:pt>
                <c:pt idx="14">
                  <c:v>Slovėnija</c:v>
                </c:pt>
                <c:pt idx="15">
                  <c:v>Jungtinė Karalystė</c:v>
                </c:pt>
                <c:pt idx="16">
                  <c:v>Airija</c:v>
                </c:pt>
                <c:pt idx="17">
                  <c:v>Prancūzija</c:v>
                </c:pt>
                <c:pt idx="18">
                  <c:v>Italija</c:v>
                </c:pt>
                <c:pt idx="19">
                  <c:v>Belgija</c:v>
                </c:pt>
                <c:pt idx="20">
                  <c:v>ES 27</c:v>
                </c:pt>
                <c:pt idx="21">
                  <c:v>Liuksemburgas</c:v>
                </c:pt>
                <c:pt idx="22">
                  <c:v>Suomija</c:v>
                </c:pt>
                <c:pt idx="23">
                  <c:v>Nyderlandai</c:v>
                </c:pt>
                <c:pt idx="24">
                  <c:v>Austrija</c:v>
                </c:pt>
                <c:pt idx="25">
                  <c:v>Vokietija</c:v>
                </c:pt>
                <c:pt idx="26">
                  <c:v>Švedija</c:v>
                </c:pt>
                <c:pt idx="27">
                  <c:v>Danija</c:v>
                </c:pt>
              </c:strCache>
            </c:strRef>
          </c:cat>
          <c:val>
            <c:numRef>
              <c:f>Sheet5!$B$2:$B$29</c:f>
              <c:numCache>
                <c:formatCode>General</c:formatCode>
                <c:ptCount val="28"/>
                <c:pt idx="0">
                  <c:v>6.7000000000000004E-2</c:v>
                </c:pt>
                <c:pt idx="1">
                  <c:v>0.13300000000000001</c:v>
                </c:pt>
                <c:pt idx="2">
                  <c:v>0.13500000000000001</c:v>
                </c:pt>
                <c:pt idx="3">
                  <c:v>0.14499999999999999</c:v>
                </c:pt>
                <c:pt idx="4">
                  <c:v>0.20100000000000001</c:v>
                </c:pt>
                <c:pt idx="5">
                  <c:v>0.25600000000000001</c:v>
                </c:pt>
                <c:pt idx="6">
                  <c:v>0.25700000000000001</c:v>
                </c:pt>
                <c:pt idx="7">
                  <c:v>0.26100000000000001</c:v>
                </c:pt>
                <c:pt idx="8">
                  <c:v>0.309</c:v>
                </c:pt>
                <c:pt idx="9">
                  <c:v>0.34499999999999997</c:v>
                </c:pt>
                <c:pt idx="10">
                  <c:v>0.35599999999999998</c:v>
                </c:pt>
                <c:pt idx="11">
                  <c:v>0.40300000000000002</c:v>
                </c:pt>
                <c:pt idx="12">
                  <c:v>0.40699999999999997</c:v>
                </c:pt>
                <c:pt idx="13">
                  <c:v>0.41299999999999998</c:v>
                </c:pt>
                <c:pt idx="14">
                  <c:v>0.44700000000000001</c:v>
                </c:pt>
                <c:pt idx="15">
                  <c:v>0.46899999999999997</c:v>
                </c:pt>
                <c:pt idx="16">
                  <c:v>0.47599999999999998</c:v>
                </c:pt>
                <c:pt idx="17">
                  <c:v>0.49</c:v>
                </c:pt>
                <c:pt idx="18">
                  <c:v>0.52</c:v>
                </c:pt>
                <c:pt idx="19">
                  <c:v>0.52200000000000002</c:v>
                </c:pt>
                <c:pt idx="20">
                  <c:v>0.55100000000000005</c:v>
                </c:pt>
                <c:pt idx="21">
                  <c:v>0.58899999999999997</c:v>
                </c:pt>
                <c:pt idx="22">
                  <c:v>0.66200000000000003</c:v>
                </c:pt>
                <c:pt idx="23">
                  <c:v>0.68</c:v>
                </c:pt>
                <c:pt idx="24">
                  <c:v>0.77300000000000002</c:v>
                </c:pt>
                <c:pt idx="25">
                  <c:v>0.79</c:v>
                </c:pt>
                <c:pt idx="26">
                  <c:v>0.79900000000000004</c:v>
                </c:pt>
                <c:pt idx="27">
                  <c:v>0.84499999999999997</c:v>
                </c:pt>
              </c:numCache>
            </c:numRef>
          </c:val>
        </c:ser>
        <c:dLbls>
          <c:showLegendKey val="0"/>
          <c:showVal val="0"/>
          <c:showCatName val="0"/>
          <c:showSerName val="0"/>
          <c:showPercent val="0"/>
          <c:showBubbleSize val="0"/>
        </c:dLbls>
        <c:gapWidth val="150"/>
        <c:axId val="234745344"/>
        <c:axId val="234023744"/>
      </c:barChart>
      <c:catAx>
        <c:axId val="234745344"/>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4023744"/>
        <c:crosses val="autoZero"/>
        <c:auto val="1"/>
        <c:lblAlgn val="ctr"/>
        <c:lblOffset val="100"/>
        <c:noMultiLvlLbl val="0"/>
      </c:catAx>
      <c:valAx>
        <c:axId val="234023744"/>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f)</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745344"/>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Inovacijų kūrėjai</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rgbClr val="9BE5EF"/>
              </a:solidFill>
            </c:spPr>
          </c:dPt>
          <c:dPt>
            <c:idx val="2"/>
            <c:invertIfNegative val="0"/>
            <c:bubble3D val="0"/>
            <c:spPr>
              <a:solidFill>
                <a:srgbClr val="9BE5EF"/>
              </a:solidFill>
              <a:ln w="19050">
                <a:noFill/>
                <a:prstDash val="sysDash"/>
              </a:ln>
            </c:spPr>
          </c:dPt>
          <c:dPt>
            <c:idx val="3"/>
            <c:invertIfNegative val="0"/>
            <c:bubble3D val="0"/>
            <c:spPr>
              <a:solidFill>
                <a:schemeClr val="accent6">
                  <a:lumMod val="75000"/>
                </a:schemeClr>
              </a:solidFill>
              <a:ln w="19050">
                <a:noFill/>
                <a:prstDash val="sysDash"/>
              </a:ln>
            </c:spPr>
          </c:dPt>
          <c:dPt>
            <c:idx val="4"/>
            <c:invertIfNegative val="0"/>
            <c:bubble3D val="0"/>
            <c:spPr>
              <a:solidFill>
                <a:schemeClr val="accent6">
                  <a:lumMod val="75000"/>
                </a:schemeClr>
              </a:solidFill>
              <a:ln w="19050">
                <a:noFill/>
                <a:prstDash val="sysDash"/>
              </a:ln>
            </c:spPr>
          </c:dPt>
          <c:dPt>
            <c:idx val="5"/>
            <c:invertIfNegative val="0"/>
            <c:bubble3D val="0"/>
            <c:spPr>
              <a:solidFill>
                <a:schemeClr val="accent6">
                  <a:lumMod val="75000"/>
                </a:schemeClr>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C0E43C"/>
              </a:solidFill>
            </c:spPr>
          </c:dPt>
          <c:dPt>
            <c:idx val="9"/>
            <c:invertIfNegative val="0"/>
            <c:bubble3D val="0"/>
            <c:spPr>
              <a:solidFill>
                <a:srgbClr val="9BE5EF"/>
              </a:solidFill>
            </c:spPr>
          </c:dPt>
          <c:dPt>
            <c:idx val="10"/>
            <c:invertIfNegative val="0"/>
            <c:bubble3D val="0"/>
            <c:spPr>
              <a:solidFill>
                <a:srgbClr val="C0E43C"/>
              </a:solidFill>
            </c:spPr>
          </c:dPt>
          <c:dPt>
            <c:idx val="11"/>
            <c:invertIfNegative val="0"/>
            <c:bubble3D val="0"/>
            <c:spPr>
              <a:solidFill>
                <a:srgbClr val="C0E43C"/>
              </a:solidFill>
            </c:spPr>
          </c:dPt>
          <c:dPt>
            <c:idx val="12"/>
            <c:invertIfNegative val="0"/>
            <c:bubble3D val="0"/>
            <c:spPr>
              <a:solidFill>
                <a:srgbClr val="C0E43C"/>
              </a:solidFill>
            </c:spPr>
          </c:dPt>
          <c:dPt>
            <c:idx val="13"/>
            <c:invertIfNegative val="0"/>
            <c:bubble3D val="0"/>
            <c:spPr>
              <a:solidFill>
                <a:srgbClr val="C0E43C"/>
              </a:solidFill>
            </c:spPr>
          </c:dPt>
          <c:dPt>
            <c:idx val="14"/>
            <c:invertIfNegative val="0"/>
            <c:bubble3D val="0"/>
            <c:spPr>
              <a:solidFill>
                <a:schemeClr val="accent6">
                  <a:lumMod val="50000"/>
                </a:schemeClr>
              </a:solidFill>
            </c:spPr>
          </c:dPt>
          <c:dPt>
            <c:idx val="15"/>
            <c:invertIfNegative val="0"/>
            <c:bubble3D val="0"/>
            <c:spPr>
              <a:solidFill>
                <a:schemeClr val="tx2">
                  <a:lumMod val="75000"/>
                </a:schemeClr>
              </a:solidFill>
            </c:spPr>
          </c:dPt>
          <c:dPt>
            <c:idx val="16"/>
            <c:invertIfNegative val="0"/>
            <c:bubble3D val="0"/>
            <c:spPr>
              <a:solidFill>
                <a:srgbClr val="9BE5EF"/>
              </a:solidFill>
            </c:spPr>
          </c:dPt>
          <c:dPt>
            <c:idx val="17"/>
            <c:invertIfNegative val="0"/>
            <c:bubble3D val="0"/>
            <c:spPr>
              <a:solidFill>
                <a:schemeClr val="tx2">
                  <a:lumMod val="75000"/>
                </a:schemeClr>
              </a:solidFill>
            </c:spPr>
          </c:dPt>
          <c:dPt>
            <c:idx val="18"/>
            <c:invertIfNegative val="0"/>
            <c:bubble3D val="0"/>
            <c:spPr>
              <a:solidFill>
                <a:schemeClr val="tx2">
                  <a:lumMod val="75000"/>
                </a:schemeClr>
              </a:solidFill>
            </c:spPr>
          </c:dPt>
          <c:dPt>
            <c:idx val="19"/>
            <c:invertIfNegative val="0"/>
            <c:bubble3D val="0"/>
            <c:spPr>
              <a:solidFill>
                <a:srgbClr val="C0E43C"/>
              </a:solidFill>
            </c:spPr>
          </c:dPt>
          <c:dPt>
            <c:idx val="20"/>
            <c:invertIfNegative val="0"/>
            <c:bubble3D val="0"/>
            <c:spPr>
              <a:solidFill>
                <a:srgbClr val="9BE5EF"/>
              </a:solidFill>
            </c:spPr>
          </c:dPt>
          <c:dPt>
            <c:idx val="21"/>
            <c:invertIfNegative val="0"/>
            <c:bubble3D val="0"/>
            <c:spPr>
              <a:solidFill>
                <a:srgbClr val="C0E43C"/>
              </a:solidFill>
            </c:spPr>
          </c:dPt>
          <c:dPt>
            <c:idx val="22"/>
            <c:invertIfNegative val="0"/>
            <c:bubble3D val="0"/>
            <c:spPr>
              <a:solidFill>
                <a:srgbClr val="9BE5EF"/>
              </a:solidFill>
            </c:spPr>
          </c:dPt>
          <c:dPt>
            <c:idx val="23"/>
            <c:invertIfNegative val="0"/>
            <c:bubble3D val="0"/>
            <c:spPr>
              <a:solidFill>
                <a:srgbClr val="C0E43C"/>
              </a:solidFill>
            </c:spPr>
          </c:dPt>
          <c:dPt>
            <c:idx val="24"/>
            <c:invertIfNegative val="0"/>
            <c:bubble3D val="0"/>
            <c:spPr>
              <a:solidFill>
                <a:srgbClr val="C0E43C"/>
              </a:solidFill>
            </c:spPr>
          </c:dPt>
          <c:dPt>
            <c:idx val="25"/>
            <c:invertIfNegative val="0"/>
            <c:bubble3D val="0"/>
            <c:spPr>
              <a:solidFill>
                <a:srgbClr val="9BE5EF"/>
              </a:solidFill>
            </c:spPr>
          </c:dPt>
          <c:dPt>
            <c:idx val="26"/>
            <c:invertIfNegative val="0"/>
            <c:bubble3D val="0"/>
            <c:spPr>
              <a:solidFill>
                <a:srgbClr val="C0E43C"/>
              </a:solidFill>
            </c:spPr>
          </c:dPt>
          <c:dPt>
            <c:idx val="27"/>
            <c:invertIfNegative val="0"/>
            <c:bubble3D val="0"/>
            <c:spPr>
              <a:solidFill>
                <a:schemeClr val="tx2">
                  <a:lumMod val="75000"/>
                </a:schemeClr>
              </a:solidFill>
            </c:spPr>
          </c:dPt>
          <c:cat>
            <c:strRef>
              <c:f>Sheet5!$E$2:$E$29</c:f>
              <c:strCache>
                <c:ptCount val="28"/>
                <c:pt idx="0">
                  <c:v>Latvija</c:v>
                </c:pt>
                <c:pt idx="1">
                  <c:v>Lenkija</c:v>
                </c:pt>
                <c:pt idx="2">
                  <c:v>Vengrija</c:v>
                </c:pt>
                <c:pt idx="3">
                  <c:v>Bulgarija</c:v>
                </c:pt>
                <c:pt idx="4">
                  <c:v>Rumunija</c:v>
                </c:pt>
                <c:pt idx="5">
                  <c:v>Lietuva</c:v>
                </c:pt>
                <c:pt idx="6">
                  <c:v>Slovakija</c:v>
                </c:pt>
                <c:pt idx="7">
                  <c:v>Malta</c:v>
                </c:pt>
                <c:pt idx="8">
                  <c:v>Jungtinė Karalystė</c:v>
                </c:pt>
                <c:pt idx="9">
                  <c:v>Ispanija</c:v>
                </c:pt>
                <c:pt idx="10">
                  <c:v>Nyderlandai</c:v>
                </c:pt>
                <c:pt idx="11">
                  <c:v>Airija</c:v>
                </c:pt>
                <c:pt idx="12">
                  <c:v>Slovėnija</c:v>
                </c:pt>
                <c:pt idx="13">
                  <c:v>Prancūzija</c:v>
                </c:pt>
                <c:pt idx="14">
                  <c:v>ES 27</c:v>
                </c:pt>
                <c:pt idx="15">
                  <c:v>Suomija</c:v>
                </c:pt>
                <c:pt idx="16">
                  <c:v>Italija</c:v>
                </c:pt>
                <c:pt idx="17">
                  <c:v>Danija</c:v>
                </c:pt>
                <c:pt idx="18">
                  <c:v>Švedija</c:v>
                </c:pt>
                <c:pt idx="19">
                  <c:v>Estija</c:v>
                </c:pt>
                <c:pt idx="20">
                  <c:v>Čekija</c:v>
                </c:pt>
                <c:pt idx="21">
                  <c:v>Austrija</c:v>
                </c:pt>
                <c:pt idx="22">
                  <c:v>Graikija</c:v>
                </c:pt>
                <c:pt idx="23">
                  <c:v>Belgija</c:v>
                </c:pt>
                <c:pt idx="24">
                  <c:v>Kipras</c:v>
                </c:pt>
                <c:pt idx="25">
                  <c:v>Portugalija</c:v>
                </c:pt>
                <c:pt idx="26">
                  <c:v>Liuksemburgas</c:v>
                </c:pt>
                <c:pt idx="27">
                  <c:v>Vokietija</c:v>
                </c:pt>
              </c:strCache>
            </c:strRef>
          </c:cat>
          <c:val>
            <c:numRef>
              <c:f>Sheet5!$F$2:$F$29</c:f>
              <c:numCache>
                <c:formatCode>General</c:formatCode>
                <c:ptCount val="28"/>
                <c:pt idx="0">
                  <c:v>3.5000000000000003E-2</c:v>
                </c:pt>
                <c:pt idx="1">
                  <c:v>8.6999999999999994E-2</c:v>
                </c:pt>
                <c:pt idx="2">
                  <c:v>9.8000000000000004E-2</c:v>
                </c:pt>
                <c:pt idx="3">
                  <c:v>0.114</c:v>
                </c:pt>
                <c:pt idx="4">
                  <c:v>0.16700000000000001</c:v>
                </c:pt>
                <c:pt idx="5">
                  <c:v>0.17</c:v>
                </c:pt>
                <c:pt idx="6">
                  <c:v>0.20599999999999999</c:v>
                </c:pt>
                <c:pt idx="7">
                  <c:v>0.26400000000000001</c:v>
                </c:pt>
                <c:pt idx="8">
                  <c:v>0.309</c:v>
                </c:pt>
                <c:pt idx="9">
                  <c:v>0.33200000000000002</c:v>
                </c:pt>
                <c:pt idx="10">
                  <c:v>0.36599999999999999</c:v>
                </c:pt>
                <c:pt idx="11">
                  <c:v>0.44500000000000001</c:v>
                </c:pt>
                <c:pt idx="12">
                  <c:v>0.46899999999999997</c:v>
                </c:pt>
                <c:pt idx="13">
                  <c:v>0.47299999999999998</c:v>
                </c:pt>
                <c:pt idx="14">
                  <c:v>0.50600000000000001</c:v>
                </c:pt>
                <c:pt idx="15">
                  <c:v>0.52300000000000002</c:v>
                </c:pt>
                <c:pt idx="16">
                  <c:v>0.55500000000000005</c:v>
                </c:pt>
                <c:pt idx="17">
                  <c:v>0.55800000000000005</c:v>
                </c:pt>
                <c:pt idx="18">
                  <c:v>0.56200000000000006</c:v>
                </c:pt>
                <c:pt idx="19">
                  <c:v>0.57599999999999996</c:v>
                </c:pt>
                <c:pt idx="20">
                  <c:v>0.58399999999999996</c:v>
                </c:pt>
                <c:pt idx="21">
                  <c:v>0.61099999999999999</c:v>
                </c:pt>
                <c:pt idx="22">
                  <c:v>0.67</c:v>
                </c:pt>
                <c:pt idx="23">
                  <c:v>0.68</c:v>
                </c:pt>
                <c:pt idx="24">
                  <c:v>0.69099999999999995</c:v>
                </c:pt>
                <c:pt idx="25">
                  <c:v>0.72399999999999998</c:v>
                </c:pt>
                <c:pt idx="26">
                  <c:v>0.74</c:v>
                </c:pt>
                <c:pt idx="27">
                  <c:v>0.99099999999999999</c:v>
                </c:pt>
              </c:numCache>
            </c:numRef>
          </c:val>
        </c:ser>
        <c:dLbls>
          <c:showLegendKey val="0"/>
          <c:showVal val="0"/>
          <c:showCatName val="0"/>
          <c:showSerName val="0"/>
          <c:showPercent val="0"/>
          <c:showBubbleSize val="0"/>
        </c:dLbls>
        <c:gapWidth val="150"/>
        <c:axId val="234644992"/>
        <c:axId val="234025472"/>
      </c:barChart>
      <c:catAx>
        <c:axId val="234644992"/>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4025472"/>
        <c:crosses val="autoZero"/>
        <c:auto val="1"/>
        <c:lblAlgn val="ctr"/>
        <c:lblOffset val="100"/>
        <c:noMultiLvlLbl val="0"/>
      </c:catAx>
      <c:valAx>
        <c:axId val="234025472"/>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g)</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464499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000" b="0">
                <a:latin typeface="Times New Roman" pitchFamily="18" charset="0"/>
                <a:cs typeface="Times New Roman" pitchFamily="18" charset="0"/>
              </a:rPr>
              <a:t>Ekonominis poveikis</a:t>
            </a:r>
          </a:p>
        </c:rich>
      </c:tx>
      <c:overlay val="1"/>
    </c:title>
    <c:autoTitleDeleted val="0"/>
    <c:plotArea>
      <c:layout>
        <c:manualLayout>
          <c:layoutTarget val="inner"/>
          <c:xMode val="edge"/>
          <c:yMode val="edge"/>
          <c:x val="9.0881976534414474E-2"/>
          <c:y val="0.11970686097282433"/>
          <c:w val="0.88434316999980056"/>
          <c:h val="0.46851384019202497"/>
        </c:manualLayout>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a:ln w="19050">
                <a:noFill/>
                <a:prstDash val="sysDash"/>
              </a:ln>
            </c:spPr>
          </c:dPt>
          <c:dPt>
            <c:idx val="3"/>
            <c:invertIfNegative val="0"/>
            <c:bubble3D val="0"/>
            <c:spPr>
              <a:solidFill>
                <a:srgbClr val="9BE5EF"/>
              </a:solidFill>
              <a:ln w="19050">
                <a:noFill/>
                <a:prstDash val="sysDash"/>
              </a:ln>
            </c:spPr>
          </c:dPt>
          <c:dPt>
            <c:idx val="4"/>
            <c:invertIfNegative val="0"/>
            <c:bubble3D val="0"/>
            <c:spPr>
              <a:solidFill>
                <a:srgbClr val="C0E43C"/>
              </a:solidFill>
              <a:ln w="19050">
                <a:noFill/>
                <a:prstDash val="sysDash"/>
              </a:ln>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C0E43C"/>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chemeClr val="accent6">
                  <a:lumMod val="75000"/>
                </a:schemeClr>
              </a:solidFill>
            </c:spPr>
          </c:dPt>
          <c:dPt>
            <c:idx val="12"/>
            <c:invertIfNegative val="0"/>
            <c:bubble3D val="0"/>
            <c:spPr>
              <a:solidFill>
                <a:srgbClr val="C0E43C"/>
              </a:solidFill>
            </c:spPr>
          </c:dPt>
          <c:dPt>
            <c:idx val="13"/>
            <c:invertIfNegative val="0"/>
            <c:bubble3D val="0"/>
            <c:spPr>
              <a:solidFill>
                <a:srgbClr val="C0E43C"/>
              </a:solidFill>
            </c:spPr>
          </c:dPt>
          <c:dPt>
            <c:idx val="14"/>
            <c:invertIfNegative val="0"/>
            <c:bubble3D val="0"/>
            <c:spPr>
              <a:solidFill>
                <a:srgbClr val="C0E43C"/>
              </a:solidFill>
            </c:spPr>
          </c:dPt>
          <c:dPt>
            <c:idx val="15"/>
            <c:invertIfNegative val="0"/>
            <c:bubble3D val="0"/>
            <c:spPr>
              <a:solidFill>
                <a:srgbClr val="C0E43C"/>
              </a:solidFill>
            </c:spPr>
          </c:dPt>
          <c:dPt>
            <c:idx val="16"/>
            <c:invertIfNegative val="0"/>
            <c:bubble3D val="0"/>
            <c:spPr>
              <a:solidFill>
                <a:srgbClr val="C0E43C"/>
              </a:solidFill>
            </c:spPr>
          </c:dPt>
          <c:dPt>
            <c:idx val="17"/>
            <c:invertIfNegative val="0"/>
            <c:bubble3D val="0"/>
            <c:spPr>
              <a:solidFill>
                <a:schemeClr val="accent6">
                  <a:lumMod val="50000"/>
                </a:schemeClr>
              </a:solidFill>
            </c:spPr>
          </c:dPt>
          <c:dPt>
            <c:idx val="18"/>
            <c:invertIfNegative val="0"/>
            <c:bubble3D val="0"/>
            <c:spPr>
              <a:solidFill>
                <a:srgbClr val="9BE5EF"/>
              </a:solidFill>
            </c:spPr>
          </c:dPt>
          <c:dPt>
            <c:idx val="19"/>
            <c:invertIfNegative val="0"/>
            <c:bubble3D val="0"/>
            <c:spPr>
              <a:solidFill>
                <a:srgbClr val="C0E43C"/>
              </a:solidFill>
            </c:spPr>
          </c:dPt>
          <c:dPt>
            <c:idx val="20"/>
            <c:invertIfNegative val="0"/>
            <c:bubble3D val="0"/>
            <c:spPr>
              <a:solidFill>
                <a:schemeClr val="tx2">
                  <a:lumMod val="75000"/>
                </a:schemeClr>
              </a:solidFill>
            </c:spPr>
          </c:dPt>
          <c:dPt>
            <c:idx val="21"/>
            <c:invertIfNegative val="0"/>
            <c:bubble3D val="0"/>
            <c:spPr>
              <a:solidFill>
                <a:schemeClr val="tx2">
                  <a:lumMod val="75000"/>
                </a:schemeClr>
              </a:solidFill>
            </c:spPr>
          </c:dPt>
          <c:dPt>
            <c:idx val="22"/>
            <c:invertIfNegative val="0"/>
            <c:bubble3D val="0"/>
            <c:spPr>
              <a:solidFill>
                <a:schemeClr val="tx2">
                  <a:lumMod val="75000"/>
                </a:schemeClr>
              </a:solidFill>
            </c:spPr>
          </c:dPt>
          <c:dPt>
            <c:idx val="23"/>
            <c:invertIfNegative val="0"/>
            <c:bubble3D val="0"/>
            <c:spPr>
              <a:solidFill>
                <a:srgbClr val="9BE5EF"/>
              </a:solidFill>
            </c:spPr>
          </c:dPt>
          <c:dPt>
            <c:idx val="24"/>
            <c:invertIfNegative val="0"/>
            <c:bubble3D val="0"/>
            <c:spPr>
              <a:solidFill>
                <a:srgbClr val="C0E43C"/>
              </a:solidFill>
            </c:spPr>
          </c:dPt>
          <c:dPt>
            <c:idx val="25"/>
            <c:invertIfNegative val="0"/>
            <c:bubble3D val="0"/>
            <c:spPr>
              <a:solidFill>
                <a:srgbClr val="9BE5EF"/>
              </a:solidFill>
            </c:spPr>
          </c:dPt>
          <c:dPt>
            <c:idx val="26"/>
            <c:invertIfNegative val="0"/>
            <c:bubble3D val="0"/>
            <c:spPr>
              <a:solidFill>
                <a:srgbClr val="C0E43C"/>
              </a:solidFill>
            </c:spPr>
          </c:dPt>
          <c:dPt>
            <c:idx val="27"/>
            <c:invertIfNegative val="0"/>
            <c:bubble3D val="0"/>
            <c:spPr>
              <a:solidFill>
                <a:schemeClr val="tx2">
                  <a:lumMod val="75000"/>
                </a:schemeClr>
              </a:solidFill>
            </c:spPr>
          </c:dPt>
          <c:cat>
            <c:strRef>
              <c:f>Sheet5!$A$2:$A$29</c:f>
              <c:strCache>
                <c:ptCount val="28"/>
                <c:pt idx="0">
                  <c:v>Lietuva</c:v>
                </c:pt>
                <c:pt idx="1">
                  <c:v>Latvija</c:v>
                </c:pt>
                <c:pt idx="2">
                  <c:v>Bulgarija</c:v>
                </c:pt>
                <c:pt idx="3">
                  <c:v>Graikija</c:v>
                </c:pt>
                <c:pt idx="4">
                  <c:v>Estija</c:v>
                </c:pt>
                <c:pt idx="5">
                  <c:v>Portugalija</c:v>
                </c:pt>
                <c:pt idx="6">
                  <c:v>Lenkija</c:v>
                </c:pt>
                <c:pt idx="7">
                  <c:v>Slovakija</c:v>
                </c:pt>
                <c:pt idx="8">
                  <c:v>Austrija</c:v>
                </c:pt>
                <c:pt idx="9">
                  <c:v>Ispanija</c:v>
                </c:pt>
                <c:pt idx="10">
                  <c:v>Italija</c:v>
                </c:pt>
                <c:pt idx="11">
                  <c:v>Rumunija</c:v>
                </c:pt>
                <c:pt idx="12">
                  <c:v>Belgija</c:v>
                </c:pt>
                <c:pt idx="13">
                  <c:v>Slovėnija</c:v>
                </c:pt>
                <c:pt idx="14">
                  <c:v>Kipras</c:v>
                </c:pt>
                <c:pt idx="15">
                  <c:v>Nyderlandai</c:v>
                </c:pt>
                <c:pt idx="16">
                  <c:v>Prancūzija</c:v>
                </c:pt>
                <c:pt idx="17">
                  <c:v>ES 27</c:v>
                </c:pt>
                <c:pt idx="18">
                  <c:v>Čekija</c:v>
                </c:pt>
                <c:pt idx="19">
                  <c:v>Jungtinė Karalystė</c:v>
                </c:pt>
                <c:pt idx="20">
                  <c:v>Švedija</c:v>
                </c:pt>
                <c:pt idx="21">
                  <c:v>Danija</c:v>
                </c:pt>
                <c:pt idx="22">
                  <c:v>Suomija</c:v>
                </c:pt>
                <c:pt idx="23">
                  <c:v>Vengrija</c:v>
                </c:pt>
                <c:pt idx="24">
                  <c:v>Liuksemburgas</c:v>
                </c:pt>
                <c:pt idx="25">
                  <c:v>Malta</c:v>
                </c:pt>
                <c:pt idx="26">
                  <c:v>Airija</c:v>
                </c:pt>
                <c:pt idx="27">
                  <c:v>Vokietija</c:v>
                </c:pt>
              </c:strCache>
            </c:strRef>
          </c:cat>
          <c:val>
            <c:numRef>
              <c:f>Sheet5!$B$2:$B$29</c:f>
              <c:numCache>
                <c:formatCode>General</c:formatCode>
                <c:ptCount val="28"/>
                <c:pt idx="0">
                  <c:v>0.20899999999999999</c:v>
                </c:pt>
                <c:pt idx="1">
                  <c:v>0.26200000000000001</c:v>
                </c:pt>
                <c:pt idx="2">
                  <c:v>0.314</c:v>
                </c:pt>
                <c:pt idx="3">
                  <c:v>0.34799999999999998</c:v>
                </c:pt>
                <c:pt idx="4">
                  <c:v>0.36599999999999999</c:v>
                </c:pt>
                <c:pt idx="5">
                  <c:v>0.36599999999999999</c:v>
                </c:pt>
                <c:pt idx="6">
                  <c:v>0.377</c:v>
                </c:pt>
                <c:pt idx="7">
                  <c:v>0.42799999999999999</c:v>
                </c:pt>
                <c:pt idx="8">
                  <c:v>0.46800000000000003</c:v>
                </c:pt>
                <c:pt idx="9">
                  <c:v>0.47199999999999998</c:v>
                </c:pt>
                <c:pt idx="10">
                  <c:v>0.47699999999999998</c:v>
                </c:pt>
                <c:pt idx="11">
                  <c:v>0.49</c:v>
                </c:pt>
                <c:pt idx="12">
                  <c:v>0.52300000000000002</c:v>
                </c:pt>
                <c:pt idx="13">
                  <c:v>0.52800000000000002</c:v>
                </c:pt>
                <c:pt idx="14">
                  <c:v>0.53</c:v>
                </c:pt>
                <c:pt idx="15">
                  <c:v>0.56499999999999995</c:v>
                </c:pt>
                <c:pt idx="16">
                  <c:v>0.56699999999999995</c:v>
                </c:pt>
                <c:pt idx="17">
                  <c:v>0.58499999999999996</c:v>
                </c:pt>
                <c:pt idx="18">
                  <c:v>0.58599999999999997</c:v>
                </c:pt>
                <c:pt idx="19">
                  <c:v>0.61299999999999999</c:v>
                </c:pt>
                <c:pt idx="20">
                  <c:v>0.622</c:v>
                </c:pt>
                <c:pt idx="21">
                  <c:v>0.63500000000000001</c:v>
                </c:pt>
                <c:pt idx="22">
                  <c:v>0.63800000000000001</c:v>
                </c:pt>
                <c:pt idx="23">
                  <c:v>0.65700000000000003</c:v>
                </c:pt>
                <c:pt idx="24">
                  <c:v>0.65900000000000003</c:v>
                </c:pt>
                <c:pt idx="25">
                  <c:v>0.67100000000000004</c:v>
                </c:pt>
                <c:pt idx="26">
                  <c:v>0.72699999999999998</c:v>
                </c:pt>
                <c:pt idx="27">
                  <c:v>0.74099999999999999</c:v>
                </c:pt>
              </c:numCache>
            </c:numRef>
          </c:val>
        </c:ser>
        <c:dLbls>
          <c:showLegendKey val="0"/>
          <c:showVal val="0"/>
          <c:showCatName val="0"/>
          <c:showSerName val="0"/>
          <c:showPercent val="0"/>
          <c:showBubbleSize val="0"/>
        </c:dLbls>
        <c:gapWidth val="150"/>
        <c:axId val="235090432"/>
        <c:axId val="234027200"/>
      </c:barChart>
      <c:catAx>
        <c:axId val="235090432"/>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lt-LT"/>
          </a:p>
        </c:txPr>
        <c:crossAx val="234027200"/>
        <c:crosses val="autoZero"/>
        <c:auto val="1"/>
        <c:lblAlgn val="ctr"/>
        <c:lblOffset val="100"/>
        <c:noMultiLvlLbl val="0"/>
      </c:catAx>
      <c:valAx>
        <c:axId val="234027200"/>
        <c:scaling>
          <c:orientation val="minMax"/>
        </c:scaling>
        <c:delete val="0"/>
        <c:axPos val="l"/>
        <c:majorGridlines/>
        <c:title>
          <c:tx>
            <c:rich>
              <a:bodyPr rot="0" vert="horz"/>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 h)</a:t>
                </a:r>
              </a:p>
            </c:rich>
          </c:tx>
          <c:overlay val="0"/>
        </c:title>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5090432"/>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750812089082926"/>
          <c:y val="3.4364261168384883E-2"/>
        </c:manualLayout>
      </c:layout>
      <c:overlay val="0"/>
      <c:txPr>
        <a:bodyPr/>
        <a:lstStyle/>
        <a:p>
          <a:pPr>
            <a:defRPr sz="1000">
              <a:latin typeface="Times New Roman" pitchFamily="18" charset="0"/>
              <a:cs typeface="Times New Roman" pitchFamily="18" charset="0"/>
            </a:defRPr>
          </a:pPr>
          <a:endParaRPr lang="lt-LT"/>
        </a:p>
      </c:txPr>
    </c:title>
    <c:autoTitleDeleted val="0"/>
    <c:plotArea>
      <c:layout/>
      <c:pieChart>
        <c:varyColors val="1"/>
        <c:ser>
          <c:idx val="1"/>
          <c:order val="1"/>
          <c:tx>
            <c:strRef>
              <c:f>'investicijos pagal stadiją'!$B$6</c:f>
              <c:strCache>
                <c:ptCount val="1"/>
                <c:pt idx="0">
                  <c:v>Baltijos valstybės</c:v>
                </c:pt>
              </c:strCache>
            </c:strRef>
          </c:tx>
          <c:dPt>
            <c:idx val="0"/>
            <c:bubble3D val="0"/>
            <c:spPr>
              <a:solidFill>
                <a:srgbClr val="002060"/>
              </a:solidFill>
            </c:spPr>
          </c:dPt>
          <c:dPt>
            <c:idx val="1"/>
            <c:bubble3D val="0"/>
            <c:spPr>
              <a:solidFill>
                <a:schemeClr val="accent6">
                  <a:lumMod val="75000"/>
                </a:schemeClr>
              </a:solidFill>
            </c:spPr>
          </c:dPt>
          <c:dPt>
            <c:idx val="2"/>
            <c:bubble3D val="0"/>
            <c:spPr>
              <a:solidFill>
                <a:srgbClr val="C0E43C"/>
              </a:solidFill>
            </c:spPr>
          </c:dPt>
          <c:dLbls>
            <c:dLbl>
              <c:idx val="0"/>
              <c:layout>
                <c:manualLayout>
                  <c:x val="0.13614848886463449"/>
                  <c:y val="4.4231404064182696E-2"/>
                </c:manualLayout>
              </c:layout>
              <c:showLegendKey val="0"/>
              <c:showVal val="0"/>
              <c:showCatName val="1"/>
              <c:showSerName val="0"/>
              <c:showPercent val="1"/>
              <c:showBubbleSize val="0"/>
            </c:dLbl>
            <c:dLbl>
              <c:idx val="1"/>
              <c:layout>
                <c:manualLayout>
                  <c:x val="0.22992281905355877"/>
                  <c:y val="-5.3976242660389098E-3"/>
                </c:manualLayout>
              </c:layout>
              <c:showLegendKey val="0"/>
              <c:showVal val="0"/>
              <c:showCatName val="1"/>
              <c:showSerName val="0"/>
              <c:showPercent val="1"/>
              <c:showBubbleSize val="0"/>
            </c:dLbl>
            <c:dLbl>
              <c:idx val="2"/>
              <c:layout>
                <c:manualLayout>
                  <c:x val="-0.12935214781320653"/>
                  <c:y val="0.12667586654760937"/>
                </c:manualLayout>
              </c:layout>
              <c:showLegendKey val="0"/>
              <c:showVal val="0"/>
              <c:showCatName val="1"/>
              <c:showSerName val="0"/>
              <c:showPercent val="1"/>
              <c:showBubbleSize val="0"/>
            </c:dLbl>
            <c:txPr>
              <a:bodyPr/>
              <a:lstStyle/>
              <a:p>
                <a:pPr>
                  <a:defRPr sz="900">
                    <a:latin typeface="Times New Roman" pitchFamily="18" charset="0"/>
                    <a:cs typeface="Times New Roman" pitchFamily="18" charset="0"/>
                  </a:defRPr>
                </a:pPr>
                <a:endParaRPr lang="lt-LT"/>
              </a:p>
            </c:txPr>
            <c:showLegendKey val="0"/>
            <c:showVal val="0"/>
            <c:showCatName val="1"/>
            <c:showSerName val="0"/>
            <c:showPercent val="1"/>
            <c:showBubbleSize val="0"/>
            <c:showLeaderLines val="1"/>
          </c:dLbls>
          <c:cat>
            <c:strRef>
              <c:f>'investicijos pagal stadiją'!$A$7:$A$9</c:f>
              <c:strCache>
                <c:ptCount val="3"/>
                <c:pt idx="0">
                  <c:v>Sėjos kapitalas </c:v>
                </c:pt>
                <c:pt idx="1">
                  <c:v>Pradžios kapitalas</c:v>
                </c:pt>
                <c:pt idx="2">
                  <c:v>Plėtros kapitalas</c:v>
                </c:pt>
              </c:strCache>
            </c:strRef>
          </c:cat>
          <c:val>
            <c:numRef>
              <c:f>'investicijos pagal stadiją'!$B$7:$B$9</c:f>
              <c:numCache>
                <c:formatCode>General</c:formatCode>
                <c:ptCount val="3"/>
                <c:pt idx="0">
                  <c:v>15.11</c:v>
                </c:pt>
                <c:pt idx="1">
                  <c:v>70.819999999999993</c:v>
                </c:pt>
                <c:pt idx="2">
                  <c:v>14.06</c:v>
                </c:pt>
              </c:numCache>
            </c:numRef>
          </c:val>
        </c:ser>
        <c:ser>
          <c:idx val="0"/>
          <c:order val="0"/>
          <c:tx>
            <c:strRef>
              <c:f>'investicijos pagal stadiją'!$B$1</c:f>
              <c:strCache>
                <c:ptCount val="1"/>
                <c:pt idx="0">
                  <c:v>ES</c:v>
                </c:pt>
              </c:strCache>
            </c:strRef>
          </c:tx>
          <c:dPt>
            <c:idx val="0"/>
            <c:bubble3D val="0"/>
            <c:spPr>
              <a:solidFill>
                <a:srgbClr val="002060"/>
              </a:solidFill>
            </c:spPr>
          </c:dPt>
          <c:dPt>
            <c:idx val="1"/>
            <c:bubble3D val="0"/>
            <c:spPr>
              <a:solidFill>
                <a:schemeClr val="accent6">
                  <a:lumMod val="75000"/>
                </a:schemeClr>
              </a:solidFill>
            </c:spPr>
          </c:dPt>
          <c:dPt>
            <c:idx val="2"/>
            <c:bubble3D val="0"/>
            <c:spPr>
              <a:solidFill>
                <a:srgbClr val="C0E43C"/>
              </a:solidFill>
            </c:spPr>
          </c:dPt>
          <c:cat>
            <c:strRef>
              <c:f>'investicijos pagal stadiją'!$A$2:$A$4</c:f>
              <c:strCache>
                <c:ptCount val="3"/>
                <c:pt idx="0">
                  <c:v>Sėjos kapitalas </c:v>
                </c:pt>
                <c:pt idx="1">
                  <c:v>Pradžios kapitalas</c:v>
                </c:pt>
                <c:pt idx="2">
                  <c:v>Plėtros kapitalas</c:v>
                </c:pt>
              </c:strCache>
            </c:strRef>
          </c:cat>
          <c:val>
            <c:numRef>
              <c:f>'investicijos pagal stadiją'!$B$2:$B$4</c:f>
              <c:numCache>
                <c:formatCode>General</c:formatCode>
                <c:ptCount val="3"/>
                <c:pt idx="0">
                  <c:v>3.17</c:v>
                </c:pt>
                <c:pt idx="1">
                  <c:v>49.25</c:v>
                </c:pt>
                <c:pt idx="2">
                  <c:v>47.58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latin typeface="Times New Roman" pitchFamily="18" charset="0"/>
              <a:cs typeface="Times New Roman" pitchFamily="18" charset="0"/>
            </a:defRPr>
          </a:pPr>
          <a:endParaRPr lang="lt-LT"/>
        </a:p>
      </c:txPr>
    </c:title>
    <c:autoTitleDeleted val="0"/>
    <c:plotArea>
      <c:layout/>
      <c:pieChart>
        <c:varyColors val="1"/>
        <c:ser>
          <c:idx val="0"/>
          <c:order val="0"/>
          <c:tx>
            <c:strRef>
              <c:f>'investicijos pagal stadiją'!$B$1</c:f>
              <c:strCache>
                <c:ptCount val="1"/>
                <c:pt idx="0">
                  <c:v>ES</c:v>
                </c:pt>
              </c:strCache>
            </c:strRef>
          </c:tx>
          <c:dPt>
            <c:idx val="0"/>
            <c:bubble3D val="0"/>
            <c:spPr>
              <a:solidFill>
                <a:srgbClr val="002060"/>
              </a:solidFill>
            </c:spPr>
          </c:dPt>
          <c:dPt>
            <c:idx val="1"/>
            <c:bubble3D val="0"/>
            <c:spPr>
              <a:solidFill>
                <a:schemeClr val="accent6">
                  <a:lumMod val="75000"/>
                </a:schemeClr>
              </a:solidFill>
            </c:spPr>
          </c:dPt>
          <c:dPt>
            <c:idx val="2"/>
            <c:bubble3D val="0"/>
            <c:spPr>
              <a:solidFill>
                <a:srgbClr val="C0E43C"/>
              </a:solidFill>
            </c:spPr>
          </c:dPt>
          <c:dLbls>
            <c:dLbl>
              <c:idx val="0"/>
              <c:layout>
                <c:manualLayout>
                  <c:x val="0.15053981391012256"/>
                  <c:y val="5.8523946882877265E-2"/>
                </c:manualLayout>
              </c:layout>
              <c:showLegendKey val="0"/>
              <c:showVal val="0"/>
              <c:showCatName val="1"/>
              <c:showSerName val="0"/>
              <c:showPercent val="1"/>
              <c:showBubbleSize val="0"/>
            </c:dLbl>
            <c:dLbl>
              <c:idx val="1"/>
              <c:layout>
                <c:manualLayout>
                  <c:x val="2.838221864602691E-2"/>
                  <c:y val="9.0658246927054917E-2"/>
                </c:manualLayout>
              </c:layout>
              <c:showLegendKey val="0"/>
              <c:showVal val="0"/>
              <c:showCatName val="1"/>
              <c:showSerName val="0"/>
              <c:showPercent val="1"/>
              <c:showBubbleSize val="0"/>
            </c:dLbl>
            <c:dLbl>
              <c:idx val="2"/>
              <c:layout>
                <c:manualLayout>
                  <c:x val="-4.4038932633420826E-2"/>
                  <c:y val="5.9970836978710994E-2"/>
                </c:manualLayout>
              </c:layout>
              <c:showLegendKey val="0"/>
              <c:showVal val="0"/>
              <c:showCatName val="1"/>
              <c:showSerName val="0"/>
              <c:showPercent val="1"/>
              <c:showBubbleSize val="0"/>
            </c:dLbl>
            <c:txPr>
              <a:bodyPr/>
              <a:lstStyle/>
              <a:p>
                <a:pPr>
                  <a:defRPr sz="900">
                    <a:latin typeface="Times New Roman" pitchFamily="18" charset="0"/>
                    <a:cs typeface="Times New Roman" pitchFamily="18" charset="0"/>
                  </a:defRPr>
                </a:pPr>
                <a:endParaRPr lang="lt-LT"/>
              </a:p>
            </c:txPr>
            <c:showLegendKey val="0"/>
            <c:showVal val="0"/>
            <c:showCatName val="1"/>
            <c:showSerName val="0"/>
            <c:showPercent val="1"/>
            <c:showBubbleSize val="0"/>
            <c:showLeaderLines val="1"/>
          </c:dLbls>
          <c:cat>
            <c:strRef>
              <c:f>'investicijos pagal stadiją'!$A$2:$A$4</c:f>
              <c:strCache>
                <c:ptCount val="3"/>
                <c:pt idx="0">
                  <c:v>Sėjos kapitalas </c:v>
                </c:pt>
                <c:pt idx="1">
                  <c:v>Pradžios kapitalas</c:v>
                </c:pt>
                <c:pt idx="2">
                  <c:v>Plėtros kapitalas</c:v>
                </c:pt>
              </c:strCache>
            </c:strRef>
          </c:cat>
          <c:val>
            <c:numRef>
              <c:f>'investicijos pagal stadiją'!$B$2:$B$4</c:f>
              <c:numCache>
                <c:formatCode>General</c:formatCode>
                <c:ptCount val="3"/>
                <c:pt idx="0">
                  <c:v>3.17</c:v>
                </c:pt>
                <c:pt idx="1">
                  <c:v>49.25</c:v>
                </c:pt>
                <c:pt idx="2">
                  <c:v>47.58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903368328958881"/>
          <c:y val="5.0925925925925923E-2"/>
          <c:w val="0.63210564304461947"/>
          <c:h val="0.83772382618839314"/>
        </c:manualLayout>
      </c:layout>
      <c:barChart>
        <c:barDir val="bar"/>
        <c:grouping val="clustered"/>
        <c:varyColors val="0"/>
        <c:ser>
          <c:idx val="0"/>
          <c:order val="0"/>
          <c:tx>
            <c:strRef>
              <c:f>'investicijos pagal sektorius'!$H$1</c:f>
              <c:strCache>
                <c:ptCount val="1"/>
                <c:pt idx="0">
                  <c:v>ES</c:v>
                </c:pt>
              </c:strCache>
            </c:strRef>
          </c:tx>
          <c:spPr>
            <a:solidFill>
              <a:srgbClr val="C0E43C"/>
            </a:solidFill>
          </c:spPr>
          <c:invertIfNegative val="0"/>
          <c:cat>
            <c:strRef>
              <c:f>'investicijos pagal sektorius'!$G$2:$G$16</c:f>
              <c:strCache>
                <c:ptCount val="15"/>
                <c:pt idx="0">
                  <c:v>Žemės ūkis</c:v>
                </c:pt>
                <c:pt idx="1">
                  <c:v>Prekės verslui bei pramonei</c:v>
                </c:pt>
                <c:pt idx="2">
                  <c:v>Paslaugos verslui ir pramonei</c:v>
                </c:pt>
                <c:pt idx="3">
                  <c:v>Cheminės medžiagos ir žaliavis</c:v>
                </c:pt>
                <c:pt idx="4">
                  <c:v>Telekomunikacijos</c:v>
                </c:pt>
                <c:pt idx="5">
                  <c:v>Moderniosios technologijos</c:v>
                </c:pt>
                <c:pt idx="6">
                  <c:v>Statyba</c:v>
                </c:pt>
                <c:pt idx="7">
                  <c:v>Vartojimo prekės ir mažmeninė prekyba</c:v>
                </c:pt>
                <c:pt idx="8">
                  <c:v>Paslaugos vartotojams</c:v>
                </c:pt>
                <c:pt idx="9">
                  <c:v>Energijos išteklių gavyba</c:v>
                </c:pt>
                <c:pt idx="10">
                  <c:v>Finansinės paslaugos</c:v>
                </c:pt>
                <c:pt idx="11">
                  <c:v>Medicinos pramonė</c:v>
                </c:pt>
                <c:pt idx="12">
                  <c:v>Nekilnojamasis turtas</c:v>
                </c:pt>
                <c:pt idx="13">
                  <c:v>Gabenimas</c:v>
                </c:pt>
                <c:pt idx="14">
                  <c:v>Kita</c:v>
                </c:pt>
              </c:strCache>
            </c:strRef>
          </c:cat>
          <c:val>
            <c:numRef>
              <c:f>'investicijos pagal sektorius'!$H$2:$H$16</c:f>
              <c:numCache>
                <c:formatCode>General</c:formatCode>
                <c:ptCount val="15"/>
                <c:pt idx="0">
                  <c:v>1</c:v>
                </c:pt>
                <c:pt idx="1">
                  <c:v>6</c:v>
                </c:pt>
                <c:pt idx="2">
                  <c:v>3</c:v>
                </c:pt>
                <c:pt idx="3">
                  <c:v>2</c:v>
                </c:pt>
                <c:pt idx="4">
                  <c:v>15</c:v>
                </c:pt>
                <c:pt idx="5">
                  <c:v>20</c:v>
                </c:pt>
                <c:pt idx="6">
                  <c:v>1</c:v>
                </c:pt>
                <c:pt idx="7">
                  <c:v>4</c:v>
                </c:pt>
                <c:pt idx="8">
                  <c:v>3</c:v>
                </c:pt>
                <c:pt idx="9">
                  <c:v>11</c:v>
                </c:pt>
                <c:pt idx="10">
                  <c:v>2</c:v>
                </c:pt>
                <c:pt idx="11">
                  <c:v>30</c:v>
                </c:pt>
                <c:pt idx="12">
                  <c:v>1</c:v>
                </c:pt>
                <c:pt idx="13">
                  <c:v>1</c:v>
                </c:pt>
              </c:numCache>
            </c:numRef>
          </c:val>
        </c:ser>
        <c:ser>
          <c:idx val="1"/>
          <c:order val="1"/>
          <c:tx>
            <c:strRef>
              <c:f>'investicijos pagal sektorius'!$I$1</c:f>
              <c:strCache>
                <c:ptCount val="1"/>
                <c:pt idx="0">
                  <c:v>CEE</c:v>
                </c:pt>
              </c:strCache>
            </c:strRef>
          </c:tx>
          <c:spPr>
            <a:solidFill>
              <a:srgbClr val="002060"/>
            </a:solidFill>
          </c:spPr>
          <c:invertIfNegative val="0"/>
          <c:cat>
            <c:strRef>
              <c:f>'investicijos pagal sektorius'!$G$2:$G$16</c:f>
              <c:strCache>
                <c:ptCount val="15"/>
                <c:pt idx="0">
                  <c:v>Žemės ūkis</c:v>
                </c:pt>
                <c:pt idx="1">
                  <c:v>Prekės verslui bei pramonei</c:v>
                </c:pt>
                <c:pt idx="2">
                  <c:v>Paslaugos verslui ir pramonei</c:v>
                </c:pt>
                <c:pt idx="3">
                  <c:v>Cheminės medžiagos ir žaliavis</c:v>
                </c:pt>
                <c:pt idx="4">
                  <c:v>Telekomunikacijos</c:v>
                </c:pt>
                <c:pt idx="5">
                  <c:v>Moderniosios technologijos</c:v>
                </c:pt>
                <c:pt idx="6">
                  <c:v>Statyba</c:v>
                </c:pt>
                <c:pt idx="7">
                  <c:v>Vartojimo prekės ir mažmeninė prekyba</c:v>
                </c:pt>
                <c:pt idx="8">
                  <c:v>Paslaugos vartotojams</c:v>
                </c:pt>
                <c:pt idx="9">
                  <c:v>Energijos išteklių gavyba</c:v>
                </c:pt>
                <c:pt idx="10">
                  <c:v>Finansinės paslaugos</c:v>
                </c:pt>
                <c:pt idx="11">
                  <c:v>Medicinos pramonė</c:v>
                </c:pt>
                <c:pt idx="12">
                  <c:v>Nekilnojamasis turtas</c:v>
                </c:pt>
                <c:pt idx="13">
                  <c:v>Gabenimas</c:v>
                </c:pt>
                <c:pt idx="14">
                  <c:v>Kita</c:v>
                </c:pt>
              </c:strCache>
            </c:strRef>
          </c:cat>
          <c:val>
            <c:numRef>
              <c:f>'investicijos pagal sektorius'!$I$2:$I$16</c:f>
              <c:numCache>
                <c:formatCode>General</c:formatCode>
                <c:ptCount val="15"/>
                <c:pt idx="0">
                  <c:v>3.4</c:v>
                </c:pt>
                <c:pt idx="1">
                  <c:v>3.6</c:v>
                </c:pt>
                <c:pt idx="2">
                  <c:v>5.6</c:v>
                </c:pt>
                <c:pt idx="3">
                  <c:v>1.7</c:v>
                </c:pt>
                <c:pt idx="4">
                  <c:v>12.7</c:v>
                </c:pt>
                <c:pt idx="5">
                  <c:v>7.5</c:v>
                </c:pt>
                <c:pt idx="6">
                  <c:v>1.2</c:v>
                </c:pt>
                <c:pt idx="7">
                  <c:v>24.7</c:v>
                </c:pt>
                <c:pt idx="8">
                  <c:v>7.7</c:v>
                </c:pt>
                <c:pt idx="9">
                  <c:v>7.3</c:v>
                </c:pt>
                <c:pt idx="10">
                  <c:v>8.3000000000000007</c:v>
                </c:pt>
                <c:pt idx="11" formatCode="#,##0">
                  <c:v>12.3</c:v>
                </c:pt>
                <c:pt idx="12" formatCode="#,##0">
                  <c:v>0.3</c:v>
                </c:pt>
                <c:pt idx="13" formatCode="#,##0">
                  <c:v>3.7</c:v>
                </c:pt>
              </c:numCache>
            </c:numRef>
          </c:val>
        </c:ser>
        <c:ser>
          <c:idx val="2"/>
          <c:order val="2"/>
          <c:tx>
            <c:strRef>
              <c:f>'investicijos pagal sektorius'!$J$1</c:f>
              <c:strCache>
                <c:ptCount val="1"/>
                <c:pt idx="0">
                  <c:v>Baltijos valstybės</c:v>
                </c:pt>
              </c:strCache>
            </c:strRef>
          </c:tx>
          <c:spPr>
            <a:solidFill>
              <a:schemeClr val="accent6">
                <a:lumMod val="75000"/>
              </a:schemeClr>
            </a:solidFill>
          </c:spPr>
          <c:invertIfNegative val="0"/>
          <c:cat>
            <c:strRef>
              <c:f>'investicijos pagal sektorius'!$G$2:$G$16</c:f>
              <c:strCache>
                <c:ptCount val="15"/>
                <c:pt idx="0">
                  <c:v>Žemės ūkis</c:v>
                </c:pt>
                <c:pt idx="1">
                  <c:v>Prekės verslui bei pramonei</c:v>
                </c:pt>
                <c:pt idx="2">
                  <c:v>Paslaugos verslui ir pramonei</c:v>
                </c:pt>
                <c:pt idx="3">
                  <c:v>Cheminės medžiagos ir žaliavis</c:v>
                </c:pt>
                <c:pt idx="4">
                  <c:v>Telekomunikacijos</c:v>
                </c:pt>
                <c:pt idx="5">
                  <c:v>Moderniosios technologijos</c:v>
                </c:pt>
                <c:pt idx="6">
                  <c:v>Statyba</c:v>
                </c:pt>
                <c:pt idx="7">
                  <c:v>Vartojimo prekės ir mažmeninė prekyba</c:v>
                </c:pt>
                <c:pt idx="8">
                  <c:v>Paslaugos vartotojams</c:v>
                </c:pt>
                <c:pt idx="9">
                  <c:v>Energijos išteklių gavyba</c:v>
                </c:pt>
                <c:pt idx="10">
                  <c:v>Finansinės paslaugos</c:v>
                </c:pt>
                <c:pt idx="11">
                  <c:v>Medicinos pramonė</c:v>
                </c:pt>
                <c:pt idx="12">
                  <c:v>Nekilnojamasis turtas</c:v>
                </c:pt>
                <c:pt idx="13">
                  <c:v>Gabenimas</c:v>
                </c:pt>
                <c:pt idx="14">
                  <c:v>Kita</c:v>
                </c:pt>
              </c:strCache>
            </c:strRef>
          </c:cat>
          <c:val>
            <c:numRef>
              <c:f>'investicijos pagal sektorius'!$J$2:$J$16</c:f>
              <c:numCache>
                <c:formatCode>#,##0.0</c:formatCode>
                <c:ptCount val="15"/>
                <c:pt idx="0">
                  <c:v>0</c:v>
                </c:pt>
                <c:pt idx="1">
                  <c:v>7.6923076923076925</c:v>
                </c:pt>
                <c:pt idx="2">
                  <c:v>0</c:v>
                </c:pt>
                <c:pt idx="3">
                  <c:v>0</c:v>
                </c:pt>
                <c:pt idx="4">
                  <c:v>26.923076923076923</c:v>
                </c:pt>
                <c:pt idx="5">
                  <c:v>34.615384615384613</c:v>
                </c:pt>
                <c:pt idx="6">
                  <c:v>7.6923076923076925</c:v>
                </c:pt>
                <c:pt idx="7">
                  <c:v>3.8461538461538463</c:v>
                </c:pt>
                <c:pt idx="8">
                  <c:v>0</c:v>
                </c:pt>
                <c:pt idx="9">
                  <c:v>3.8461538461538463</c:v>
                </c:pt>
                <c:pt idx="10">
                  <c:v>0</c:v>
                </c:pt>
                <c:pt idx="11">
                  <c:v>11.538461538461538</c:v>
                </c:pt>
                <c:pt idx="12">
                  <c:v>0</c:v>
                </c:pt>
                <c:pt idx="13">
                  <c:v>3.8461538461538463</c:v>
                </c:pt>
                <c:pt idx="14">
                  <c:v>0</c:v>
                </c:pt>
              </c:numCache>
            </c:numRef>
          </c:val>
        </c:ser>
        <c:dLbls>
          <c:showLegendKey val="0"/>
          <c:showVal val="0"/>
          <c:showCatName val="0"/>
          <c:showSerName val="0"/>
          <c:showPercent val="0"/>
          <c:showBubbleSize val="0"/>
        </c:dLbls>
        <c:gapWidth val="150"/>
        <c:axId val="230185984"/>
        <c:axId val="229549184"/>
      </c:barChart>
      <c:catAx>
        <c:axId val="230185984"/>
        <c:scaling>
          <c:orientation val="minMax"/>
        </c:scaling>
        <c:delete val="0"/>
        <c:axPos val="l"/>
        <c:majorTickMark val="out"/>
        <c:minorTickMark val="none"/>
        <c:tickLblPos val="nextTo"/>
        <c:txPr>
          <a:bodyPr/>
          <a:lstStyle/>
          <a:p>
            <a:pPr>
              <a:defRPr sz="800">
                <a:latin typeface="Times New Roman" pitchFamily="18" charset="0"/>
                <a:cs typeface="Times New Roman" pitchFamily="18" charset="0"/>
              </a:defRPr>
            </a:pPr>
            <a:endParaRPr lang="lt-LT"/>
          </a:p>
        </c:txPr>
        <c:crossAx val="229549184"/>
        <c:crosses val="autoZero"/>
        <c:auto val="1"/>
        <c:lblAlgn val="ctr"/>
        <c:lblOffset val="100"/>
        <c:noMultiLvlLbl val="0"/>
      </c:catAx>
      <c:valAx>
        <c:axId val="229549184"/>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85984"/>
        <c:crosses val="autoZero"/>
        <c:crossBetween val="between"/>
      </c:valAx>
      <c:spPr>
        <a:noFill/>
      </c:spPr>
    </c:plotArea>
    <c:legend>
      <c:legendPos val="r"/>
      <c:layout>
        <c:manualLayout>
          <c:xMode val="edge"/>
          <c:yMode val="edge"/>
          <c:x val="2.0778168201287542E-2"/>
          <c:y val="0.95185340962814435"/>
          <c:w val="0.38394675421272667"/>
          <c:h val="4.8146590371855695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859564455971019"/>
          <c:y val="4.5905052447426063E-2"/>
          <c:w val="0.57119335083114597"/>
          <c:h val="0.82499581169375102"/>
        </c:manualLayout>
      </c:layout>
      <c:barChart>
        <c:barDir val="bar"/>
        <c:grouping val="clustered"/>
        <c:varyColors val="0"/>
        <c:ser>
          <c:idx val="0"/>
          <c:order val="0"/>
          <c:tx>
            <c:strRef>
              <c:f>investors!$B$1</c:f>
              <c:strCache>
                <c:ptCount val="1"/>
                <c:pt idx="0">
                  <c:v>ES </c:v>
                </c:pt>
              </c:strCache>
            </c:strRef>
          </c:tx>
          <c:spPr>
            <a:solidFill>
              <a:srgbClr val="C0E43C"/>
            </a:solidFill>
          </c:spPr>
          <c:invertIfNegative val="0"/>
          <c:cat>
            <c:strRef>
              <c:f>investors!$A$2:$A$15</c:f>
              <c:strCache>
                <c:ptCount val="14"/>
                <c:pt idx="0">
                  <c:v>Akademinės institucijos</c:v>
                </c:pt>
                <c:pt idx="1">
                  <c:v>Nežinomi investuotojai</c:v>
                </c:pt>
                <c:pt idx="2">
                  <c:v>Bankai</c:v>
                </c:pt>
                <c:pt idx="3">
                  <c:v>Kapitalo rinkos</c:v>
                </c:pt>
                <c:pt idx="4">
                  <c:v>Verslo įmonės</c:v>
                </c:pt>
                <c:pt idx="5">
                  <c:v>RKF valdymo įmonės</c:v>
                </c:pt>
                <c:pt idx="6">
                  <c:v>Turtingų šeimų valdomos įmonės</c:v>
                </c:pt>
                <c:pt idx="7">
                  <c:v>Fondų fondai</c:v>
                </c:pt>
                <c:pt idx="8">
                  <c:v>Valstybės institucijos</c:v>
                </c:pt>
                <c:pt idx="9">
                  <c:v>Draudimo kompanijos</c:v>
                </c:pt>
                <c:pt idx="10">
                  <c:v>Kiti turto valdytojai</c:v>
                </c:pt>
                <c:pt idx="11">
                  <c:v>Pensijų fondai</c:v>
                </c:pt>
                <c:pt idx="12">
                  <c:v>Turtingi fiziniai asmenys</c:v>
                </c:pt>
                <c:pt idx="13">
                  <c:v>Valstybiniai investiciniai fondai</c:v>
                </c:pt>
              </c:strCache>
            </c:strRef>
          </c:cat>
          <c:val>
            <c:numRef>
              <c:f>investors!$B$2:$B$15</c:f>
              <c:numCache>
                <c:formatCode>General</c:formatCode>
                <c:ptCount val="14"/>
                <c:pt idx="0">
                  <c:v>0.8</c:v>
                </c:pt>
                <c:pt idx="1">
                  <c:v>17</c:v>
                </c:pt>
                <c:pt idx="2">
                  <c:v>8.8000000000000007</c:v>
                </c:pt>
                <c:pt idx="3">
                  <c:v>7.3</c:v>
                </c:pt>
                <c:pt idx="4">
                  <c:v>3.2</c:v>
                </c:pt>
                <c:pt idx="5">
                  <c:v>1</c:v>
                </c:pt>
                <c:pt idx="6">
                  <c:v>9.4</c:v>
                </c:pt>
                <c:pt idx="7">
                  <c:v>10.5</c:v>
                </c:pt>
                <c:pt idx="8">
                  <c:v>9.3000000000000007</c:v>
                </c:pt>
                <c:pt idx="9">
                  <c:v>5.3</c:v>
                </c:pt>
                <c:pt idx="10">
                  <c:v>5.0999999999999996</c:v>
                </c:pt>
                <c:pt idx="11">
                  <c:v>12.1</c:v>
                </c:pt>
                <c:pt idx="12">
                  <c:v>3.5</c:v>
                </c:pt>
                <c:pt idx="13">
                  <c:v>5.8</c:v>
                </c:pt>
              </c:numCache>
            </c:numRef>
          </c:val>
        </c:ser>
        <c:ser>
          <c:idx val="1"/>
          <c:order val="1"/>
          <c:tx>
            <c:strRef>
              <c:f>investors!$C$1</c:f>
              <c:strCache>
                <c:ptCount val="1"/>
                <c:pt idx="0">
                  <c:v>Blatijos valstybės</c:v>
                </c:pt>
              </c:strCache>
            </c:strRef>
          </c:tx>
          <c:spPr>
            <a:solidFill>
              <a:srgbClr val="002060"/>
            </a:solidFill>
          </c:spPr>
          <c:invertIfNegative val="0"/>
          <c:cat>
            <c:strRef>
              <c:f>investors!$A$2:$A$15</c:f>
              <c:strCache>
                <c:ptCount val="14"/>
                <c:pt idx="0">
                  <c:v>Akademinės institucijos</c:v>
                </c:pt>
                <c:pt idx="1">
                  <c:v>Nežinomi investuotojai</c:v>
                </c:pt>
                <c:pt idx="2">
                  <c:v>Bankai</c:v>
                </c:pt>
                <c:pt idx="3">
                  <c:v>Kapitalo rinkos</c:v>
                </c:pt>
                <c:pt idx="4">
                  <c:v>Verslo įmonės</c:v>
                </c:pt>
                <c:pt idx="5">
                  <c:v>RKF valdymo įmonės</c:v>
                </c:pt>
                <c:pt idx="6">
                  <c:v>Turtingų šeimų valdomos įmonės</c:v>
                </c:pt>
                <c:pt idx="7">
                  <c:v>Fondų fondai</c:v>
                </c:pt>
                <c:pt idx="8">
                  <c:v>Valstybės institucijos</c:v>
                </c:pt>
                <c:pt idx="9">
                  <c:v>Draudimo kompanijos</c:v>
                </c:pt>
                <c:pt idx="10">
                  <c:v>Kiti turto valdytojai</c:v>
                </c:pt>
                <c:pt idx="11">
                  <c:v>Pensijų fondai</c:v>
                </c:pt>
                <c:pt idx="12">
                  <c:v>Turtingi fiziniai asmenys</c:v>
                </c:pt>
                <c:pt idx="13">
                  <c:v>Valstybiniai investiciniai fondai</c:v>
                </c:pt>
              </c:strCache>
            </c:strRef>
          </c:cat>
          <c:val>
            <c:numRef>
              <c:f>investors!$C$2:$C$15</c:f>
              <c:numCache>
                <c:formatCode>General</c:formatCode>
                <c:ptCount val="14"/>
                <c:pt idx="0">
                  <c:v>0</c:v>
                </c:pt>
                <c:pt idx="1">
                  <c:v>0.8</c:v>
                </c:pt>
                <c:pt idx="2">
                  <c:v>3</c:v>
                </c:pt>
                <c:pt idx="3">
                  <c:v>1</c:v>
                </c:pt>
                <c:pt idx="4">
                  <c:v>0</c:v>
                </c:pt>
                <c:pt idx="5">
                  <c:v>0</c:v>
                </c:pt>
                <c:pt idx="6">
                  <c:v>0</c:v>
                </c:pt>
                <c:pt idx="7">
                  <c:v>0</c:v>
                </c:pt>
                <c:pt idx="8">
                  <c:v>72.2</c:v>
                </c:pt>
                <c:pt idx="9">
                  <c:v>0</c:v>
                </c:pt>
                <c:pt idx="10">
                  <c:v>5.7</c:v>
                </c:pt>
                <c:pt idx="11">
                  <c:v>5.2</c:v>
                </c:pt>
                <c:pt idx="12">
                  <c:v>8.3000000000000007</c:v>
                </c:pt>
                <c:pt idx="13">
                  <c:v>0.8</c:v>
                </c:pt>
              </c:numCache>
            </c:numRef>
          </c:val>
        </c:ser>
        <c:dLbls>
          <c:showLegendKey val="0"/>
          <c:showVal val="0"/>
          <c:showCatName val="0"/>
          <c:showSerName val="0"/>
          <c:showPercent val="0"/>
          <c:showBubbleSize val="0"/>
        </c:dLbls>
        <c:gapWidth val="150"/>
        <c:axId val="230186496"/>
        <c:axId val="229550912"/>
      </c:barChart>
      <c:catAx>
        <c:axId val="230186496"/>
        <c:scaling>
          <c:orientation val="minMax"/>
        </c:scaling>
        <c:delete val="0"/>
        <c:axPos val="l"/>
        <c:majorTickMark val="out"/>
        <c:minorTickMark val="none"/>
        <c:tickLblPos val="nextTo"/>
        <c:txPr>
          <a:bodyPr/>
          <a:lstStyle/>
          <a:p>
            <a:pPr>
              <a:defRPr sz="800">
                <a:latin typeface="Times New Roman" pitchFamily="18" charset="0"/>
                <a:cs typeface="Times New Roman" pitchFamily="18" charset="0"/>
              </a:defRPr>
            </a:pPr>
            <a:endParaRPr lang="lt-LT"/>
          </a:p>
        </c:txPr>
        <c:crossAx val="229550912"/>
        <c:crosses val="autoZero"/>
        <c:auto val="1"/>
        <c:lblAlgn val="ctr"/>
        <c:lblOffset val="100"/>
        <c:noMultiLvlLbl val="0"/>
      </c:catAx>
      <c:valAx>
        <c:axId val="2295509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86496"/>
        <c:crosses val="autoZero"/>
        <c:crossBetween val="between"/>
      </c:valAx>
      <c:spPr>
        <a:noFill/>
      </c:spPr>
    </c:plotArea>
    <c:legend>
      <c:legendPos val="r"/>
      <c:layout>
        <c:manualLayout>
          <c:xMode val="edge"/>
          <c:yMode val="edge"/>
          <c:x val="0"/>
          <c:y val="0.94092717133762538"/>
          <c:w val="0.30225204871462369"/>
          <c:h val="5.6027890130754932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243000874890642E-2"/>
          <c:y val="5.0925925925925923E-2"/>
          <c:w val="0.78501460541476031"/>
          <c:h val="0.76008685277976618"/>
        </c:manualLayout>
      </c:layout>
      <c:barChart>
        <c:barDir val="col"/>
        <c:grouping val="clustered"/>
        <c:varyColors val="0"/>
        <c:ser>
          <c:idx val="0"/>
          <c:order val="0"/>
          <c:tx>
            <c:strRef>
              <c:f>Sheet4!$B$18</c:f>
              <c:strCache>
                <c:ptCount val="1"/>
                <c:pt idx="0">
                  <c:v>Realizuotų investicijų vertė</c:v>
                </c:pt>
              </c:strCache>
            </c:strRef>
          </c:tx>
          <c:spPr>
            <a:solidFill>
              <a:schemeClr val="accent6">
                <a:lumMod val="75000"/>
              </a:schemeClr>
            </a:solidFill>
          </c:spPr>
          <c:invertIfNegative val="0"/>
          <c:cat>
            <c:numRef>
              <c:f>Sheet4!$A$19:$A$22</c:f>
              <c:numCache>
                <c:formatCode>General</c:formatCode>
                <c:ptCount val="4"/>
                <c:pt idx="0">
                  <c:v>2007</c:v>
                </c:pt>
                <c:pt idx="1">
                  <c:v>2008</c:v>
                </c:pt>
                <c:pt idx="2">
                  <c:v>2009</c:v>
                </c:pt>
                <c:pt idx="3">
                  <c:v>2010</c:v>
                </c:pt>
              </c:numCache>
            </c:numRef>
          </c:cat>
          <c:val>
            <c:numRef>
              <c:f>Sheet4!$B$19:$B$22</c:f>
              <c:numCache>
                <c:formatCode>General</c:formatCode>
                <c:ptCount val="4"/>
                <c:pt idx="0">
                  <c:v>5.9569999999999999</c:v>
                </c:pt>
                <c:pt idx="1">
                  <c:v>12.994</c:v>
                </c:pt>
                <c:pt idx="2">
                  <c:v>1.224</c:v>
                </c:pt>
                <c:pt idx="3">
                  <c:v>6.8869999999999996</c:v>
                </c:pt>
              </c:numCache>
            </c:numRef>
          </c:val>
        </c:ser>
        <c:dLbls>
          <c:showLegendKey val="0"/>
          <c:showVal val="0"/>
          <c:showCatName val="0"/>
          <c:showSerName val="0"/>
          <c:showPercent val="0"/>
          <c:showBubbleSize val="0"/>
        </c:dLbls>
        <c:gapWidth val="150"/>
        <c:axId val="230191104"/>
        <c:axId val="229552640"/>
      </c:barChart>
      <c:lineChart>
        <c:grouping val="standard"/>
        <c:varyColors val="0"/>
        <c:ser>
          <c:idx val="1"/>
          <c:order val="1"/>
          <c:tx>
            <c:strRef>
              <c:f>Sheet4!$C$18</c:f>
              <c:strCache>
                <c:ptCount val="1"/>
                <c:pt idx="0">
                  <c:v>Realizuotų investicijų skaičius</c:v>
                </c:pt>
              </c:strCache>
            </c:strRef>
          </c:tx>
          <c:spPr>
            <a:ln>
              <a:solidFill>
                <a:schemeClr val="accent6">
                  <a:lumMod val="60000"/>
                  <a:lumOff val="40000"/>
                </a:schemeClr>
              </a:solidFill>
            </a:ln>
          </c:spPr>
          <c:marker>
            <c:spPr>
              <a:solidFill>
                <a:schemeClr val="accent6">
                  <a:lumMod val="60000"/>
                  <a:lumOff val="40000"/>
                </a:schemeClr>
              </a:solidFill>
              <a:ln>
                <a:solidFill>
                  <a:schemeClr val="accent6">
                    <a:lumMod val="60000"/>
                    <a:lumOff val="40000"/>
                  </a:schemeClr>
                </a:solidFill>
              </a:ln>
            </c:spPr>
          </c:marker>
          <c:cat>
            <c:numRef>
              <c:f>Sheet4!$A$19:$A$22</c:f>
              <c:numCache>
                <c:formatCode>General</c:formatCode>
                <c:ptCount val="4"/>
                <c:pt idx="0">
                  <c:v>2007</c:v>
                </c:pt>
                <c:pt idx="1">
                  <c:v>2008</c:v>
                </c:pt>
                <c:pt idx="2">
                  <c:v>2009</c:v>
                </c:pt>
                <c:pt idx="3">
                  <c:v>2010</c:v>
                </c:pt>
              </c:numCache>
            </c:numRef>
          </c:cat>
          <c:val>
            <c:numRef>
              <c:f>Sheet4!$C$19:$C$22</c:f>
              <c:numCache>
                <c:formatCode>General</c:formatCode>
                <c:ptCount val="4"/>
                <c:pt idx="0">
                  <c:v>6</c:v>
                </c:pt>
                <c:pt idx="1">
                  <c:v>9</c:v>
                </c:pt>
                <c:pt idx="2">
                  <c:v>2</c:v>
                </c:pt>
                <c:pt idx="3">
                  <c:v>5</c:v>
                </c:pt>
              </c:numCache>
            </c:numRef>
          </c:val>
          <c:smooth val="0"/>
        </c:ser>
        <c:dLbls>
          <c:showLegendKey val="0"/>
          <c:showVal val="0"/>
          <c:showCatName val="0"/>
          <c:showSerName val="0"/>
          <c:showPercent val="0"/>
          <c:showBubbleSize val="0"/>
        </c:dLbls>
        <c:marker val="1"/>
        <c:smooth val="0"/>
        <c:axId val="231867904"/>
        <c:axId val="229553216"/>
      </c:lineChart>
      <c:catAx>
        <c:axId val="23019110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29552640"/>
        <c:crosses val="autoZero"/>
        <c:auto val="1"/>
        <c:lblAlgn val="ctr"/>
        <c:lblOffset val="100"/>
        <c:noMultiLvlLbl val="0"/>
      </c:catAx>
      <c:valAx>
        <c:axId val="22955264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0191104"/>
        <c:crosses val="autoZero"/>
        <c:crossBetween val="between"/>
      </c:valAx>
      <c:valAx>
        <c:axId val="229553216"/>
        <c:scaling>
          <c:orientation val="minMax"/>
        </c:scaling>
        <c:delete val="0"/>
        <c:axPos val="r"/>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1867904"/>
        <c:crosses val="max"/>
        <c:crossBetween val="between"/>
      </c:valAx>
      <c:catAx>
        <c:axId val="231867904"/>
        <c:scaling>
          <c:orientation val="minMax"/>
        </c:scaling>
        <c:delete val="1"/>
        <c:axPos val="b"/>
        <c:numFmt formatCode="General" sourceLinked="1"/>
        <c:majorTickMark val="out"/>
        <c:minorTickMark val="none"/>
        <c:tickLblPos val="nextTo"/>
        <c:crossAx val="229553216"/>
        <c:crosses val="autoZero"/>
        <c:auto val="1"/>
        <c:lblAlgn val="ctr"/>
        <c:lblOffset val="100"/>
        <c:noMultiLvlLbl val="0"/>
      </c:catAx>
      <c:spPr>
        <a:noFill/>
        <a:ln>
          <a:noFill/>
        </a:ln>
      </c:spPr>
    </c:plotArea>
    <c:legend>
      <c:legendPos val="r"/>
      <c:layout>
        <c:manualLayout>
          <c:xMode val="edge"/>
          <c:yMode val="edge"/>
          <c:x val="6.9444444444444441E-3"/>
          <c:y val="0.88922061825605136"/>
          <c:w val="0.79027777777777775"/>
          <c:h val="0.11044765237678623"/>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dPt>
            <c:idx val="2"/>
            <c:invertIfNegative val="0"/>
            <c:bubble3D val="0"/>
            <c:spPr>
              <a:solidFill>
                <a:schemeClr val="accent6">
                  <a:lumMod val="75000"/>
                </a:schemeClr>
              </a:solidFill>
            </c:spPr>
          </c:dPt>
          <c:dPt>
            <c:idx val="3"/>
            <c:invertIfNegative val="0"/>
            <c:bubble3D val="0"/>
            <c:spPr>
              <a:solidFill>
                <a:schemeClr val="accent6">
                  <a:lumMod val="75000"/>
                </a:schemeClr>
              </a:solidFill>
            </c:spPr>
          </c:dPt>
          <c:dPt>
            <c:idx val="4"/>
            <c:invertIfNegative val="0"/>
            <c:bubble3D val="0"/>
            <c:spPr>
              <a:solidFill>
                <a:srgbClr val="9BE5EF"/>
              </a:solidFill>
            </c:spPr>
          </c:dPt>
          <c:dPt>
            <c:idx val="5"/>
            <c:invertIfNegative val="0"/>
            <c:bubble3D val="0"/>
            <c:spPr>
              <a:solidFill>
                <a:srgbClr val="9BE5EF"/>
              </a:solidFill>
            </c:spPr>
          </c:dPt>
          <c:dPt>
            <c:idx val="6"/>
            <c:invertIfNegative val="0"/>
            <c:bubble3D val="0"/>
            <c:spPr>
              <a:solidFill>
                <a:srgbClr val="9BE5EF"/>
              </a:solidFill>
            </c:spPr>
          </c:dPt>
          <c:dPt>
            <c:idx val="7"/>
            <c:invertIfNegative val="0"/>
            <c:bubble3D val="0"/>
            <c:spPr>
              <a:solidFill>
                <a:srgbClr val="9BE5EF"/>
              </a:solidFill>
            </c:spPr>
          </c:dPt>
          <c:dPt>
            <c:idx val="8"/>
            <c:invertIfNegative val="0"/>
            <c:bubble3D val="0"/>
            <c:spPr>
              <a:solidFill>
                <a:srgbClr val="9BE5EF"/>
              </a:solidFill>
            </c:spPr>
          </c:dPt>
          <c:dPt>
            <c:idx val="9"/>
            <c:invertIfNegative val="0"/>
            <c:bubble3D val="0"/>
            <c:spPr>
              <a:solidFill>
                <a:srgbClr val="9BE5EF"/>
              </a:solidFill>
            </c:spPr>
          </c:dPt>
          <c:dPt>
            <c:idx val="10"/>
            <c:invertIfNegative val="0"/>
            <c:bubble3D val="0"/>
            <c:spPr>
              <a:solidFill>
                <a:srgbClr val="9BE5EF"/>
              </a:solidFill>
            </c:spPr>
          </c:dPt>
          <c:dPt>
            <c:idx val="11"/>
            <c:invertIfNegative val="0"/>
            <c:bubble3D val="0"/>
            <c:spPr>
              <a:solidFill>
                <a:srgbClr val="9BE5EF"/>
              </a:solidFill>
            </c:spPr>
          </c:dPt>
          <c:dPt>
            <c:idx val="12"/>
            <c:invertIfNegative val="0"/>
            <c:bubble3D val="0"/>
            <c:spPr>
              <a:solidFill>
                <a:srgbClr val="9BE5EF"/>
              </a:solidFill>
            </c:spPr>
          </c:dPt>
          <c:dPt>
            <c:idx val="13"/>
            <c:invertIfNegative val="0"/>
            <c:bubble3D val="0"/>
            <c:spPr>
              <a:solidFill>
                <a:srgbClr val="C0E43C"/>
              </a:solidFill>
            </c:spPr>
          </c:dPt>
          <c:dPt>
            <c:idx val="14"/>
            <c:invertIfNegative val="0"/>
            <c:bubble3D val="0"/>
            <c:spPr>
              <a:solidFill>
                <a:srgbClr val="C0E43C"/>
              </a:solidFill>
            </c:spPr>
          </c:dPt>
          <c:dPt>
            <c:idx val="15"/>
            <c:invertIfNegative val="0"/>
            <c:bubble3D val="0"/>
            <c:spPr>
              <a:solidFill>
                <a:srgbClr val="C0E43C"/>
              </a:solidFill>
            </c:spPr>
          </c:dPt>
          <c:dPt>
            <c:idx val="16"/>
            <c:invertIfNegative val="0"/>
            <c:bubble3D val="0"/>
            <c:spPr>
              <a:solidFill>
                <a:schemeClr val="accent6">
                  <a:lumMod val="50000"/>
                </a:schemeClr>
              </a:solidFill>
            </c:spPr>
          </c:dPt>
          <c:dPt>
            <c:idx val="17"/>
            <c:invertIfNegative val="0"/>
            <c:bubble3D val="0"/>
            <c:spPr>
              <a:solidFill>
                <a:srgbClr val="C0E43C"/>
              </a:solidFill>
            </c:spPr>
          </c:dPt>
          <c:dPt>
            <c:idx val="18"/>
            <c:invertIfNegative val="0"/>
            <c:bubble3D val="0"/>
            <c:spPr>
              <a:solidFill>
                <a:srgbClr val="C0E43C"/>
              </a:solidFill>
            </c:spPr>
          </c:dPt>
          <c:dPt>
            <c:idx val="19"/>
            <c:invertIfNegative val="0"/>
            <c:bubble3D val="0"/>
            <c:spPr>
              <a:solidFill>
                <a:srgbClr val="C0E43C"/>
              </a:solidFill>
            </c:spPr>
          </c:dPt>
          <c:dPt>
            <c:idx val="20"/>
            <c:invertIfNegative val="0"/>
            <c:bubble3D val="0"/>
            <c:spPr>
              <a:solidFill>
                <a:srgbClr val="C0E43C"/>
              </a:solidFill>
            </c:spPr>
          </c:dPt>
          <c:dPt>
            <c:idx val="21"/>
            <c:invertIfNegative val="0"/>
            <c:bubble3D val="0"/>
            <c:spPr>
              <a:solidFill>
                <a:srgbClr val="C0E43C"/>
              </a:solidFill>
            </c:spPr>
          </c:dPt>
          <c:dPt>
            <c:idx val="22"/>
            <c:invertIfNegative val="0"/>
            <c:bubble3D val="0"/>
            <c:spPr>
              <a:solidFill>
                <a:srgbClr val="C0E43C"/>
              </a:solidFill>
            </c:spPr>
          </c:dPt>
          <c:dPt>
            <c:idx val="23"/>
            <c:invertIfNegative val="0"/>
            <c:bubble3D val="0"/>
            <c:spPr>
              <a:solidFill>
                <a:srgbClr val="C0E43C"/>
              </a:solidFill>
            </c:spPr>
          </c:dPt>
          <c:dPt>
            <c:idx val="24"/>
            <c:invertIfNegative val="0"/>
            <c:bubble3D val="0"/>
            <c:spPr>
              <a:solidFill>
                <a:schemeClr val="tx2">
                  <a:lumMod val="75000"/>
                </a:schemeClr>
              </a:solidFill>
            </c:spPr>
          </c:dPt>
          <c:dPt>
            <c:idx val="25"/>
            <c:invertIfNegative val="0"/>
            <c:bubble3D val="0"/>
            <c:spPr>
              <a:solidFill>
                <a:schemeClr val="tx2">
                  <a:lumMod val="75000"/>
                </a:schemeClr>
              </a:solidFill>
            </c:spPr>
          </c:dPt>
          <c:dPt>
            <c:idx val="26"/>
            <c:invertIfNegative val="0"/>
            <c:bubble3D val="0"/>
            <c:spPr>
              <a:solidFill>
                <a:schemeClr val="tx2">
                  <a:lumMod val="75000"/>
                </a:schemeClr>
              </a:solidFill>
            </c:spPr>
          </c:dPt>
          <c:dPt>
            <c:idx val="27"/>
            <c:invertIfNegative val="0"/>
            <c:bubble3D val="0"/>
            <c:spPr>
              <a:solidFill>
                <a:schemeClr val="tx2">
                  <a:lumMod val="75000"/>
                </a:schemeClr>
              </a:solidFill>
            </c:spPr>
          </c:dPt>
          <c:cat>
            <c:strRef>
              <c:f>'Suminis inovacijų indeksas ES'!$F$1:$F$28</c:f>
              <c:strCache>
                <c:ptCount val="28"/>
                <c:pt idx="0">
                  <c:v>Latvija</c:v>
                </c:pt>
                <c:pt idx="1">
                  <c:v>Bulgarija</c:v>
                </c:pt>
                <c:pt idx="2">
                  <c:v>Lietuva</c:v>
                </c:pt>
                <c:pt idx="3">
                  <c:v>Rumunija</c:v>
                </c:pt>
                <c:pt idx="4">
                  <c:v>Lenkija</c:v>
                </c:pt>
                <c:pt idx="5">
                  <c:v>Slovakija</c:v>
                </c:pt>
                <c:pt idx="6">
                  <c:v>Malta</c:v>
                </c:pt>
                <c:pt idx="7">
                  <c:v>Graikija</c:v>
                </c:pt>
                <c:pt idx="8">
                  <c:v>Vengrija</c:v>
                </c:pt>
                <c:pt idx="9">
                  <c:v>Ispanija</c:v>
                </c:pt>
                <c:pt idx="10">
                  <c:v>Čekija</c:v>
                </c:pt>
                <c:pt idx="11">
                  <c:v>Portugalija</c:v>
                </c:pt>
                <c:pt idx="12">
                  <c:v>Italija</c:v>
                </c:pt>
                <c:pt idx="13">
                  <c:v>Estija</c:v>
                </c:pt>
                <c:pt idx="14">
                  <c:v>Kipras</c:v>
                </c:pt>
                <c:pt idx="15">
                  <c:v>Slovėnija</c:v>
                </c:pt>
                <c:pt idx="16">
                  <c:v>ES 27</c:v>
                </c:pt>
                <c:pt idx="17">
                  <c:v>Prancūzija</c:v>
                </c:pt>
                <c:pt idx="18">
                  <c:v>Airija</c:v>
                </c:pt>
                <c:pt idx="19">
                  <c:v>Liuksemburgas</c:v>
                </c:pt>
                <c:pt idx="20">
                  <c:v>Austrija</c:v>
                </c:pt>
                <c:pt idx="21">
                  <c:v>Nyderlandai</c:v>
                </c:pt>
                <c:pt idx="22">
                  <c:v>Jungtinė Karalystė</c:v>
                </c:pt>
                <c:pt idx="23">
                  <c:v>Belgija</c:v>
                </c:pt>
                <c:pt idx="24">
                  <c:v>Suomija</c:v>
                </c:pt>
                <c:pt idx="25">
                  <c:v>Vokietija</c:v>
                </c:pt>
                <c:pt idx="26">
                  <c:v>Danija</c:v>
                </c:pt>
                <c:pt idx="27">
                  <c:v>Švedija</c:v>
                </c:pt>
              </c:strCache>
            </c:strRef>
          </c:cat>
          <c:val>
            <c:numRef>
              <c:f>'Suminis inovacijų indeksas ES'!$G$1:$G$28</c:f>
              <c:numCache>
                <c:formatCode>General</c:formatCode>
                <c:ptCount val="28"/>
                <c:pt idx="0">
                  <c:v>0.23</c:v>
                </c:pt>
                <c:pt idx="1">
                  <c:v>0.23899999999999999</c:v>
                </c:pt>
                <c:pt idx="2">
                  <c:v>0.255</c:v>
                </c:pt>
                <c:pt idx="3">
                  <c:v>0.26300000000000001</c:v>
                </c:pt>
                <c:pt idx="4">
                  <c:v>0.29599999999999999</c:v>
                </c:pt>
                <c:pt idx="5">
                  <c:v>0.30499999999999999</c:v>
                </c:pt>
                <c:pt idx="6">
                  <c:v>0.34</c:v>
                </c:pt>
                <c:pt idx="7">
                  <c:v>0.34300000000000003</c:v>
                </c:pt>
                <c:pt idx="8">
                  <c:v>0.35199999999999998</c:v>
                </c:pt>
                <c:pt idx="9">
                  <c:v>0.40600000000000003</c:v>
                </c:pt>
                <c:pt idx="10">
                  <c:v>0.436</c:v>
                </c:pt>
                <c:pt idx="11">
                  <c:v>0.438</c:v>
                </c:pt>
                <c:pt idx="12">
                  <c:v>0.441</c:v>
                </c:pt>
                <c:pt idx="13">
                  <c:v>0.496</c:v>
                </c:pt>
                <c:pt idx="14">
                  <c:v>0.50900000000000001</c:v>
                </c:pt>
                <c:pt idx="15">
                  <c:v>0.52100000000000002</c:v>
                </c:pt>
                <c:pt idx="16">
                  <c:v>0.53900000000000003</c:v>
                </c:pt>
                <c:pt idx="17">
                  <c:v>0.55800000000000005</c:v>
                </c:pt>
                <c:pt idx="18">
                  <c:v>0.58199999999999996</c:v>
                </c:pt>
                <c:pt idx="19">
                  <c:v>0.59499999999999997</c:v>
                </c:pt>
                <c:pt idx="20">
                  <c:v>0.59499999999999997</c:v>
                </c:pt>
                <c:pt idx="21">
                  <c:v>0.59599999999999997</c:v>
                </c:pt>
                <c:pt idx="22">
                  <c:v>0.62</c:v>
                </c:pt>
                <c:pt idx="23">
                  <c:v>0.621</c:v>
                </c:pt>
                <c:pt idx="24">
                  <c:v>0.69099999999999995</c:v>
                </c:pt>
                <c:pt idx="25">
                  <c:v>0.7</c:v>
                </c:pt>
                <c:pt idx="26">
                  <c:v>0.72399999999999998</c:v>
                </c:pt>
                <c:pt idx="27">
                  <c:v>0.755</c:v>
                </c:pt>
              </c:numCache>
            </c:numRef>
          </c:val>
        </c:ser>
        <c:dLbls>
          <c:showLegendKey val="0"/>
          <c:showVal val="0"/>
          <c:showCatName val="0"/>
          <c:showSerName val="0"/>
          <c:showPercent val="0"/>
          <c:showBubbleSize val="0"/>
        </c:dLbls>
        <c:gapWidth val="150"/>
        <c:axId val="231827968"/>
        <c:axId val="229554944"/>
      </c:barChart>
      <c:catAx>
        <c:axId val="231827968"/>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lt-LT"/>
          </a:p>
        </c:txPr>
        <c:crossAx val="229554944"/>
        <c:crosses val="autoZero"/>
        <c:auto val="1"/>
        <c:lblAlgn val="ctr"/>
        <c:lblOffset val="100"/>
        <c:noMultiLvlLbl val="0"/>
      </c:catAx>
      <c:valAx>
        <c:axId val="229554944"/>
        <c:scaling>
          <c:orientation val="minMax"/>
        </c:scaling>
        <c:delete val="0"/>
        <c:axPos val="l"/>
        <c:majorGridlines/>
        <c:numFmt formatCode="General" sourceLinked="1"/>
        <c:majorTickMark val="out"/>
        <c:minorTickMark val="none"/>
        <c:tickLblPos val="nextTo"/>
        <c:spPr>
          <a:noFill/>
        </c:spPr>
        <c:txPr>
          <a:bodyPr/>
          <a:lstStyle/>
          <a:p>
            <a:pPr>
              <a:defRPr>
                <a:latin typeface="Times New Roman" pitchFamily="18" charset="0"/>
                <a:cs typeface="Times New Roman" pitchFamily="18" charset="0"/>
              </a:defRPr>
            </a:pPr>
            <a:endParaRPr lang="lt-LT"/>
          </a:p>
        </c:txPr>
        <c:crossAx val="231827968"/>
        <c:crosses val="autoZero"/>
        <c:crossBetween val="between"/>
      </c:valAx>
      <c:spPr>
        <a:noFill/>
        <a:ln>
          <a:noFill/>
        </a:ln>
      </c:spPr>
    </c:plotArea>
    <c:plotVisOnly val="1"/>
    <c:dispBlanksAs val="gap"/>
    <c:showDLblsOverMax val="0"/>
  </c:chart>
  <c:spPr>
    <a:noFill/>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23613919844719"/>
          <c:y val="4.5197732801486187E-2"/>
          <c:w val="0.85574046491829603"/>
          <c:h val="0.70287836350696631"/>
        </c:manualLayout>
      </c:layout>
      <c:barChart>
        <c:barDir val="col"/>
        <c:grouping val="clustered"/>
        <c:varyColors val="0"/>
        <c:ser>
          <c:idx val="0"/>
          <c:order val="0"/>
          <c:tx>
            <c:strRef>
              <c:f>Sheet2!$B$1</c:f>
              <c:strCache>
                <c:ptCount val="1"/>
                <c:pt idx="0">
                  <c:v>0-4 metų</c:v>
                </c:pt>
              </c:strCache>
            </c:strRef>
          </c:tx>
          <c:spPr>
            <a:solidFill>
              <a:schemeClr val="accent6">
                <a:lumMod val="75000"/>
              </a:schemeClr>
            </a:solidFill>
          </c:spPr>
          <c:invertIfNegative val="0"/>
          <c:cat>
            <c:strRef>
              <c:f>Sheet2!$A$2:$A$10</c:f>
              <c:strCache>
                <c:ptCount val="9"/>
                <c:pt idx="0">
                  <c:v>Bulgarija</c:v>
                </c:pt>
                <c:pt idx="1">
                  <c:v>Rumunija</c:v>
                </c:pt>
                <c:pt idx="2">
                  <c:v>Lietuva</c:v>
                </c:pt>
                <c:pt idx="3">
                  <c:v>Latvija</c:v>
                </c:pt>
                <c:pt idx="4">
                  <c:v>ES 27</c:v>
                </c:pt>
                <c:pt idx="5">
                  <c:v>Suomija</c:v>
                </c:pt>
                <c:pt idx="6">
                  <c:v>Danija</c:v>
                </c:pt>
                <c:pt idx="7">
                  <c:v>Vokietija</c:v>
                </c:pt>
                <c:pt idx="8">
                  <c:v>Švedija</c:v>
                </c:pt>
              </c:strCache>
            </c:strRef>
          </c:cat>
          <c:val>
            <c:numRef>
              <c:f>Sheet2!$B$2:$B$10</c:f>
              <c:numCache>
                <c:formatCode>0.000</c:formatCode>
                <c:ptCount val="9"/>
                <c:pt idx="0">
                  <c:v>2.0449999999999999</c:v>
                </c:pt>
                <c:pt idx="1">
                  <c:v>3.8130000000000002</c:v>
                </c:pt>
                <c:pt idx="2">
                  <c:v>7.3559999999999999</c:v>
                </c:pt>
                <c:pt idx="3">
                  <c:v>12</c:v>
                </c:pt>
                <c:pt idx="4">
                  <c:v>17.789814814814818</c:v>
                </c:pt>
                <c:pt idx="5">
                  <c:v>23.369</c:v>
                </c:pt>
                <c:pt idx="6">
                  <c:v>43.116999999999997</c:v>
                </c:pt>
                <c:pt idx="7">
                  <c:v>22.143000000000001</c:v>
                </c:pt>
                <c:pt idx="8">
                  <c:v>28.591000000000001</c:v>
                </c:pt>
              </c:numCache>
            </c:numRef>
          </c:val>
        </c:ser>
        <c:ser>
          <c:idx val="1"/>
          <c:order val="1"/>
          <c:tx>
            <c:strRef>
              <c:f>Sheet2!$C$1</c:f>
              <c:strCache>
                <c:ptCount val="1"/>
                <c:pt idx="0">
                  <c:v>5-7 metų</c:v>
                </c:pt>
              </c:strCache>
            </c:strRef>
          </c:tx>
          <c:spPr>
            <a:solidFill>
              <a:srgbClr val="9BE5EF"/>
            </a:solidFill>
          </c:spPr>
          <c:invertIfNegative val="0"/>
          <c:cat>
            <c:strRef>
              <c:f>Sheet2!$A$2:$A$10</c:f>
              <c:strCache>
                <c:ptCount val="9"/>
                <c:pt idx="0">
                  <c:v>Bulgarija</c:v>
                </c:pt>
                <c:pt idx="1">
                  <c:v>Rumunija</c:v>
                </c:pt>
                <c:pt idx="2">
                  <c:v>Lietuva</c:v>
                </c:pt>
                <c:pt idx="3">
                  <c:v>Latvija</c:v>
                </c:pt>
                <c:pt idx="4">
                  <c:v>ES 27</c:v>
                </c:pt>
                <c:pt idx="5">
                  <c:v>Suomija</c:v>
                </c:pt>
                <c:pt idx="6">
                  <c:v>Danija</c:v>
                </c:pt>
                <c:pt idx="7">
                  <c:v>Vokietija</c:v>
                </c:pt>
                <c:pt idx="8">
                  <c:v>Švedija</c:v>
                </c:pt>
              </c:strCache>
            </c:strRef>
          </c:cat>
          <c:val>
            <c:numRef>
              <c:f>Sheet2!$C$2:$C$10</c:f>
              <c:numCache>
                <c:formatCode>0.000</c:formatCode>
                <c:ptCount val="9"/>
                <c:pt idx="0">
                  <c:v>2.6680000000000001</c:v>
                </c:pt>
                <c:pt idx="1">
                  <c:v>4.6959999999999997</c:v>
                </c:pt>
                <c:pt idx="2">
                  <c:v>8.2859999999999996</c:v>
                </c:pt>
                <c:pt idx="3">
                  <c:v>14.667</c:v>
                </c:pt>
                <c:pt idx="4">
                  <c:v>24.274703703703715</c:v>
                </c:pt>
                <c:pt idx="5">
                  <c:v>29.776</c:v>
                </c:pt>
                <c:pt idx="6">
                  <c:v>51.46</c:v>
                </c:pt>
                <c:pt idx="7">
                  <c:v>35.969000000000001</c:v>
                </c:pt>
                <c:pt idx="8">
                  <c:v>41.9</c:v>
                </c:pt>
              </c:numCache>
            </c:numRef>
          </c:val>
        </c:ser>
        <c:ser>
          <c:idx val="2"/>
          <c:order val="2"/>
          <c:tx>
            <c:strRef>
              <c:f>Sheet2!$D$1</c:f>
              <c:strCache>
                <c:ptCount val="1"/>
                <c:pt idx="0">
                  <c:v>8-10 metų</c:v>
                </c:pt>
              </c:strCache>
            </c:strRef>
          </c:tx>
          <c:spPr>
            <a:solidFill>
              <a:schemeClr val="tx2">
                <a:lumMod val="75000"/>
              </a:schemeClr>
            </a:solidFill>
          </c:spPr>
          <c:invertIfNegative val="0"/>
          <c:cat>
            <c:strRef>
              <c:f>Sheet2!$A$2:$A$10</c:f>
              <c:strCache>
                <c:ptCount val="9"/>
                <c:pt idx="0">
                  <c:v>Bulgarija</c:v>
                </c:pt>
                <c:pt idx="1">
                  <c:v>Rumunija</c:v>
                </c:pt>
                <c:pt idx="2">
                  <c:v>Lietuva</c:v>
                </c:pt>
                <c:pt idx="3">
                  <c:v>Latvija</c:v>
                </c:pt>
                <c:pt idx="4">
                  <c:v>ES 27</c:v>
                </c:pt>
                <c:pt idx="5">
                  <c:v>Suomija</c:v>
                </c:pt>
                <c:pt idx="6">
                  <c:v>Danija</c:v>
                </c:pt>
                <c:pt idx="7">
                  <c:v>Vokietija</c:v>
                </c:pt>
                <c:pt idx="8">
                  <c:v>Švedija</c:v>
                </c:pt>
              </c:strCache>
            </c:strRef>
          </c:cat>
          <c:val>
            <c:numRef>
              <c:f>Sheet2!$D$2:$D$10</c:f>
              <c:numCache>
                <c:formatCode>0.000</c:formatCode>
                <c:ptCount val="9"/>
                <c:pt idx="0">
                  <c:v>3.2919999999999998</c:v>
                </c:pt>
                <c:pt idx="1">
                  <c:v>5.7850000000000001</c:v>
                </c:pt>
                <c:pt idx="2">
                  <c:v>9.2159999999999993</c:v>
                </c:pt>
                <c:pt idx="3">
                  <c:v>17.335000000000001</c:v>
                </c:pt>
                <c:pt idx="4">
                  <c:v>30.782148148148149</c:v>
                </c:pt>
                <c:pt idx="5">
                  <c:v>36.182000000000002</c:v>
                </c:pt>
                <c:pt idx="6">
                  <c:v>59.804000000000002</c:v>
                </c:pt>
                <c:pt idx="7">
                  <c:v>49.795000000000002</c:v>
                </c:pt>
                <c:pt idx="8">
                  <c:v>55.209000000000003</c:v>
                </c:pt>
              </c:numCache>
            </c:numRef>
          </c:val>
        </c:ser>
        <c:ser>
          <c:idx val="3"/>
          <c:order val="3"/>
          <c:tx>
            <c:strRef>
              <c:f>Sheet2!$E$1</c:f>
              <c:strCache>
                <c:ptCount val="1"/>
                <c:pt idx="0">
                  <c:v>11-15 metų</c:v>
                </c:pt>
              </c:strCache>
            </c:strRef>
          </c:tx>
          <c:spPr>
            <a:solidFill>
              <a:srgbClr val="C0E43C"/>
            </a:solidFill>
          </c:spPr>
          <c:invertIfNegative val="0"/>
          <c:cat>
            <c:strRef>
              <c:f>Sheet2!$A$2:$A$10</c:f>
              <c:strCache>
                <c:ptCount val="9"/>
                <c:pt idx="0">
                  <c:v>Bulgarija</c:v>
                </c:pt>
                <c:pt idx="1">
                  <c:v>Rumunija</c:v>
                </c:pt>
                <c:pt idx="2">
                  <c:v>Lietuva</c:v>
                </c:pt>
                <c:pt idx="3">
                  <c:v>Latvija</c:v>
                </c:pt>
                <c:pt idx="4">
                  <c:v>ES 27</c:v>
                </c:pt>
                <c:pt idx="5">
                  <c:v>Suomija</c:v>
                </c:pt>
                <c:pt idx="6">
                  <c:v>Danija</c:v>
                </c:pt>
                <c:pt idx="7">
                  <c:v>Vokietija</c:v>
                </c:pt>
                <c:pt idx="8">
                  <c:v>Švedija</c:v>
                </c:pt>
              </c:strCache>
            </c:strRef>
          </c:cat>
          <c:val>
            <c:numRef>
              <c:f>Sheet2!$E$2:$E$10</c:f>
              <c:numCache>
                <c:formatCode>0.000</c:formatCode>
                <c:ptCount val="9"/>
                <c:pt idx="0">
                  <c:v>3.915</c:v>
                </c:pt>
                <c:pt idx="1">
                  <c:v>7.1260000000000003</c:v>
                </c:pt>
                <c:pt idx="2">
                  <c:v>10.146000000000001</c:v>
                </c:pt>
                <c:pt idx="3">
                  <c:v>20.001999999999999</c:v>
                </c:pt>
                <c:pt idx="4">
                  <c:v>37.382037037037037</c:v>
                </c:pt>
                <c:pt idx="5">
                  <c:v>42.588999999999999</c:v>
                </c:pt>
                <c:pt idx="6">
                  <c:v>68.147000000000006</c:v>
                </c:pt>
                <c:pt idx="7">
                  <c:v>63.621000000000002</c:v>
                </c:pt>
                <c:pt idx="8">
                  <c:v>68.518000000000001</c:v>
                </c:pt>
              </c:numCache>
            </c:numRef>
          </c:val>
        </c:ser>
        <c:ser>
          <c:idx val="4"/>
          <c:order val="4"/>
          <c:tx>
            <c:strRef>
              <c:f>Sheet2!$F$1</c:f>
              <c:strCache>
                <c:ptCount val="1"/>
                <c:pt idx="0">
                  <c:v>&gt; 15 metų</c:v>
                </c:pt>
              </c:strCache>
            </c:strRef>
          </c:tx>
          <c:spPr>
            <a:solidFill>
              <a:schemeClr val="accent6">
                <a:lumMod val="60000"/>
                <a:lumOff val="40000"/>
              </a:schemeClr>
            </a:solidFill>
          </c:spPr>
          <c:invertIfNegative val="0"/>
          <c:cat>
            <c:strRef>
              <c:f>Sheet2!$A$2:$A$10</c:f>
              <c:strCache>
                <c:ptCount val="9"/>
                <c:pt idx="0">
                  <c:v>Bulgarija</c:v>
                </c:pt>
                <c:pt idx="1">
                  <c:v>Rumunija</c:v>
                </c:pt>
                <c:pt idx="2">
                  <c:v>Lietuva</c:v>
                </c:pt>
                <c:pt idx="3">
                  <c:v>Latvija</c:v>
                </c:pt>
                <c:pt idx="4">
                  <c:v>ES 27</c:v>
                </c:pt>
                <c:pt idx="5">
                  <c:v>Suomija</c:v>
                </c:pt>
                <c:pt idx="6">
                  <c:v>Danija</c:v>
                </c:pt>
                <c:pt idx="7">
                  <c:v>Vokietija</c:v>
                </c:pt>
                <c:pt idx="8">
                  <c:v>Švedija</c:v>
                </c:pt>
              </c:strCache>
            </c:strRef>
          </c:cat>
          <c:val>
            <c:numRef>
              <c:f>Sheet2!$F$2:$F$10</c:f>
              <c:numCache>
                <c:formatCode>0.000</c:formatCode>
                <c:ptCount val="9"/>
                <c:pt idx="0">
                  <c:v>4.5389999999999997</c:v>
                </c:pt>
                <c:pt idx="1">
                  <c:v>8.7780000000000005</c:v>
                </c:pt>
                <c:pt idx="2">
                  <c:v>11.076000000000001</c:v>
                </c:pt>
                <c:pt idx="3">
                  <c:v>22.67</c:v>
                </c:pt>
                <c:pt idx="4">
                  <c:v>44.151666666666678</c:v>
                </c:pt>
                <c:pt idx="5">
                  <c:v>48.996000000000002</c:v>
                </c:pt>
                <c:pt idx="6">
                  <c:v>76.489999999999995</c:v>
                </c:pt>
                <c:pt idx="7">
                  <c:v>77.447000000000003</c:v>
                </c:pt>
                <c:pt idx="8">
                  <c:v>81.826999999999998</c:v>
                </c:pt>
              </c:numCache>
            </c:numRef>
          </c:val>
        </c:ser>
        <c:dLbls>
          <c:showLegendKey val="0"/>
          <c:showVal val="0"/>
          <c:showCatName val="0"/>
          <c:showSerName val="0"/>
          <c:showPercent val="0"/>
          <c:showBubbleSize val="0"/>
        </c:dLbls>
        <c:gapWidth val="150"/>
        <c:axId val="231822336"/>
        <c:axId val="231727680"/>
      </c:barChart>
      <c:catAx>
        <c:axId val="23182233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lt-LT"/>
          </a:p>
        </c:txPr>
        <c:crossAx val="231727680"/>
        <c:crosses val="autoZero"/>
        <c:auto val="1"/>
        <c:lblAlgn val="ctr"/>
        <c:lblOffset val="100"/>
        <c:noMultiLvlLbl val="0"/>
      </c:catAx>
      <c:valAx>
        <c:axId val="231727680"/>
        <c:scaling>
          <c:orientation val="minMax"/>
        </c:scaling>
        <c:delete val="0"/>
        <c:axPos val="l"/>
        <c:majorGridlines/>
        <c:numFmt formatCode="0.000"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31822336"/>
        <c:crosses val="autoZero"/>
        <c:crossBetween val="between"/>
      </c:valAx>
      <c:spPr>
        <a:noFill/>
      </c:spPr>
    </c:plotArea>
    <c:legend>
      <c:legendPos val="r"/>
      <c:layout>
        <c:manualLayout>
          <c:xMode val="edge"/>
          <c:yMode val="edge"/>
          <c:x val="4.800349679742965E-2"/>
          <c:y val="0.91262954054146506"/>
          <c:w val="0.6631736472750962"/>
          <c:h val="8.6147884313687875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6D9961-65A9-4DF5-BD33-D703A45CD11C}"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lt-LT"/>
        </a:p>
      </dgm:t>
    </dgm:pt>
    <dgm:pt modelId="{48D6E198-118C-4A54-A05A-EE13319936DB}">
      <dgm:prSet phldrT="[Text]" custT="1"/>
      <dgm:spPr>
        <a:solidFill>
          <a:schemeClr val="tx2">
            <a:lumMod val="75000"/>
          </a:schemeClr>
        </a:solidFill>
      </dgm:spPr>
      <dgm:t>
        <a:bodyPr/>
        <a:lstStyle/>
        <a:p>
          <a:pPr algn="ctr"/>
          <a:r>
            <a:rPr lang="lt-LT" sz="1000">
              <a:latin typeface="Times New Roman" pitchFamily="18" charset="0"/>
              <a:cs typeface="Times New Roman" pitchFamily="18" charset="0"/>
            </a:rPr>
            <a:t>Namų ūkiai, verslo vienetai</a:t>
          </a:r>
        </a:p>
      </dgm:t>
    </dgm:pt>
    <dgm:pt modelId="{7BFD88EF-160D-4CD1-8942-3A68FF4484F6}" type="parTrans" cxnId="{D62FDAC8-DB48-49A4-9150-52B71194F9F3}">
      <dgm:prSet/>
      <dgm:spPr/>
      <dgm:t>
        <a:bodyPr/>
        <a:lstStyle/>
        <a:p>
          <a:pPr algn="ctr"/>
          <a:endParaRPr lang="lt-LT" sz="1000">
            <a:latin typeface="Times New Roman" pitchFamily="18" charset="0"/>
            <a:cs typeface="Times New Roman" pitchFamily="18" charset="0"/>
          </a:endParaRPr>
        </a:p>
      </dgm:t>
    </dgm:pt>
    <dgm:pt modelId="{A8721929-F6FE-4EE1-A749-8B421DDD7FB4}" type="sibTrans" cxnId="{D62FDAC8-DB48-49A4-9150-52B71194F9F3}">
      <dgm:prSet/>
      <dgm:spPr>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B850EB2E-8614-41D7-8959-38F734E31C11}">
      <dgm:prSet phldrT="[Text]" custT="1"/>
      <dgm:spPr>
        <a:solidFill>
          <a:schemeClr val="tx2">
            <a:lumMod val="75000"/>
          </a:schemeClr>
        </a:solidFill>
      </dgm:spPr>
      <dgm:t>
        <a:bodyPr/>
        <a:lstStyle/>
        <a:p>
          <a:pPr algn="ctr"/>
          <a:endParaRPr lang="lt-LT" sz="1000">
            <a:latin typeface="Times New Roman" pitchFamily="18" charset="0"/>
            <a:cs typeface="Times New Roman" pitchFamily="18" charset="0"/>
          </a:endParaRPr>
        </a:p>
        <a:p>
          <a:pPr algn="ctr"/>
          <a:r>
            <a:rPr lang="lt-LT" sz="1000">
              <a:latin typeface="Times New Roman" pitchFamily="18" charset="0"/>
              <a:cs typeface="Times New Roman" pitchFamily="18" charset="0"/>
            </a:rPr>
            <a:t>Instituciniai investuotojai</a:t>
          </a:r>
        </a:p>
        <a:p>
          <a:pPr algn="ctr"/>
          <a:endParaRPr lang="lt-LT" sz="1000">
            <a:latin typeface="Times New Roman" pitchFamily="18" charset="0"/>
            <a:cs typeface="Times New Roman" pitchFamily="18" charset="0"/>
          </a:endParaRPr>
        </a:p>
      </dgm:t>
    </dgm:pt>
    <dgm:pt modelId="{C68893E3-E214-4824-9B43-F7F8631C9F08}" type="parTrans" cxnId="{068B8A78-B237-49E9-BFB4-F5F98F90B96A}">
      <dgm:prSet/>
      <dgm:spPr/>
      <dgm:t>
        <a:bodyPr/>
        <a:lstStyle/>
        <a:p>
          <a:pPr algn="ctr"/>
          <a:endParaRPr lang="lt-LT" sz="1000">
            <a:latin typeface="Times New Roman" pitchFamily="18" charset="0"/>
            <a:cs typeface="Times New Roman" pitchFamily="18" charset="0"/>
          </a:endParaRPr>
        </a:p>
      </dgm:t>
    </dgm:pt>
    <dgm:pt modelId="{11D83F88-EBE4-4BC1-A388-9E8F209A3C6C}" type="sibTrans" cxnId="{068B8A78-B237-49E9-BFB4-F5F98F90B96A}">
      <dgm:prSet/>
      <dgm:spPr>
        <a:solidFill>
          <a:schemeClr val="tx2">
            <a:lumMod val="75000"/>
          </a:schemeClr>
        </a:solidFill>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5F7EE664-314E-4541-B21D-BB4FFA0B389E}">
      <dgm:prSet phldrT="[Text]" custT="1"/>
      <dgm:spPr>
        <a:solidFill>
          <a:schemeClr val="tx2">
            <a:lumMod val="75000"/>
          </a:schemeClr>
        </a:solidFill>
      </dgm:spPr>
      <dgm:t>
        <a:bodyPr/>
        <a:lstStyle/>
        <a:p>
          <a:pPr algn="ctr"/>
          <a:r>
            <a:rPr lang="lt-LT" sz="1000">
              <a:latin typeface="Times New Roman" pitchFamily="18" charset="0"/>
              <a:cs typeface="Times New Roman" pitchFamily="18" charset="0"/>
            </a:rPr>
            <a:t>RKF</a:t>
          </a:r>
        </a:p>
      </dgm:t>
    </dgm:pt>
    <dgm:pt modelId="{D2E88AD7-5FF9-4ECA-84E2-BD79A183688E}" type="parTrans" cxnId="{96800C4A-6D9F-4854-AA08-F6C0FB6BB189}">
      <dgm:prSet/>
      <dgm:spPr/>
      <dgm:t>
        <a:bodyPr/>
        <a:lstStyle/>
        <a:p>
          <a:pPr algn="ctr"/>
          <a:endParaRPr lang="lt-LT" sz="1000">
            <a:latin typeface="Times New Roman" pitchFamily="18" charset="0"/>
            <a:cs typeface="Times New Roman" pitchFamily="18" charset="0"/>
          </a:endParaRPr>
        </a:p>
      </dgm:t>
    </dgm:pt>
    <dgm:pt modelId="{9AB49A5C-365B-4D42-A66B-25ACCDECBAAB}" type="sibTrans" cxnId="{96800C4A-6D9F-4854-AA08-F6C0FB6BB189}">
      <dgm:prSet/>
      <dgm:spPr>
        <a:solidFill>
          <a:schemeClr val="tx2">
            <a:lumMod val="75000"/>
          </a:schemeClr>
        </a:solidFill>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411F87DF-0B98-4B8F-8563-D38D2BFD934D}">
      <dgm:prSet phldrT="[Text]" custT="1"/>
      <dgm:spPr>
        <a:solidFill>
          <a:schemeClr val="tx2">
            <a:lumMod val="75000"/>
          </a:schemeClr>
        </a:solidFill>
      </dgm:spPr>
      <dgm:t>
        <a:bodyPr/>
        <a:lstStyle/>
        <a:p>
          <a:pPr algn="ctr"/>
          <a:r>
            <a:rPr lang="lt-LT" sz="1000">
              <a:latin typeface="Times New Roman" pitchFamily="18" charset="0"/>
              <a:cs typeface="Times New Roman" pitchFamily="18" charset="0"/>
            </a:rPr>
            <a:t>Didelį augimo potencialą, turinčios įmonės</a:t>
          </a:r>
        </a:p>
      </dgm:t>
    </dgm:pt>
    <dgm:pt modelId="{F96EE11E-40F8-4272-822A-81796FCA487F}" type="parTrans" cxnId="{16FA7F65-D185-4F6F-80A1-C17312AE42FC}">
      <dgm:prSet/>
      <dgm:spPr/>
      <dgm:t>
        <a:bodyPr/>
        <a:lstStyle/>
        <a:p>
          <a:pPr algn="ctr"/>
          <a:endParaRPr lang="lt-LT" sz="1000">
            <a:latin typeface="Times New Roman" pitchFamily="18" charset="0"/>
            <a:cs typeface="Times New Roman" pitchFamily="18" charset="0"/>
          </a:endParaRPr>
        </a:p>
      </dgm:t>
    </dgm:pt>
    <dgm:pt modelId="{6C594D15-333D-4BB1-8AB9-70D5AD90CC54}" type="sibTrans" cxnId="{16FA7F65-D185-4F6F-80A1-C17312AE42FC}">
      <dgm:prSet/>
      <dgm:spPr>
        <a:solidFill>
          <a:schemeClr val="tx2">
            <a:lumMod val="75000"/>
          </a:schemeClr>
        </a:solidFill>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41B6000E-58AB-4497-867B-52EC18EF572D}">
      <dgm:prSet phldrT="[Text]" custT="1"/>
      <dgm:spPr>
        <a:solidFill>
          <a:schemeClr val="tx2">
            <a:lumMod val="75000"/>
          </a:schemeClr>
        </a:solidFill>
      </dgm:spPr>
      <dgm:t>
        <a:bodyPr/>
        <a:lstStyle/>
        <a:p>
          <a:pPr algn="ctr"/>
          <a:r>
            <a:rPr lang="lt-LT" sz="1000">
              <a:latin typeface="Times New Roman" pitchFamily="18" charset="0"/>
              <a:cs typeface="Times New Roman" pitchFamily="18" charset="0"/>
            </a:rPr>
            <a:t>Instituciniai investuotojai</a:t>
          </a:r>
        </a:p>
      </dgm:t>
    </dgm:pt>
    <dgm:pt modelId="{C102B1DE-BBA3-4E3F-90EA-3781D7755370}" type="parTrans" cxnId="{DE135985-9BFB-4768-9131-4F0DFAD29F75}">
      <dgm:prSet/>
      <dgm:spPr/>
      <dgm:t>
        <a:bodyPr/>
        <a:lstStyle/>
        <a:p>
          <a:pPr algn="ctr"/>
          <a:endParaRPr lang="lt-LT" sz="1000">
            <a:latin typeface="Times New Roman" pitchFamily="18" charset="0"/>
            <a:cs typeface="Times New Roman" pitchFamily="18" charset="0"/>
          </a:endParaRPr>
        </a:p>
      </dgm:t>
    </dgm:pt>
    <dgm:pt modelId="{6641E0AD-F949-45E9-82A0-7B24CB86310F}" type="sibTrans" cxnId="{DE135985-9BFB-4768-9131-4F0DFAD29F75}">
      <dgm:prSet/>
      <dgm:spPr>
        <a:solidFill>
          <a:schemeClr val="tx2">
            <a:lumMod val="75000"/>
          </a:schemeClr>
        </a:solidFill>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071E9D70-298B-4EB2-8E33-1395801A290F}">
      <dgm:prSet custT="1"/>
      <dgm:spPr>
        <a:solidFill>
          <a:schemeClr val="tx2">
            <a:lumMod val="75000"/>
          </a:schemeClr>
        </a:solidFill>
      </dgm:spPr>
      <dgm:t>
        <a:bodyPr/>
        <a:lstStyle/>
        <a:p>
          <a:pPr algn="ctr"/>
          <a:r>
            <a:rPr lang="lt-LT" sz="1000">
              <a:latin typeface="Times New Roman" pitchFamily="18" charset="0"/>
              <a:cs typeface="Times New Roman" pitchFamily="18" charset="0"/>
            </a:rPr>
            <a:t>RKF</a:t>
          </a:r>
        </a:p>
      </dgm:t>
    </dgm:pt>
    <dgm:pt modelId="{105F95C5-846A-4C82-B6B5-4A1F351B0937}" type="parTrans" cxnId="{C6B7AC52-CD78-4FDE-804E-175FDDFF7599}">
      <dgm:prSet/>
      <dgm:spPr/>
      <dgm:t>
        <a:bodyPr/>
        <a:lstStyle/>
        <a:p>
          <a:pPr algn="ctr"/>
          <a:endParaRPr lang="lt-LT" sz="1000">
            <a:latin typeface="Times New Roman" pitchFamily="18" charset="0"/>
            <a:cs typeface="Times New Roman" pitchFamily="18" charset="0"/>
          </a:endParaRPr>
        </a:p>
      </dgm:t>
    </dgm:pt>
    <dgm:pt modelId="{D66A351A-CD92-4FBF-A413-6D31CC0CC595}" type="sibTrans" cxnId="{C6B7AC52-CD78-4FDE-804E-175FDDFF7599}">
      <dgm:prSet/>
      <dgm:spPr>
        <a:solidFill>
          <a:schemeClr val="tx2">
            <a:lumMod val="75000"/>
          </a:schemeClr>
        </a:solidFill>
        <a:ln w="12700">
          <a:solidFill>
            <a:schemeClr val="tx2">
              <a:lumMod val="75000"/>
            </a:schemeClr>
          </a:solidFill>
        </a:ln>
      </dgm:spPr>
      <dgm:t>
        <a:bodyPr/>
        <a:lstStyle/>
        <a:p>
          <a:pPr algn="ctr"/>
          <a:endParaRPr lang="lt-LT" sz="1000">
            <a:latin typeface="Times New Roman" pitchFamily="18" charset="0"/>
            <a:cs typeface="Times New Roman" pitchFamily="18" charset="0"/>
          </a:endParaRPr>
        </a:p>
      </dgm:t>
    </dgm:pt>
    <dgm:pt modelId="{01420259-1A13-4A5E-964E-2D0581F7F937}" type="pres">
      <dgm:prSet presAssocID="{FC6D9961-65A9-4DF5-BD33-D703A45CD11C}" presName="cycle" presStyleCnt="0">
        <dgm:presLayoutVars>
          <dgm:dir/>
          <dgm:resizeHandles val="exact"/>
        </dgm:presLayoutVars>
      </dgm:prSet>
      <dgm:spPr/>
      <dgm:t>
        <a:bodyPr/>
        <a:lstStyle/>
        <a:p>
          <a:endParaRPr lang="lt-LT"/>
        </a:p>
      </dgm:t>
    </dgm:pt>
    <dgm:pt modelId="{448C26EA-C110-458C-82C1-CF574EDEADB3}" type="pres">
      <dgm:prSet presAssocID="{48D6E198-118C-4A54-A05A-EE13319936DB}" presName="node" presStyleLbl="node1" presStyleIdx="0" presStyleCnt="6">
        <dgm:presLayoutVars>
          <dgm:bulletEnabled val="1"/>
        </dgm:presLayoutVars>
      </dgm:prSet>
      <dgm:spPr/>
      <dgm:t>
        <a:bodyPr/>
        <a:lstStyle/>
        <a:p>
          <a:endParaRPr lang="lt-LT"/>
        </a:p>
      </dgm:t>
    </dgm:pt>
    <dgm:pt modelId="{A9761751-B30C-4082-BE45-EB2533945078}" type="pres">
      <dgm:prSet presAssocID="{48D6E198-118C-4A54-A05A-EE13319936DB}" presName="spNode" presStyleCnt="0"/>
      <dgm:spPr/>
    </dgm:pt>
    <dgm:pt modelId="{DEE5EEE2-E45B-47E8-9015-FE4AB2921AF3}" type="pres">
      <dgm:prSet presAssocID="{A8721929-F6FE-4EE1-A749-8B421DDD7FB4}" presName="sibTrans" presStyleLbl="sibTrans1D1" presStyleIdx="0" presStyleCnt="6"/>
      <dgm:spPr/>
      <dgm:t>
        <a:bodyPr/>
        <a:lstStyle/>
        <a:p>
          <a:endParaRPr lang="lt-LT"/>
        </a:p>
      </dgm:t>
    </dgm:pt>
    <dgm:pt modelId="{1B177848-49AC-4F1F-B853-0AD9503A17E7}" type="pres">
      <dgm:prSet presAssocID="{B850EB2E-8614-41D7-8959-38F734E31C11}" presName="node" presStyleLbl="node1" presStyleIdx="1" presStyleCnt="6">
        <dgm:presLayoutVars>
          <dgm:bulletEnabled val="1"/>
        </dgm:presLayoutVars>
      </dgm:prSet>
      <dgm:spPr/>
      <dgm:t>
        <a:bodyPr/>
        <a:lstStyle/>
        <a:p>
          <a:endParaRPr lang="lt-LT"/>
        </a:p>
      </dgm:t>
    </dgm:pt>
    <dgm:pt modelId="{65DDE7CC-F608-469B-AFA5-201C5FBEA5F7}" type="pres">
      <dgm:prSet presAssocID="{B850EB2E-8614-41D7-8959-38F734E31C11}" presName="spNode" presStyleCnt="0"/>
      <dgm:spPr/>
    </dgm:pt>
    <dgm:pt modelId="{FD193F24-1F57-4ED5-8C96-C5E428C6EFCB}" type="pres">
      <dgm:prSet presAssocID="{11D83F88-EBE4-4BC1-A388-9E8F209A3C6C}" presName="sibTrans" presStyleLbl="sibTrans1D1" presStyleIdx="1" presStyleCnt="6"/>
      <dgm:spPr/>
      <dgm:t>
        <a:bodyPr/>
        <a:lstStyle/>
        <a:p>
          <a:endParaRPr lang="lt-LT"/>
        </a:p>
      </dgm:t>
    </dgm:pt>
    <dgm:pt modelId="{8FB2640E-3147-4E1E-908E-A707EDD7447A}" type="pres">
      <dgm:prSet presAssocID="{5F7EE664-314E-4541-B21D-BB4FFA0B389E}" presName="node" presStyleLbl="node1" presStyleIdx="2" presStyleCnt="6">
        <dgm:presLayoutVars>
          <dgm:bulletEnabled val="1"/>
        </dgm:presLayoutVars>
      </dgm:prSet>
      <dgm:spPr/>
      <dgm:t>
        <a:bodyPr/>
        <a:lstStyle/>
        <a:p>
          <a:endParaRPr lang="lt-LT"/>
        </a:p>
      </dgm:t>
    </dgm:pt>
    <dgm:pt modelId="{05D19A47-BDF9-4F6A-A524-3976FF186660}" type="pres">
      <dgm:prSet presAssocID="{5F7EE664-314E-4541-B21D-BB4FFA0B389E}" presName="spNode" presStyleCnt="0"/>
      <dgm:spPr/>
    </dgm:pt>
    <dgm:pt modelId="{F0CB93C0-8D1B-4F11-9F28-037E883B2E48}" type="pres">
      <dgm:prSet presAssocID="{9AB49A5C-365B-4D42-A66B-25ACCDECBAAB}" presName="sibTrans" presStyleLbl="sibTrans1D1" presStyleIdx="2" presStyleCnt="6"/>
      <dgm:spPr/>
      <dgm:t>
        <a:bodyPr/>
        <a:lstStyle/>
        <a:p>
          <a:endParaRPr lang="lt-LT"/>
        </a:p>
      </dgm:t>
    </dgm:pt>
    <dgm:pt modelId="{2D494EC4-EBD7-415B-AFFD-BA69FC4E3AF3}" type="pres">
      <dgm:prSet presAssocID="{411F87DF-0B98-4B8F-8563-D38D2BFD934D}" presName="node" presStyleLbl="node1" presStyleIdx="3" presStyleCnt="6">
        <dgm:presLayoutVars>
          <dgm:bulletEnabled val="1"/>
        </dgm:presLayoutVars>
      </dgm:prSet>
      <dgm:spPr/>
      <dgm:t>
        <a:bodyPr/>
        <a:lstStyle/>
        <a:p>
          <a:endParaRPr lang="lt-LT"/>
        </a:p>
      </dgm:t>
    </dgm:pt>
    <dgm:pt modelId="{3878523D-5129-4BAA-98CE-05D134AD0C7E}" type="pres">
      <dgm:prSet presAssocID="{411F87DF-0B98-4B8F-8563-D38D2BFD934D}" presName="spNode" presStyleCnt="0"/>
      <dgm:spPr/>
    </dgm:pt>
    <dgm:pt modelId="{7BE46BA8-6C8F-4FAF-B5E7-C00FCE84990A}" type="pres">
      <dgm:prSet presAssocID="{6C594D15-333D-4BB1-8AB9-70D5AD90CC54}" presName="sibTrans" presStyleLbl="sibTrans1D1" presStyleIdx="3" presStyleCnt="6"/>
      <dgm:spPr/>
      <dgm:t>
        <a:bodyPr/>
        <a:lstStyle/>
        <a:p>
          <a:endParaRPr lang="lt-LT"/>
        </a:p>
      </dgm:t>
    </dgm:pt>
    <dgm:pt modelId="{A2ACDB13-3C53-4ADE-849E-88BFC06C4301}" type="pres">
      <dgm:prSet presAssocID="{071E9D70-298B-4EB2-8E33-1395801A290F}" presName="node" presStyleLbl="node1" presStyleIdx="4" presStyleCnt="6">
        <dgm:presLayoutVars>
          <dgm:bulletEnabled val="1"/>
        </dgm:presLayoutVars>
      </dgm:prSet>
      <dgm:spPr/>
      <dgm:t>
        <a:bodyPr/>
        <a:lstStyle/>
        <a:p>
          <a:endParaRPr lang="lt-LT"/>
        </a:p>
      </dgm:t>
    </dgm:pt>
    <dgm:pt modelId="{9D7930BA-8C16-47C4-9293-A83F9E59E6F9}" type="pres">
      <dgm:prSet presAssocID="{071E9D70-298B-4EB2-8E33-1395801A290F}" presName="spNode" presStyleCnt="0"/>
      <dgm:spPr/>
    </dgm:pt>
    <dgm:pt modelId="{9796A539-CB77-43BE-A964-F9FD9D357738}" type="pres">
      <dgm:prSet presAssocID="{D66A351A-CD92-4FBF-A413-6D31CC0CC595}" presName="sibTrans" presStyleLbl="sibTrans1D1" presStyleIdx="4" presStyleCnt="6"/>
      <dgm:spPr/>
      <dgm:t>
        <a:bodyPr/>
        <a:lstStyle/>
        <a:p>
          <a:endParaRPr lang="lt-LT"/>
        </a:p>
      </dgm:t>
    </dgm:pt>
    <dgm:pt modelId="{F9E95E30-4878-43AC-B880-B136BF973205}" type="pres">
      <dgm:prSet presAssocID="{41B6000E-58AB-4497-867B-52EC18EF572D}" presName="node" presStyleLbl="node1" presStyleIdx="5" presStyleCnt="6">
        <dgm:presLayoutVars>
          <dgm:bulletEnabled val="1"/>
        </dgm:presLayoutVars>
      </dgm:prSet>
      <dgm:spPr/>
      <dgm:t>
        <a:bodyPr/>
        <a:lstStyle/>
        <a:p>
          <a:endParaRPr lang="lt-LT"/>
        </a:p>
      </dgm:t>
    </dgm:pt>
    <dgm:pt modelId="{F8F1124D-52AD-428F-A58B-2BBA7B5F14A1}" type="pres">
      <dgm:prSet presAssocID="{41B6000E-58AB-4497-867B-52EC18EF572D}" presName="spNode" presStyleCnt="0"/>
      <dgm:spPr/>
    </dgm:pt>
    <dgm:pt modelId="{3DD247F1-BD16-4D56-BA40-68F77C885461}" type="pres">
      <dgm:prSet presAssocID="{6641E0AD-F949-45E9-82A0-7B24CB86310F}" presName="sibTrans" presStyleLbl="sibTrans1D1" presStyleIdx="5" presStyleCnt="6"/>
      <dgm:spPr/>
      <dgm:t>
        <a:bodyPr/>
        <a:lstStyle/>
        <a:p>
          <a:endParaRPr lang="lt-LT"/>
        </a:p>
      </dgm:t>
    </dgm:pt>
  </dgm:ptLst>
  <dgm:cxnLst>
    <dgm:cxn modelId="{1F7053E7-C444-4066-BB3C-C345A2688398}" type="presOf" srcId="{48D6E198-118C-4A54-A05A-EE13319936DB}" destId="{448C26EA-C110-458C-82C1-CF574EDEADB3}" srcOrd="0" destOrd="0" presId="urn:microsoft.com/office/officeart/2005/8/layout/cycle5"/>
    <dgm:cxn modelId="{46D048AC-37B9-4EE3-B9C3-6F0AAB349E4A}" type="presOf" srcId="{A8721929-F6FE-4EE1-A749-8B421DDD7FB4}" destId="{DEE5EEE2-E45B-47E8-9015-FE4AB2921AF3}" srcOrd="0" destOrd="0" presId="urn:microsoft.com/office/officeart/2005/8/layout/cycle5"/>
    <dgm:cxn modelId="{D62FDAC8-DB48-49A4-9150-52B71194F9F3}" srcId="{FC6D9961-65A9-4DF5-BD33-D703A45CD11C}" destId="{48D6E198-118C-4A54-A05A-EE13319936DB}" srcOrd="0" destOrd="0" parTransId="{7BFD88EF-160D-4CD1-8942-3A68FF4484F6}" sibTransId="{A8721929-F6FE-4EE1-A749-8B421DDD7FB4}"/>
    <dgm:cxn modelId="{F091C81F-294C-405E-95DE-63E1500FF4AF}" type="presOf" srcId="{41B6000E-58AB-4497-867B-52EC18EF572D}" destId="{F9E95E30-4878-43AC-B880-B136BF973205}" srcOrd="0" destOrd="0" presId="urn:microsoft.com/office/officeart/2005/8/layout/cycle5"/>
    <dgm:cxn modelId="{EE316D81-4695-4FFD-B434-CCA80AB8EFC8}" type="presOf" srcId="{411F87DF-0B98-4B8F-8563-D38D2BFD934D}" destId="{2D494EC4-EBD7-415B-AFFD-BA69FC4E3AF3}" srcOrd="0" destOrd="0" presId="urn:microsoft.com/office/officeart/2005/8/layout/cycle5"/>
    <dgm:cxn modelId="{F932FD95-0AAE-4176-86FE-F7F500B26CE0}" type="presOf" srcId="{5F7EE664-314E-4541-B21D-BB4FFA0B389E}" destId="{8FB2640E-3147-4E1E-908E-A707EDD7447A}" srcOrd="0" destOrd="0" presId="urn:microsoft.com/office/officeart/2005/8/layout/cycle5"/>
    <dgm:cxn modelId="{42FB14D1-89C1-4137-A17B-3662A72F91E6}" type="presOf" srcId="{D66A351A-CD92-4FBF-A413-6D31CC0CC595}" destId="{9796A539-CB77-43BE-A964-F9FD9D357738}" srcOrd="0" destOrd="0" presId="urn:microsoft.com/office/officeart/2005/8/layout/cycle5"/>
    <dgm:cxn modelId="{3D93C2C2-49E0-4A40-B877-4E1BAC1400C3}" type="presOf" srcId="{6C594D15-333D-4BB1-8AB9-70D5AD90CC54}" destId="{7BE46BA8-6C8F-4FAF-B5E7-C00FCE84990A}" srcOrd="0" destOrd="0" presId="urn:microsoft.com/office/officeart/2005/8/layout/cycle5"/>
    <dgm:cxn modelId="{17DB9262-C805-464A-8DB8-B299EE423034}" type="presOf" srcId="{071E9D70-298B-4EB2-8E33-1395801A290F}" destId="{A2ACDB13-3C53-4ADE-849E-88BFC06C4301}" srcOrd="0" destOrd="0" presId="urn:microsoft.com/office/officeart/2005/8/layout/cycle5"/>
    <dgm:cxn modelId="{C630D34E-4CD1-4B9B-A927-4E12441211E2}" type="presOf" srcId="{B850EB2E-8614-41D7-8959-38F734E31C11}" destId="{1B177848-49AC-4F1F-B853-0AD9503A17E7}" srcOrd="0" destOrd="0" presId="urn:microsoft.com/office/officeart/2005/8/layout/cycle5"/>
    <dgm:cxn modelId="{C6B7AC52-CD78-4FDE-804E-175FDDFF7599}" srcId="{FC6D9961-65A9-4DF5-BD33-D703A45CD11C}" destId="{071E9D70-298B-4EB2-8E33-1395801A290F}" srcOrd="4" destOrd="0" parTransId="{105F95C5-846A-4C82-B6B5-4A1F351B0937}" sibTransId="{D66A351A-CD92-4FBF-A413-6D31CC0CC595}"/>
    <dgm:cxn modelId="{F809C869-FEF3-4148-B2F7-7D717C7199C6}" type="presOf" srcId="{11D83F88-EBE4-4BC1-A388-9E8F209A3C6C}" destId="{FD193F24-1F57-4ED5-8C96-C5E428C6EFCB}" srcOrd="0" destOrd="0" presId="urn:microsoft.com/office/officeart/2005/8/layout/cycle5"/>
    <dgm:cxn modelId="{0537FE52-62D9-4897-B408-D581C2DDF9C3}" type="presOf" srcId="{9AB49A5C-365B-4D42-A66B-25ACCDECBAAB}" destId="{F0CB93C0-8D1B-4F11-9F28-037E883B2E48}" srcOrd="0" destOrd="0" presId="urn:microsoft.com/office/officeart/2005/8/layout/cycle5"/>
    <dgm:cxn modelId="{068B8A78-B237-49E9-BFB4-F5F98F90B96A}" srcId="{FC6D9961-65A9-4DF5-BD33-D703A45CD11C}" destId="{B850EB2E-8614-41D7-8959-38F734E31C11}" srcOrd="1" destOrd="0" parTransId="{C68893E3-E214-4824-9B43-F7F8631C9F08}" sibTransId="{11D83F88-EBE4-4BC1-A388-9E8F209A3C6C}"/>
    <dgm:cxn modelId="{96800C4A-6D9F-4854-AA08-F6C0FB6BB189}" srcId="{FC6D9961-65A9-4DF5-BD33-D703A45CD11C}" destId="{5F7EE664-314E-4541-B21D-BB4FFA0B389E}" srcOrd="2" destOrd="0" parTransId="{D2E88AD7-5FF9-4ECA-84E2-BD79A183688E}" sibTransId="{9AB49A5C-365B-4D42-A66B-25ACCDECBAAB}"/>
    <dgm:cxn modelId="{5F8E2277-1683-4734-B304-E20D8C2487FC}" type="presOf" srcId="{FC6D9961-65A9-4DF5-BD33-D703A45CD11C}" destId="{01420259-1A13-4A5E-964E-2D0581F7F937}" srcOrd="0" destOrd="0" presId="urn:microsoft.com/office/officeart/2005/8/layout/cycle5"/>
    <dgm:cxn modelId="{16FA7F65-D185-4F6F-80A1-C17312AE42FC}" srcId="{FC6D9961-65A9-4DF5-BD33-D703A45CD11C}" destId="{411F87DF-0B98-4B8F-8563-D38D2BFD934D}" srcOrd="3" destOrd="0" parTransId="{F96EE11E-40F8-4272-822A-81796FCA487F}" sibTransId="{6C594D15-333D-4BB1-8AB9-70D5AD90CC54}"/>
    <dgm:cxn modelId="{DE135985-9BFB-4768-9131-4F0DFAD29F75}" srcId="{FC6D9961-65A9-4DF5-BD33-D703A45CD11C}" destId="{41B6000E-58AB-4497-867B-52EC18EF572D}" srcOrd="5" destOrd="0" parTransId="{C102B1DE-BBA3-4E3F-90EA-3781D7755370}" sibTransId="{6641E0AD-F949-45E9-82A0-7B24CB86310F}"/>
    <dgm:cxn modelId="{DDF51BCE-04F1-4DC3-8EC1-EFD9F024FB6B}" type="presOf" srcId="{6641E0AD-F949-45E9-82A0-7B24CB86310F}" destId="{3DD247F1-BD16-4D56-BA40-68F77C885461}" srcOrd="0" destOrd="0" presId="urn:microsoft.com/office/officeart/2005/8/layout/cycle5"/>
    <dgm:cxn modelId="{F4DC691A-9D26-4FEA-9F00-BD05B5FE8BBF}" type="presParOf" srcId="{01420259-1A13-4A5E-964E-2D0581F7F937}" destId="{448C26EA-C110-458C-82C1-CF574EDEADB3}" srcOrd="0" destOrd="0" presId="urn:microsoft.com/office/officeart/2005/8/layout/cycle5"/>
    <dgm:cxn modelId="{3D8CBEEB-92A5-4D49-83CD-D48BBD7BA660}" type="presParOf" srcId="{01420259-1A13-4A5E-964E-2D0581F7F937}" destId="{A9761751-B30C-4082-BE45-EB2533945078}" srcOrd="1" destOrd="0" presId="urn:microsoft.com/office/officeart/2005/8/layout/cycle5"/>
    <dgm:cxn modelId="{9EE33D11-42B9-45AE-88AD-A52550273302}" type="presParOf" srcId="{01420259-1A13-4A5E-964E-2D0581F7F937}" destId="{DEE5EEE2-E45B-47E8-9015-FE4AB2921AF3}" srcOrd="2" destOrd="0" presId="urn:microsoft.com/office/officeart/2005/8/layout/cycle5"/>
    <dgm:cxn modelId="{944AA3FD-4AB9-4DFE-912D-E6FCACE1CB7C}" type="presParOf" srcId="{01420259-1A13-4A5E-964E-2D0581F7F937}" destId="{1B177848-49AC-4F1F-B853-0AD9503A17E7}" srcOrd="3" destOrd="0" presId="urn:microsoft.com/office/officeart/2005/8/layout/cycle5"/>
    <dgm:cxn modelId="{F990ED60-D57D-4349-9567-3B390CA55EE8}" type="presParOf" srcId="{01420259-1A13-4A5E-964E-2D0581F7F937}" destId="{65DDE7CC-F608-469B-AFA5-201C5FBEA5F7}" srcOrd="4" destOrd="0" presId="urn:microsoft.com/office/officeart/2005/8/layout/cycle5"/>
    <dgm:cxn modelId="{11EB223D-5A3B-4610-A4F6-777D6CE01FE8}" type="presParOf" srcId="{01420259-1A13-4A5E-964E-2D0581F7F937}" destId="{FD193F24-1F57-4ED5-8C96-C5E428C6EFCB}" srcOrd="5" destOrd="0" presId="urn:microsoft.com/office/officeart/2005/8/layout/cycle5"/>
    <dgm:cxn modelId="{7D49A05D-F84D-4A03-8A4A-E52496B09665}" type="presParOf" srcId="{01420259-1A13-4A5E-964E-2D0581F7F937}" destId="{8FB2640E-3147-4E1E-908E-A707EDD7447A}" srcOrd="6" destOrd="0" presId="urn:microsoft.com/office/officeart/2005/8/layout/cycle5"/>
    <dgm:cxn modelId="{C886F089-F1D8-4E70-831C-8E0DDC7C8BF0}" type="presParOf" srcId="{01420259-1A13-4A5E-964E-2D0581F7F937}" destId="{05D19A47-BDF9-4F6A-A524-3976FF186660}" srcOrd="7" destOrd="0" presId="urn:microsoft.com/office/officeart/2005/8/layout/cycle5"/>
    <dgm:cxn modelId="{389D2C46-BAB9-4236-AA22-94780E31036A}" type="presParOf" srcId="{01420259-1A13-4A5E-964E-2D0581F7F937}" destId="{F0CB93C0-8D1B-4F11-9F28-037E883B2E48}" srcOrd="8" destOrd="0" presId="urn:microsoft.com/office/officeart/2005/8/layout/cycle5"/>
    <dgm:cxn modelId="{C7E9FE75-7224-460F-B48B-7BA245B9540C}" type="presParOf" srcId="{01420259-1A13-4A5E-964E-2D0581F7F937}" destId="{2D494EC4-EBD7-415B-AFFD-BA69FC4E3AF3}" srcOrd="9" destOrd="0" presId="urn:microsoft.com/office/officeart/2005/8/layout/cycle5"/>
    <dgm:cxn modelId="{16717F69-0C36-4D3E-996B-8069D6A39F39}" type="presParOf" srcId="{01420259-1A13-4A5E-964E-2D0581F7F937}" destId="{3878523D-5129-4BAA-98CE-05D134AD0C7E}" srcOrd="10" destOrd="0" presId="urn:microsoft.com/office/officeart/2005/8/layout/cycle5"/>
    <dgm:cxn modelId="{19EF7050-9FE7-4980-AADD-BA681CA0F437}" type="presParOf" srcId="{01420259-1A13-4A5E-964E-2D0581F7F937}" destId="{7BE46BA8-6C8F-4FAF-B5E7-C00FCE84990A}" srcOrd="11" destOrd="0" presId="urn:microsoft.com/office/officeart/2005/8/layout/cycle5"/>
    <dgm:cxn modelId="{4F9BD82B-5530-4AAC-9F9B-6A9339547A59}" type="presParOf" srcId="{01420259-1A13-4A5E-964E-2D0581F7F937}" destId="{A2ACDB13-3C53-4ADE-849E-88BFC06C4301}" srcOrd="12" destOrd="0" presId="urn:microsoft.com/office/officeart/2005/8/layout/cycle5"/>
    <dgm:cxn modelId="{1680E4C4-8023-4EEF-A3D2-1142C65CA20B}" type="presParOf" srcId="{01420259-1A13-4A5E-964E-2D0581F7F937}" destId="{9D7930BA-8C16-47C4-9293-A83F9E59E6F9}" srcOrd="13" destOrd="0" presId="urn:microsoft.com/office/officeart/2005/8/layout/cycle5"/>
    <dgm:cxn modelId="{B4BE40ED-7C0C-47B5-A0FE-D06D1A064588}" type="presParOf" srcId="{01420259-1A13-4A5E-964E-2D0581F7F937}" destId="{9796A539-CB77-43BE-A964-F9FD9D357738}" srcOrd="14" destOrd="0" presId="urn:microsoft.com/office/officeart/2005/8/layout/cycle5"/>
    <dgm:cxn modelId="{C5243E56-7654-45E1-BB1B-EE3944023161}" type="presParOf" srcId="{01420259-1A13-4A5E-964E-2D0581F7F937}" destId="{F9E95E30-4878-43AC-B880-B136BF973205}" srcOrd="15" destOrd="0" presId="urn:microsoft.com/office/officeart/2005/8/layout/cycle5"/>
    <dgm:cxn modelId="{8A3C5A83-9708-4C6C-90B0-B8559044B2CB}" type="presParOf" srcId="{01420259-1A13-4A5E-964E-2D0581F7F937}" destId="{F8F1124D-52AD-428F-A58B-2BBA7B5F14A1}" srcOrd="16" destOrd="0" presId="urn:microsoft.com/office/officeart/2005/8/layout/cycle5"/>
    <dgm:cxn modelId="{3D3ECA1F-284C-4DAE-B087-85CDCB017DA8}" type="presParOf" srcId="{01420259-1A13-4A5E-964E-2D0581F7F937}" destId="{3DD247F1-BD16-4D56-BA40-68F77C885461}" srcOrd="17" destOrd="0" presId="urn:microsoft.com/office/officeart/2005/8/layout/cycle5"/>
  </dgm:cxnLst>
  <dgm:bg/>
  <dgm:whole>
    <a:ln w="9525" cap="flat" cmpd="sng" algn="ctr">
      <a:solidFill>
        <a:schemeClr val="lt1">
          <a:hueOff val="0"/>
          <a:satOff val="0"/>
          <a:lumOff val="0"/>
        </a:schemeClr>
      </a:solid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8C26EA-C110-458C-82C1-CF574EDEADB3}">
      <dsp:nvSpPr>
        <dsp:cNvPr id="0" name=""/>
        <dsp:cNvSpPr/>
      </dsp:nvSpPr>
      <dsp:spPr>
        <a:xfrm>
          <a:off x="2312565" y="2598"/>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Namų ūkiai, verslo vienetai</a:t>
          </a:r>
        </a:p>
      </dsp:txBody>
      <dsp:txXfrm>
        <a:off x="2339893" y="29926"/>
        <a:ext cx="806612" cy="505168"/>
      </dsp:txXfrm>
    </dsp:sp>
    <dsp:sp modelId="{DEE5EEE2-E45B-47E8-9015-FE4AB2921AF3}">
      <dsp:nvSpPr>
        <dsp:cNvPr id="0" name=""/>
        <dsp:cNvSpPr/>
      </dsp:nvSpPr>
      <dsp:spPr>
        <a:xfrm>
          <a:off x="1425510" y="282510"/>
          <a:ext cx="2635379" cy="2635379"/>
        </a:xfrm>
        <a:custGeom>
          <a:avLst/>
          <a:gdLst/>
          <a:ahLst/>
          <a:cxnLst/>
          <a:rect l="0" t="0" r="0" b="0"/>
          <a:pathLst>
            <a:path>
              <a:moveTo>
                <a:pt x="1856408" y="115155"/>
              </a:moveTo>
              <a:arcTo wR="1317689" hR="1317689" stAng="17647904" swAng="922747"/>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 modelId="{1B177848-49AC-4F1F-B853-0AD9503A17E7}">
      <dsp:nvSpPr>
        <dsp:cNvPr id="0" name=""/>
        <dsp:cNvSpPr/>
      </dsp:nvSpPr>
      <dsp:spPr>
        <a:xfrm>
          <a:off x="3453718" y="661443"/>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lt-LT" sz="1000" kern="1200">
            <a:latin typeface="Times New Roman" pitchFamily="18" charset="0"/>
            <a:cs typeface="Times New Roman" pitchFamily="18" charset="0"/>
          </a:endParaRPr>
        </a:p>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Instituciniai investuotojai</a:t>
          </a:r>
        </a:p>
        <a:p>
          <a:pPr lvl="0" algn="ctr" defTabSz="444500">
            <a:lnSpc>
              <a:spcPct val="90000"/>
            </a:lnSpc>
            <a:spcBef>
              <a:spcPct val="0"/>
            </a:spcBef>
            <a:spcAft>
              <a:spcPct val="35000"/>
            </a:spcAft>
          </a:pPr>
          <a:endParaRPr lang="lt-LT" sz="1000" kern="1200">
            <a:latin typeface="Times New Roman" pitchFamily="18" charset="0"/>
            <a:cs typeface="Times New Roman" pitchFamily="18" charset="0"/>
          </a:endParaRPr>
        </a:p>
      </dsp:txBody>
      <dsp:txXfrm>
        <a:off x="3481046" y="688771"/>
        <a:ext cx="806612" cy="505168"/>
      </dsp:txXfrm>
    </dsp:sp>
    <dsp:sp modelId="{FD193F24-1F57-4ED5-8C96-C5E428C6EFCB}">
      <dsp:nvSpPr>
        <dsp:cNvPr id="0" name=""/>
        <dsp:cNvSpPr/>
      </dsp:nvSpPr>
      <dsp:spPr>
        <a:xfrm>
          <a:off x="1425510" y="282510"/>
          <a:ext cx="2635379" cy="2635379"/>
        </a:xfrm>
        <a:custGeom>
          <a:avLst/>
          <a:gdLst/>
          <a:ahLst/>
          <a:cxnLst/>
          <a:rect l="0" t="0" r="0" b="0"/>
          <a:pathLst>
            <a:path>
              <a:moveTo>
                <a:pt x="2614870" y="1086111"/>
              </a:moveTo>
              <a:arcTo wR="1317689" hR="1317689" stAng="20992678" swAng="1214645"/>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 modelId="{8FB2640E-3147-4E1E-908E-A707EDD7447A}">
      <dsp:nvSpPr>
        <dsp:cNvPr id="0" name=""/>
        <dsp:cNvSpPr/>
      </dsp:nvSpPr>
      <dsp:spPr>
        <a:xfrm>
          <a:off x="3453718" y="1979132"/>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RKF</a:t>
          </a:r>
        </a:p>
      </dsp:txBody>
      <dsp:txXfrm>
        <a:off x="3481046" y="2006460"/>
        <a:ext cx="806612" cy="505168"/>
      </dsp:txXfrm>
    </dsp:sp>
    <dsp:sp modelId="{F0CB93C0-8D1B-4F11-9F28-037E883B2E48}">
      <dsp:nvSpPr>
        <dsp:cNvPr id="0" name=""/>
        <dsp:cNvSpPr/>
      </dsp:nvSpPr>
      <dsp:spPr>
        <a:xfrm>
          <a:off x="1425510" y="282510"/>
          <a:ext cx="2635379" cy="2635379"/>
        </a:xfrm>
        <a:custGeom>
          <a:avLst/>
          <a:gdLst/>
          <a:ahLst/>
          <a:cxnLst/>
          <a:rect l="0" t="0" r="0" b="0"/>
          <a:pathLst>
            <a:path>
              <a:moveTo>
                <a:pt x="2156035" y="2334292"/>
              </a:moveTo>
              <a:arcTo wR="1317689" hR="1317689" stAng="3029349" swAng="922747"/>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 modelId="{2D494EC4-EBD7-415B-AFFD-BA69FC4E3AF3}">
      <dsp:nvSpPr>
        <dsp:cNvPr id="0" name=""/>
        <dsp:cNvSpPr/>
      </dsp:nvSpPr>
      <dsp:spPr>
        <a:xfrm>
          <a:off x="2312565" y="2637977"/>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Didelį augimo potencialą, turinčios įmonės</a:t>
          </a:r>
        </a:p>
      </dsp:txBody>
      <dsp:txXfrm>
        <a:off x="2339893" y="2665305"/>
        <a:ext cx="806612" cy="505168"/>
      </dsp:txXfrm>
    </dsp:sp>
    <dsp:sp modelId="{7BE46BA8-6C8F-4FAF-B5E7-C00FCE84990A}">
      <dsp:nvSpPr>
        <dsp:cNvPr id="0" name=""/>
        <dsp:cNvSpPr/>
      </dsp:nvSpPr>
      <dsp:spPr>
        <a:xfrm>
          <a:off x="1425510" y="282510"/>
          <a:ext cx="2635379" cy="2635379"/>
        </a:xfrm>
        <a:custGeom>
          <a:avLst/>
          <a:gdLst/>
          <a:ahLst/>
          <a:cxnLst/>
          <a:rect l="0" t="0" r="0" b="0"/>
          <a:pathLst>
            <a:path>
              <a:moveTo>
                <a:pt x="778970" y="2520223"/>
              </a:moveTo>
              <a:arcTo wR="1317689" hR="1317689" stAng="6847904" swAng="922747"/>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 modelId="{A2ACDB13-3C53-4ADE-849E-88BFC06C4301}">
      <dsp:nvSpPr>
        <dsp:cNvPr id="0" name=""/>
        <dsp:cNvSpPr/>
      </dsp:nvSpPr>
      <dsp:spPr>
        <a:xfrm>
          <a:off x="1171413" y="1979132"/>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RKF</a:t>
          </a:r>
        </a:p>
      </dsp:txBody>
      <dsp:txXfrm>
        <a:off x="1198741" y="2006460"/>
        <a:ext cx="806612" cy="505168"/>
      </dsp:txXfrm>
    </dsp:sp>
    <dsp:sp modelId="{9796A539-CB77-43BE-A964-F9FD9D357738}">
      <dsp:nvSpPr>
        <dsp:cNvPr id="0" name=""/>
        <dsp:cNvSpPr/>
      </dsp:nvSpPr>
      <dsp:spPr>
        <a:xfrm>
          <a:off x="1425510" y="282510"/>
          <a:ext cx="2635379" cy="2635379"/>
        </a:xfrm>
        <a:custGeom>
          <a:avLst/>
          <a:gdLst/>
          <a:ahLst/>
          <a:cxnLst/>
          <a:rect l="0" t="0" r="0" b="0"/>
          <a:pathLst>
            <a:path>
              <a:moveTo>
                <a:pt x="20508" y="1549267"/>
              </a:moveTo>
              <a:arcTo wR="1317689" hR="1317689" stAng="10192678" swAng="1214645"/>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 modelId="{F9E95E30-4878-43AC-B880-B136BF973205}">
      <dsp:nvSpPr>
        <dsp:cNvPr id="0" name=""/>
        <dsp:cNvSpPr/>
      </dsp:nvSpPr>
      <dsp:spPr>
        <a:xfrm>
          <a:off x="1171413" y="661443"/>
          <a:ext cx="861268" cy="559824"/>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Instituciniai investuotojai</a:t>
          </a:r>
        </a:p>
      </dsp:txBody>
      <dsp:txXfrm>
        <a:off x="1198741" y="688771"/>
        <a:ext cx="806612" cy="505168"/>
      </dsp:txXfrm>
    </dsp:sp>
    <dsp:sp modelId="{3DD247F1-BD16-4D56-BA40-68F77C885461}">
      <dsp:nvSpPr>
        <dsp:cNvPr id="0" name=""/>
        <dsp:cNvSpPr/>
      </dsp:nvSpPr>
      <dsp:spPr>
        <a:xfrm>
          <a:off x="1425510" y="282510"/>
          <a:ext cx="2635379" cy="2635379"/>
        </a:xfrm>
        <a:custGeom>
          <a:avLst/>
          <a:gdLst/>
          <a:ahLst/>
          <a:cxnLst/>
          <a:rect l="0" t="0" r="0" b="0"/>
          <a:pathLst>
            <a:path>
              <a:moveTo>
                <a:pt x="479343" y="301086"/>
              </a:moveTo>
              <a:arcTo wR="1317689" hR="1317689" stAng="13829349" swAng="922747"/>
            </a:path>
          </a:pathLst>
        </a:custGeom>
        <a:noFill/>
        <a:ln w="12700" cap="flat" cmpd="sng" algn="ctr">
          <a:solidFill>
            <a:schemeClr val="tx2">
              <a:lumMod val="7500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0.14236</cdr:x>
      <cdr:y>0.85151</cdr:y>
    </cdr:from>
    <cdr:to>
      <cdr:x>0.46091</cdr:x>
      <cdr:y>1</cdr:y>
    </cdr:to>
    <cdr:sp macro="" textlink="">
      <cdr:nvSpPr>
        <cdr:cNvPr id="2" name="Text Box 1"/>
        <cdr:cNvSpPr txBox="1"/>
      </cdr:nvSpPr>
      <cdr:spPr>
        <a:xfrm xmlns:a="http://schemas.openxmlformats.org/drawingml/2006/main">
          <a:off x="871268" y="2475781"/>
          <a:ext cx="1949570" cy="3881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userShapes>
</file>

<file path=word/drawings/drawing2.xml><?xml version="1.0" encoding="utf-8"?>
<c:userShapes xmlns:c="http://schemas.openxmlformats.org/drawingml/2006/chart">
  <cdr:relSizeAnchor xmlns:cdr="http://schemas.openxmlformats.org/drawingml/2006/chartDrawing">
    <cdr:from>
      <cdr:x>0.0526</cdr:x>
      <cdr:y>0.18664</cdr:y>
    </cdr:from>
    <cdr:to>
      <cdr:x>0.98181</cdr:x>
      <cdr:y>0.18664</cdr:y>
    </cdr:to>
    <cdr:cxnSp macro="">
      <cdr:nvCxnSpPr>
        <cdr:cNvPr id="5" name="Straight Connector 4"/>
        <cdr:cNvCxnSpPr/>
      </cdr:nvCxnSpPr>
      <cdr:spPr>
        <a:xfrm xmlns:a="http://schemas.openxmlformats.org/drawingml/2006/main">
          <a:off x="330176" y="514648"/>
          <a:ext cx="5832648" cy="0"/>
        </a:xfrm>
        <a:prstGeom xmlns:a="http://schemas.openxmlformats.org/drawingml/2006/main" prst="line">
          <a:avLst/>
        </a:prstGeom>
        <a:ln xmlns:a="http://schemas.openxmlformats.org/drawingml/2006/main">
          <a:solidFill>
            <a:srgbClr val="C0E43C"/>
          </a:solidFill>
        </a:ln>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0.09408</cdr:x>
      <cdr:y>0.66839</cdr:y>
    </cdr:from>
    <cdr:to>
      <cdr:x>0.23976</cdr:x>
      <cdr:y>1</cdr:y>
    </cdr:to>
    <cdr:sp macro="" textlink="">
      <cdr:nvSpPr>
        <cdr:cNvPr id="2" name="TextBox 1"/>
        <cdr:cNvSpPr txBox="1"/>
      </cdr:nvSpPr>
      <cdr:spPr>
        <a:xfrm xmlns:a="http://schemas.openxmlformats.org/drawingml/2006/main">
          <a:off x="590550" y="24669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DC01-5747-482C-87A5-C5EFFF96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75</Pages>
  <Words>90711</Words>
  <Characters>51706</Characters>
  <Application>Microsoft Office Word</Application>
  <DocSecurity>0</DocSecurity>
  <Lines>430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irena.macerinskiene</dc:creator>
  <cp:lastModifiedBy>Ausriukas</cp:lastModifiedBy>
  <cp:revision>138</cp:revision>
  <dcterms:created xsi:type="dcterms:W3CDTF">2012-03-29T14:00:00Z</dcterms:created>
  <dcterms:modified xsi:type="dcterms:W3CDTF">2012-04-19T19:25:00Z</dcterms:modified>
</cp:coreProperties>
</file>